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60" w:right="1080" w:hanging="2874"/>
        <w:spacing w:after="0" w:line="328" w:lineRule="auto"/>
        <w:tabs>
          <w:tab w:leader="none" w:pos="144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2025</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76" w:lineRule="exact"/>
        <w:rPr>
          <w:rFonts w:ascii="MS PGothic" w:cs="MS PGothic" w:eastAsia="MS PGothic" w:hAnsi="MS PGothic"/>
          <w:sz w:val="18"/>
          <w:szCs w:val="18"/>
          <w:color w:val="auto"/>
        </w:rPr>
      </w:pPr>
    </w:p>
    <w:p>
      <w:pPr>
        <w:ind w:left="4300" w:right="1080" w:hanging="3206"/>
        <w:spacing w:after="0" w:line="360" w:lineRule="auto"/>
        <w:tabs>
          <w:tab w:leader="none" w:pos="146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BDC,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86-2872887</w:t>
            </w:r>
          </w:p>
        </w:tc>
        <w:tc>
          <w:tcPr>
            <w:tcW w:w="0" w:type="dxa"/>
            <w:vAlign w:val="bottom"/>
          </w:tcPr>
          <w:p>
            <w:pPr>
              <w:spacing w:after="0"/>
              <w:rPr>
                <w:sz w:val="1"/>
                <w:szCs w:val="1"/>
                <w:color w:val="auto"/>
              </w:rPr>
            </w:pPr>
          </w:p>
        </w:tc>
      </w:tr>
      <w:tr>
        <w:trPr>
          <w:trHeight w:val="216"/>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9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216"/>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600 Madison Avenue, Suite 1800</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9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10022</w:t>
            </w: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905-4923</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97"/>
        </w:trPr>
        <w:tc>
          <w:tcPr>
            <w:tcW w:w="466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LIEN</w:t>
            </w:r>
          </w:p>
        </w:tc>
        <w:tc>
          <w:tcPr>
            <w:tcW w:w="16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4"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70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13, 2025, the registrant had 22,820,590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4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CHICAGO ATLANTIC BDC, INC.</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6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140" w:type="dxa"/>
            <w:vAlign w:val="bottom"/>
            <w:gridSpan w:val="18"/>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2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140" w:type="dxa"/>
            <w:vAlign w:val="bottom"/>
            <w:gridSpan w:val="18"/>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Assets and Liabilities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Operations</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Changes in Net Assets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Cash Flows</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Schedule of Investments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7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40" w:type="dxa"/>
            <w:vAlign w:val="bottom"/>
            <w:gridSpan w:val="18"/>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4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2260" w:type="dxa"/>
            <w:vAlign w:val="bottom"/>
            <w:shd w:val="clear" w:color="auto" w:fill="CCEEFF"/>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1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1195"/>
        </w:trPr>
        <w:tc>
          <w:tcPr>
            <w:tcW w:w="8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4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7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10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CFF0FC"/>
              <w:bottom w:val="single" w:sz="8" w:color="9A9A9A"/>
            </w:tcBorders>
          </w:tcPr>
          <w:p>
            <w:pPr>
              <w:spacing w:after="0"/>
              <w:rPr>
                <w:sz w:val="24"/>
                <w:szCs w:val="24"/>
                <w:color w:val="auto"/>
              </w:rPr>
            </w:pPr>
          </w:p>
        </w:tc>
        <w:tc>
          <w:tcPr>
            <w:tcW w:w="226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spacing w:after="0" w:line="108" w:lineRule="exact"/>
        <w:rPr>
          <w:sz w:val="20"/>
          <w:szCs w:val="20"/>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new U.S. Presidential administration, including the potential impact of tariff enactment and tax reductions, and the risk of recession or a shutdown of government services, which could impact our business prospects and the prospects of our portfolio companies;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distribution projections;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attract and retain highly talented professionals;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we expect to make;</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the timing of our investments in our initial portfolio;</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impacting the cannabis industry;</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benefits anticipated by the Loan Portfolio Acquisition (as defined below).</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annual report on Form 10-K for the fiscal year ended December 31, 2024 and elsewhere in this quarterly report on Form 10-Q. Other factors that could cause actual results to differ materially include:</w:t>
      </w:r>
    </w:p>
    <w:p>
      <w:pPr>
        <w:spacing w:after="0" w:line="12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potential disruptions in our operations, the economy, financial markets or political environment;</w:t>
      </w:r>
    </w:p>
    <w:p>
      <w:pPr>
        <w:spacing w:after="0" w:line="1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and cybersecurity attacks;</w:t>
      </w:r>
    </w:p>
    <w:p>
      <w:pPr>
        <w:spacing w:after="0" w:line="10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considerations that may be disclosed from time to time in our publicly disseminated documents and filings.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Chicago Atlantic BDC, Inc.</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0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tc>
        <w:tc>
          <w:tcPr>
            <w:tcW w:w="260" w:type="dxa"/>
            <w:vAlign w:val="bottom"/>
          </w:tcPr>
          <w:p>
            <w:pPr>
              <w:spacing w:after="0"/>
              <w:rPr>
                <w:sz w:val="20"/>
                <w:szCs w:val="20"/>
                <w:color w:val="auto"/>
              </w:rPr>
            </w:pPr>
          </w:p>
        </w:tc>
        <w:tc>
          <w:tcPr>
            <w:tcW w:w="18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Non-control/non-affiliate investments at fair value (amortized cost of $305,718,723 and</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$274,346,711, respectively)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13,829,354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6,517,715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2,361,019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1,423,572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investment sold</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331,750,419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309,561,041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11,760,000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Income-based incentive fees payable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1,968,640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payable</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1,345,331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payable</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629,000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458,809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 incentive fees payable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Unearned interest income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costs payable</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payable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 payable related to the Loan Portfolio Acquisition</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29,906,856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22,820,408 and</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22,820,386 shares issued and outstanding, respectively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228,204</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303,152,264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303,272,034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earnings (Accumulated loss)</w:t>
            </w:r>
          </w:p>
        </w:tc>
        <w:tc>
          <w:tcPr>
            <w:tcW w:w="2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(1,536,905)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(2,337,660)</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301,843,563</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301,162,578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-3771265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-1422400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9" w:lineRule="auto"/>
        <w:framePr w:w="160" w:h="160" w:wrap="auto" w:vAnchor="page" w:hAnchor="page" w:x="5860" w:y="12859"/>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w:t>
      </w: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2"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4"/>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Chicago Atlantic BDC, Inc.</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4"/>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4"/>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1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Non-control/non-affiliate investment income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11,906,066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2,790,333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23,185,522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5,516,830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 income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1,173,972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1,817,518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13,080,038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3,081,333</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25,003,040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5,841,580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Income-based incentive fees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1,968,637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328,503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3,884,914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1,366,783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2,341,260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100,787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Audit expense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96,925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343,752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Sub-administrator fees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101,187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286,590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gains incentive fees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expenses related to the Loan Portfolio Acquisition</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2,639,069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6,207,214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1,555,700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11,456,272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Waiver of General and administrative expense (Note 6)</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(658,477)</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limitation agreement (Note 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(791,783)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(1,107,783)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5,415,431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1,555,700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9,690,012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4,395,756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(LOSS)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7,664,607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15,313,028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 (LOSS) FROM INVESTMENTS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Non-controlled non-affiliate investments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 (loss) from investments</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APPRECIATION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Non-controlled non-affiliate investments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919,658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(232,772)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appreciation (depreciation) on investments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(232,772)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gains (losses)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919,658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(232,772)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8,584,265</w:t>
            </w:r>
          </w:p>
        </w:tc>
        <w:tc>
          <w:tcPr>
            <w:tcW w:w="2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1,292,861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16,198,622</w:t>
            </w:r>
          </w:p>
        </w:tc>
        <w:tc>
          <w:tcPr>
            <w:tcW w:w="240" w:type="dxa"/>
            <w:vAlign w:val="bottom"/>
          </w:tcPr>
          <w:p>
            <w:pPr>
              <w:spacing w:after="0"/>
              <w:rPr>
                <w:sz w:val="18"/>
                <w:szCs w:val="18"/>
                <w:color w:val="auto"/>
              </w:rPr>
            </w:pPr>
          </w:p>
        </w:tc>
        <w:tc>
          <w:tcPr>
            <w:tcW w:w="24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1,812,672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OPERATIONS</w:t>
            </w: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INVESTMENT INCOME (LOSS) PER SHARE - BASIC AND</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OPERATIONS PER SHARE - BASIC AND DILUTED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4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6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 BASIC AND</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22,820,405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6,214,949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22,820,396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6,214,945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980" w:type="dxa"/>
            <w:vAlign w:val="bottom"/>
            <w:gridSpan w:val="4"/>
          </w:tcPr>
          <w:p>
            <w:pPr>
              <w:jc w:val="center"/>
              <w:ind w:left="417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7"/>
        </w:trPr>
        <w:tc>
          <w:tcPr>
            <w:tcW w:w="5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-6625590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-6625590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-6625590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-6625590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-4846955</wp:posOffset>
            </wp:positionV>
            <wp:extent cx="939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-4846955</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-4846955</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-4846955</wp:posOffset>
            </wp:positionV>
            <wp:extent cx="10287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-4259580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-4259580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-4259580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-4259580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-3548380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-3548380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-3548380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-3548380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-2853690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-2853690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-2853690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-2853690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-2562225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-2562225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-2562225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-2562225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Distributable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22,820,386</w:t>
            </w:r>
          </w:p>
        </w:tc>
        <w:tc>
          <w:tcPr>
            <w:tcW w:w="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303,152,031</w:t>
            </w: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(2,362,231)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301,018,004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7,664,607</w:t>
            </w:r>
          </w:p>
        </w:tc>
        <w:tc>
          <w:tcPr>
            <w:tcW w:w="1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7,664,607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0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919,658</w:t>
            </w:r>
          </w:p>
        </w:tc>
        <w:tc>
          <w:tcPr>
            <w:tcW w:w="14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919,658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vMerge w:val="continue"/>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left w:val="single" w:sz="8" w:color="CFF0FC"/>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resulting from</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8,584,265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8,584,265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income-net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(7,758,939)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(7,758,939)</w:t>
            </w:r>
          </w:p>
        </w:tc>
        <w:tc>
          <w:tcPr>
            <w:tcW w:w="0" w:type="dxa"/>
            <w:vAlign w:val="bottom"/>
          </w:tcPr>
          <w:p>
            <w:pPr>
              <w:spacing w:after="0"/>
              <w:rPr>
                <w:sz w:val="1"/>
                <w:szCs w:val="1"/>
                <w:color w:val="auto"/>
              </w:rPr>
            </w:pPr>
          </w:p>
        </w:tc>
      </w:tr>
      <w:tr>
        <w:trPr>
          <w:trHeight w:val="203"/>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left w:val="single" w:sz="8" w:color="CFF0FC"/>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from capital</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w:t>
            </w: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left w:val="single" w:sz="8" w:color="CFF0FC"/>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825,326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825,559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22,820,408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303,152,264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(1,536,905)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301,843,563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Distributable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6,214,949</w:t>
            </w: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85,030,601</w:t>
            </w: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(573,983)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84,518,767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1,525,633</w:t>
            </w:r>
          </w:p>
        </w:tc>
        <w:tc>
          <w:tcPr>
            <w:tcW w:w="1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1,525,633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(232,772)</w:t>
            </w:r>
          </w:p>
        </w:tc>
        <w:tc>
          <w:tcPr>
            <w:tcW w:w="1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(232,772)</w:t>
            </w:r>
          </w:p>
        </w:tc>
        <w:tc>
          <w:tcPr>
            <w:tcW w:w="0" w:type="dxa"/>
            <w:vAlign w:val="bottom"/>
          </w:tcPr>
          <w:p>
            <w:pPr>
              <w:spacing w:after="0"/>
              <w:rPr>
                <w:sz w:val="1"/>
                <w:szCs w:val="1"/>
                <w:color w:val="auto"/>
              </w:rPr>
            </w:pPr>
          </w:p>
        </w:tc>
      </w:tr>
      <w:tr>
        <w:trPr>
          <w:trHeight w:val="203"/>
        </w:trPr>
        <w:tc>
          <w:tcPr>
            <w:tcW w:w="4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220" w:type="dxa"/>
            <w:vAlign w:val="bottom"/>
            <w:gridSpan w:val="2"/>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20" w:type="dxa"/>
            <w:vAlign w:val="bottom"/>
            <w:tcBorders>
              <w:top w:val="single" w:sz="8" w:color="CFF0FC"/>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resulting from</w:t>
            </w:r>
          </w:p>
        </w:tc>
        <w:tc>
          <w:tcPr>
            <w:tcW w:w="10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income-net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(1,553,738)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(1,553,738)</w:t>
            </w:r>
          </w:p>
        </w:tc>
        <w:tc>
          <w:tcPr>
            <w:tcW w:w="0" w:type="dxa"/>
            <w:vAlign w:val="bottom"/>
          </w:tcPr>
          <w:p>
            <w:pPr>
              <w:spacing w:after="0"/>
              <w:rPr>
                <w:sz w:val="1"/>
                <w:szCs w:val="1"/>
                <w:color w:val="auto"/>
              </w:rPr>
            </w:pPr>
          </w:p>
        </w:tc>
      </w:tr>
      <w:tr>
        <w:trPr>
          <w:trHeight w:val="203"/>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left w:val="single" w:sz="8" w:color="CFF0FC"/>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from capital</w:t>
            </w: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w:t>
            </w:r>
          </w:p>
        </w:tc>
        <w:tc>
          <w:tcPr>
            <w:tcW w:w="1220" w:type="dxa"/>
            <w:vAlign w:val="bottom"/>
            <w:tcBorders>
              <w:bottom w:val="single" w:sz="8" w:color="auto"/>
            </w:tcBorders>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(260,877.00)</w:t>
            </w: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(260,694)</w:t>
            </w:r>
          </w:p>
        </w:tc>
        <w:tc>
          <w:tcPr>
            <w:tcW w:w="0" w:type="dxa"/>
            <w:vAlign w:val="bottom"/>
          </w:tcPr>
          <w:p>
            <w:pPr>
              <w:spacing w:after="0"/>
              <w:rPr>
                <w:sz w:val="1"/>
                <w:szCs w:val="1"/>
                <w:color w:val="auto"/>
              </w:rPr>
            </w:pPr>
          </w:p>
        </w:tc>
      </w:tr>
      <w:tr>
        <w:trPr>
          <w:trHeight w:val="20"/>
        </w:trPr>
        <w:tc>
          <w:tcPr>
            <w:tcW w:w="4220" w:type="dxa"/>
            <w:vAlign w:val="bottom"/>
            <w:tcBorders>
              <w:right w:val="single" w:sz="8" w:color="auto"/>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6,214,964</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85,030,784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(834,860)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84,258,073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-4491355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-4491355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-4491355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-4491355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-3582670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-3582670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-3582670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-3582670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-3188335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-3188335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-3188335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-3188335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-1464945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-1464945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-1464945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-556895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-556895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-556895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-556895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-161925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-161925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-161925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Distributable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Loss)</w:t>
            </w:r>
          </w:p>
        </w:tc>
        <w:tc>
          <w:tcPr>
            <w:tcW w:w="22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22,820,386</w:t>
            </w:r>
          </w:p>
        </w:tc>
        <w:tc>
          <w:tcPr>
            <w:tcW w:w="3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228,204</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303,272,034</w:t>
            </w: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(2,337,660)</w:t>
            </w:r>
          </w:p>
        </w:tc>
        <w:tc>
          <w:tcPr>
            <w:tcW w:w="180" w:type="dxa"/>
            <w:vAlign w:val="bottom"/>
            <w:tcBorders>
              <w:right w:val="single" w:sz="8" w:color="CFF0FC"/>
            </w:tcBorders>
            <w:shd w:val="clear" w:color="auto" w:fill="CFF0FC"/>
          </w:tcPr>
          <w:p>
            <w:pPr>
              <w:spacing w:after="0"/>
              <w:rPr>
                <w:sz w:val="17"/>
                <w:szCs w:val="17"/>
                <w:color w:val="auto"/>
              </w:rPr>
            </w:pP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301,162,578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15,313,028</w:t>
            </w:r>
          </w:p>
        </w:tc>
        <w:tc>
          <w:tcPr>
            <w:tcW w:w="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15,313,028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 investments</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885,594</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885,594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resulting from operations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16,198,622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16,198,622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 income-net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(15,517,870)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(15,517,870)</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from capital transactions</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680,752</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680,985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permanent adjustments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(120,003)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120,003.00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22,820,408</w:t>
            </w:r>
          </w:p>
        </w:tc>
        <w:tc>
          <w:tcPr>
            <w:tcW w:w="24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303,152,264</w:t>
            </w:r>
          </w:p>
        </w:tc>
        <w:tc>
          <w:tcPr>
            <w:tcW w:w="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(1,536,905)</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301,843,563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Distributable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6,214,941</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85,041,203</w:t>
            </w:r>
          </w:p>
        </w:tc>
        <w:tc>
          <w:tcPr>
            <w:tcW w:w="200" w:type="dxa"/>
            <w:vAlign w:val="bottom"/>
            <w:shd w:val="clear" w:color="auto" w:fill="CFF0FC"/>
          </w:tcPr>
          <w:p>
            <w:pPr>
              <w:spacing w:after="0"/>
              <w:rPr>
                <w:sz w:val="17"/>
                <w:szCs w:val="17"/>
                <w:color w:val="auto"/>
              </w:rPr>
            </w:pPr>
          </w:p>
        </w:tc>
        <w:tc>
          <w:tcPr>
            <w:tcW w:w="200" w:type="dxa"/>
            <w:vAlign w:val="bottom"/>
            <w:tcBorders>
              <w:right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449,266</w:t>
            </w:r>
          </w:p>
        </w:tc>
        <w:tc>
          <w:tcPr>
            <w:tcW w:w="180" w:type="dxa"/>
            <w:vAlign w:val="bottom"/>
            <w:tcBorders>
              <w:right w:val="single" w:sz="8" w:color="CFF0FC"/>
            </w:tcBorders>
            <w:shd w:val="clear" w:color="auto" w:fill="CFF0FC"/>
          </w:tcPr>
          <w:p>
            <w:pPr>
              <w:spacing w:after="0"/>
              <w:rPr>
                <w:sz w:val="17"/>
                <w:szCs w:val="17"/>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85,552,618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1,445,824</w:t>
            </w:r>
          </w:p>
        </w:tc>
        <w:tc>
          <w:tcPr>
            <w:tcW w:w="180" w:type="dxa"/>
            <w:vAlign w:val="bottom"/>
            <w:tcBorders>
              <w:righ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1,445,824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366,848</w:t>
            </w:r>
          </w:p>
        </w:tc>
        <w:tc>
          <w:tcPr>
            <w:tcW w:w="180" w:type="dxa"/>
            <w:vAlign w:val="bottom"/>
            <w:tcBorders>
              <w:right w:val="single" w:sz="8" w:color="CFF0FC"/>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366,848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vMerge w:val="continue"/>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resulting from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1,812,672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 income-net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(3,107,474)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(3,107,474)</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from capital transactions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(1,294,802)</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(1,294,545)</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Effect of permanent adjustments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85,030,784</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(834,860)</w:t>
            </w: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84,258,073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-4268470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-4268470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-4268470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-4268470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-3488690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-3488690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-3488690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-3488690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-3488690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-3213735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-3213735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-3213735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-3213735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-2939415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-2922270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-2939415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-2922270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-2939415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-2922270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-2939415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-2922270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-1353820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-1353820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-1353820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-1353820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-574040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-574040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-574040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-574040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-299720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-299720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-299720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-299720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-25400</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0"/>
        </w:trPr>
        <w:tc>
          <w:tcPr>
            <w:tcW w:w="6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16,198,622</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1,812,672</w:t>
            </w:r>
          </w:p>
        </w:tc>
        <w:tc>
          <w:tcPr>
            <w:tcW w:w="100" w:type="dxa"/>
            <w:vAlign w:val="bottom"/>
          </w:tcPr>
          <w:p>
            <w:pPr>
              <w:spacing w:after="0"/>
              <w:rPr>
                <w:sz w:val="18"/>
                <w:szCs w:val="18"/>
                <w:color w:val="auto"/>
              </w:rPr>
            </w:pPr>
          </w:p>
        </w:tc>
      </w:tr>
      <w:tr>
        <w:trPr>
          <w:trHeight w:val="198"/>
        </w:trPr>
        <w:tc>
          <w:tcPr>
            <w:tcW w:w="66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(decrease) in net assets resulting from</w:t>
            </w: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operations to net cash provided by (used in) operating activities:</w:t>
            </w: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change in unrealized (appreciation) depreciation from investments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(366,848)</w:t>
            </w:r>
          </w:p>
        </w:tc>
      </w:tr>
      <w:tr>
        <w:trPr>
          <w:trHeight w:val="21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(accretion of discounts) and amortization of premiums</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(1,216,102)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(349,179)</w:t>
            </w: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(59,050,605)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(1,575,000)</w:t>
            </w:r>
          </w:p>
        </w:tc>
      </w:tr>
      <w:tr>
        <w:trPr>
          <w:trHeight w:val="21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PIK interest capitalized</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(1,045,967)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(113,137)</w:t>
            </w: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sales of investments and principal repayments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29,940,662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3,126,000</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operating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Interest receivable</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1,101,836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116,373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 for investment sold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Due from affiliates</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(4,156,696)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(163,582)</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(Decrease) in operating liabilities:</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Income-based incentive fees payable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Management fee payable</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(10,797)</w:t>
            </w: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gains incentive fees payable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73,370</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Professional fees payable</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(123,217)</w:t>
            </w: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Transaction fees payable related to the Loan Portfolio Acquisition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(2,945,125)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1,795,520</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payables</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Due to affiliates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Excise tax payable</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(88,709)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(10,655)</w:t>
            </w: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Unearned interest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62,189</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1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11,760,000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(5,314,609)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4,584,511</w:t>
            </w:r>
          </w:p>
        </w:tc>
        <w:tc>
          <w:tcPr>
            <w:tcW w:w="100" w:type="dxa"/>
            <w:vAlign w:val="bottom"/>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Offering costs paid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(85,076)</w:t>
            </w:r>
          </w:p>
        </w:tc>
      </w:tr>
      <w:tr>
        <w:trPr>
          <w:trHeight w:val="216"/>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Distributions paid</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(7,758,698)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(3,107,219)</w:t>
            </w:r>
          </w:p>
        </w:tc>
      </w:tr>
      <w:tr>
        <w:trPr>
          <w:trHeight w:val="216"/>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costs paid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(1,031,429)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Proceeds from borrowings on revolving line of credit</w:t>
            </w:r>
          </w:p>
        </w:tc>
        <w:tc>
          <w:tcPr>
            <w:tcW w:w="1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(4,788,443)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(3,192,295)</w:t>
            </w: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94" w:lineRule="exact"/>
        <w:rPr>
          <w:sz w:val="20"/>
          <w:szCs w:val="20"/>
          <w:color w:val="auto"/>
        </w:rPr>
      </w:pPr>
    </w:p>
    <w:p>
      <w:pPr>
        <w:ind w:right="3020"/>
        <w:spacing w:after="0" w:line="281" w:lineRule="auto"/>
        <w:rPr>
          <w:sz w:val="20"/>
          <w:szCs w:val="20"/>
          <w:color w:val="auto"/>
        </w:rPr>
      </w:pPr>
      <w:r>
        <w:rPr>
          <w:rFonts w:ascii="Times New Roman" w:cs="Times New Roman" w:eastAsia="Times New Roman" w:hAnsi="Times New Roman"/>
          <w:sz w:val="18"/>
          <w:szCs w:val="18"/>
          <w:b w:val="1"/>
          <w:bCs w:val="1"/>
          <w:color w:val="auto"/>
        </w:rPr>
        <w:t>Net increase (decrease) in cash and cash equivalents 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(10,103,052)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1,392,216</w:t>
            </w:r>
          </w:p>
        </w:tc>
      </w:tr>
      <w:tr>
        <w:trPr>
          <w:trHeight w:val="234"/>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23,932,406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32,611,635</w:t>
            </w:r>
          </w:p>
        </w:tc>
      </w:tr>
      <w:tr>
        <w:trPr>
          <w:trHeight w:val="209"/>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13,829,354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34,003,851</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020" w:space="720"/>
            <w:col w:w="35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operating, financing and investing activity</w:t>
            </w: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6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Reinvestment of dividend distribution</w:t>
            </w:r>
          </w:p>
        </w:tc>
        <w:tc>
          <w:tcPr>
            <w:tcW w:w="13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233</w:t>
            </w:r>
          </w:p>
        </w:tc>
        <w:tc>
          <w:tcPr>
            <w:tcW w:w="8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Accrual for deferred financing costs (Note 2)</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830,531</w:t>
            </w: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Excise taxes paid</w:t>
            </w:r>
          </w:p>
        </w:tc>
        <w:tc>
          <w:tcPr>
            <w:tcW w:w="13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115,357</w:t>
            </w:r>
          </w:p>
        </w:tc>
        <w:tc>
          <w:tcPr>
            <w:tcW w:w="8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20" w:type="dxa"/>
            <w:vAlign w:val="bottom"/>
          </w:tcPr>
          <w:p>
            <w:pPr>
              <w:spacing w:after="0"/>
              <w:rPr>
                <w:sz w:val="9"/>
                <w:szCs w:val="9"/>
                <w:color w:val="auto"/>
              </w:rPr>
            </w:pPr>
          </w:p>
        </w:tc>
        <w:tc>
          <w:tcPr>
            <w:tcW w:w="84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All in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Benchmark </w:t>
            </w:r>
            <w:r>
              <w:rPr>
                <w:rFonts w:ascii="Times New Roman" w:cs="Times New Roman" w:eastAsia="Times New Roman" w:hAnsi="Times New Roman"/>
                <w:sz w:val="14"/>
                <w:szCs w:val="14"/>
                <w:b w:val="1"/>
                <w:bCs w:val="1"/>
                <w:color w:val="auto"/>
                <w:w w:val="96"/>
                <w:vertAlign w:val="superscript"/>
              </w:rPr>
              <w:t>(3)</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ind w:right="24"/>
              <w:spacing w:after="0"/>
              <w:rPr>
                <w:sz w:val="20"/>
                <w:szCs w:val="20"/>
                <w:color w:val="auto"/>
              </w:rPr>
            </w:pPr>
            <w:r>
              <w:rPr>
                <w:rFonts w:ascii="Times New Roman" w:cs="Times New Roman" w:eastAsia="Times New Roman" w:hAnsi="Times New Roman"/>
                <w:sz w:val="21"/>
                <w:szCs w:val="21"/>
                <w:b w:val="1"/>
                <w:bCs w:val="1"/>
                <w:color w:val="auto"/>
                <w:vertAlign w:val="subscript"/>
              </w:rPr>
              <w:t>Par</w:t>
            </w:r>
            <w:r>
              <w:rPr>
                <w:rFonts w:ascii="Times New Roman" w:cs="Times New Roman" w:eastAsia="Times New Roman" w:hAnsi="Times New Roman"/>
                <w:sz w:val="7"/>
                <w:szCs w:val="7"/>
                <w:b w:val="1"/>
                <w:bCs w:val="1"/>
                <w:color w:val="auto"/>
              </w:rPr>
              <w:t xml:space="preserve"> (2)</w:t>
            </w:r>
          </w:p>
        </w:tc>
        <w:tc>
          <w:tcPr>
            <w:tcW w:w="2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9"/>
              </w:rPr>
              <w:t>Amortize</w:t>
            </w:r>
          </w:p>
        </w:tc>
        <w:tc>
          <w:tcPr>
            <w:tcW w:w="220" w:type="dxa"/>
            <w:vAlign w:val="bottom"/>
          </w:tcPr>
          <w:p>
            <w:pPr>
              <w:spacing w:after="0"/>
              <w:rPr>
                <w:sz w:val="9"/>
                <w:szCs w:val="9"/>
                <w:color w:val="auto"/>
              </w:rPr>
            </w:pPr>
          </w:p>
        </w:tc>
        <w:tc>
          <w:tcPr>
            <w:tcW w:w="58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2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gridSpan w:val="8"/>
          </w:tcPr>
          <w:p>
            <w:pPr>
              <w:ind w:left="36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Type</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Rate</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PIK</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00" w:type="dxa"/>
            <w:vAlign w:val="bottom"/>
          </w:tcPr>
          <w:p>
            <w:pPr>
              <w:spacing w:after="0"/>
              <w:rPr>
                <w:sz w:val="12"/>
                <w:szCs w:val="12"/>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1"/>
                <w:szCs w:val="11"/>
                <w:b w:val="1"/>
                <w:bCs w:val="1"/>
                <w:color w:val="auto"/>
                <w:w w:val="95"/>
              </w:rPr>
              <w:t>d Cost</w:t>
            </w:r>
            <w:r>
              <w:rPr>
                <w:rFonts w:ascii="Times New Roman" w:cs="Times New Roman" w:eastAsia="Times New Roman" w:hAnsi="Times New Roman"/>
                <w:sz w:val="14"/>
                <w:szCs w:val="14"/>
                <w:b w:val="1"/>
                <w:bCs w:val="1"/>
                <w:color w:val="auto"/>
                <w:w w:val="95"/>
                <w:vertAlign w:val="superscript"/>
              </w:rPr>
              <w:t>(15)</w:t>
            </w:r>
          </w:p>
        </w:tc>
        <w:tc>
          <w:tcPr>
            <w:tcW w:w="220" w:type="dxa"/>
            <w:vAlign w:val="bottom"/>
          </w:tcPr>
          <w:p>
            <w:pPr>
              <w:spacing w:after="0"/>
              <w:rPr>
                <w:sz w:val="12"/>
                <w:szCs w:val="12"/>
                <w:color w:val="auto"/>
              </w:rPr>
            </w:pPr>
          </w:p>
        </w:tc>
        <w:tc>
          <w:tcPr>
            <w:tcW w:w="580" w:type="dxa"/>
            <w:vAlign w:val="bottom"/>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2"/>
        </w:trPr>
        <w:tc>
          <w:tcPr>
            <w:tcW w:w="1620" w:type="dxa"/>
            <w:vAlign w:val="bottom"/>
            <w:tcBorders>
              <w:top w:val="single" w:sz="8" w:color="auto"/>
            </w:tcBorders>
            <w:gridSpan w:val="8"/>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 at Fair Value</w:t>
            </w:r>
          </w:p>
        </w:tc>
        <w:tc>
          <w:tcPr>
            <w:tcW w:w="1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200" w:type="dxa"/>
            <w:vAlign w:val="bottom"/>
            <w:tcBorders>
              <w:top w:val="single" w:sz="8" w:color="auto"/>
            </w:tcBorders>
            <w:gridSpan w:val="6"/>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w w:val="94"/>
              </w:rPr>
              <w:t>US Corporate Debt First</w:t>
            </w:r>
          </w:p>
        </w:tc>
        <w:tc>
          <w:tcPr>
            <w:tcW w:w="420" w:type="dxa"/>
            <w:vAlign w:val="bottom"/>
            <w:tcBorders>
              <w:top w:val="single" w:sz="8" w:color="CFF0FC"/>
            </w:tcBorders>
            <w:gridSpan w:val="2"/>
            <w:shd w:val="clear" w:color="auto" w:fill="CFF0FC"/>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Lien</w:t>
            </w:r>
          </w:p>
        </w:tc>
        <w:tc>
          <w:tcPr>
            <w:tcW w:w="1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8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70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4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7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500" w:type="dxa"/>
            <w:vAlign w:val="bottom"/>
            <w:tcBorders>
              <w:top w:val="single" w:sz="8" w:color="auto"/>
            </w:tcBorders>
            <w:gridSpan w:val="7"/>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Senior Secured</w:t>
            </w:r>
          </w:p>
        </w:tc>
        <w:tc>
          <w:tcPr>
            <w:tcW w:w="12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8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70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4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78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gridSpan w:val="2"/>
            <w:vMerge w:val="restart"/>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9"/>
              </w:rPr>
              <w:t>(1)(5)(16)</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gridSpan w:val="3"/>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740" w:type="dxa"/>
            <w:vAlign w:val="bottom"/>
            <w:gridSpan w:val="2"/>
            <w:vMerge w:val="continue"/>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20" w:type="dxa"/>
            <w:vAlign w:val="bottom"/>
            <w:gridSpan w:val="8"/>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U.S. Debt Cannabis</w:t>
            </w: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760" w:type="dxa"/>
            <w:vAlign w:val="bottom"/>
            <w:tcBorders>
              <w:top w:val="single" w:sz="8" w:color="CFF0FC"/>
            </w:tcBorders>
            <w:gridSpan w:val="2"/>
          </w:tcPr>
          <w:p>
            <w:pPr>
              <w:ind w:left="120"/>
              <w:spacing w:after="0" w:line="102"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Aeriz Holdings Corp</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5.75%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6/30/2028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3.2%</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6"/>
              </w:rPr>
              <w:t>(9)(17)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1"/>
                <w:szCs w:val="11"/>
                <w:color w:val="auto"/>
              </w:rPr>
              <w:t>Archos Capital Group, LLC</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14.25%</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5.75%</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10/30/2025</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Cannabis &amp; Glass</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14.57%</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4.00%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3/28/2025</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7/28/2028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0.7%</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1"/>
                <w:szCs w:val="11"/>
                <w:color w:val="auto"/>
              </w:rPr>
              <w:t>Deep Roots Harvest, Inc.</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6.50%</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8.00%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10/23/2024</w:t>
            </w:r>
          </w:p>
        </w:tc>
        <w:tc>
          <w:tcPr>
            <w:tcW w:w="72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8/15/2027</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4,792</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5,589</w:t>
            </w:r>
          </w:p>
        </w:tc>
        <w:tc>
          <w:tcPr>
            <w:tcW w:w="100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rPr>
              <w:t>1.9%</w:t>
            </w:r>
          </w:p>
        </w:tc>
        <w:tc>
          <w:tcPr>
            <w:tcW w:w="74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gridSpan w:val="8"/>
          </w:tcPr>
          <w:p>
            <w:pPr>
              <w:spacing w:after="0" w:line="122" w:lineRule="exact"/>
              <w:rPr>
                <w:sz w:val="20"/>
                <w:szCs w:val="20"/>
                <w:color w:val="auto"/>
              </w:rPr>
            </w:pPr>
            <w:r>
              <w:rPr>
                <w:rFonts w:ascii="Times New Roman" w:cs="Times New Roman" w:eastAsia="Times New Roman" w:hAnsi="Times New Roman"/>
                <w:sz w:val="11"/>
                <w:szCs w:val="11"/>
                <w:color w:val="auto"/>
              </w:rPr>
              <w:t>Dreamfields Brands, Inc. (d/b/a</w:t>
            </w: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Jeeter)</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7.50%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5/3/2023</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5/3/2026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31,745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31,695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31,745</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8"/>
              </w:rPr>
              <w:t>10.5%</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1"/>
                <w:szCs w:val="11"/>
                <w:color w:val="auto"/>
              </w:rPr>
              <w:t>Elevation Cannabis, LLC</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7.75%</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12/31/2026</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13,850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13,560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13,712</w:t>
            </w:r>
          </w:p>
        </w:tc>
        <w:tc>
          <w:tcPr>
            <w:tcW w:w="100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rPr>
              <w:t>4.5%</w:t>
            </w:r>
          </w:p>
        </w:tc>
        <w:tc>
          <w:tcPr>
            <w:tcW w:w="74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Flowery - Bill's Nursery, Inc.</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5"/>
              </w:rPr>
              <w:t>12/31/2025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11,793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11,820</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3.9%</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(12)(17)</w:t>
            </w:r>
          </w:p>
        </w:tc>
        <w:tc>
          <w:tcPr>
            <w:tcW w:w="0" w:type="dxa"/>
            <w:vAlign w:val="bottom"/>
          </w:tcPr>
          <w:p>
            <w:pPr>
              <w:spacing w:after="0"/>
              <w:rPr>
                <w:sz w:val="1"/>
                <w:szCs w:val="1"/>
                <w:color w:val="auto"/>
              </w:rPr>
            </w:pPr>
          </w:p>
        </w:tc>
      </w:tr>
      <w:tr>
        <w:trPr>
          <w:trHeight w:val="121"/>
        </w:trPr>
        <w:tc>
          <w:tcPr>
            <w:tcW w:w="162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Fluent Corp.</w:t>
            </w: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13.00%</w:t>
            </w:r>
          </w:p>
        </w:tc>
        <w:tc>
          <w:tcPr>
            <w:tcW w:w="8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5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3/31/2025</w:t>
            </w:r>
          </w:p>
        </w:tc>
        <w:tc>
          <w:tcPr>
            <w:tcW w:w="72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11/24/2028</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10,060</w:t>
            </w:r>
          </w:p>
        </w:tc>
        <w:tc>
          <w:tcPr>
            <w:tcW w:w="7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9,908</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9,909</w:t>
            </w:r>
          </w:p>
        </w:tc>
        <w:tc>
          <w:tcPr>
            <w:tcW w:w="1000" w:type="dxa"/>
            <w:vAlign w:val="bottom"/>
            <w:gridSpan w:val="2"/>
            <w:shd w:val="clear" w:color="auto" w:fill="CFF0FC"/>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74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(12)(17)</w:t>
            </w:r>
          </w:p>
        </w:tc>
        <w:tc>
          <w:tcPr>
            <w:tcW w:w="0" w:type="dxa"/>
            <w:vAlign w:val="bottom"/>
          </w:tcPr>
          <w:p>
            <w:pPr>
              <w:spacing w:after="0"/>
              <w:rPr>
                <w:sz w:val="1"/>
                <w:szCs w:val="1"/>
                <w:color w:val="auto"/>
              </w:rPr>
            </w:pPr>
          </w:p>
        </w:tc>
      </w:tr>
      <w:tr>
        <w:trPr>
          <w:trHeight w:val="122"/>
        </w:trPr>
        <w:tc>
          <w:tcPr>
            <w:tcW w:w="1620" w:type="dxa"/>
            <w:vAlign w:val="bottom"/>
            <w:gridSpan w:val="8"/>
          </w:tcPr>
          <w:p>
            <w:pPr>
              <w:spacing w:after="0" w:line="122" w:lineRule="exact"/>
              <w:rPr>
                <w:sz w:val="20"/>
                <w:szCs w:val="20"/>
                <w:color w:val="auto"/>
              </w:rPr>
            </w:pPr>
            <w:r>
              <w:rPr>
                <w:rFonts w:ascii="Times New Roman" w:cs="Times New Roman" w:eastAsia="Times New Roman" w:hAnsi="Times New Roman"/>
                <w:sz w:val="11"/>
                <w:szCs w:val="11"/>
                <w:color w:val="auto"/>
              </w:rPr>
              <w:t>HA-MD, LLC</w:t>
            </w: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6/6/2026</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3,080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3,078</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3,080</w:t>
            </w:r>
          </w:p>
        </w:tc>
        <w:tc>
          <w:tcPr>
            <w:tcW w:w="100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2"/>
        </w:trPr>
        <w:tc>
          <w:tcPr>
            <w:tcW w:w="162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Kaleafa, Inc.</w:t>
            </w: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17.00%</w:t>
            </w:r>
          </w:p>
        </w:tc>
        <w:tc>
          <w:tcPr>
            <w:tcW w:w="8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12/3/2027</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2,832</w:t>
            </w:r>
          </w:p>
        </w:tc>
        <w:tc>
          <w:tcPr>
            <w:tcW w:w="7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2,832</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2,860</w:t>
            </w:r>
          </w:p>
        </w:tc>
        <w:tc>
          <w:tcPr>
            <w:tcW w:w="1000" w:type="dxa"/>
            <w:vAlign w:val="bottom"/>
            <w:gridSpan w:val="2"/>
            <w:shd w:val="clear" w:color="auto" w:fill="CFF0FC"/>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0.9%</w:t>
            </w:r>
          </w:p>
        </w:tc>
        <w:tc>
          <w:tcPr>
            <w:tcW w:w="74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22"/>
        </w:trPr>
        <w:tc>
          <w:tcPr>
            <w:tcW w:w="1620" w:type="dxa"/>
            <w:vAlign w:val="bottom"/>
            <w:gridSpan w:val="8"/>
          </w:tcPr>
          <w:p>
            <w:pPr>
              <w:spacing w:after="0" w:line="122" w:lineRule="exact"/>
              <w:rPr>
                <w:sz w:val="20"/>
                <w:szCs w:val="20"/>
                <w:color w:val="auto"/>
              </w:rPr>
            </w:pPr>
            <w:r>
              <w:rPr>
                <w:rFonts w:ascii="Times New Roman" w:cs="Times New Roman" w:eastAsia="Times New Roman" w:hAnsi="Times New Roman"/>
                <w:sz w:val="11"/>
                <w:szCs w:val="11"/>
                <w:color w:val="auto"/>
              </w:rPr>
              <w:t>Nova Farms, LLC</w:t>
            </w: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3/28/2027</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14,938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14,135</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14,265</w:t>
            </w:r>
          </w:p>
        </w:tc>
        <w:tc>
          <w:tcPr>
            <w:tcW w:w="100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(9)(17)</w:t>
            </w:r>
          </w:p>
        </w:tc>
        <w:tc>
          <w:tcPr>
            <w:tcW w:w="0" w:type="dxa"/>
            <w:vAlign w:val="bottom"/>
          </w:tcPr>
          <w:p>
            <w:pPr>
              <w:spacing w:after="0"/>
              <w:rPr>
                <w:sz w:val="1"/>
                <w:szCs w:val="1"/>
                <w:color w:val="auto"/>
              </w:rPr>
            </w:pPr>
          </w:p>
        </w:tc>
      </w:tr>
      <w:tr>
        <w:trPr>
          <w:trHeight w:val="122"/>
        </w:trPr>
        <w:tc>
          <w:tcPr>
            <w:tcW w:w="162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Oasis - AZ GOAT AZ LLC</w:t>
            </w: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15.50%</w:t>
            </w:r>
          </w:p>
        </w:tc>
        <w:tc>
          <w:tcPr>
            <w:tcW w:w="8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3/31/2026</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4,765</w:t>
            </w:r>
          </w:p>
        </w:tc>
        <w:tc>
          <w:tcPr>
            <w:tcW w:w="7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4,725</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4,693</w:t>
            </w:r>
          </w:p>
        </w:tc>
        <w:tc>
          <w:tcPr>
            <w:tcW w:w="1000" w:type="dxa"/>
            <w:vAlign w:val="bottom"/>
            <w:gridSpan w:val="2"/>
            <w:shd w:val="clear" w:color="auto" w:fill="CFF0FC"/>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74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Proper Holdings, LLC</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5"/>
              </w:rPr>
              <w:t>11/28/2025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4,171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4,171</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1.4%</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1"/>
                <w:szCs w:val="11"/>
                <w:color w:val="auto"/>
              </w:rPr>
              <w:t>Remedy - Maryland Wellness, LLC</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18.50%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7.50%</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3.50%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5.00%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8/4/2025</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2,988</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3,027</w:t>
            </w:r>
          </w:p>
        </w:tc>
        <w:tc>
          <w:tcPr>
            <w:tcW w:w="100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rPr>
              <w:t>1.0%</w:t>
            </w:r>
          </w:p>
        </w:tc>
        <w:tc>
          <w:tcPr>
            <w:tcW w:w="74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Shangri-La Columbia, LLC</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5.75%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7.50%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6/30/2028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3.9%</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22"/>
        </w:trPr>
        <w:tc>
          <w:tcPr>
            <w:tcW w:w="162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STIIIZY Inc. (Shryne Group Inc.)</w:t>
            </w: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17.00%</w:t>
            </w:r>
          </w:p>
        </w:tc>
        <w:tc>
          <w:tcPr>
            <w:tcW w:w="8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5/26/2022</w:t>
            </w:r>
          </w:p>
        </w:tc>
        <w:tc>
          <w:tcPr>
            <w:tcW w:w="72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5/26/2027</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38,569</w:t>
            </w:r>
          </w:p>
        </w:tc>
        <w:tc>
          <w:tcPr>
            <w:tcW w:w="7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38,313</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38,183</w:t>
            </w:r>
          </w:p>
        </w:tc>
        <w:tc>
          <w:tcPr>
            <w:tcW w:w="1000" w:type="dxa"/>
            <w:vAlign w:val="bottom"/>
            <w:gridSpan w:val="2"/>
            <w:shd w:val="clear" w:color="auto" w:fill="CFF0FC"/>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8"/>
              </w:rPr>
              <w:t>12.7%</w:t>
            </w:r>
          </w:p>
        </w:tc>
        <w:tc>
          <w:tcPr>
            <w:tcW w:w="74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Silver Therapeutics, Inc.</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7.25%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7.75%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3/26/2025</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3/24/2028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5,733</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1.9%</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6"/>
              </w:rPr>
              <w:t>(9)(17)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1"/>
                <w:szCs w:val="11"/>
                <w:color w:val="auto"/>
              </w:rPr>
              <w:t>Subsero Holdings - Illinois, Inc</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16.50%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7.00%</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2.00%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7.00%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7/29/2026</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2,840</w:t>
            </w:r>
          </w:p>
        </w:tc>
        <w:tc>
          <w:tcPr>
            <w:tcW w:w="100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rPr>
              <w:t>0.9%</w:t>
            </w:r>
          </w:p>
        </w:tc>
        <w:tc>
          <w:tcPr>
            <w:tcW w:w="74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TheraTrue, Inc.</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14.50%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3/18/2025</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3/13/2027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1.0%</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1620" w:type="dxa"/>
            <w:vAlign w:val="bottom"/>
            <w:tcBorders>
              <w:bottom w:val="single" w:sz="8" w:color="CFF0FC"/>
            </w:tcBorders>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Verano Holdings Corp.</w:t>
            </w:r>
          </w:p>
        </w:tc>
        <w:tc>
          <w:tcPr>
            <w:tcW w:w="760" w:type="dxa"/>
            <w:vAlign w:val="bottom"/>
            <w:tcBorders>
              <w:bottom w:val="single" w:sz="8" w:color="CFF0FC"/>
            </w:tcBorders>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14.00%</w:t>
            </w:r>
          </w:p>
        </w:tc>
        <w:tc>
          <w:tcPr>
            <w:tcW w:w="80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tcBorders>
              <w:bottom w:val="single" w:sz="8" w:color="CFF0FC"/>
            </w:tcBorders>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56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70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10/27/2024</w:t>
            </w:r>
          </w:p>
        </w:tc>
        <w:tc>
          <w:tcPr>
            <w:tcW w:w="720" w:type="dxa"/>
            <w:vAlign w:val="bottom"/>
            <w:tcBorders>
              <w:bottom w:val="single" w:sz="8" w:color="CFF0FC"/>
            </w:tcBorders>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10/30/2026</w:t>
            </w:r>
          </w:p>
        </w:tc>
        <w:tc>
          <w:tcPr>
            <w:tcW w:w="52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51,399</w:t>
            </w:r>
          </w:p>
        </w:tc>
        <w:tc>
          <w:tcPr>
            <w:tcW w:w="2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51,384</w:t>
            </w:r>
          </w:p>
        </w:tc>
        <w:tc>
          <w:tcPr>
            <w:tcW w:w="2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51,656</w:t>
            </w:r>
          </w:p>
        </w:tc>
        <w:tc>
          <w:tcPr>
            <w:tcW w:w="2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17.1%</w:t>
            </w:r>
          </w:p>
        </w:tc>
        <w:tc>
          <w:tcPr>
            <w:tcW w:w="74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15"/>
        </w:trPr>
        <w:tc>
          <w:tcPr>
            <w:tcW w:w="1620" w:type="dxa"/>
            <w:vAlign w:val="bottom"/>
            <w:gridSpan w:val="8"/>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228,405</w:t>
            </w:r>
          </w:p>
        </w:tc>
        <w:tc>
          <w:tcPr>
            <w:tcW w:w="8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229,717</w:t>
            </w:r>
          </w:p>
        </w:tc>
        <w:tc>
          <w:tcPr>
            <w:tcW w:w="1000" w:type="dxa"/>
            <w:vAlign w:val="bottom"/>
            <w:gridSpan w:val="2"/>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2"/>
              </w:rPr>
              <w:t>76.1%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gridSpan w:val="8"/>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8"/>
          </w:tcPr>
          <w:p>
            <w:pPr>
              <w:spacing w:after="0" w:line="115" w:lineRule="exact"/>
              <w:rPr>
                <w:sz w:val="20"/>
                <w:szCs w:val="20"/>
                <w:color w:val="auto"/>
              </w:rPr>
            </w:pPr>
            <w:r>
              <w:rPr>
                <w:rFonts w:ascii="Times New Roman" w:cs="Times New Roman" w:eastAsia="Times New Roman" w:hAnsi="Times New Roman"/>
                <w:sz w:val="11"/>
                <w:szCs w:val="11"/>
                <w:color w:val="auto"/>
              </w:rPr>
              <w:t>Hartford Gold Group, LLC</w:t>
            </w:r>
          </w:p>
        </w:tc>
        <w:tc>
          <w:tcPr>
            <w:tcW w:w="7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14.17%</w:t>
            </w:r>
          </w:p>
        </w:tc>
        <w:tc>
          <w:tcPr>
            <w:tcW w:w="8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S</w:t>
            </w:r>
          </w:p>
        </w:tc>
        <w:tc>
          <w:tcPr>
            <w:tcW w:w="80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9.85%</w:t>
            </w:r>
          </w:p>
        </w:tc>
        <w:tc>
          <w:tcPr>
            <w:tcW w:w="5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1.50%</w:t>
            </w: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7"/>
              </w:rPr>
              <w:t>1/6/2027</w:t>
            </w:r>
          </w:p>
        </w:tc>
        <w:tc>
          <w:tcPr>
            <w:tcW w:w="5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732</w:t>
            </w:r>
          </w:p>
        </w:tc>
        <w:tc>
          <w:tcPr>
            <w:tcW w:w="7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658</w:t>
            </w:r>
          </w:p>
        </w:tc>
        <w:tc>
          <w:tcPr>
            <w:tcW w:w="8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651</w:t>
            </w:r>
          </w:p>
        </w:tc>
        <w:tc>
          <w:tcPr>
            <w:tcW w:w="1000" w:type="dxa"/>
            <w:vAlign w:val="bottom"/>
            <w:gridSpan w:val="2"/>
          </w:tcPr>
          <w:p>
            <w:pPr>
              <w:jc w:val="center"/>
              <w:ind w:left="146"/>
              <w:spacing w:after="0" w:line="115" w:lineRule="exact"/>
              <w:rPr>
                <w:sz w:val="20"/>
                <w:szCs w:val="20"/>
                <w:color w:val="auto"/>
              </w:rPr>
            </w:pPr>
            <w:r>
              <w:rPr>
                <w:rFonts w:ascii="Times New Roman" w:cs="Times New Roman" w:eastAsia="Times New Roman" w:hAnsi="Times New Roman"/>
                <w:sz w:val="11"/>
                <w:szCs w:val="11"/>
                <w:color w:val="auto"/>
              </w:rPr>
              <w:t>0.2%</w:t>
            </w:r>
          </w:p>
        </w:tc>
        <w:tc>
          <w:tcPr>
            <w:tcW w:w="74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162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Minden Holdings, LLC</w:t>
            </w: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14.75%</w:t>
            </w:r>
          </w:p>
        </w:tc>
        <w:tc>
          <w:tcPr>
            <w:tcW w:w="8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7.25%</w:t>
            </w:r>
          </w:p>
        </w:tc>
        <w:tc>
          <w:tcPr>
            <w:tcW w:w="5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5/31/2026</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7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000" w:type="dxa"/>
            <w:vAlign w:val="bottom"/>
            <w:gridSpan w:val="2"/>
            <w:shd w:val="clear" w:color="auto" w:fill="CFF0FC"/>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74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99"/>
        </w:trPr>
        <w:tc>
          <w:tcPr>
            <w:tcW w:w="1620" w:type="dxa"/>
            <w:vAlign w:val="bottom"/>
            <w:tcBorders>
              <w:top w:val="single" w:sz="8" w:color="CFF0FC"/>
            </w:tcBorders>
            <w:gridSpan w:val="8"/>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Finance and</w:t>
            </w:r>
          </w:p>
        </w:tc>
        <w:tc>
          <w:tcPr>
            <w:tcW w:w="1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620" w:type="dxa"/>
            <w:vAlign w:val="bottom"/>
            <w:gridSpan w:val="8"/>
          </w:tcPr>
          <w:p>
            <w:pPr>
              <w:ind w:left="8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1,657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1,651</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20" w:type="dxa"/>
            <w:vAlign w:val="bottom"/>
            <w:gridSpan w:val="8"/>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760" w:type="dxa"/>
            <w:vAlign w:val="bottom"/>
            <w:tcBorders>
              <w:top w:val="single" w:sz="8" w:color="CFF0FC"/>
            </w:tcBorders>
            <w:gridSpan w:val="2"/>
          </w:tcPr>
          <w:p>
            <w:pPr>
              <w:ind w:left="120"/>
              <w:spacing w:after="0" w:line="102"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AI Software, LLC (d/b/a Capacity)</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7.50%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6/13/2025</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6/13/2029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3,215</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1.1%</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1620" w:type="dxa"/>
            <w:vAlign w:val="bottom"/>
            <w:gridSpan w:val="8"/>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w w:val="98"/>
              </w:rPr>
              <w:t>Protect Animals With Satellites LLC</w:t>
            </w: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1"/>
                <w:szCs w:val="11"/>
                <w:color w:val="auto"/>
              </w:rPr>
              <w:t>(Halo Collar)</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1.75%</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3.00%</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11/1/2026</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3,466</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3,495</w:t>
            </w:r>
          </w:p>
        </w:tc>
        <w:tc>
          <w:tcPr>
            <w:tcW w:w="100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rPr>
              <w:t>1.2%</w:t>
            </w:r>
          </w:p>
        </w:tc>
        <w:tc>
          <w:tcPr>
            <w:tcW w:w="74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1620" w:type="dxa"/>
            <w:vAlign w:val="bottom"/>
            <w:gridSpan w:val="8"/>
          </w:tcPr>
          <w:p>
            <w:pPr>
              <w:spacing w:after="0" w:line="108" w:lineRule="exact"/>
              <w:rPr>
                <w:sz w:val="20"/>
                <w:szCs w:val="20"/>
                <w:color w:val="auto"/>
              </w:rPr>
            </w:pPr>
            <w:r>
              <w:rPr>
                <w:rFonts w:ascii="Times New Roman" w:cs="Times New Roman" w:eastAsia="Times New Roman" w:hAnsi="Times New Roman"/>
                <w:sz w:val="11"/>
                <w:szCs w:val="11"/>
                <w:color w:val="auto"/>
                <w:w w:val="98"/>
              </w:rPr>
              <w:t>Protect Animals With Satellites LLC</w:t>
            </w: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Incremental</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220" w:type="dxa"/>
            <w:vAlign w:val="bottom"/>
            <w:vMerge w:val="restart"/>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1,872</w:t>
            </w:r>
          </w:p>
        </w:tc>
        <w:tc>
          <w:tcPr>
            <w:tcW w:w="220" w:type="dxa"/>
            <w:vAlign w:val="bottom"/>
            <w:vMerge w:val="restart"/>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20" w:type="dxa"/>
            <w:vAlign w:val="bottom"/>
            <w:gridSpan w:val="8"/>
          </w:tcPr>
          <w:p>
            <w:pPr>
              <w:spacing w:after="0" w:line="122" w:lineRule="exact"/>
              <w:rPr>
                <w:sz w:val="20"/>
                <w:szCs w:val="20"/>
                <w:color w:val="auto"/>
              </w:rPr>
            </w:pPr>
            <w:r>
              <w:rPr>
                <w:rFonts w:ascii="Times New Roman" w:cs="Times New Roman" w:eastAsia="Times New Roman" w:hAnsi="Times New Roman"/>
                <w:sz w:val="11"/>
                <w:szCs w:val="11"/>
                <w:color w:val="auto"/>
              </w:rPr>
              <w:t>(Halo Collar) - 1st Amendment</w:t>
            </w: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5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1,950</w:t>
            </w:r>
          </w:p>
        </w:tc>
        <w:tc>
          <w:tcPr>
            <w:tcW w:w="220" w:type="dxa"/>
            <w:vAlign w:val="bottom"/>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1620" w:type="dxa"/>
            <w:vAlign w:val="bottom"/>
            <w:gridSpan w:val="8"/>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8,539</w:t>
            </w:r>
          </w:p>
        </w:tc>
        <w:tc>
          <w:tcPr>
            <w:tcW w:w="8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8,582</w:t>
            </w:r>
          </w:p>
        </w:tc>
        <w:tc>
          <w:tcPr>
            <w:tcW w:w="100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2.9%</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bottom w:val="single" w:sz="8" w:color="auto"/>
            </w:tcBorders>
            <w:gridSpan w:val="5"/>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Public Administration</w:t>
            </w:r>
          </w:p>
        </w:tc>
        <w:tc>
          <w:tcPr>
            <w:tcW w:w="5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gridSpan w:val="8"/>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Youth Opportunity Investments,</w:t>
            </w: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11,687</w:t>
            </w: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11,756</w:t>
            </w:r>
          </w:p>
        </w:tc>
        <w:tc>
          <w:tcPr>
            <w:tcW w:w="1000" w:type="dxa"/>
            <w:vAlign w:val="bottom"/>
            <w:gridSpan w:val="2"/>
            <w:vMerge w:val="restart"/>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12.07%</w:t>
            </w:r>
          </w:p>
        </w:tc>
        <w:tc>
          <w:tcPr>
            <w:tcW w:w="8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8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5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9/18/2026</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11,756</w:t>
            </w:r>
          </w:p>
        </w:tc>
        <w:tc>
          <w:tcPr>
            <w:tcW w:w="720" w:type="dxa"/>
            <w:vAlign w:val="bottom"/>
            <w:gridSpan w:val="2"/>
            <w:vMerge w:val="continue"/>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1000" w:type="dxa"/>
            <w:vAlign w:val="bottom"/>
            <w:gridSpan w:val="2"/>
            <w:vMerge w:val="continue"/>
            <w:shd w:val="clear" w:color="auto" w:fill="CFF0FC"/>
          </w:tcPr>
          <w:p>
            <w:pPr>
              <w:spacing w:after="0"/>
              <w:rPr>
                <w:sz w:val="10"/>
                <w:szCs w:val="10"/>
                <w:color w:val="auto"/>
              </w:rPr>
            </w:pPr>
          </w:p>
        </w:tc>
        <w:tc>
          <w:tcPr>
            <w:tcW w:w="74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99"/>
        </w:trPr>
        <w:tc>
          <w:tcPr>
            <w:tcW w:w="1620" w:type="dxa"/>
            <w:vAlign w:val="bottom"/>
            <w:tcBorders>
              <w:top w:val="single" w:sz="8" w:color="CFF0FC"/>
            </w:tcBorders>
            <w:gridSpan w:val="8"/>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Public</w:t>
            </w:r>
          </w:p>
        </w:tc>
        <w:tc>
          <w:tcPr>
            <w:tcW w:w="1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620" w:type="dxa"/>
            <w:vAlign w:val="bottom"/>
            <w:gridSpan w:val="8"/>
          </w:tcPr>
          <w:p>
            <w:pPr>
              <w:ind w:left="80"/>
              <w:spacing w:after="0"/>
              <w:rPr>
                <w:sz w:val="20"/>
                <w:szCs w:val="20"/>
                <w:color w:val="auto"/>
              </w:rPr>
            </w:pPr>
            <w:r>
              <w:rPr>
                <w:rFonts w:ascii="Times New Roman" w:cs="Times New Roman" w:eastAsia="Times New Roman" w:hAnsi="Times New Roman"/>
                <w:sz w:val="11"/>
                <w:szCs w:val="11"/>
                <w:b w:val="1"/>
                <w:bCs w:val="1"/>
                <w:color w:val="auto"/>
              </w:rPr>
              <w:t>Administration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11,687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11,756</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6"/>
              </w:rPr>
              <w:t>3.9%</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20" w:type="dxa"/>
            <w:vAlign w:val="bottom"/>
            <w:gridSpan w:val="8"/>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Real Estate and Rental</w:t>
            </w: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Borders>
              <w:top w:val="single" w:sz="8" w:color="auto"/>
              <w:bottom w:val="single" w:sz="8" w:color="auto"/>
              <w:right w:val="single" w:sz="8" w:color="CFF0FC"/>
            </w:tcBorders>
            <w:gridSpan w:val="3"/>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and Leasing</w:t>
            </w:r>
          </w:p>
        </w:tc>
        <w:tc>
          <w:tcPr>
            <w:tcW w:w="360" w:type="dxa"/>
            <w:vAlign w:val="bottom"/>
            <w:tcBorders>
              <w:top w:val="single" w:sz="8" w:color="auto"/>
              <w:bottom w:val="single" w:sz="8" w:color="CFF0FC"/>
              <w:right w:val="single" w:sz="8" w:color="CFF0FC"/>
            </w:tcBorders>
            <w:gridSpan w:val="2"/>
            <w:shd w:val="clear" w:color="auto" w:fill="CFF0FC"/>
          </w:tcPr>
          <w:p>
            <w:pPr>
              <w:spacing w:after="0"/>
              <w:rPr>
                <w:sz w:val="8"/>
                <w:szCs w:val="8"/>
                <w:color w:val="auto"/>
              </w:rPr>
            </w:pPr>
          </w:p>
        </w:tc>
        <w:tc>
          <w:tcPr>
            <w:tcW w:w="560" w:type="dxa"/>
            <w:vAlign w:val="bottom"/>
            <w:tcBorders>
              <w:top w:val="single" w:sz="8" w:color="CFF0FC"/>
              <w:bottom w:val="single" w:sz="8" w:color="CFF0FC"/>
            </w:tcBorders>
            <w:gridSpan w:val="3"/>
            <w:shd w:val="clear" w:color="auto" w:fill="CFF0FC"/>
          </w:tcPr>
          <w:p>
            <w:pPr>
              <w:spacing w:after="0"/>
              <w:rPr>
                <w:sz w:val="8"/>
                <w:szCs w:val="8"/>
                <w:color w:val="auto"/>
              </w:rPr>
            </w:pPr>
          </w:p>
        </w:tc>
        <w:tc>
          <w:tcPr>
            <w:tcW w:w="120" w:type="dxa"/>
            <w:vAlign w:val="bottom"/>
            <w:tcBorders>
              <w:top w:val="single" w:sz="8" w:color="CFF0FC"/>
              <w:bottom w:val="single" w:sz="8" w:color="CFF0FC"/>
            </w:tcBorders>
            <w:shd w:val="clear" w:color="auto" w:fill="CFF0FC"/>
          </w:tcPr>
          <w:p>
            <w:pPr>
              <w:spacing w:after="0"/>
              <w:rPr>
                <w:sz w:val="8"/>
                <w:szCs w:val="8"/>
                <w:color w:val="auto"/>
              </w:rPr>
            </w:pPr>
          </w:p>
        </w:tc>
        <w:tc>
          <w:tcPr>
            <w:tcW w:w="640" w:type="dxa"/>
            <w:vAlign w:val="bottom"/>
            <w:tcBorders>
              <w:top w:val="single" w:sz="8" w:color="CFF0FC"/>
              <w:bottom w:val="single" w:sz="8" w:color="CFF0FC"/>
            </w:tcBorders>
            <w:shd w:val="clear" w:color="auto" w:fill="CFF0FC"/>
          </w:tcPr>
          <w:p>
            <w:pPr>
              <w:spacing w:after="0"/>
              <w:rPr>
                <w:sz w:val="8"/>
                <w:szCs w:val="8"/>
                <w:color w:val="auto"/>
              </w:rPr>
            </w:pPr>
          </w:p>
        </w:tc>
        <w:tc>
          <w:tcPr>
            <w:tcW w:w="120" w:type="dxa"/>
            <w:vAlign w:val="bottom"/>
            <w:tcBorders>
              <w:top w:val="single" w:sz="8" w:color="CFF0FC"/>
              <w:bottom w:val="single" w:sz="8" w:color="CFF0FC"/>
            </w:tcBorders>
            <w:shd w:val="clear" w:color="auto" w:fill="CFF0FC"/>
          </w:tcPr>
          <w:p>
            <w:pPr>
              <w:spacing w:after="0"/>
              <w:rPr>
                <w:sz w:val="8"/>
                <w:szCs w:val="8"/>
                <w:color w:val="auto"/>
              </w:rPr>
            </w:pPr>
          </w:p>
        </w:tc>
        <w:tc>
          <w:tcPr>
            <w:tcW w:w="600" w:type="dxa"/>
            <w:vAlign w:val="bottom"/>
            <w:tcBorders>
              <w:top w:val="single" w:sz="8" w:color="CFF0FC"/>
              <w:bottom w:val="single" w:sz="8" w:color="CFF0FC"/>
            </w:tcBorders>
            <w:shd w:val="clear" w:color="auto" w:fill="CFF0FC"/>
          </w:tcPr>
          <w:p>
            <w:pPr>
              <w:spacing w:after="0"/>
              <w:rPr>
                <w:sz w:val="8"/>
                <w:szCs w:val="8"/>
                <w:color w:val="auto"/>
              </w:rPr>
            </w:pPr>
          </w:p>
        </w:tc>
        <w:tc>
          <w:tcPr>
            <w:tcW w:w="240" w:type="dxa"/>
            <w:vAlign w:val="bottom"/>
            <w:tcBorders>
              <w:top w:val="single" w:sz="8" w:color="CFF0FC"/>
              <w:bottom w:val="single" w:sz="8" w:color="CFF0FC"/>
            </w:tcBorders>
            <w:shd w:val="clear" w:color="auto" w:fill="CFF0FC"/>
          </w:tcPr>
          <w:p>
            <w:pPr>
              <w:spacing w:after="0"/>
              <w:rPr>
                <w:sz w:val="8"/>
                <w:szCs w:val="8"/>
                <w:color w:val="auto"/>
              </w:rPr>
            </w:pPr>
          </w:p>
        </w:tc>
        <w:tc>
          <w:tcPr>
            <w:tcW w:w="800" w:type="dxa"/>
            <w:vAlign w:val="bottom"/>
            <w:tcBorders>
              <w:top w:val="single" w:sz="8" w:color="CFF0FC"/>
              <w:bottom w:val="single" w:sz="8" w:color="CFF0FC"/>
            </w:tcBorders>
            <w:shd w:val="clear" w:color="auto" w:fill="CFF0FC"/>
          </w:tcPr>
          <w:p>
            <w:pPr>
              <w:spacing w:after="0"/>
              <w:rPr>
                <w:sz w:val="8"/>
                <w:szCs w:val="8"/>
                <w:color w:val="auto"/>
              </w:rPr>
            </w:pPr>
          </w:p>
        </w:tc>
        <w:tc>
          <w:tcPr>
            <w:tcW w:w="120" w:type="dxa"/>
            <w:vAlign w:val="bottom"/>
            <w:tcBorders>
              <w:top w:val="single" w:sz="8" w:color="CFF0FC"/>
              <w:bottom w:val="single" w:sz="8" w:color="CFF0FC"/>
            </w:tcBorders>
            <w:shd w:val="clear" w:color="auto" w:fill="CFF0FC"/>
          </w:tcPr>
          <w:p>
            <w:pPr>
              <w:spacing w:after="0"/>
              <w:rPr>
                <w:sz w:val="8"/>
                <w:szCs w:val="8"/>
                <w:color w:val="auto"/>
              </w:rPr>
            </w:pPr>
          </w:p>
        </w:tc>
        <w:tc>
          <w:tcPr>
            <w:tcW w:w="440" w:type="dxa"/>
            <w:vAlign w:val="bottom"/>
            <w:tcBorders>
              <w:top w:val="single" w:sz="8" w:color="CFF0FC"/>
              <w:bottom w:val="single" w:sz="8" w:color="CFF0FC"/>
            </w:tcBorders>
            <w:shd w:val="clear" w:color="auto" w:fill="CFF0FC"/>
          </w:tcPr>
          <w:p>
            <w:pPr>
              <w:spacing w:after="0"/>
              <w:rPr>
                <w:sz w:val="8"/>
                <w:szCs w:val="8"/>
                <w:color w:val="auto"/>
              </w:rPr>
            </w:pPr>
          </w:p>
        </w:tc>
        <w:tc>
          <w:tcPr>
            <w:tcW w:w="240" w:type="dxa"/>
            <w:vAlign w:val="bottom"/>
            <w:tcBorders>
              <w:top w:val="single" w:sz="8" w:color="CFF0FC"/>
              <w:bottom w:val="single" w:sz="8" w:color="CFF0FC"/>
            </w:tcBorders>
            <w:shd w:val="clear" w:color="auto" w:fill="CFF0FC"/>
          </w:tcPr>
          <w:p>
            <w:pPr>
              <w:spacing w:after="0"/>
              <w:rPr>
                <w:sz w:val="8"/>
                <w:szCs w:val="8"/>
                <w:color w:val="auto"/>
              </w:rPr>
            </w:pPr>
          </w:p>
        </w:tc>
        <w:tc>
          <w:tcPr>
            <w:tcW w:w="340" w:type="dxa"/>
            <w:vAlign w:val="bottom"/>
            <w:tcBorders>
              <w:top w:val="single" w:sz="8" w:color="CFF0FC"/>
              <w:bottom w:val="single" w:sz="8" w:color="CFF0FC"/>
            </w:tcBorders>
            <w:shd w:val="clear" w:color="auto" w:fill="CFF0FC"/>
          </w:tcPr>
          <w:p>
            <w:pPr>
              <w:spacing w:after="0"/>
              <w:rPr>
                <w:sz w:val="8"/>
                <w:szCs w:val="8"/>
                <w:color w:val="auto"/>
              </w:rPr>
            </w:pPr>
          </w:p>
        </w:tc>
        <w:tc>
          <w:tcPr>
            <w:tcW w:w="220" w:type="dxa"/>
            <w:vAlign w:val="bottom"/>
            <w:tcBorders>
              <w:top w:val="single" w:sz="8" w:color="CFF0FC"/>
              <w:bottom w:val="single" w:sz="8" w:color="CFF0FC"/>
            </w:tcBorders>
            <w:shd w:val="clear" w:color="auto" w:fill="CFF0FC"/>
          </w:tcPr>
          <w:p>
            <w:pPr>
              <w:spacing w:after="0"/>
              <w:rPr>
                <w:sz w:val="8"/>
                <w:szCs w:val="8"/>
                <w:color w:val="auto"/>
              </w:rPr>
            </w:pPr>
          </w:p>
        </w:tc>
        <w:tc>
          <w:tcPr>
            <w:tcW w:w="320" w:type="dxa"/>
            <w:vAlign w:val="bottom"/>
            <w:tcBorders>
              <w:top w:val="single" w:sz="8" w:color="CFF0FC"/>
              <w:bottom w:val="single" w:sz="8" w:color="CFF0FC"/>
            </w:tcBorders>
            <w:shd w:val="clear" w:color="auto" w:fill="CFF0FC"/>
          </w:tcPr>
          <w:p>
            <w:pPr>
              <w:spacing w:after="0"/>
              <w:rPr>
                <w:sz w:val="8"/>
                <w:szCs w:val="8"/>
                <w:color w:val="auto"/>
              </w:rPr>
            </w:pPr>
          </w:p>
        </w:tc>
        <w:tc>
          <w:tcPr>
            <w:tcW w:w="220" w:type="dxa"/>
            <w:vAlign w:val="bottom"/>
            <w:tcBorders>
              <w:top w:val="single" w:sz="8" w:color="CFF0FC"/>
              <w:bottom w:val="single" w:sz="8" w:color="CFF0FC"/>
            </w:tcBorders>
            <w:shd w:val="clear" w:color="auto" w:fill="CFF0FC"/>
          </w:tcPr>
          <w:p>
            <w:pPr>
              <w:spacing w:after="0"/>
              <w:rPr>
                <w:sz w:val="8"/>
                <w:szCs w:val="8"/>
                <w:color w:val="auto"/>
              </w:rPr>
            </w:pPr>
          </w:p>
        </w:tc>
        <w:tc>
          <w:tcPr>
            <w:tcW w:w="700" w:type="dxa"/>
            <w:vAlign w:val="bottom"/>
            <w:tcBorders>
              <w:top w:val="single" w:sz="8" w:color="CFF0FC"/>
              <w:bottom w:val="single" w:sz="8" w:color="CFF0FC"/>
            </w:tcBorders>
            <w:shd w:val="clear" w:color="auto" w:fill="CFF0FC"/>
          </w:tcPr>
          <w:p>
            <w:pPr>
              <w:spacing w:after="0"/>
              <w:rPr>
                <w:sz w:val="8"/>
                <w:szCs w:val="8"/>
                <w:color w:val="auto"/>
              </w:rPr>
            </w:pPr>
          </w:p>
        </w:tc>
        <w:tc>
          <w:tcPr>
            <w:tcW w:w="100" w:type="dxa"/>
            <w:vAlign w:val="bottom"/>
            <w:tcBorders>
              <w:top w:val="single" w:sz="8" w:color="CFF0FC"/>
              <w:bottom w:val="single" w:sz="8" w:color="CFF0FC"/>
            </w:tcBorders>
            <w:shd w:val="clear" w:color="auto" w:fill="CFF0FC"/>
          </w:tcPr>
          <w:p>
            <w:pPr>
              <w:spacing w:after="0"/>
              <w:rPr>
                <w:sz w:val="8"/>
                <w:szCs w:val="8"/>
                <w:color w:val="auto"/>
              </w:rPr>
            </w:pPr>
          </w:p>
        </w:tc>
        <w:tc>
          <w:tcPr>
            <w:tcW w:w="620" w:type="dxa"/>
            <w:vAlign w:val="bottom"/>
            <w:tcBorders>
              <w:top w:val="single" w:sz="8" w:color="CFF0FC"/>
              <w:bottom w:val="single" w:sz="8" w:color="CFF0FC"/>
            </w:tcBorders>
            <w:shd w:val="clear" w:color="auto" w:fill="CFF0FC"/>
          </w:tcPr>
          <w:p>
            <w:pPr>
              <w:spacing w:after="0"/>
              <w:rPr>
                <w:sz w:val="8"/>
                <w:szCs w:val="8"/>
                <w:color w:val="auto"/>
              </w:rPr>
            </w:pPr>
          </w:p>
        </w:tc>
        <w:tc>
          <w:tcPr>
            <w:tcW w:w="100" w:type="dxa"/>
            <w:vAlign w:val="bottom"/>
            <w:tcBorders>
              <w:top w:val="single" w:sz="8" w:color="CFF0FC"/>
              <w:bottom w:val="single" w:sz="8" w:color="CFF0FC"/>
            </w:tcBorders>
            <w:shd w:val="clear" w:color="auto" w:fill="CFF0FC"/>
          </w:tcPr>
          <w:p>
            <w:pPr>
              <w:spacing w:after="0"/>
              <w:rPr>
                <w:sz w:val="8"/>
                <w:szCs w:val="8"/>
                <w:color w:val="auto"/>
              </w:rPr>
            </w:pPr>
          </w:p>
        </w:tc>
        <w:tc>
          <w:tcPr>
            <w:tcW w:w="420" w:type="dxa"/>
            <w:vAlign w:val="bottom"/>
            <w:tcBorders>
              <w:top w:val="single" w:sz="8" w:color="CFF0FC"/>
              <w:bottom w:val="single" w:sz="8" w:color="CFF0FC"/>
            </w:tcBorders>
            <w:shd w:val="clear" w:color="auto" w:fill="CFF0FC"/>
          </w:tcPr>
          <w:p>
            <w:pPr>
              <w:spacing w:after="0"/>
              <w:rPr>
                <w:sz w:val="8"/>
                <w:szCs w:val="8"/>
                <w:color w:val="auto"/>
              </w:rPr>
            </w:pPr>
          </w:p>
        </w:tc>
        <w:tc>
          <w:tcPr>
            <w:tcW w:w="220" w:type="dxa"/>
            <w:vAlign w:val="bottom"/>
            <w:tcBorders>
              <w:top w:val="single" w:sz="8" w:color="CFF0FC"/>
              <w:bottom w:val="single" w:sz="8" w:color="CFF0FC"/>
            </w:tcBorders>
            <w:shd w:val="clear" w:color="auto" w:fill="CFF0FC"/>
          </w:tcPr>
          <w:p>
            <w:pPr>
              <w:spacing w:after="0"/>
              <w:rPr>
                <w:sz w:val="8"/>
                <w:szCs w:val="8"/>
                <w:color w:val="auto"/>
              </w:rPr>
            </w:pPr>
          </w:p>
        </w:tc>
        <w:tc>
          <w:tcPr>
            <w:tcW w:w="500" w:type="dxa"/>
            <w:vAlign w:val="bottom"/>
            <w:tcBorders>
              <w:top w:val="single" w:sz="8" w:color="CFF0FC"/>
              <w:bottom w:val="single" w:sz="8" w:color="CFF0FC"/>
            </w:tcBorders>
            <w:shd w:val="clear" w:color="auto" w:fill="CFF0FC"/>
          </w:tcPr>
          <w:p>
            <w:pPr>
              <w:spacing w:after="0"/>
              <w:rPr>
                <w:sz w:val="8"/>
                <w:szCs w:val="8"/>
                <w:color w:val="auto"/>
              </w:rPr>
            </w:pPr>
          </w:p>
        </w:tc>
        <w:tc>
          <w:tcPr>
            <w:tcW w:w="220" w:type="dxa"/>
            <w:vAlign w:val="bottom"/>
            <w:tcBorders>
              <w:top w:val="single" w:sz="8" w:color="CFF0FC"/>
              <w:bottom w:val="single" w:sz="8" w:color="CFF0FC"/>
            </w:tcBorders>
            <w:shd w:val="clear" w:color="auto" w:fill="CFF0FC"/>
          </w:tcPr>
          <w:p>
            <w:pPr>
              <w:spacing w:after="0"/>
              <w:rPr>
                <w:sz w:val="8"/>
                <w:szCs w:val="8"/>
                <w:color w:val="auto"/>
              </w:rPr>
            </w:pPr>
          </w:p>
        </w:tc>
        <w:tc>
          <w:tcPr>
            <w:tcW w:w="580" w:type="dxa"/>
            <w:vAlign w:val="bottom"/>
            <w:tcBorders>
              <w:top w:val="single" w:sz="8" w:color="CFF0FC"/>
              <w:bottom w:val="single" w:sz="8" w:color="CFF0FC"/>
            </w:tcBorders>
            <w:shd w:val="clear" w:color="auto" w:fill="CFF0FC"/>
          </w:tcPr>
          <w:p>
            <w:pPr>
              <w:spacing w:after="0"/>
              <w:rPr>
                <w:sz w:val="8"/>
                <w:szCs w:val="8"/>
                <w:color w:val="auto"/>
              </w:rPr>
            </w:pPr>
          </w:p>
        </w:tc>
        <w:tc>
          <w:tcPr>
            <w:tcW w:w="220" w:type="dxa"/>
            <w:vAlign w:val="bottom"/>
            <w:tcBorders>
              <w:top w:val="single" w:sz="8" w:color="CFF0FC"/>
              <w:bottom w:val="single" w:sz="8" w:color="CFF0FC"/>
            </w:tcBorders>
            <w:shd w:val="clear" w:color="auto" w:fill="CFF0FC"/>
          </w:tcPr>
          <w:p>
            <w:pPr>
              <w:spacing w:after="0"/>
              <w:rPr>
                <w:sz w:val="8"/>
                <w:szCs w:val="8"/>
                <w:color w:val="auto"/>
              </w:rPr>
            </w:pPr>
          </w:p>
        </w:tc>
        <w:tc>
          <w:tcPr>
            <w:tcW w:w="780" w:type="dxa"/>
            <w:vAlign w:val="bottom"/>
            <w:tcBorders>
              <w:top w:val="single" w:sz="8" w:color="CFF0FC"/>
              <w:bottom w:val="single" w:sz="8" w:color="CFF0FC"/>
            </w:tcBorders>
            <w:shd w:val="clear" w:color="auto" w:fill="CFF0FC"/>
          </w:tcPr>
          <w:p>
            <w:pPr>
              <w:spacing w:after="0"/>
              <w:rPr>
                <w:sz w:val="8"/>
                <w:szCs w:val="8"/>
                <w:color w:val="auto"/>
              </w:rPr>
            </w:pPr>
          </w:p>
        </w:tc>
        <w:tc>
          <w:tcPr>
            <w:tcW w:w="100" w:type="dxa"/>
            <w:vAlign w:val="bottom"/>
            <w:tcBorders>
              <w:top w:val="single" w:sz="8" w:color="CFF0FC"/>
              <w:bottom w:val="single" w:sz="8" w:color="CFF0FC"/>
            </w:tcBorders>
            <w:shd w:val="clear" w:color="auto" w:fill="CFF0FC"/>
          </w:tcPr>
          <w:p>
            <w:pPr>
              <w:spacing w:after="0"/>
              <w:rPr>
                <w:sz w:val="8"/>
                <w:szCs w:val="8"/>
                <w:color w:val="auto"/>
              </w:rPr>
            </w:pPr>
          </w:p>
        </w:tc>
        <w:tc>
          <w:tcPr>
            <w:tcW w:w="640" w:type="dxa"/>
            <w:vAlign w:val="bottom"/>
            <w:tcBorders>
              <w:top w:val="single" w:sz="8" w:color="CFF0FC"/>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20" w:type="dxa"/>
            <w:vAlign w:val="bottom"/>
            <w:gridSpan w:val="8"/>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7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12.00%</w:t>
            </w:r>
          </w:p>
        </w:tc>
        <w:tc>
          <w:tcPr>
            <w:tcW w:w="8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6.00%</w:t>
            </w:r>
          </w:p>
        </w:tc>
        <w:tc>
          <w:tcPr>
            <w:tcW w:w="5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6.00%</w:t>
            </w:r>
          </w:p>
        </w:tc>
        <w:tc>
          <w:tcPr>
            <w:tcW w:w="5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72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8"/>
              </w:rPr>
              <w:t>5/31/2029</w:t>
            </w:r>
          </w:p>
        </w:tc>
        <w:tc>
          <w:tcPr>
            <w:tcW w:w="5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2,177</w:t>
            </w:r>
          </w:p>
        </w:tc>
        <w:tc>
          <w:tcPr>
            <w:tcW w:w="7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1,896</w:t>
            </w:r>
          </w:p>
        </w:tc>
        <w:tc>
          <w:tcPr>
            <w:tcW w:w="8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1,927</w:t>
            </w:r>
          </w:p>
        </w:tc>
        <w:tc>
          <w:tcPr>
            <w:tcW w:w="1000" w:type="dxa"/>
            <w:vAlign w:val="bottom"/>
            <w:gridSpan w:val="2"/>
          </w:tcPr>
          <w:p>
            <w:pPr>
              <w:jc w:val="center"/>
              <w:ind w:left="146"/>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74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620" w:type="dxa"/>
            <w:vAlign w:val="bottom"/>
            <w:gridSpan w:val="8"/>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Real Estate and</w:t>
            </w: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620" w:type="dxa"/>
            <w:vAlign w:val="bottom"/>
            <w:gridSpan w:val="8"/>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Rental and Leasing</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1,896</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1,927</w:t>
            </w:r>
          </w:p>
        </w:tc>
        <w:tc>
          <w:tcPr>
            <w:tcW w:w="100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6"/>
              </w:rPr>
              <w:t>0.6%</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0" w:type="dxa"/>
            <w:vAlign w:val="bottom"/>
            <w:tcBorders>
              <w:bottom w:val="single" w:sz="8" w:color="auto"/>
            </w:tcBorders>
            <w:gridSpan w:val="2"/>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Retail Trade</w:t>
            </w:r>
          </w:p>
        </w:tc>
        <w:tc>
          <w:tcPr>
            <w:tcW w:w="1020" w:type="dxa"/>
            <w:vAlign w:val="bottom"/>
            <w:gridSpan w:val="6"/>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20" w:type="dxa"/>
            <w:vAlign w:val="bottom"/>
            <w:gridSpan w:val="8"/>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Aura Home, Inc - Term A&amp;B</w:t>
            </w:r>
          </w:p>
        </w:tc>
        <w:tc>
          <w:tcPr>
            <w:tcW w:w="760" w:type="dxa"/>
            <w:vAlign w:val="bottom"/>
            <w:gridSpan w:val="2"/>
            <w:shd w:val="clear" w:color="auto" w:fill="CFF0FC"/>
          </w:tcPr>
          <w:p>
            <w:pPr>
              <w:ind w:left="120"/>
              <w:spacing w:after="0" w:line="115"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10.82%</w:t>
            </w:r>
          </w:p>
        </w:tc>
        <w:tc>
          <w:tcPr>
            <w:tcW w:w="80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S</w:t>
            </w:r>
          </w:p>
        </w:tc>
        <w:tc>
          <w:tcPr>
            <w:tcW w:w="800" w:type="dxa"/>
            <w:vAlign w:val="bottom"/>
            <w:gridSpan w:val="3"/>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6.50%</w:t>
            </w:r>
          </w:p>
        </w:tc>
        <w:tc>
          <w:tcPr>
            <w:tcW w:w="5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3.75%</w:t>
            </w:r>
          </w:p>
        </w:tc>
        <w:tc>
          <w:tcPr>
            <w:tcW w:w="70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shd w:val="clear" w:color="auto" w:fill="CFF0FC"/>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8"/>
              </w:rPr>
              <w:t>9/22/2026</w:t>
            </w:r>
          </w:p>
        </w:tc>
        <w:tc>
          <w:tcPr>
            <w:tcW w:w="5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3,325</w:t>
            </w:r>
          </w:p>
        </w:tc>
        <w:tc>
          <w:tcPr>
            <w:tcW w:w="7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3,313</w:t>
            </w:r>
          </w:p>
        </w:tc>
        <w:tc>
          <w:tcPr>
            <w:tcW w:w="8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3,325</w:t>
            </w:r>
          </w:p>
        </w:tc>
        <w:tc>
          <w:tcPr>
            <w:tcW w:w="100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color w:val="auto"/>
              </w:rPr>
              <w:t>1.1%</w:t>
            </w:r>
          </w:p>
        </w:tc>
        <w:tc>
          <w:tcPr>
            <w:tcW w:w="740" w:type="dxa"/>
            <w:vAlign w:val="bottom"/>
            <w:gridSpan w:val="2"/>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color w:val="auto"/>
              </w:rPr>
              <w:t>Delayed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Draw Term</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2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Aura Home, Inc - Term DDTL B</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10.57%</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3.75%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4/11/2025</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9/22/2026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2,114</w:t>
            </w:r>
          </w:p>
        </w:tc>
        <w:tc>
          <w:tcPr>
            <w:tcW w:w="10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rPr>
              <w:t>0.7%</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2"/>
        </w:trPr>
        <w:tc>
          <w:tcPr>
            <w:tcW w:w="162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Aura Home, Inc - Term D</w:t>
            </w:r>
          </w:p>
        </w:tc>
        <w:tc>
          <w:tcPr>
            <w:tcW w:w="76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10.82%</w:t>
            </w:r>
          </w:p>
        </w:tc>
        <w:tc>
          <w:tcPr>
            <w:tcW w:w="8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8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5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3.75%</w:t>
            </w:r>
          </w:p>
        </w:tc>
        <w:tc>
          <w:tcPr>
            <w:tcW w:w="7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4/11/2025</w:t>
            </w:r>
          </w:p>
        </w:tc>
        <w:tc>
          <w:tcPr>
            <w:tcW w:w="720" w:type="dxa"/>
            <w:vAlign w:val="bottom"/>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9/22/2026</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7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1000" w:type="dxa"/>
            <w:vAlign w:val="bottom"/>
            <w:gridSpan w:val="2"/>
            <w:shd w:val="clear" w:color="auto" w:fill="CFF0FC"/>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74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-2416810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-2416810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-2416810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-2099945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-2099945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-2099945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-1019175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-1019175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-1019175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gridSpan w:val="13"/>
          </w:tcPr>
          <w:p>
            <w:pPr>
              <w:spacing w:after="0"/>
              <w:rPr>
                <w:sz w:val="20"/>
                <w:szCs w:val="20"/>
                <w:color w:val="auto"/>
              </w:rPr>
            </w:pPr>
            <w:r>
              <w:rPr>
                <w:rFonts w:ascii="Times New Roman" w:cs="Times New Roman" w:eastAsia="Times New Roman" w:hAnsi="Times New Roman"/>
                <w:sz w:val="11"/>
                <w:szCs w:val="11"/>
                <w:color w:val="auto"/>
              </w:rPr>
              <w:t>Portofino Labs, Inc. (d/b/a Because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4,969</w:t>
            </w:r>
          </w:p>
        </w:tc>
        <w:tc>
          <w:tcPr>
            <w:tcW w:w="220" w:type="dxa"/>
            <w:vAlign w:val="bottom"/>
            <w:vMerge w:val="restart"/>
          </w:tcPr>
          <w:p>
            <w:pPr>
              <w:spacing w:after="0"/>
              <w:rPr>
                <w:sz w:val="11"/>
                <w:szCs w:val="11"/>
                <w:color w:val="auto"/>
              </w:rPr>
            </w:pP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4,969</w:t>
            </w:r>
          </w:p>
        </w:tc>
        <w:tc>
          <w:tcPr>
            <w:tcW w:w="220" w:type="dxa"/>
            <w:vAlign w:val="bottom"/>
            <w:vMerge w:val="restart"/>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color w:val="auto"/>
              </w:rPr>
              <w:t>Market)</w:t>
            </w:r>
          </w:p>
        </w:tc>
        <w:tc>
          <w:tcPr>
            <w:tcW w:w="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12.07%</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800" w:type="dxa"/>
            <w:vAlign w:val="bottom"/>
            <w:gridSpan w:val="4"/>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60" w:type="dxa"/>
            <w:vAlign w:val="bottom"/>
          </w:tcPr>
          <w:p>
            <w:pPr>
              <w:spacing w:after="0"/>
              <w:rPr>
                <w:sz w:val="10"/>
                <w:szCs w:val="10"/>
                <w:color w:val="auto"/>
              </w:rPr>
            </w:pPr>
          </w:p>
        </w:tc>
        <w:tc>
          <w:tcPr>
            <w:tcW w:w="4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64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4.25%</w:t>
            </w:r>
          </w:p>
        </w:tc>
        <w:tc>
          <w:tcPr>
            <w:tcW w:w="620" w:type="dxa"/>
            <w:vAlign w:val="bottom"/>
            <w:gridSpan w:val="3"/>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4/30/2025</w:t>
            </w:r>
          </w:p>
        </w:tc>
        <w:tc>
          <w:tcPr>
            <w:tcW w:w="800" w:type="dxa"/>
            <w:vAlign w:val="bottom"/>
            <w:gridSpan w:val="5"/>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8"/>
              </w:rPr>
              <w:t>4/30/2029</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5,013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tcBorders>
              <w:bottom w:val="single" w:sz="8" w:color="auto"/>
            </w:tcBorders>
            <w:gridSpan w:val="3"/>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13"/>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10,915</w:t>
            </w:r>
          </w:p>
        </w:tc>
        <w:tc>
          <w:tcPr>
            <w:tcW w:w="800" w:type="dxa"/>
            <w:vAlign w:val="bottom"/>
            <w:gridSpan w:val="4"/>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10,927</w:t>
            </w:r>
          </w:p>
        </w:tc>
        <w:tc>
          <w:tcPr>
            <w:tcW w:w="940" w:type="dxa"/>
            <w:vAlign w:val="bottom"/>
            <w:gridSpan w:val="2"/>
            <w:shd w:val="clear" w:color="auto" w:fill="CFF0FC"/>
          </w:tcPr>
          <w:p>
            <w:pPr>
              <w:jc w:val="center"/>
              <w:ind w:left="206"/>
              <w:spacing w:after="0" w:line="115" w:lineRule="exact"/>
              <w:rPr>
                <w:sz w:val="20"/>
                <w:szCs w:val="20"/>
                <w:color w:val="auto"/>
              </w:rPr>
            </w:pPr>
            <w:r>
              <w:rPr>
                <w:rFonts w:ascii="Times New Roman" w:cs="Times New Roman" w:eastAsia="Times New Roman" w:hAnsi="Times New Roman"/>
                <w:sz w:val="11"/>
                <w:szCs w:val="11"/>
                <w:b w:val="1"/>
                <w:bCs w:val="1"/>
                <w:color w:val="auto"/>
                <w:w w:val="96"/>
              </w:rPr>
              <w:t>3.6%</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tcBorders>
              <w:top w:val="single" w:sz="8" w:color="CFF0FC"/>
            </w:tcBorders>
            <w:gridSpan w:val="1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6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580" w:type="dxa"/>
            <w:vAlign w:val="bottom"/>
            <w:gridSpan w:val="12"/>
          </w:tcPr>
          <w:p>
            <w:pPr>
              <w:ind w:left="40"/>
              <w:spacing w:after="0"/>
              <w:rPr>
                <w:sz w:val="20"/>
                <w:szCs w:val="20"/>
                <w:color w:val="auto"/>
              </w:rPr>
            </w:pPr>
            <w:r>
              <w:rPr>
                <w:rFonts w:ascii="Times New Roman" w:cs="Times New Roman" w:eastAsia="Times New Roman" w:hAnsi="Times New Roman"/>
                <w:sz w:val="11"/>
                <w:szCs w:val="11"/>
                <w:b w:val="1"/>
                <w:bCs w:val="1"/>
                <w:color w:val="auto"/>
              </w:rPr>
              <w:t>Secured U.S. Debt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263,099</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264,560</w:t>
            </w:r>
          </w:p>
        </w:tc>
        <w:tc>
          <w:tcPr>
            <w:tcW w:w="94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2"/>
              </w:rPr>
              <w:t>87.6%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200" w:type="dxa"/>
            <w:vAlign w:val="bottom"/>
            <w:gridSpan w:val="34"/>
          </w:tcPr>
          <w:p>
            <w:pPr>
              <w:spacing w:after="0"/>
              <w:rPr>
                <w:sz w:val="8"/>
                <w:szCs w:val="8"/>
                <w:color w:val="auto"/>
              </w:rPr>
            </w:pPr>
          </w:p>
        </w:tc>
        <w:tc>
          <w:tcPr>
            <w:tcW w:w="460" w:type="dxa"/>
            <w:vAlign w:val="bottom"/>
            <w:vMerge w:val="continue"/>
          </w:tcPr>
          <w:p>
            <w:pPr>
              <w:spacing w:after="0"/>
              <w:rPr>
                <w:sz w:val="8"/>
                <w:szCs w:val="8"/>
                <w:color w:val="auto"/>
              </w:rPr>
            </w:pPr>
          </w:p>
        </w:tc>
        <w:tc>
          <w:tcPr>
            <w:tcW w:w="458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20" w:type="dxa"/>
            <w:vAlign w:val="bottom"/>
          </w:tcPr>
          <w:p>
            <w:pPr>
              <w:spacing w:after="0"/>
              <w:rPr>
                <w:sz w:val="9"/>
                <w:szCs w:val="9"/>
                <w:color w:val="auto"/>
              </w:rPr>
            </w:pPr>
          </w:p>
        </w:tc>
        <w:tc>
          <w:tcPr>
            <w:tcW w:w="84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All in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Benchmark </w:t>
            </w:r>
            <w:r>
              <w:rPr>
                <w:rFonts w:ascii="Times New Roman" w:cs="Times New Roman" w:eastAsia="Times New Roman" w:hAnsi="Times New Roman"/>
                <w:sz w:val="14"/>
                <w:szCs w:val="14"/>
                <w:b w:val="1"/>
                <w:bCs w:val="1"/>
                <w:color w:val="auto"/>
                <w:w w:val="96"/>
                <w:vertAlign w:val="superscript"/>
              </w:rPr>
              <w:t>(3)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21"/>
                <w:szCs w:val="21"/>
                <w:b w:val="1"/>
                <w:bCs w:val="1"/>
                <w:color w:val="auto"/>
                <w:vertAlign w:val="subscript"/>
              </w:rPr>
              <w:t>Par</w:t>
            </w:r>
            <w:r>
              <w:rPr>
                <w:rFonts w:ascii="Times New Roman" w:cs="Times New Roman" w:eastAsia="Times New Roman" w:hAnsi="Times New Roman"/>
                <w:sz w:val="7"/>
                <w:szCs w:val="7"/>
                <w:b w:val="1"/>
                <w:bCs w:val="1"/>
                <w:color w:val="auto"/>
              </w:rPr>
              <w:t xml:space="preserve"> (2)</w:t>
            </w:r>
          </w:p>
        </w:tc>
        <w:tc>
          <w:tcPr>
            <w:tcW w:w="5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9"/>
              </w:rPr>
              <w:t>Amortize</w:t>
            </w:r>
          </w:p>
        </w:tc>
        <w:tc>
          <w:tcPr>
            <w:tcW w:w="220" w:type="dxa"/>
            <w:vAlign w:val="bottom"/>
          </w:tcPr>
          <w:p>
            <w:pPr>
              <w:spacing w:after="0"/>
              <w:rPr>
                <w:sz w:val="9"/>
                <w:szCs w:val="9"/>
                <w:color w:val="auto"/>
              </w:rPr>
            </w:pPr>
          </w:p>
        </w:tc>
        <w:tc>
          <w:tcPr>
            <w:tcW w:w="580" w:type="dxa"/>
            <w:vAlign w:val="bottom"/>
            <w:gridSpan w:val="3"/>
          </w:tcPr>
          <w:p>
            <w:pPr>
              <w:jc w:val="right"/>
              <w:ind w:right="200"/>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20" w:type="dxa"/>
            <w:vAlign w:val="bottom"/>
          </w:tcPr>
          <w:p>
            <w:pPr>
              <w:spacing w:after="0"/>
              <w:rPr>
                <w:sz w:val="9"/>
                <w:szCs w:val="9"/>
                <w:color w:val="auto"/>
              </w:rPr>
            </w:pPr>
          </w:p>
        </w:tc>
        <w:tc>
          <w:tcPr>
            <w:tcW w:w="780" w:type="dxa"/>
            <w:vAlign w:val="bottom"/>
            <w:gridSpan w:val="2"/>
          </w:tcPr>
          <w:p>
            <w:pPr>
              <w:jc w:val="center"/>
              <w:ind w:right="40"/>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580" w:type="dxa"/>
            <w:vAlign w:val="bottom"/>
            <w:gridSpan w:val="12"/>
          </w:tcPr>
          <w:p>
            <w:pPr>
              <w:ind w:left="3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Type</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Rate</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400" w:type="dxa"/>
            <w:vAlign w:val="bottom"/>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1"/>
              </w:rPr>
              <w:t>PIK</w:t>
            </w:r>
          </w:p>
        </w:tc>
        <w:tc>
          <w:tcPr>
            <w:tcW w:w="10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1"/>
                <w:szCs w:val="11"/>
                <w:b w:val="1"/>
                <w:bCs w:val="1"/>
                <w:color w:val="auto"/>
                <w:w w:val="95"/>
              </w:rPr>
              <w:t>d Cost</w:t>
            </w:r>
            <w:r>
              <w:rPr>
                <w:rFonts w:ascii="Times New Roman" w:cs="Times New Roman" w:eastAsia="Times New Roman" w:hAnsi="Times New Roman"/>
                <w:sz w:val="14"/>
                <w:szCs w:val="14"/>
                <w:b w:val="1"/>
                <w:bCs w:val="1"/>
                <w:color w:val="auto"/>
                <w:w w:val="95"/>
                <w:vertAlign w:val="superscript"/>
              </w:rPr>
              <w:t>(15)</w:t>
            </w:r>
          </w:p>
        </w:tc>
        <w:tc>
          <w:tcPr>
            <w:tcW w:w="220" w:type="dxa"/>
            <w:vAlign w:val="bottom"/>
          </w:tcPr>
          <w:p>
            <w:pPr>
              <w:spacing w:after="0"/>
              <w:rPr>
                <w:sz w:val="12"/>
                <w:szCs w:val="12"/>
                <w:color w:val="auto"/>
              </w:rPr>
            </w:pPr>
          </w:p>
        </w:tc>
        <w:tc>
          <w:tcPr>
            <w:tcW w:w="5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20" w:type="dxa"/>
            <w:vAlign w:val="bottom"/>
          </w:tcPr>
          <w:p>
            <w:pPr>
              <w:spacing w:after="0"/>
              <w:rPr>
                <w:sz w:val="12"/>
                <w:szCs w:val="12"/>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2"/>
        </w:trPr>
        <w:tc>
          <w:tcPr>
            <w:tcW w:w="1620" w:type="dxa"/>
            <w:vAlign w:val="bottom"/>
            <w:tcBorders>
              <w:top w:val="single" w:sz="8" w:color="auto"/>
            </w:tcBorders>
            <w:gridSpan w:val="13"/>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Senior Secured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6"/>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U.S. Notes</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60" w:type="dxa"/>
            <w:vAlign w:val="bottom"/>
            <w:tcBorders>
              <w:top w:val="single" w:sz="8" w:color="auto"/>
            </w:tcBorders>
            <w:gridSpan w:val="4"/>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060" w:type="dxa"/>
            <w:vAlign w:val="bottom"/>
            <w:gridSpan w:val="9"/>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700" w:type="dxa"/>
            <w:vAlign w:val="bottom"/>
            <w:tcBorders>
              <w:top w:val="single" w:sz="8" w:color="CFF0FC"/>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color w:val="auto"/>
              </w:rPr>
              <w:t>Senior</w:t>
            </w: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20" w:type="dxa"/>
            <w:vAlign w:val="bottom"/>
            <w:gridSpan w:val="13"/>
          </w:tcPr>
          <w:p>
            <w:pPr>
              <w:spacing w:after="0"/>
              <w:rPr>
                <w:sz w:val="20"/>
                <w:szCs w:val="20"/>
                <w:color w:val="auto"/>
              </w:rPr>
            </w:pPr>
            <w:r>
              <w:rPr>
                <w:rFonts w:ascii="Times New Roman" w:cs="Times New Roman" w:eastAsia="Times New Roman" w:hAnsi="Times New Roman"/>
                <w:sz w:val="11"/>
                <w:szCs w:val="11"/>
                <w:color w:val="auto"/>
              </w:rPr>
              <w:t>Ascend Wellness</w:t>
            </w: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Secured Note</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12.75%</w:t>
            </w:r>
          </w:p>
        </w:tc>
        <w:tc>
          <w:tcPr>
            <w:tcW w:w="6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62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7/16/2024</w:t>
            </w:r>
          </w:p>
        </w:tc>
        <w:tc>
          <w:tcPr>
            <w:tcW w:w="800" w:type="dxa"/>
            <w:vAlign w:val="bottom"/>
            <w:gridSpan w:val="5"/>
          </w:tcPr>
          <w:p>
            <w:pPr>
              <w:jc w:val="center"/>
              <w:ind w:left="106"/>
              <w:spacing w:after="0"/>
              <w:rPr>
                <w:sz w:val="20"/>
                <w:szCs w:val="20"/>
                <w:color w:val="auto"/>
              </w:rPr>
            </w:pPr>
            <w:r>
              <w:rPr>
                <w:rFonts w:ascii="Times New Roman" w:cs="Times New Roman" w:eastAsia="Times New Roman" w:hAnsi="Times New Roman"/>
                <w:sz w:val="11"/>
                <w:szCs w:val="11"/>
                <w:color w:val="auto"/>
                <w:w w:val="98"/>
              </w:rPr>
              <w:t>7/16/2029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3,351</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3,413</w:t>
            </w:r>
          </w:p>
        </w:tc>
        <w:tc>
          <w:tcPr>
            <w:tcW w:w="94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tcPr>
          <w:p>
            <w:pPr>
              <w:spacing w:after="0"/>
              <w:rPr>
                <w:sz w:val="11"/>
                <w:szCs w:val="11"/>
                <w:color w:val="auto"/>
              </w:rPr>
            </w:pPr>
          </w:p>
        </w:tc>
        <w:tc>
          <w:tcPr>
            <w:tcW w:w="740" w:type="dxa"/>
            <w:vAlign w:val="bottom"/>
            <w:gridSpan w:val="3"/>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gridSpan w:val="2"/>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Senior</w:t>
            </w: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7,838</w:t>
            </w:r>
          </w:p>
        </w:tc>
        <w:tc>
          <w:tcPr>
            <w:tcW w:w="220" w:type="dxa"/>
            <w:vAlign w:val="bottom"/>
            <w:vMerge w:val="restart"/>
            <w:shd w:val="clear" w:color="auto" w:fill="CFF0FC"/>
          </w:tcPr>
          <w:p>
            <w:pPr>
              <w:spacing w:after="0"/>
              <w:rPr>
                <w:sz w:val="9"/>
                <w:szCs w:val="9"/>
                <w:color w:val="auto"/>
              </w:rPr>
            </w:pPr>
          </w:p>
        </w:tc>
        <w:tc>
          <w:tcPr>
            <w:tcW w:w="58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8,160</w:t>
            </w:r>
          </w:p>
        </w:tc>
        <w:tc>
          <w:tcPr>
            <w:tcW w:w="220" w:type="dxa"/>
            <w:vAlign w:val="bottom"/>
            <w:vMerge w:val="restart"/>
            <w:shd w:val="clear" w:color="auto" w:fill="CFF0FC"/>
          </w:tcPr>
          <w:p>
            <w:pPr>
              <w:spacing w:after="0"/>
              <w:rPr>
                <w:sz w:val="9"/>
                <w:szCs w:val="9"/>
                <w:color w:val="auto"/>
              </w:rPr>
            </w:pP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bottom w:val="single" w:sz="8" w:color="CFF0FC"/>
            </w:tcBorders>
            <w:gridSpan w:val="13"/>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Curaleaf Holdings, Inc.</w:t>
            </w:r>
          </w:p>
        </w:tc>
        <w:tc>
          <w:tcPr>
            <w:tcW w:w="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Secured Note</w:t>
            </w:r>
          </w:p>
        </w:tc>
        <w:tc>
          <w:tcPr>
            <w:tcW w:w="96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80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tcBorders>
              <w:bottom w:val="single" w:sz="8" w:color="CFF0FC"/>
            </w:tcBorders>
            <w:gridSpan w:val="4"/>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4"/>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40" w:type="dxa"/>
            <w:vAlign w:val="bottom"/>
            <w:tcBorders>
              <w:bottom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20" w:type="dxa"/>
            <w:vAlign w:val="bottom"/>
            <w:tcBorders>
              <w:bottom w:val="single" w:sz="8" w:color="CFF0FC"/>
            </w:tcBorders>
            <w:gridSpan w:val="3"/>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5"/>
              </w:rPr>
              <w:t>10/11/2022</w:t>
            </w:r>
          </w:p>
        </w:tc>
        <w:tc>
          <w:tcPr>
            <w:tcW w:w="800" w:type="dxa"/>
            <w:vAlign w:val="bottom"/>
            <w:tcBorders>
              <w:bottom w:val="single" w:sz="8" w:color="CFF0FC"/>
            </w:tcBorders>
            <w:gridSpan w:val="5"/>
            <w:shd w:val="clear" w:color="auto" w:fill="CFF0FC"/>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5"/>
              </w:rPr>
              <w:t>12/15/2026</w:t>
            </w:r>
          </w:p>
        </w:tc>
        <w:tc>
          <w:tcPr>
            <w:tcW w:w="52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8,500</w:t>
            </w: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80" w:type="dxa"/>
            <w:vAlign w:val="bottom"/>
            <w:tcBorders>
              <w:bottom w:val="single" w:sz="8" w:color="auto"/>
            </w:tcBorders>
            <w:gridSpan w:val="3"/>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CFF0FC"/>
            </w:tcBorders>
            <w:gridSpan w:val="3"/>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(9)(14)</w:t>
            </w:r>
          </w:p>
        </w:tc>
        <w:tc>
          <w:tcPr>
            <w:tcW w:w="0" w:type="dxa"/>
            <w:vAlign w:val="bottom"/>
          </w:tcPr>
          <w:p>
            <w:pPr>
              <w:spacing w:after="0"/>
              <w:rPr>
                <w:sz w:val="1"/>
                <w:szCs w:val="1"/>
                <w:color w:val="auto"/>
              </w:rPr>
            </w:pPr>
          </w:p>
        </w:tc>
      </w:tr>
      <w:tr>
        <w:trPr>
          <w:trHeight w:val="115"/>
        </w:trPr>
        <w:tc>
          <w:tcPr>
            <w:tcW w:w="1620" w:type="dxa"/>
            <w:vAlign w:val="bottom"/>
            <w:gridSpan w:val="1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11,189</w:t>
            </w:r>
          </w:p>
        </w:tc>
        <w:tc>
          <w:tcPr>
            <w:tcW w:w="800" w:type="dxa"/>
            <w:vAlign w:val="bottom"/>
            <w:gridSpan w:val="4"/>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11,573</w:t>
            </w:r>
          </w:p>
        </w:tc>
        <w:tc>
          <w:tcPr>
            <w:tcW w:w="940" w:type="dxa"/>
            <w:vAlign w:val="bottom"/>
            <w:gridSpan w:val="2"/>
          </w:tcPr>
          <w:p>
            <w:pPr>
              <w:jc w:val="center"/>
              <w:ind w:left="206"/>
              <w:spacing w:after="0" w:line="115" w:lineRule="exact"/>
              <w:rPr>
                <w:sz w:val="20"/>
                <w:szCs w:val="20"/>
                <w:color w:val="auto"/>
              </w:rPr>
            </w:pPr>
            <w:r>
              <w:rPr>
                <w:rFonts w:ascii="Times New Roman" w:cs="Times New Roman" w:eastAsia="Times New Roman" w:hAnsi="Times New Roman"/>
                <w:sz w:val="11"/>
                <w:szCs w:val="11"/>
                <w:b w:val="1"/>
                <w:bCs w:val="1"/>
                <w:color w:val="auto"/>
                <w:w w:val="96"/>
              </w:rPr>
              <w:t>3.8%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gridSpan w:val="13"/>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700" w:type="dxa"/>
            <w:vAlign w:val="bottom"/>
            <w:tcBorders>
              <w:top w:val="single" w:sz="8" w:color="CFF0FC"/>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color w:val="auto"/>
              </w:rPr>
              <w:t>Senior</w:t>
            </w: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20" w:type="dxa"/>
            <w:vAlign w:val="bottom"/>
            <w:gridSpan w:val="13"/>
          </w:tcPr>
          <w:p>
            <w:pPr>
              <w:spacing w:after="0"/>
              <w:rPr>
                <w:sz w:val="20"/>
                <w:szCs w:val="20"/>
                <w:color w:val="auto"/>
              </w:rPr>
            </w:pPr>
            <w:r>
              <w:rPr>
                <w:rFonts w:ascii="Times New Roman" w:cs="Times New Roman" w:eastAsia="Times New Roman" w:hAnsi="Times New Roman"/>
                <w:sz w:val="11"/>
                <w:szCs w:val="11"/>
                <w:color w:val="auto"/>
              </w:rPr>
              <w:t>RTCP, LLC</w:t>
            </w: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Secured Note</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15.00%</w:t>
            </w:r>
          </w:p>
        </w:tc>
        <w:tc>
          <w:tcPr>
            <w:tcW w:w="6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62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10/1/2024</w:t>
            </w:r>
          </w:p>
        </w:tc>
        <w:tc>
          <w:tcPr>
            <w:tcW w:w="800" w:type="dxa"/>
            <w:vAlign w:val="bottom"/>
            <w:gridSpan w:val="5"/>
          </w:tcPr>
          <w:p>
            <w:pPr>
              <w:jc w:val="center"/>
              <w:ind w:left="106"/>
              <w:spacing w:after="0"/>
              <w:rPr>
                <w:sz w:val="20"/>
                <w:szCs w:val="20"/>
                <w:color w:val="auto"/>
              </w:rPr>
            </w:pPr>
            <w:r>
              <w:rPr>
                <w:rFonts w:ascii="Times New Roman" w:cs="Times New Roman" w:eastAsia="Times New Roman" w:hAnsi="Times New Roman"/>
                <w:sz w:val="11"/>
                <w:szCs w:val="11"/>
                <w:color w:val="auto"/>
                <w:w w:val="98"/>
              </w:rPr>
              <w:t>10/2/2028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21,978</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22,000</w:t>
            </w:r>
          </w:p>
        </w:tc>
        <w:tc>
          <w:tcPr>
            <w:tcW w:w="94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7.4%</w:t>
            </w:r>
          </w:p>
        </w:tc>
        <w:tc>
          <w:tcPr>
            <w:tcW w:w="60" w:type="dxa"/>
            <w:vAlign w:val="bottom"/>
          </w:tcPr>
          <w:p>
            <w:pPr>
              <w:spacing w:after="0"/>
              <w:rPr>
                <w:sz w:val="11"/>
                <w:szCs w:val="11"/>
                <w:color w:val="auto"/>
              </w:rPr>
            </w:pPr>
          </w:p>
        </w:tc>
        <w:tc>
          <w:tcPr>
            <w:tcW w:w="740" w:type="dxa"/>
            <w:vAlign w:val="bottom"/>
            <w:gridSpan w:val="3"/>
          </w:tcPr>
          <w:p>
            <w:pPr>
              <w:jc w:val="center"/>
              <w:ind w:left="26"/>
              <w:spacing w:after="0"/>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08"/>
        </w:trPr>
        <w:tc>
          <w:tcPr>
            <w:tcW w:w="1620" w:type="dxa"/>
            <w:vAlign w:val="bottom"/>
            <w:gridSpan w:val="13"/>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w w:val="99"/>
              </w:rPr>
              <w:t>West Creek Financial Holdings, Inc.</w:t>
            </w:r>
          </w:p>
        </w:tc>
        <w:tc>
          <w:tcPr>
            <w:tcW w:w="60" w:type="dxa"/>
            <w:vAlign w:val="bottom"/>
            <w:shd w:val="clear" w:color="auto" w:fill="CFF0FC"/>
          </w:tcPr>
          <w:p>
            <w:pPr>
              <w:spacing w:after="0"/>
              <w:rPr>
                <w:sz w:val="9"/>
                <w:szCs w:val="9"/>
                <w:color w:val="auto"/>
              </w:rPr>
            </w:pPr>
          </w:p>
        </w:tc>
        <w:tc>
          <w:tcPr>
            <w:tcW w:w="700" w:type="dxa"/>
            <w:vAlign w:val="bottom"/>
            <w:gridSpan w:val="2"/>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Series A</w:t>
            </w: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5,228</w:t>
            </w:r>
          </w:p>
        </w:tc>
        <w:tc>
          <w:tcPr>
            <w:tcW w:w="220" w:type="dxa"/>
            <w:vAlign w:val="bottom"/>
            <w:vMerge w:val="restart"/>
            <w:shd w:val="clear" w:color="auto" w:fill="CFF0FC"/>
          </w:tcPr>
          <w:p>
            <w:pPr>
              <w:spacing w:after="0"/>
              <w:rPr>
                <w:sz w:val="9"/>
                <w:szCs w:val="9"/>
                <w:color w:val="auto"/>
              </w:rPr>
            </w:pPr>
          </w:p>
        </w:tc>
        <w:tc>
          <w:tcPr>
            <w:tcW w:w="58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5,282</w:t>
            </w:r>
          </w:p>
        </w:tc>
        <w:tc>
          <w:tcPr>
            <w:tcW w:w="220" w:type="dxa"/>
            <w:vAlign w:val="bottom"/>
            <w:vMerge w:val="restart"/>
            <w:shd w:val="clear" w:color="auto" w:fill="CFF0FC"/>
          </w:tcPr>
          <w:p>
            <w:pPr>
              <w:spacing w:after="0"/>
              <w:rPr>
                <w:sz w:val="9"/>
                <w:szCs w:val="9"/>
                <w:color w:val="auto"/>
              </w:rPr>
            </w:pP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bottom w:val="single" w:sz="8" w:color="CFF0FC"/>
            </w:tcBorders>
            <w:gridSpan w:val="13"/>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dba Koalafi</w:t>
            </w:r>
          </w:p>
        </w:tc>
        <w:tc>
          <w:tcPr>
            <w:tcW w:w="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Senior Note</w:t>
            </w:r>
          </w:p>
        </w:tc>
        <w:tc>
          <w:tcPr>
            <w:tcW w:w="96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18.80%</w:t>
            </w:r>
          </w:p>
        </w:tc>
        <w:tc>
          <w:tcPr>
            <w:tcW w:w="80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800" w:type="dxa"/>
            <w:vAlign w:val="bottom"/>
            <w:tcBorders>
              <w:bottom w:val="single" w:sz="8" w:color="CFF0FC"/>
            </w:tcBorders>
            <w:gridSpan w:val="4"/>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13.80%</w:t>
            </w:r>
          </w:p>
        </w:tc>
        <w:tc>
          <w:tcPr>
            <w:tcW w:w="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4"/>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640" w:type="dxa"/>
            <w:vAlign w:val="bottom"/>
            <w:tcBorders>
              <w:bottom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20" w:type="dxa"/>
            <w:vAlign w:val="bottom"/>
            <w:tcBorders>
              <w:bottom w:val="single" w:sz="8" w:color="CFF0FC"/>
            </w:tcBorders>
            <w:gridSpan w:val="3"/>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800" w:type="dxa"/>
            <w:vAlign w:val="bottom"/>
            <w:tcBorders>
              <w:bottom w:val="single" w:sz="8" w:color="CFF0FC"/>
            </w:tcBorders>
            <w:gridSpan w:val="5"/>
            <w:shd w:val="clear" w:color="auto" w:fill="CFF0FC"/>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5"/>
              </w:rPr>
              <w:t>11/29/2027</w:t>
            </w:r>
          </w:p>
        </w:tc>
        <w:tc>
          <w:tcPr>
            <w:tcW w:w="52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5,256</w:t>
            </w: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80" w:type="dxa"/>
            <w:vAlign w:val="bottom"/>
            <w:tcBorders>
              <w:bottom w:val="single" w:sz="8" w:color="auto"/>
            </w:tcBorders>
            <w:gridSpan w:val="3"/>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CFF0FC"/>
            </w:tcBorders>
            <w:gridSpan w:val="3"/>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99"/>
        </w:trPr>
        <w:tc>
          <w:tcPr>
            <w:tcW w:w="1620" w:type="dxa"/>
            <w:vAlign w:val="bottom"/>
            <w:gridSpan w:val="1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Finance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27,206</w:t>
            </w:r>
          </w:p>
        </w:tc>
        <w:tc>
          <w:tcPr>
            <w:tcW w:w="220" w:type="dxa"/>
            <w:vAlign w:val="bottom"/>
            <w:vMerge w:val="restart"/>
          </w:tcPr>
          <w:p>
            <w:pPr>
              <w:spacing w:after="0"/>
              <w:rPr>
                <w:sz w:val="8"/>
                <w:szCs w:val="8"/>
                <w:color w:val="auto"/>
              </w:rPr>
            </w:pP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27,282</w:t>
            </w:r>
          </w:p>
        </w:tc>
        <w:tc>
          <w:tcPr>
            <w:tcW w:w="220" w:type="dxa"/>
            <w:vAlign w:val="bottom"/>
            <w:vMerge w:val="restart"/>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9.1%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580" w:type="dxa"/>
            <w:vAlign w:val="bottom"/>
            <w:gridSpan w:val="12"/>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Insurance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tcBorders>
              <w:bottom w:val="single" w:sz="8" w:color="auto"/>
            </w:tcBorders>
            <w:gridSpan w:val="3"/>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gridSpan w:val="13"/>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Senior Secured</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38,395</w:t>
            </w:r>
          </w:p>
        </w:tc>
        <w:tc>
          <w:tcPr>
            <w:tcW w:w="800" w:type="dxa"/>
            <w:vAlign w:val="bottom"/>
            <w:gridSpan w:val="4"/>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38,855</w:t>
            </w:r>
          </w:p>
        </w:tc>
        <w:tc>
          <w:tcPr>
            <w:tcW w:w="940" w:type="dxa"/>
            <w:vAlign w:val="bottom"/>
            <w:gridSpan w:val="2"/>
            <w:vMerge w:val="restart"/>
            <w:shd w:val="clear" w:color="auto" w:fill="CFF0FC"/>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2"/>
              </w:rPr>
              <w:t>12.9%</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shd w:val="clear" w:color="auto" w:fill="CFF0FC"/>
          </w:tcPr>
          <w:p>
            <w:pPr>
              <w:spacing w:after="0"/>
              <w:rPr>
                <w:sz w:val="10"/>
                <w:szCs w:val="10"/>
                <w:color w:val="auto"/>
              </w:rPr>
            </w:pPr>
          </w:p>
        </w:tc>
        <w:tc>
          <w:tcPr>
            <w:tcW w:w="1580" w:type="dxa"/>
            <w:vAlign w:val="bottom"/>
            <w:gridSpan w:val="12"/>
            <w:shd w:val="clear" w:color="auto" w:fill="CFF0FC"/>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U.S. Notes</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gridSpan w:val="2"/>
            <w:vMerge w:val="continue"/>
            <w:shd w:val="clear" w:color="auto" w:fill="CFF0FC"/>
          </w:tcPr>
          <w:p>
            <w:pPr>
              <w:spacing w:after="0"/>
              <w:rPr>
                <w:sz w:val="10"/>
                <w:szCs w:val="10"/>
                <w:color w:val="auto"/>
              </w:rPr>
            </w:pPr>
          </w:p>
        </w:tc>
        <w:tc>
          <w:tcPr>
            <w:tcW w:w="800" w:type="dxa"/>
            <w:vAlign w:val="bottom"/>
            <w:gridSpan w:val="4"/>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tcBorders>
              <w:top w:val="single" w:sz="8" w:color="CFF0FC"/>
            </w:tcBorders>
            <w:gridSpan w:val="1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U.S. Corporate</w:t>
            </w:r>
          </w:p>
        </w:tc>
        <w:tc>
          <w:tcPr>
            <w:tcW w:w="6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580" w:type="dxa"/>
            <w:vAlign w:val="bottom"/>
            <w:gridSpan w:val="12"/>
          </w:tcPr>
          <w:p>
            <w:pPr>
              <w:ind w:left="40"/>
              <w:spacing w:after="0"/>
              <w:rPr>
                <w:sz w:val="20"/>
                <w:szCs w:val="20"/>
                <w:color w:val="auto"/>
              </w:rPr>
            </w:pPr>
            <w:r>
              <w:rPr>
                <w:rFonts w:ascii="Times New Roman" w:cs="Times New Roman" w:eastAsia="Times New Roman" w:hAnsi="Times New Roman"/>
                <w:sz w:val="11"/>
                <w:szCs w:val="11"/>
                <w:b w:val="1"/>
                <w:bCs w:val="1"/>
                <w:color w:val="auto"/>
              </w:rPr>
              <w:t>Debt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301,494</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303,415</w:t>
            </w:r>
          </w:p>
        </w:tc>
        <w:tc>
          <w:tcPr>
            <w:tcW w:w="94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rPr>
              <w:t>100.5%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20" w:type="dxa"/>
            <w:vAlign w:val="bottom"/>
            <w:gridSpan w:val="13"/>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auto"/>
            </w:tcBorders>
            <w:shd w:val="clear" w:color="auto" w:fill="CFF0FC"/>
          </w:tcPr>
          <w:p>
            <w:pPr>
              <w:spacing w:after="0"/>
              <w:rPr>
                <w:sz w:val="8"/>
                <w:szCs w:val="8"/>
                <w:color w:val="auto"/>
              </w:rPr>
            </w:pPr>
          </w:p>
        </w:tc>
        <w:tc>
          <w:tcPr>
            <w:tcW w:w="1160" w:type="dxa"/>
            <w:vAlign w:val="bottom"/>
            <w:tcBorders>
              <w:top w:val="single" w:sz="8" w:color="auto"/>
            </w:tcBorders>
            <w:gridSpan w:val="10"/>
            <w:shd w:val="clear" w:color="auto" w:fill="CFF0FC"/>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140" w:type="dxa"/>
            <w:vAlign w:val="bottom"/>
            <w:tcBorders>
              <w:top w:val="single" w:sz="8" w:color="CFF0FC"/>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8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42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4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3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72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20" w:type="dxa"/>
            <w:vAlign w:val="bottom"/>
            <w:tcBorders>
              <w:top w:val="single" w:sz="8" w:color="auto"/>
              <w:bottom w:val="single" w:sz="8" w:color="auto"/>
            </w:tcBorders>
            <w:gridSpan w:val="5"/>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160" w:type="dxa"/>
            <w:vAlign w:val="bottom"/>
            <w:tcBorders>
              <w:top w:val="single" w:sz="8" w:color="auto"/>
            </w:tcBorders>
            <w:gridSpan w:val="3"/>
          </w:tcPr>
          <w:p>
            <w:pPr>
              <w:spacing w:after="0"/>
              <w:rPr>
                <w:sz w:val="8"/>
                <w:szCs w:val="8"/>
                <w:color w:val="auto"/>
              </w:rPr>
            </w:pPr>
          </w:p>
        </w:tc>
        <w:tc>
          <w:tcPr>
            <w:tcW w:w="840" w:type="dxa"/>
            <w:vAlign w:val="bottom"/>
            <w:tcBorders>
              <w:top w:val="single" w:sz="8" w:color="CFF0FC"/>
            </w:tcBorders>
            <w:gridSpan w:val="5"/>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gridSpan w:val="13"/>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Tulip.io Inc.</w:t>
            </w:r>
          </w:p>
        </w:tc>
        <w:tc>
          <w:tcPr>
            <w:tcW w:w="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color w:val="auto"/>
              </w:rPr>
              <w:t>Term Loan</w:t>
            </w:r>
          </w:p>
        </w:tc>
        <w:tc>
          <w:tcPr>
            <w:tcW w:w="960" w:type="dxa"/>
            <w:vAlign w:val="bottom"/>
            <w:tcBorders>
              <w:bottom w:val="single" w:sz="8" w:color="CFF0FC"/>
            </w:tcBorders>
            <w:gridSpan w:val="3"/>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15.00%</w:t>
            </w:r>
          </w:p>
        </w:tc>
        <w:tc>
          <w:tcPr>
            <w:tcW w:w="800" w:type="dxa"/>
            <w:vAlign w:val="bottom"/>
            <w:tcBorders>
              <w:bottom w:val="single" w:sz="8" w:color="CFF0FC"/>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P</w:t>
            </w:r>
          </w:p>
        </w:tc>
        <w:tc>
          <w:tcPr>
            <w:tcW w:w="800" w:type="dxa"/>
            <w:vAlign w:val="bottom"/>
            <w:tcBorders>
              <w:bottom w:val="single" w:sz="8" w:color="CFF0FC"/>
            </w:tcBorders>
            <w:gridSpan w:val="4"/>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4.00%</w:t>
            </w:r>
          </w:p>
        </w:tc>
        <w:tc>
          <w:tcPr>
            <w:tcW w:w="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3.00%</w:t>
            </w:r>
          </w:p>
        </w:tc>
        <w:tc>
          <w:tcPr>
            <w:tcW w:w="640" w:type="dxa"/>
            <w:vAlign w:val="bottom"/>
            <w:tcBorders>
              <w:bottom w:val="single" w:sz="8" w:color="CFF0FC"/>
            </w:tcBorders>
            <w:gridSpan w:val="3"/>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8.00%</w:t>
            </w:r>
          </w:p>
        </w:tc>
        <w:tc>
          <w:tcPr>
            <w:tcW w:w="620" w:type="dxa"/>
            <w:vAlign w:val="bottom"/>
            <w:tcBorders>
              <w:bottom w:val="single" w:sz="8" w:color="CFF0FC"/>
            </w:tcBorders>
            <w:gridSpan w:val="3"/>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color w:val="auto"/>
                <w:w w:val="98"/>
              </w:rPr>
              <w:t>11/4/2024</w:t>
            </w:r>
          </w:p>
        </w:tc>
        <w:tc>
          <w:tcPr>
            <w:tcW w:w="800" w:type="dxa"/>
            <w:vAlign w:val="bottom"/>
            <w:tcBorders>
              <w:bottom w:val="single" w:sz="8" w:color="CFF0FC"/>
            </w:tcBorders>
            <w:gridSpan w:val="5"/>
            <w:shd w:val="clear" w:color="auto" w:fill="CFF0FC"/>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8"/>
              </w:rPr>
              <w:t>11/4/2028</w:t>
            </w:r>
          </w:p>
        </w:tc>
        <w:tc>
          <w:tcPr>
            <w:tcW w:w="52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3,060</w:t>
            </w: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3,060</w:t>
            </w:r>
          </w:p>
        </w:tc>
        <w:tc>
          <w:tcPr>
            <w:tcW w:w="2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3,060</w:t>
            </w:r>
          </w:p>
        </w:tc>
        <w:tc>
          <w:tcPr>
            <w:tcW w:w="2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rPr>
              <w:t>1.0%</w:t>
            </w:r>
          </w:p>
        </w:tc>
        <w:tc>
          <w:tcPr>
            <w:tcW w:w="6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CFF0FC"/>
            </w:tcBorders>
            <w:gridSpan w:val="3"/>
            <w:shd w:val="clear" w:color="auto" w:fill="CFF0FC"/>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1620" w:type="dxa"/>
            <w:vAlign w:val="bottom"/>
            <w:gridSpan w:val="1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3,060</w:t>
            </w:r>
          </w:p>
        </w:tc>
        <w:tc>
          <w:tcPr>
            <w:tcW w:w="800" w:type="dxa"/>
            <w:vAlign w:val="bottom"/>
            <w:gridSpan w:val="4"/>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3,060</w:t>
            </w:r>
          </w:p>
        </w:tc>
        <w:tc>
          <w:tcPr>
            <w:tcW w:w="940" w:type="dxa"/>
            <w:vAlign w:val="bottom"/>
            <w:gridSpan w:val="2"/>
          </w:tcPr>
          <w:p>
            <w:pPr>
              <w:jc w:val="center"/>
              <w:ind w:left="206"/>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gridSpan w:val="13"/>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FF0FC"/>
          </w:tcPr>
          <w:p>
            <w:pPr>
              <w:spacing w:after="0"/>
              <w:rPr>
                <w:sz w:val="10"/>
                <w:szCs w:val="10"/>
                <w:color w:val="auto"/>
              </w:rPr>
            </w:pPr>
          </w:p>
        </w:tc>
        <w:tc>
          <w:tcPr>
            <w:tcW w:w="1580" w:type="dxa"/>
            <w:vAlign w:val="bottom"/>
            <w:gridSpan w:val="12"/>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Senior Secured</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3,060</w:t>
            </w:r>
          </w:p>
        </w:tc>
        <w:tc>
          <w:tcPr>
            <w:tcW w:w="220" w:type="dxa"/>
            <w:vAlign w:val="bottom"/>
            <w:vMerge w:val="restart"/>
            <w:shd w:val="clear" w:color="auto" w:fill="CFF0FC"/>
          </w:tcPr>
          <w:p>
            <w:pPr>
              <w:spacing w:after="0"/>
              <w:rPr>
                <w:sz w:val="10"/>
                <w:szCs w:val="10"/>
                <w:color w:val="auto"/>
              </w:rPr>
            </w:pPr>
          </w:p>
        </w:tc>
        <w:tc>
          <w:tcPr>
            <w:tcW w:w="58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3,060</w:t>
            </w:r>
          </w:p>
        </w:tc>
        <w:tc>
          <w:tcPr>
            <w:tcW w:w="220" w:type="dxa"/>
            <w:vAlign w:val="bottom"/>
            <w:vMerge w:val="restart"/>
            <w:shd w:val="clear" w:color="auto" w:fill="CFF0FC"/>
          </w:tcPr>
          <w:p>
            <w:pPr>
              <w:spacing w:after="0"/>
              <w:rPr>
                <w:sz w:val="10"/>
                <w:szCs w:val="10"/>
                <w:color w:val="auto"/>
              </w:rPr>
            </w:pP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Borders>
              <w:bottom w:val="single" w:sz="8" w:color="CFF0FC"/>
            </w:tcBorders>
            <w:shd w:val="clear" w:color="auto" w:fill="CFF0FC"/>
          </w:tcPr>
          <w:p>
            <w:pPr>
              <w:spacing w:after="0"/>
              <w:rPr>
                <w:sz w:val="10"/>
                <w:szCs w:val="10"/>
                <w:color w:val="auto"/>
              </w:rPr>
            </w:pPr>
          </w:p>
        </w:tc>
        <w:tc>
          <w:tcPr>
            <w:tcW w:w="1580" w:type="dxa"/>
            <w:vAlign w:val="bottom"/>
            <w:tcBorders>
              <w:bottom w:val="single" w:sz="8" w:color="CFF0FC"/>
            </w:tcBorders>
            <w:gridSpan w:val="12"/>
            <w:shd w:val="clear" w:color="auto" w:fill="CFF0FC"/>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80" w:type="dxa"/>
            <w:vAlign w:val="bottom"/>
            <w:tcBorders>
              <w:bottom w:val="single" w:sz="8" w:color="auto"/>
            </w:tcBorders>
            <w:gridSpan w:val="3"/>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gridSpan w:val="1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Canadian</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3,060</w:t>
            </w:r>
          </w:p>
        </w:tc>
        <w:tc>
          <w:tcPr>
            <w:tcW w:w="220" w:type="dxa"/>
            <w:vAlign w:val="bottom"/>
            <w:vMerge w:val="restart"/>
          </w:tcPr>
          <w:p>
            <w:pPr>
              <w:spacing w:after="0"/>
              <w:rPr>
                <w:sz w:val="8"/>
                <w:szCs w:val="8"/>
                <w:color w:val="auto"/>
              </w:rPr>
            </w:pP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3,060</w:t>
            </w:r>
          </w:p>
        </w:tc>
        <w:tc>
          <w:tcPr>
            <w:tcW w:w="220" w:type="dxa"/>
            <w:vAlign w:val="bottom"/>
            <w:vMerge w:val="restart"/>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580" w:type="dxa"/>
            <w:vAlign w:val="bottom"/>
            <w:gridSpan w:val="12"/>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Corporate Debt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tcBorders>
              <w:bottom w:val="single" w:sz="8" w:color="auto"/>
            </w:tcBorders>
            <w:gridSpan w:val="3"/>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13"/>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Debt Investments</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304,554</w:t>
            </w:r>
          </w:p>
        </w:tc>
        <w:tc>
          <w:tcPr>
            <w:tcW w:w="800" w:type="dxa"/>
            <w:vAlign w:val="bottom"/>
            <w:gridSpan w:val="4"/>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306,475</w:t>
            </w:r>
          </w:p>
        </w:tc>
        <w:tc>
          <w:tcPr>
            <w:tcW w:w="940" w:type="dxa"/>
            <w:vAlign w:val="bottom"/>
            <w:gridSpan w:val="2"/>
            <w:shd w:val="clear" w:color="auto" w:fill="CFF0FC"/>
          </w:tcPr>
          <w:p>
            <w:pPr>
              <w:jc w:val="center"/>
              <w:ind w:left="206"/>
              <w:spacing w:after="0" w:line="115" w:lineRule="exact"/>
              <w:rPr>
                <w:sz w:val="20"/>
                <w:szCs w:val="20"/>
                <w:color w:val="auto"/>
              </w:rPr>
            </w:pPr>
            <w:r>
              <w:rPr>
                <w:rFonts w:ascii="Times New Roman" w:cs="Times New Roman" w:eastAsia="Times New Roman" w:hAnsi="Times New Roman"/>
                <w:sz w:val="11"/>
                <w:szCs w:val="11"/>
                <w:b w:val="1"/>
                <w:bCs w:val="1"/>
                <w:color w:val="auto"/>
              </w:rPr>
              <w:t>101.5%</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 of</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12"/>
          </w:tcPr>
          <w:p>
            <w:pPr>
              <w:ind w:left="36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bottom w:val="single" w:sz="8" w:color="auto"/>
            </w:tcBorders>
            <w:gridSpan w:val="3"/>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6"/>
              </w:rPr>
              <w:t>Class Series</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Net Assets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2"/>
        </w:trPr>
        <w:tc>
          <w:tcPr>
            <w:tcW w:w="1620" w:type="dxa"/>
            <w:vAlign w:val="bottom"/>
            <w:gridSpan w:val="13"/>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U.S. Preferred Stock</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gridSpan w:val="3"/>
            <w:shd w:val="clear" w:color="auto" w:fill="CFF0FC"/>
          </w:tcPr>
          <w:p>
            <w:pPr>
              <w:jc w:val="center"/>
              <w:spacing w:after="0" w:line="102"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5"/>
            <w:shd w:val="clear" w:color="auto" w:fill="000000"/>
          </w:tcPr>
          <w:p>
            <w:pPr>
              <w:spacing w:after="0" w:line="20" w:lineRule="exact"/>
              <w:rPr>
                <w:sz w:val="1"/>
                <w:szCs w:val="1"/>
                <w:color w:val="auto"/>
              </w:rPr>
            </w:pPr>
          </w:p>
        </w:tc>
        <w:tc>
          <w:tcPr>
            <w:tcW w:w="340" w:type="dxa"/>
            <w:vAlign w:val="bottom"/>
            <w:tcBorders>
              <w:right w:val="single" w:sz="8" w:color="auto"/>
            </w:tcBorders>
            <w:gridSpan w:val="4"/>
            <w:shd w:val="clear" w:color="auto" w:fill="000000"/>
          </w:tcPr>
          <w:p>
            <w:pPr>
              <w:spacing w:after="0" w:line="20" w:lineRule="exact"/>
              <w:rPr>
                <w:sz w:val="1"/>
                <w:szCs w:val="1"/>
                <w:color w:val="auto"/>
              </w:rPr>
            </w:pPr>
          </w:p>
        </w:tc>
        <w:tc>
          <w:tcPr>
            <w:tcW w:w="10280" w:type="dxa"/>
            <w:vAlign w:val="bottom"/>
            <w:gridSpan w:val="47"/>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tcPr>
          <w:p>
            <w:pPr>
              <w:spacing w:after="0"/>
              <w:rPr>
                <w:sz w:val="8"/>
                <w:szCs w:val="8"/>
                <w:color w:val="auto"/>
              </w:rPr>
            </w:pPr>
          </w:p>
        </w:tc>
        <w:tc>
          <w:tcPr>
            <w:tcW w:w="1580" w:type="dxa"/>
            <w:vAlign w:val="bottom"/>
            <w:gridSpan w:val="1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Real Estate and Rental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300" w:type="dxa"/>
            <w:vAlign w:val="bottom"/>
            <w:tcBorders>
              <w:top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4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tcBorders>
              <w:bottom w:val="single" w:sz="8" w:color="CFF0FC"/>
            </w:tcBorders>
            <w:gridSpan w:val="13"/>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gridSpan w:val="3"/>
            <w:shd w:val="clear" w:color="auto" w:fill="CFF0FC"/>
          </w:tcPr>
          <w:p>
            <w:pPr>
              <w:jc w:val="center"/>
              <w:ind w:left="66"/>
              <w:spacing w:after="0" w:line="115" w:lineRule="exact"/>
              <w:rPr>
                <w:sz w:val="20"/>
                <w:szCs w:val="20"/>
                <w:color w:val="auto"/>
              </w:rPr>
            </w:pPr>
            <w:r>
              <w:rPr>
                <w:rFonts w:ascii="Times New Roman" w:cs="Times New Roman" w:eastAsia="Times New Roman" w:hAnsi="Times New Roman"/>
                <w:sz w:val="11"/>
                <w:szCs w:val="11"/>
                <w:color w:val="auto"/>
                <w:w w:val="98"/>
              </w:rPr>
              <w:t>A-1 Preferred</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gridSpan w:val="3"/>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358,950</w:t>
            </w: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0.2%</w:t>
            </w:r>
          </w:p>
        </w:tc>
        <w:tc>
          <w:tcPr>
            <w:tcW w:w="6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gridSpan w:val="3"/>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620" w:type="dxa"/>
            <w:vAlign w:val="bottom"/>
            <w:gridSpan w:val="13"/>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Total Real Estate and Rental and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500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500</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20" w:type="dxa"/>
            <w:vAlign w:val="bottom"/>
            <w:gridSpan w:val="13"/>
            <w:vMerge w:val="restart"/>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Leasing</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620" w:type="dxa"/>
            <w:vAlign w:val="bottom"/>
            <w:gridSpan w:val="13"/>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620" w:type="dxa"/>
            <w:vAlign w:val="bottom"/>
            <w:gridSpan w:val="13"/>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U.S. Preferred Stock</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0.2%</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gridSpan w:val="13"/>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U .S. Warrants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tcPr>
          <w:p>
            <w:pPr>
              <w:jc w:val="center"/>
              <w:spacing w:after="0" w:line="108"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01"/>
        </w:trPr>
        <w:tc>
          <w:tcPr>
            <w:tcW w:w="40" w:type="dxa"/>
            <w:vAlign w:val="bottom"/>
            <w:tcBorders>
              <w:top w:val="single" w:sz="8" w:color="auto"/>
            </w:tcBorders>
            <w:shd w:val="clear" w:color="auto" w:fill="CFF0FC"/>
          </w:tcPr>
          <w:p>
            <w:pPr>
              <w:spacing w:after="0"/>
              <w:rPr>
                <w:sz w:val="8"/>
                <w:szCs w:val="8"/>
                <w:color w:val="auto"/>
              </w:rPr>
            </w:pPr>
          </w:p>
        </w:tc>
        <w:tc>
          <w:tcPr>
            <w:tcW w:w="660" w:type="dxa"/>
            <w:vAlign w:val="bottom"/>
            <w:tcBorders>
              <w:top w:val="single" w:sz="8" w:color="auto"/>
            </w:tcBorders>
            <w:gridSpan w:val="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920" w:type="dxa"/>
            <w:vAlign w:val="bottom"/>
            <w:gridSpan w:val="7"/>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5"/>
            <w:shd w:val="clear" w:color="auto" w:fill="CFF0FC"/>
          </w:tcPr>
          <w:p>
            <w:pPr>
              <w:spacing w:after="0" w:line="20" w:lineRule="exact"/>
              <w:rPr>
                <w:sz w:val="1"/>
                <w:szCs w:val="1"/>
                <w:color w:val="auto"/>
              </w:rPr>
            </w:pPr>
          </w:p>
        </w:tc>
        <w:tc>
          <w:tcPr>
            <w:tcW w:w="340" w:type="dxa"/>
            <w:vAlign w:val="bottom"/>
            <w:tcBorders>
              <w:right w:val="single" w:sz="8" w:color="CFF0FC"/>
            </w:tcBorders>
            <w:gridSpan w:val="4"/>
            <w:shd w:val="clear" w:color="auto" w:fill="CFF0FC"/>
          </w:tcPr>
          <w:p>
            <w:pPr>
              <w:spacing w:after="0" w:line="20" w:lineRule="exact"/>
              <w:rPr>
                <w:sz w:val="1"/>
                <w:szCs w:val="1"/>
                <w:color w:val="auto"/>
              </w:rPr>
            </w:pPr>
          </w:p>
        </w:tc>
        <w:tc>
          <w:tcPr>
            <w:tcW w:w="10280" w:type="dxa"/>
            <w:vAlign w:val="bottom"/>
            <w:gridSpan w:val="47"/>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13"/>
          </w:tcPr>
          <w:p>
            <w:pPr>
              <w:spacing w:after="0" w:line="115" w:lineRule="exact"/>
              <w:rPr>
                <w:sz w:val="20"/>
                <w:szCs w:val="20"/>
                <w:color w:val="auto"/>
              </w:rPr>
            </w:pPr>
            <w:r>
              <w:rPr>
                <w:rFonts w:ascii="Times New Roman" w:cs="Times New Roman" w:eastAsia="Times New Roman" w:hAnsi="Times New Roman"/>
                <w:sz w:val="11"/>
                <w:szCs w:val="11"/>
                <w:color w:val="auto"/>
              </w:rPr>
              <w:t>AI Software, LLC (d/b/a Capacity)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center"/>
              <w:ind w:left="66"/>
              <w:spacing w:after="0" w:line="115" w:lineRule="exact"/>
              <w:rPr>
                <w:sz w:val="20"/>
                <w:szCs w:val="20"/>
                <w:color w:val="auto"/>
              </w:rPr>
            </w:pPr>
            <w:r>
              <w:rPr>
                <w:rFonts w:ascii="Times New Roman" w:cs="Times New Roman" w:eastAsia="Times New Roman" w:hAnsi="Times New Roman"/>
                <w:sz w:val="11"/>
                <w:szCs w:val="11"/>
                <w:color w:val="auto"/>
                <w:w w:val="99"/>
              </w:rPr>
              <w:t>Warrants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w w:val="98"/>
              </w:rPr>
              <w:t>6/13/2025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292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292</w:t>
            </w: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0.1%</w:t>
            </w:r>
          </w:p>
        </w:tc>
        <w:tc>
          <w:tcPr>
            <w:tcW w:w="60" w:type="dxa"/>
            <w:vAlign w:val="bottom"/>
          </w:tcPr>
          <w:p>
            <w:pPr>
              <w:spacing w:after="0"/>
              <w:rPr>
                <w:sz w:val="10"/>
                <w:szCs w:val="10"/>
                <w:color w:val="auto"/>
              </w:rPr>
            </w:pPr>
          </w:p>
        </w:tc>
        <w:tc>
          <w:tcPr>
            <w:tcW w:w="74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15"/>
        </w:trPr>
        <w:tc>
          <w:tcPr>
            <w:tcW w:w="1620" w:type="dxa"/>
            <w:vAlign w:val="bottom"/>
            <w:gridSpan w:val="13"/>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292</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292</w:t>
            </w: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0.1%</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580" w:type="dxa"/>
            <w:vAlign w:val="bottom"/>
            <w:gridSpan w:val="1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Real Estate and Rental and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300" w:type="dxa"/>
            <w:vAlign w:val="bottom"/>
            <w:tcBorders>
              <w:top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4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13"/>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6"/>
              </w:rPr>
              <w:t>A-3 Warrants</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791,258</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97</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w:t>
            </w: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shd w:val="clear" w:color="auto" w:fill="CFF0FC"/>
          </w:tcPr>
          <w:p>
            <w:pPr>
              <w:spacing w:after="0"/>
              <w:rPr>
                <w:sz w:val="10"/>
                <w:szCs w:val="10"/>
                <w:color w:val="auto"/>
              </w:rPr>
            </w:pPr>
          </w:p>
        </w:tc>
        <w:tc>
          <w:tcPr>
            <w:tcW w:w="740" w:type="dxa"/>
            <w:vAlign w:val="bottom"/>
            <w:gridSpan w:val="3"/>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162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6"/>
              </w:rPr>
              <w:t>A-4 Warrants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1020" w:type="dxa"/>
            <w:vAlign w:val="bottom"/>
            <w:gridSpan w:val="6"/>
          </w:tcPr>
          <w:p>
            <w:pPr>
              <w:jc w:val="right"/>
              <w:spacing w:after="0" w:line="122" w:lineRule="exact"/>
              <w:rPr>
                <w:sz w:val="20"/>
                <w:szCs w:val="20"/>
                <w:color w:val="auto"/>
              </w:rPr>
            </w:pPr>
            <w:r>
              <w:rPr>
                <w:rFonts w:ascii="Times New Roman" w:cs="Times New Roman" w:eastAsia="Times New Roman" w:hAnsi="Times New Roman"/>
                <w:sz w:val="11"/>
                <w:szCs w:val="11"/>
                <w:color w:val="auto"/>
              </w:rPr>
              <w:t>2,083,257</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135</w:t>
            </w: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60" w:type="dxa"/>
            <w:vAlign w:val="bottom"/>
          </w:tcPr>
          <w:p>
            <w:pPr>
              <w:spacing w:after="0"/>
              <w:rPr>
                <w:sz w:val="10"/>
                <w:szCs w:val="10"/>
                <w:color w:val="auto"/>
              </w:rPr>
            </w:pPr>
          </w:p>
        </w:tc>
        <w:tc>
          <w:tcPr>
            <w:tcW w:w="7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620" w:type="dxa"/>
            <w:vAlign w:val="bottom"/>
            <w:gridSpan w:val="13"/>
            <w:shd w:val="clear" w:color="auto" w:fill="CFF0FC"/>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Total Real Estate and Rental and</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6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328</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186</w:t>
            </w: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0.1%</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20" w:type="dxa"/>
            <w:vAlign w:val="bottom"/>
            <w:gridSpan w:val="13"/>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b w:val="1"/>
                <w:bCs w:val="1"/>
                <w:color w:val="auto"/>
              </w:rPr>
              <w:t>Leasing</w:t>
            </w:r>
          </w:p>
        </w:tc>
        <w:tc>
          <w:tcPr>
            <w:tcW w:w="6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gridSpan w:val="3"/>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56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9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gridSpan w:val="13"/>
            <w:vMerge w:val="continue"/>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580" w:type="dxa"/>
            <w:vAlign w:val="bottom"/>
            <w:gridSpan w:val="1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Retail Trade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5"/>
          </w:tcPr>
          <w:p>
            <w:pPr>
              <w:spacing w:after="0" w:line="20" w:lineRule="exact"/>
              <w:rPr>
                <w:sz w:val="1"/>
                <w:szCs w:val="1"/>
                <w:color w:val="auto"/>
              </w:rPr>
            </w:pPr>
          </w:p>
        </w:tc>
        <w:tc>
          <w:tcPr>
            <w:tcW w:w="10620" w:type="dxa"/>
            <w:vAlign w:val="bottom"/>
            <w:gridSpan w:val="5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20" w:type="dxa"/>
            <w:vAlign w:val="bottom"/>
            <w:gridSpan w:val="13"/>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Portofino Labs, Inc. (dba Because</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720" w:type="dxa"/>
            <w:vAlign w:val="bottom"/>
            <w:gridSpan w:val="3"/>
            <w:vMerge w:val="restart"/>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Warrants</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gridSpan w:val="3"/>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1"/>
                <w:szCs w:val="11"/>
                <w:color w:val="auto"/>
                <w:w w:val="98"/>
              </w:rPr>
              <w:t>4/30/2025</w:t>
            </w: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4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360,000</w:t>
            </w: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6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shd w:val="clear" w:color="auto" w:fill="CFF0FC"/>
          </w:tcPr>
          <w:p>
            <w:pPr>
              <w:spacing w:after="0"/>
              <w:rPr>
                <w:sz w:val="8"/>
                <w:szCs w:val="8"/>
                <w:color w:val="auto"/>
              </w:rPr>
            </w:pPr>
          </w:p>
        </w:tc>
        <w:tc>
          <w:tcPr>
            <w:tcW w:w="740" w:type="dxa"/>
            <w:vAlign w:val="bottom"/>
            <w:gridSpan w:val="3"/>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1620" w:type="dxa"/>
            <w:vAlign w:val="bottom"/>
            <w:tcBorders>
              <w:bottom w:val="single" w:sz="8" w:color="CFF0FC"/>
            </w:tcBorders>
            <w:gridSpan w:val="13"/>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Market)</w:t>
            </w: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gridSpan w:val="3"/>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gridSpan w:val="3"/>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3"/>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gridSpan w:val="3"/>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gridSpan w:val="2"/>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gridSpan w:val="2"/>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gridSpan w:val="3"/>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top w:val="single" w:sz="8" w:color="CFF0FC"/>
            </w:tcBorders>
            <w:gridSpan w:val="13"/>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6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64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4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46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45</w:t>
            </w: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w:t>
            </w:r>
          </w:p>
        </w:tc>
        <w:tc>
          <w:tcPr>
            <w:tcW w:w="220" w:type="dxa"/>
            <w:vAlign w:val="bottom"/>
            <w:tcBorders>
              <w:top w:val="single" w:sz="8" w:color="CFF0FC"/>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0.0%</w:t>
            </w:r>
          </w:p>
        </w:tc>
        <w:tc>
          <w:tcPr>
            <w:tcW w:w="6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13"/>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U.S. Warrants</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665</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524</w:t>
            </w: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0.2%</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gridSpan w:val="9"/>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Canadian Warrants</w:t>
            </w:r>
          </w:p>
        </w:tc>
        <w:tc>
          <w:tcPr>
            <w:tcW w:w="660" w:type="dxa"/>
            <w:vAlign w:val="bottom"/>
            <w:gridSpan w:val="4"/>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tcPr>
          <w:p>
            <w:pPr>
              <w:jc w:val="center"/>
              <w:spacing w:after="0" w:line="108"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02"/>
        </w:trPr>
        <w:tc>
          <w:tcPr>
            <w:tcW w:w="40" w:type="dxa"/>
            <w:vAlign w:val="bottom"/>
            <w:shd w:val="clear" w:color="auto" w:fill="CFF0FC"/>
          </w:tcPr>
          <w:p>
            <w:pPr>
              <w:spacing w:after="0"/>
              <w:rPr>
                <w:sz w:val="8"/>
                <w:szCs w:val="8"/>
                <w:color w:val="auto"/>
              </w:rPr>
            </w:pPr>
          </w:p>
        </w:tc>
        <w:tc>
          <w:tcPr>
            <w:tcW w:w="1580" w:type="dxa"/>
            <w:vAlign w:val="bottom"/>
            <w:gridSpan w:val="12"/>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5"/>
            <w:shd w:val="clear" w:color="auto" w:fill="CFF0FC"/>
          </w:tcPr>
          <w:p>
            <w:pPr>
              <w:spacing w:after="0" w:line="20" w:lineRule="exact"/>
              <w:rPr>
                <w:sz w:val="1"/>
                <w:szCs w:val="1"/>
                <w:color w:val="auto"/>
              </w:rPr>
            </w:pPr>
          </w:p>
        </w:tc>
        <w:tc>
          <w:tcPr>
            <w:tcW w:w="340" w:type="dxa"/>
            <w:vAlign w:val="bottom"/>
            <w:tcBorders>
              <w:right w:val="single" w:sz="8" w:color="CFF0FC"/>
            </w:tcBorders>
            <w:gridSpan w:val="4"/>
            <w:shd w:val="clear" w:color="auto" w:fill="CFF0FC"/>
          </w:tcPr>
          <w:p>
            <w:pPr>
              <w:spacing w:after="0" w:line="20" w:lineRule="exact"/>
              <w:rPr>
                <w:sz w:val="1"/>
                <w:szCs w:val="1"/>
                <w:color w:val="auto"/>
              </w:rPr>
            </w:pPr>
          </w:p>
        </w:tc>
        <w:tc>
          <w:tcPr>
            <w:tcW w:w="10280" w:type="dxa"/>
            <w:vAlign w:val="bottom"/>
            <w:gridSpan w:val="47"/>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20" w:type="dxa"/>
            <w:vAlign w:val="bottom"/>
            <w:gridSpan w:val="13"/>
          </w:tcPr>
          <w:p>
            <w:pPr>
              <w:spacing w:after="0" w:line="115" w:lineRule="exact"/>
              <w:rPr>
                <w:sz w:val="20"/>
                <w:szCs w:val="20"/>
                <w:color w:val="auto"/>
              </w:rPr>
            </w:pPr>
            <w:r>
              <w:rPr>
                <w:rFonts w:ascii="Times New Roman" w:cs="Times New Roman" w:eastAsia="Times New Roman" w:hAnsi="Times New Roman"/>
                <w:sz w:val="11"/>
                <w:szCs w:val="11"/>
                <w:color w:val="auto"/>
              </w:rPr>
              <w:t>Tulip.io Inc.</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center"/>
              <w:ind w:left="66"/>
              <w:spacing w:after="0" w:line="115" w:lineRule="exact"/>
              <w:rPr>
                <w:sz w:val="20"/>
                <w:szCs w:val="20"/>
                <w:color w:val="auto"/>
              </w:rPr>
            </w:pPr>
            <w:r>
              <w:rPr>
                <w:rFonts w:ascii="Times New Roman" w:cs="Times New Roman" w:eastAsia="Times New Roman" w:hAnsi="Times New Roman"/>
                <w:sz w:val="11"/>
                <w:szCs w:val="11"/>
                <w:color w:val="auto"/>
                <w:w w:val="99"/>
              </w:rPr>
              <w:t>Warrants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color w:val="auto"/>
                <w:w w:val="98"/>
              </w:rPr>
              <w:t>11/4/2024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64,776</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Pr>
          <w:p>
            <w:pPr>
              <w:spacing w:after="0"/>
              <w:rPr>
                <w:sz w:val="10"/>
                <w:szCs w:val="10"/>
                <w:color w:val="auto"/>
              </w:rPr>
            </w:pPr>
          </w:p>
        </w:tc>
        <w:tc>
          <w:tcPr>
            <w:tcW w:w="74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gridSpan w:val="13"/>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0.0%</w:t>
            </w: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13"/>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Warrants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gridSpan w:val="13"/>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Total Equity Investments</w:t>
            </w: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1,165</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1,024</w:t>
            </w:r>
          </w:p>
        </w:tc>
        <w:tc>
          <w:tcPr>
            <w:tcW w:w="2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0.4%</w:t>
            </w: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gridSpan w:val="13"/>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305,719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307,499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101.9%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-5430520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-5430520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-5430520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-4495800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-4495800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-4495800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-4032885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-4032885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-4032885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-3724275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-3724275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-3724275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-3253105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-3253105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-3253105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-2935605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-2935605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-2935605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-2009775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-2009775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-2009775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-758190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-758190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-758190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-269875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-269875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-269875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-98425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-98425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-98425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520" w:hanging="512"/>
        <w:spacing w:after="0" w:line="25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all securities are valued using significant unobservable inputs, which are categorized as Level 3 assets under the Financial Accounting Standards Board’s Accounting Standards Codification 820's, </w:t>
      </w:r>
      <w:r>
        <w:rPr>
          <w:rFonts w:ascii="Times New Roman" w:cs="Times New Roman" w:eastAsia="Times New Roman" w:hAnsi="Times New Roman"/>
          <w:sz w:val="18"/>
          <w:szCs w:val="18"/>
          <w:i w:val="1"/>
          <w:iCs w:val="1"/>
          <w:color w:val="auto"/>
        </w:rPr>
        <w:t>Fair Value Hierarchy.</w:t>
      </w: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3"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Agreement. As of June 30, 2025, rates for 1M S, 3M S and 6M S are 4.32%, 4.34%, and 4.37%, respectively. As of June 30, 2025, the P was 7.50%.</w:t>
      </w:r>
    </w:p>
    <w:p>
      <w:pPr>
        <w:spacing w:after="0" w:line="27" w:lineRule="exact"/>
        <w:rPr>
          <w:sz w:val="20"/>
          <w:szCs w:val="20"/>
          <w:color w:val="auto"/>
        </w:rPr>
      </w:pPr>
    </w:p>
    <w:p>
      <w:pPr>
        <w:ind w:left="520" w:right="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June 30, 2025, no debt investments are deemed as non-income producing.</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June 30, 2025, the aggregate fair value of non-qualifying assets is $11,220,019 or 3.38% of the Company’s total assets.</w:t>
      </w:r>
    </w:p>
    <w:p>
      <w:pPr>
        <w:spacing w:after="0" w:line="1"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jc w:val="both"/>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as amended, the Company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 As of June 30, 2025, the Company did not hold investments in portfolio companies of which it is deemed to be an “affiliated person” nor deemed to “control” a portfolio company.</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pledged as collateral for the Revolving Line of Credit (as defined below). See "Note 5 -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CHICAGO ATLANTIC BDC, INC.</w:t>
      </w:r>
    </w:p>
    <w:p>
      <w:pPr>
        <w:spacing w:after="0" w:line="23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Facility Type</w:t>
            </w:r>
          </w:p>
        </w:tc>
        <w:tc>
          <w:tcPr>
            <w:tcW w:w="0" w:type="dxa"/>
            <w:vAlign w:val="bottom"/>
          </w:tcPr>
          <w:p>
            <w:pPr>
              <w:spacing w:after="0"/>
              <w:rPr>
                <w:sz w:val="1"/>
                <w:szCs w:val="1"/>
                <w:color w:val="auto"/>
              </w:rPr>
            </w:pPr>
          </w:p>
        </w:tc>
      </w:tr>
      <w:tr>
        <w:trPr>
          <w:trHeight w:val="102"/>
        </w:trPr>
        <w:tc>
          <w:tcPr>
            <w:tcW w:w="1580" w:type="dxa"/>
            <w:vAlign w:val="bottom"/>
            <w:gridSpan w:val="17"/>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 at Fair Value</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15"/>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U.S. Corporate Debt First</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14"/>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Lien Senior Secured</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gridSpan w:val="8"/>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w w:val="97"/>
              </w:rPr>
              <w:t>U.S. Debt Cannabis</w:t>
            </w: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0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Aeriz Holdings Corp</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Archos Capital Group, 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Deep Roots Harvest,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Dreamfields Brands,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(d/b/a Jeeter)</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Elevation Cannabis, 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Flowery - Bill's Nursery,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HA-MD,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Kaleafa,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Nova Farms,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Oasis - AZ GOAT AZ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Proper Holdings, 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Remedy - Maryland Wellness,</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STIIIZY, Inc. (f/k/a Shryne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Group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1"/>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Subsero Holdings - Illinois,</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15"/>
          </w:tcPr>
          <w:p>
            <w:pPr>
              <w:ind w:left="20"/>
              <w:spacing w:after="0"/>
              <w:rPr>
                <w:sz w:val="20"/>
                <w:szCs w:val="20"/>
                <w:color w:val="auto"/>
              </w:rPr>
            </w:pPr>
            <w:r>
              <w:rPr>
                <w:rFonts w:ascii="Times New Roman" w:cs="Times New Roman" w:eastAsia="Times New Roman" w:hAnsi="Times New Roman"/>
                <w:sz w:val="11"/>
                <w:szCs w:val="11"/>
                <w:color w:val="auto"/>
              </w:rPr>
              <w:t>Inc</w:t>
            </w:r>
          </w:p>
        </w:tc>
        <w:tc>
          <w:tcPr>
            <w:tcW w:w="9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6"/>
              </w:rPr>
              <w:t>Finance and Insurance</w:t>
            </w:r>
          </w:p>
        </w:tc>
        <w:tc>
          <w:tcPr>
            <w:tcW w:w="46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Hartford Gold Group,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Hartford Gold Group,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Minden Holdings,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Finance and</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5"/>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Insurance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86"/>
              </w:rPr>
              <w:t>Health Care</w:t>
            </w:r>
          </w:p>
        </w:tc>
        <w:tc>
          <w:tcPr>
            <w:tcW w:w="80" w:type="dxa"/>
            <w:vAlign w:val="bottom"/>
          </w:tcPr>
          <w:p>
            <w:pPr>
              <w:spacing w:after="0"/>
              <w:rPr>
                <w:sz w:val="8"/>
                <w:szCs w:val="8"/>
                <w:color w:val="auto"/>
              </w:rPr>
            </w:pPr>
          </w:p>
        </w:tc>
        <w:tc>
          <w:tcPr>
            <w:tcW w:w="900" w:type="dxa"/>
            <w:vAlign w:val="bottom"/>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and Social</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top w:val="single" w:sz="8" w:color="auto"/>
            </w:tcBorders>
            <w:gridSpan w:val="13"/>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Assistance</w:t>
            </w:r>
          </w:p>
        </w:tc>
        <w:tc>
          <w:tcPr>
            <w:tcW w:w="380" w:type="dxa"/>
            <w:vAlign w:val="bottom"/>
            <w:gridSpan w:val="2"/>
          </w:tcPr>
          <w:p>
            <w:pPr>
              <w:spacing w:after="0"/>
              <w:rPr>
                <w:sz w:val="8"/>
                <w:szCs w:val="8"/>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Sunny Days Enterprises, LLC</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Health Care and</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10"/>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Social Assistance</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6"/>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80" w:type="dxa"/>
            <w:vAlign w:val="bottom"/>
          </w:tcPr>
          <w:p>
            <w:pPr>
              <w:spacing w:after="0"/>
              <w:rPr>
                <w:sz w:val="8"/>
                <w:szCs w:val="8"/>
                <w:color w:val="auto"/>
              </w:rPr>
            </w:pPr>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0" w:type="dxa"/>
            <w:vAlign w:val="bottom"/>
            <w:gridSpan w:val="2"/>
            <w:vMerge w:val="continue"/>
          </w:tcPr>
          <w:p>
            <w:pPr>
              <w:spacing w:after="0"/>
              <w:rPr>
                <w:sz w:val="8"/>
                <w:szCs w:val="8"/>
                <w:color w:val="auto"/>
              </w:rPr>
            </w:pPr>
          </w:p>
        </w:tc>
        <w:tc>
          <w:tcPr>
            <w:tcW w:w="152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color w:val="auto"/>
              </w:rPr>
              <w:t>Protect Animals With</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Satellites LLC (Halo Collar)</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Protect Animals With</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Incremental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15"/>
          </w:tcPr>
          <w:p>
            <w:pPr>
              <w:ind w:left="20"/>
              <w:spacing w:after="0"/>
              <w:rPr>
                <w:sz w:val="20"/>
                <w:szCs w:val="20"/>
                <w:color w:val="auto"/>
              </w:rPr>
            </w:pPr>
            <w:r>
              <w:rPr>
                <w:rFonts w:ascii="Times New Roman" w:cs="Times New Roman" w:eastAsia="Times New Roman" w:hAnsi="Times New Roman"/>
                <w:sz w:val="11"/>
                <w:szCs w:val="11"/>
                <w:color w:val="auto"/>
              </w:rPr>
              <w:t>Satellites LLC (Halo Collar)</w:t>
            </w:r>
          </w:p>
        </w:tc>
        <w:tc>
          <w:tcPr>
            <w:tcW w:w="9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Simspace Corporation</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Information</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Public Administration</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 w:type="dxa"/>
            <w:vAlign w:val="bottom"/>
            <w:gridSpan w:val="2"/>
          </w:tcPr>
          <w:p>
            <w:pPr>
              <w:spacing w:after="0"/>
              <w:rPr>
                <w:sz w:val="8"/>
                <w:szCs w:val="8"/>
                <w:color w:val="auto"/>
              </w:rPr>
            </w:pPr>
          </w:p>
        </w:tc>
        <w:tc>
          <w:tcPr>
            <w:tcW w:w="1040" w:type="dxa"/>
            <w:vAlign w:val="bottom"/>
            <w:tcBorders>
              <w:top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color w:val="auto"/>
              </w:rPr>
              <w:t>Youth Opportunity</w:t>
            </w:r>
          </w:p>
        </w:tc>
        <w:tc>
          <w:tcPr>
            <w:tcW w:w="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0" w:lineRule="exact"/>
              <w:rPr>
                <w:sz w:val="20"/>
                <w:szCs w:val="20"/>
                <w:color w:val="auto"/>
              </w:rPr>
            </w:pPr>
            <w:r>
              <w:rPr>
                <w:rFonts w:ascii="Times New Roman" w:cs="Times New Roman" w:eastAsia="Times New Roman" w:hAnsi="Times New Roman"/>
                <w:sz w:val="11"/>
                <w:szCs w:val="11"/>
                <w:color w:val="auto"/>
              </w:rPr>
              <w:t>Investments, LLC</w:t>
            </w:r>
          </w:p>
        </w:tc>
        <w:tc>
          <w:tcPr>
            <w:tcW w:w="980" w:type="dxa"/>
            <w:vAlign w:val="bottom"/>
          </w:tcPr>
          <w:p>
            <w:pPr>
              <w:ind w:left="240"/>
              <w:spacing w:after="0" w:line="120"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Total Public</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Administration</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Real Estate and Rental</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top w:val="single" w:sz="8" w:color="auto"/>
            </w:tcBorders>
            <w:gridSpan w:val="1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and Leasing</w:t>
            </w: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Workbox Holdings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Real Estate and</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Rental and Leasing</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Retail Trade</w:t>
            </w:r>
          </w:p>
        </w:tc>
        <w:tc>
          <w:tcPr>
            <w:tcW w:w="900" w:type="dxa"/>
            <w:vAlign w:val="bottom"/>
            <w:gridSpan w:val="11"/>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Retail Trade</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580" w:type="dxa"/>
            <w:vAlign w:val="bottom"/>
            <w:gridSpan w:val="17"/>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Secured U.S. Debt</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Senior Secured U.S.</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w w:val="91"/>
              </w:rPr>
              <w:t>Notes</w:t>
            </w:r>
          </w:p>
        </w:tc>
        <w:tc>
          <w:tcPr>
            <w:tcW w:w="600" w:type="dxa"/>
            <w:vAlign w:val="bottom"/>
            <w:tcBorders>
              <w:top w:val="single" w:sz="8" w:color="auto"/>
            </w:tcBorders>
            <w:gridSpan w:val="6"/>
          </w:tcPr>
          <w:p>
            <w:pPr>
              <w:spacing w:after="0"/>
              <w:rPr>
                <w:sz w:val="8"/>
                <w:szCs w:val="8"/>
                <w:color w:val="auto"/>
              </w:rPr>
            </w:pPr>
          </w:p>
        </w:tc>
        <w:tc>
          <w:tcPr>
            <w:tcW w:w="600" w:type="dxa"/>
            <w:vAlign w:val="bottom"/>
            <w:gridSpan w:val="8"/>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20"/>
        </w:trPr>
        <w:tc>
          <w:tcPr>
            <w:tcW w:w="60" w:type="dxa"/>
            <w:vAlign w:val="bottom"/>
            <w:gridSpan w:val="2"/>
            <w:vMerge w:val="restart"/>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0" w:type="dxa"/>
            <w:vAlign w:val="bottom"/>
            <w:gridSpan w:val="2"/>
            <w:vMerge w:val="continue"/>
          </w:tcPr>
          <w:p>
            <w:pPr>
              <w:spacing w:after="0"/>
              <w:rPr>
                <w:sz w:val="8"/>
                <w:szCs w:val="8"/>
                <w:color w:val="auto"/>
              </w:rPr>
            </w:pPr>
          </w:p>
        </w:tc>
        <w:tc>
          <w:tcPr>
            <w:tcW w:w="152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color w:val="auto"/>
              </w:rPr>
              <w:t>Ascend Wellness Holdings,</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12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Curaleaf Holdings,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6"/>
              </w:rPr>
              <w:t>Finance and Insurance</w:t>
            </w:r>
          </w:p>
        </w:tc>
        <w:tc>
          <w:tcPr>
            <w:tcW w:w="460" w:type="dxa"/>
            <w:vAlign w:val="bottom"/>
            <w:gridSpan w:val="3"/>
          </w:tcPr>
          <w:p>
            <w:pPr>
              <w:spacing w:after="0"/>
              <w:rPr>
                <w:sz w:val="10"/>
                <w:szCs w:val="10"/>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10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RTCP, LLC</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West Creek Financial</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Holdings,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Series A Senior</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0" w:lineRule="exact"/>
              <w:rPr>
                <w:sz w:val="20"/>
                <w:szCs w:val="20"/>
                <w:color w:val="auto"/>
              </w:rPr>
            </w:pPr>
            <w:r>
              <w:rPr>
                <w:rFonts w:ascii="Times New Roman" w:cs="Times New Roman" w:eastAsia="Times New Roman" w:hAnsi="Times New Roman"/>
                <w:sz w:val="11"/>
                <w:szCs w:val="11"/>
                <w:color w:val="auto"/>
              </w:rPr>
              <w:t>dba Koalafi</w:t>
            </w:r>
          </w:p>
        </w:tc>
        <w:tc>
          <w:tcPr>
            <w:tcW w:w="980" w:type="dxa"/>
            <w:vAlign w:val="bottom"/>
          </w:tcPr>
          <w:p>
            <w:pPr>
              <w:ind w:left="240"/>
              <w:spacing w:after="0" w:line="120" w:lineRule="exact"/>
              <w:rPr>
                <w:sz w:val="20"/>
                <w:szCs w:val="20"/>
                <w:color w:val="auto"/>
              </w:rPr>
            </w:pPr>
            <w:r>
              <w:rPr>
                <w:rFonts w:ascii="Times New Roman" w:cs="Times New Roman" w:eastAsia="Times New Roman" w:hAnsi="Times New Roman"/>
                <w:sz w:val="11"/>
                <w:szCs w:val="11"/>
                <w:color w:val="auto"/>
              </w:rPr>
              <w:t>Note</w:t>
            </w:r>
          </w:p>
        </w:tc>
        <w:tc>
          <w:tcPr>
            <w:tcW w:w="0" w:type="dxa"/>
            <w:vAlign w:val="bottom"/>
          </w:tcPr>
          <w:p>
            <w:pPr>
              <w:spacing w:after="0"/>
              <w:rPr>
                <w:sz w:val="1"/>
                <w:szCs w:val="1"/>
                <w:color w:val="auto"/>
              </w:rPr>
            </w:pPr>
          </w:p>
        </w:tc>
      </w:tr>
      <w:tr>
        <w:trPr>
          <w:trHeight w:val="121"/>
        </w:trPr>
        <w:tc>
          <w:tcPr>
            <w:tcW w:w="1580" w:type="dxa"/>
            <w:vAlign w:val="bottom"/>
            <w:gridSpan w:val="17"/>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Total Finance and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15"/>
          </w:tcPr>
          <w:p>
            <w:pPr>
              <w:ind w:left="6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2"/>
              </w:rPr>
              <w:t>All in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Benchmark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restart"/>
          </w:tcPr>
          <w:p>
            <w:pPr>
              <w:jc w:val="right"/>
              <w:ind w:right="24"/>
              <w:spacing w:after="0"/>
              <w:rPr>
                <w:sz w:val="20"/>
                <w:szCs w:val="20"/>
                <w:color w:val="auto"/>
              </w:rPr>
            </w:pPr>
            <w:r>
              <w:rPr>
                <w:rFonts w:ascii="Times New Roman" w:cs="Times New Roman" w:eastAsia="Times New Roman" w:hAnsi="Times New Roman"/>
                <w:sz w:val="21"/>
                <w:szCs w:val="21"/>
                <w:b w:val="1"/>
                <w:bCs w:val="1"/>
                <w:color w:val="auto"/>
                <w:w w:val="88"/>
                <w:vertAlign w:val="subscript"/>
              </w:rPr>
              <w:t>Par</w:t>
            </w:r>
            <w:r>
              <w:rPr>
                <w:rFonts w:ascii="Times New Roman" w:cs="Times New Roman" w:eastAsia="Times New Roman" w:hAnsi="Times New Roman"/>
                <w:sz w:val="7"/>
                <w:szCs w:val="7"/>
                <w:b w:val="1"/>
                <w:bCs w:val="1"/>
                <w:color w:val="auto"/>
                <w:w w:val="88"/>
              </w:rPr>
              <w:t xml:space="preserve"> (2)</w:t>
            </w:r>
          </w:p>
        </w:tc>
        <w:tc>
          <w:tcPr>
            <w:tcW w:w="200" w:type="dxa"/>
            <w:vAlign w:val="bottom"/>
          </w:tcPr>
          <w:p>
            <w:pPr>
              <w:spacing w:after="0"/>
              <w:rPr>
                <w:sz w:val="9"/>
                <w:szCs w:val="9"/>
                <w:color w:val="auto"/>
              </w:rPr>
            </w:pPr>
          </w:p>
        </w:tc>
        <w:tc>
          <w:tcPr>
            <w:tcW w:w="54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2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PIK</w:t>
            </w:r>
          </w:p>
        </w:tc>
        <w:tc>
          <w:tcPr>
            <w:tcW w:w="220" w:type="dxa"/>
            <w:vAlign w:val="bottom"/>
          </w:tcPr>
          <w:p>
            <w:pPr>
              <w:spacing w:after="0"/>
              <w:rPr>
                <w:sz w:val="12"/>
                <w:szCs w:val="12"/>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00" w:type="dxa"/>
            <w:vAlign w:val="bottom"/>
          </w:tcPr>
          <w:p>
            <w:pPr>
              <w:spacing w:after="0"/>
              <w:rPr>
                <w:sz w:val="12"/>
                <w:szCs w:val="12"/>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w w:val="85"/>
              </w:rPr>
              <w:t xml:space="preserve">Cost </w:t>
            </w:r>
            <w:r>
              <w:rPr>
                <w:rFonts w:ascii="Times New Roman" w:cs="Times New Roman" w:eastAsia="Times New Roman" w:hAnsi="Times New Roman"/>
                <w:sz w:val="14"/>
                <w:szCs w:val="14"/>
                <w:b w:val="1"/>
                <w:bCs w:val="1"/>
                <w:color w:val="auto"/>
                <w:w w:val="85"/>
                <w:vertAlign w:val="superscript"/>
              </w:rPr>
              <w:t>(17)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line="149" w:lineRule="exact"/>
              <w:rPr>
                <w:sz w:val="20"/>
                <w:szCs w:val="20"/>
                <w:color w:val="auto"/>
              </w:rPr>
            </w:pPr>
            <w:r>
              <w:rPr>
                <w:rFonts w:ascii="Times New Roman" w:cs="Times New Roman" w:eastAsia="Times New Roman" w:hAnsi="Times New Roman"/>
                <w:sz w:val="11"/>
                <w:szCs w:val="11"/>
                <w:b w:val="1"/>
                <w:bCs w:val="1"/>
                <w:color w:val="auto"/>
                <w:w w:val="97"/>
              </w:rPr>
              <w:t xml:space="preserve">Value </w:t>
            </w:r>
            <w:r>
              <w:rPr>
                <w:rFonts w:ascii="Times New Roman" w:cs="Times New Roman" w:eastAsia="Times New Roman" w:hAnsi="Times New Roman"/>
                <w:sz w:val="14"/>
                <w:szCs w:val="14"/>
                <w:b w:val="1"/>
                <w:bCs w:val="1"/>
                <w:color w:val="auto"/>
                <w:w w:val="97"/>
                <w:vertAlign w:val="superscript"/>
              </w:rPr>
              <w:t>(4)</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Footnote</w:t>
            </w:r>
          </w:p>
        </w:tc>
        <w:tc>
          <w:tcPr>
            <w:tcW w:w="0" w:type="dxa"/>
            <w:vAlign w:val="bottom"/>
          </w:tcPr>
          <w:p>
            <w:pPr>
              <w:spacing w:after="0"/>
              <w:rPr>
                <w:sz w:val="1"/>
                <w:szCs w:val="1"/>
                <w:color w:val="auto"/>
              </w:rPr>
            </w:pPr>
          </w:p>
        </w:tc>
      </w:tr>
      <w:tr>
        <w:trPr>
          <w:trHeight w:val="29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 (5)</w:t>
            </w:r>
          </w:p>
        </w:tc>
        <w:tc>
          <w:tcPr>
            <w:tcW w:w="0" w:type="dxa"/>
            <w:vAlign w:val="bottom"/>
          </w:tcPr>
          <w:p>
            <w:pPr>
              <w:spacing w:after="0"/>
              <w:rPr>
                <w:sz w:val="1"/>
                <w:szCs w:val="1"/>
                <w:color w:val="auto"/>
              </w:rPr>
            </w:pPr>
          </w:p>
        </w:tc>
      </w:tr>
      <w:tr>
        <w:trPr>
          <w:trHeight w:val="29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15.50%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6/30/2025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   75</w:t>
            </w:r>
          </w:p>
        </w:tc>
        <w:tc>
          <w:tcPr>
            <w:tcW w:w="280" w:type="dxa"/>
            <w:vAlign w:val="bottom"/>
            <w:gridSpan w:val="2"/>
            <w:vMerge w:val="restart"/>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9,927</w:t>
            </w:r>
          </w:p>
        </w:tc>
        <w:tc>
          <w:tcPr>
            <w:tcW w:w="300" w:type="dxa"/>
            <w:vAlign w:val="bottom"/>
            <w:gridSpan w:val="2"/>
            <w:vMerge w:val="restart"/>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9,873</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3.3%</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13.25%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2/28/2025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10/23/2024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8/15/2027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4,975</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1.7%</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rPr>
              <w:t>5/3/2023</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5/3/2026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31,659</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31,745</w:t>
            </w:r>
          </w:p>
        </w:tc>
        <w:tc>
          <w:tcPr>
            <w:tcW w:w="980" w:type="dxa"/>
            <w:vAlign w:val="bottom"/>
            <w:gridSpan w:val="2"/>
            <w:vMerge w:val="restart"/>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8"/>
              </w:rPr>
              <w:t>10.5%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13,893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14,157</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4.7%</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12/31/2025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12,303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12,364</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4.1%</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6/6/2026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3,286</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3,290</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12/3/2027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2,875</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2,875</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3/28/2027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14,579</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14,817</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4.9%</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3/31/2026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5,073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5,069</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1.7%</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11/28/2025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4,393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4,396</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18.50%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8/4/2025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3,086</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3,130</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17.00%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5/26/2022</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5/26/2027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40,504</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40,385</w:t>
            </w:r>
          </w:p>
        </w:tc>
        <w:tc>
          <w:tcPr>
            <w:tcW w:w="980" w:type="dxa"/>
            <w:vAlign w:val="bottom"/>
            <w:gridSpan w:val="2"/>
            <w:vMerge w:val="restart"/>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8"/>
              </w:rPr>
              <w:t>13.4%</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16.50%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7/29/2026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2,873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2,882</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51,760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52,027</w:t>
            </w:r>
          </w:p>
        </w:tc>
        <w:tc>
          <w:tcPr>
            <w:tcW w:w="980" w:type="dxa"/>
            <w:vAlign w:val="bottom"/>
            <w:gridSpan w:val="2"/>
            <w:vMerge w:val="restart"/>
          </w:tcPr>
          <w:p>
            <w:pPr>
              <w:jc w:val="center"/>
              <w:ind w:left="126"/>
              <w:spacing w:after="0"/>
              <w:rPr>
                <w:sz w:val="20"/>
                <w:szCs w:val="20"/>
                <w:color w:val="auto"/>
              </w:rPr>
            </w:pPr>
            <w:r>
              <w:rPr>
                <w:rFonts w:ascii="Times New Roman" w:cs="Times New Roman" w:eastAsia="Times New Roman" w:hAnsi="Times New Roman"/>
                <w:sz w:val="11"/>
                <w:szCs w:val="11"/>
                <w:color w:val="auto"/>
                <w:w w:val="98"/>
              </w:rPr>
              <w:t>17.2%</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10/27/2024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10/30/2026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(10)(14)</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202,673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203,447</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67.6%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14.40%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12/17/2025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144</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14.40%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1/6/2027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1,431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1,455</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14.75%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200" w:type="dxa"/>
            <w:vAlign w:val="bottom"/>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0.7%</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7.25%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3,772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3,811</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1.3%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20.25%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2,797</w:t>
            </w:r>
          </w:p>
        </w:tc>
        <w:tc>
          <w:tcPr>
            <w:tcW w:w="200" w:type="dxa"/>
            <w:vAlign w:val="bottom"/>
            <w:vMerge w:val="restart"/>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3/31/2025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2,754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2,797</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12.25%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3,417</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3,407</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1,870</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1,864</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0.6%</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17.50%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2.2%</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11,860</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11,771</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3.9%</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12.28%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10,273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10,323</w:t>
            </w:r>
          </w:p>
        </w:tc>
        <w:tc>
          <w:tcPr>
            <w:tcW w:w="200" w:type="dxa"/>
            <w:vAlign w:val="bottom"/>
            <w:vMerge w:val="restart"/>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3.4%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9/18/2026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10,273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10,323</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12.00%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00" w:type="dxa"/>
            <w:vAlign w:val="bottom"/>
            <w:vMerge w:val="restart"/>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5/31/2029</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1,406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1,452</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12.03%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3,275</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9/22/2025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3,285</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3,275</w:t>
            </w:r>
          </w:p>
        </w:tc>
        <w:tc>
          <w:tcPr>
            <w:tcW w:w="2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1.1%</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236,876</w:t>
            </w:r>
          </w:p>
        </w:tc>
        <w:tc>
          <w:tcPr>
            <w:tcW w:w="9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78.7%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12.75%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7/16/2024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7/16/2029</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3,331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3,308</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8.00%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4,142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4,253</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1.4%</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10/11/2022</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12/15/2026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(9)(14)</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7,473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7,561</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15.00%</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8"/>
              </w:rPr>
              <w:t>10/2/2028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21,980</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7.3%</w:t>
            </w:r>
          </w:p>
        </w:tc>
        <w:tc>
          <w:tcPr>
            <w:tcW w:w="8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18.80%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5,096</w:t>
            </w:r>
          </w:p>
        </w:tc>
        <w:tc>
          <w:tcPr>
            <w:tcW w:w="200" w:type="dxa"/>
            <w:vAlign w:val="bottom"/>
            <w:vMerge w:val="restart"/>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13.80%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11/29/2027</w:t>
            </w: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27,095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27,096</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9.0%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-7028815</wp:posOffset>
            </wp:positionV>
            <wp:extent cx="7132320" cy="30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-6565900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-6257290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-5948680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-5640070</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-5331460</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-5022850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-4714240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-4405630</wp:posOffset>
            </wp:positionV>
            <wp:extent cx="7132320" cy="768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-4251325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-3634105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-3325495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-3093720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-2553970</wp:posOffset>
            </wp:positionV>
            <wp:extent cx="7132320" cy="77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-2322195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-1704975</wp:posOffset>
            </wp:positionV>
            <wp:extent cx="7132320" cy="76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-1233805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-1002030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-694055</wp:posOffset>
            </wp:positionV>
            <wp:extent cx="7132320" cy="76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-539115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-3942715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-2785110</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-2014220</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-1473835</wp:posOffset>
            </wp:positionV>
            <wp:extent cx="713232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-153670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560" w:space="100"/>
            <w:col w:w="8580"/>
          </w:cols>
          <w:pgMar w:left="320" w:top="11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2"/>
              </w:rPr>
              <w:t>All in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Benchmark </w:t>
            </w:r>
            <w:r>
              <w:rPr>
                <w:rFonts w:ascii="Times New Roman" w:cs="Times New Roman" w:eastAsia="Times New Roman" w:hAnsi="Times New Roman"/>
                <w:sz w:val="14"/>
                <w:szCs w:val="14"/>
                <w:b w:val="1"/>
                <w:bCs w:val="1"/>
                <w:color w:val="auto"/>
                <w:w w:val="93"/>
                <w:vertAlign w:val="superscript"/>
              </w:rPr>
              <w:t>(3)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3"/>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21"/>
                <w:szCs w:val="21"/>
                <w:b w:val="1"/>
                <w:bCs w:val="1"/>
                <w:color w:val="auto"/>
                <w:w w:val="94"/>
                <w:vertAlign w:val="subscript"/>
              </w:rPr>
              <w:t>Par</w:t>
            </w:r>
            <w:r>
              <w:rPr>
                <w:rFonts w:ascii="Times New Roman" w:cs="Times New Roman" w:eastAsia="Times New Roman" w:hAnsi="Times New Roman"/>
                <w:sz w:val="7"/>
                <w:szCs w:val="7"/>
                <w:b w:val="1"/>
                <w:bCs w:val="1"/>
                <w:color w:val="auto"/>
                <w:w w:val="94"/>
              </w:rPr>
              <w:t xml:space="preserve"> (2)</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Facility Type</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220" w:type="dxa"/>
            <w:vAlign w:val="bottom"/>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2"/>
                <w:szCs w:val="12"/>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PIK</w:t>
            </w:r>
          </w:p>
        </w:tc>
        <w:tc>
          <w:tcPr>
            <w:tcW w:w="1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00" w:type="dxa"/>
            <w:vAlign w:val="bottom"/>
          </w:tcPr>
          <w:p>
            <w:pPr>
              <w:spacing w:after="0"/>
              <w:rPr>
                <w:sz w:val="12"/>
                <w:szCs w:val="12"/>
                <w:color w:val="auto"/>
              </w:rPr>
            </w:pPr>
          </w:p>
        </w:tc>
        <w:tc>
          <w:tcPr>
            <w:tcW w:w="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w w:val="85"/>
              </w:rPr>
              <w:t xml:space="preserve">Cost </w:t>
            </w:r>
            <w:r>
              <w:rPr>
                <w:rFonts w:ascii="Times New Roman" w:cs="Times New Roman" w:eastAsia="Times New Roman" w:hAnsi="Times New Roman"/>
                <w:sz w:val="14"/>
                <w:szCs w:val="14"/>
                <w:b w:val="1"/>
                <w:bCs w:val="1"/>
                <w:color w:val="auto"/>
                <w:w w:val="85"/>
                <w:vertAlign w:val="superscript"/>
              </w:rPr>
              <w:t>(17)</w:t>
            </w:r>
          </w:p>
        </w:tc>
        <w:tc>
          <w:tcPr>
            <w:tcW w:w="22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Footnote</w:t>
            </w:r>
          </w:p>
        </w:tc>
        <w:tc>
          <w:tcPr>
            <w:tcW w:w="0" w:type="dxa"/>
            <w:vAlign w:val="bottom"/>
          </w:tcPr>
          <w:p>
            <w:pPr>
              <w:spacing w:after="0"/>
              <w:rPr>
                <w:sz w:val="1"/>
                <w:szCs w:val="1"/>
                <w:color w:val="auto"/>
              </w:rPr>
            </w:pPr>
          </w:p>
        </w:tc>
      </w:tr>
      <w:tr>
        <w:trPr>
          <w:trHeight w:val="99"/>
        </w:trPr>
        <w:tc>
          <w:tcPr>
            <w:tcW w:w="1740" w:type="dxa"/>
            <w:vAlign w:val="bottom"/>
            <w:gridSpan w:val="6"/>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Senior Secured</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34,568</w:t>
            </w: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34,657</w:t>
            </w:r>
          </w:p>
        </w:tc>
        <w:tc>
          <w:tcPr>
            <w:tcW w:w="980" w:type="dxa"/>
            <w:vAlign w:val="bottom"/>
            <w:gridSpan w:val="3"/>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11.5%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64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U.S. Notes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Borders>
              <w:left w:val="single" w:sz="8" w:color="CFF0FC"/>
            </w:tcBorders>
            <w:gridSpan w:val="6"/>
            <w:shd w:val="clear" w:color="auto" w:fill="CFF0FC"/>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U.S. Corporate</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CFF0FC"/>
            </w:tcBorders>
            <w:shd w:val="clear" w:color="auto" w:fill="CFF0FC"/>
          </w:tcPr>
          <w:p>
            <w:pPr>
              <w:spacing w:after="0"/>
              <w:rPr>
                <w:sz w:val="11"/>
                <w:szCs w:val="11"/>
                <w:color w:val="auto"/>
              </w:rPr>
            </w:pPr>
          </w:p>
        </w:tc>
        <w:tc>
          <w:tcPr>
            <w:tcW w:w="16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Debt</w:t>
            </w:r>
          </w:p>
        </w:tc>
        <w:tc>
          <w:tcPr>
            <w:tcW w:w="8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270,590</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271,532</w:t>
            </w:r>
          </w:p>
        </w:tc>
        <w:tc>
          <w:tcPr>
            <w:tcW w:w="980" w:type="dxa"/>
            <w:vAlign w:val="bottom"/>
            <w:gridSpan w:val="3"/>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90.2%</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4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200" w:type="dxa"/>
            <w:vAlign w:val="bottom"/>
            <w:tcBorders>
              <w:top w:val="single" w:sz="8" w:color="auto"/>
            </w:tcBorders>
            <w:gridSpan w:val="5"/>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0" w:type="dxa"/>
            <w:vAlign w:val="bottom"/>
            <w:tcBorders>
              <w:top w:val="single" w:sz="8" w:color="auto"/>
              <w:left w:val="single" w:sz="8" w:color="CFF0FC"/>
            </w:tcBorders>
            <w:gridSpan w:val="3"/>
            <w:shd w:val="clear" w:color="auto" w:fill="CFF0FC"/>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960" w:type="dxa"/>
            <w:vAlign w:val="bottom"/>
            <w:gridSpan w:val="3"/>
            <w:shd w:val="clear" w:color="auto" w:fill="CFF0FC"/>
          </w:tcPr>
          <w:p>
            <w:pPr>
              <w:spacing w:after="0"/>
              <w:rPr>
                <w:sz w:val="8"/>
                <w:szCs w:val="8"/>
                <w:color w:val="auto"/>
              </w:rPr>
            </w:pP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CFF0FC"/>
            </w:tcBorders>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74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color w:val="auto"/>
              </w:rPr>
              <w:t>Tulip.io Inc.</w:t>
            </w:r>
          </w:p>
        </w:tc>
        <w:tc>
          <w:tcPr>
            <w:tcW w:w="820" w:type="dxa"/>
            <w:vAlign w:val="bottom"/>
          </w:tcPr>
          <w:p>
            <w:pPr>
              <w:spacing w:after="0"/>
              <w:rPr>
                <w:sz w:val="8"/>
                <w:szCs w:val="8"/>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14.50%</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3.0</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220" w:type="dxa"/>
            <w:vAlign w:val="bottom"/>
            <w:vMerge w:val="restart"/>
          </w:tcPr>
          <w:p>
            <w:pPr>
              <w:spacing w:after="0"/>
              <w:rPr>
                <w:sz w:val="8"/>
                <w:szCs w:val="8"/>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2,984</w:t>
            </w:r>
          </w:p>
        </w:tc>
        <w:tc>
          <w:tcPr>
            <w:tcW w:w="200" w:type="dxa"/>
            <w:vAlign w:val="bottom"/>
            <w:gridSpan w:val="2"/>
            <w:vMerge w:val="restart"/>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740" w:type="dxa"/>
            <w:vAlign w:val="bottom"/>
            <w:gridSpan w:val="6"/>
            <w:vMerge w:val="continue"/>
          </w:tcPr>
          <w:p>
            <w:pPr>
              <w:spacing w:after="0"/>
              <w:rPr>
                <w:sz w:val="6"/>
                <w:szCs w:val="6"/>
                <w:color w:val="auto"/>
              </w:rPr>
            </w:pPr>
          </w:p>
        </w:tc>
        <w:tc>
          <w:tcPr>
            <w:tcW w:w="820" w:type="dxa"/>
            <w:vAlign w:val="bottom"/>
            <w:vMerge w:val="restart"/>
          </w:tcPr>
          <w:p>
            <w:pPr>
              <w:ind w:left="8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continue"/>
          </w:tcPr>
          <w:p>
            <w:pPr>
              <w:spacing w:after="0"/>
              <w:rPr>
                <w:sz w:val="6"/>
                <w:szCs w:val="6"/>
                <w:color w:val="auto"/>
              </w:rPr>
            </w:pPr>
          </w:p>
        </w:tc>
        <w:tc>
          <w:tcPr>
            <w:tcW w:w="72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4"/>
            <w:vMerge w:val="restart"/>
          </w:tcPr>
          <w:p>
            <w:pPr>
              <w:ind w:left="36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420" w:type="dxa"/>
            <w:vAlign w:val="bottom"/>
            <w:gridSpan w:val="4"/>
            <w:vMerge w:val="restart"/>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2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gridSpan w:val="3"/>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11/4/2024</w:t>
            </w:r>
          </w:p>
        </w:tc>
        <w:tc>
          <w:tcPr>
            <w:tcW w:w="720" w:type="dxa"/>
            <w:vAlign w:val="bottom"/>
            <w:gridSpan w:val="4"/>
            <w:vMerge w:val="restart"/>
          </w:tcPr>
          <w:p>
            <w:pPr>
              <w:ind w:left="180"/>
              <w:spacing w:after="0" w:line="122" w:lineRule="exact"/>
              <w:rPr>
                <w:sz w:val="20"/>
                <w:szCs w:val="20"/>
                <w:color w:val="auto"/>
              </w:rPr>
            </w:pPr>
            <w:r>
              <w:rPr>
                <w:rFonts w:ascii="Times New Roman" w:cs="Times New Roman" w:eastAsia="Times New Roman" w:hAnsi="Times New Roman"/>
                <w:sz w:val="11"/>
                <w:szCs w:val="11"/>
                <w:color w:val="auto"/>
              </w:rPr>
              <w:t>11/4/2028</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4"/>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40" w:type="dxa"/>
            <w:vAlign w:val="bottom"/>
            <w:tcBorders>
              <w:bottom w:val="single" w:sz="8" w:color="auto"/>
            </w:tcBorders>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20" w:type="dxa"/>
            <w:vAlign w:val="bottom"/>
            <w:tcBorders>
              <w:bottom w:val="single" w:sz="8" w:color="auto"/>
            </w:tcBorders>
            <w:gridSpan w:val="2"/>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tcBorders>
            <w:gridSpan w:val="6"/>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8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3,014</w:t>
            </w:r>
          </w:p>
        </w:tc>
        <w:tc>
          <w:tcPr>
            <w:tcW w:w="84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2,984</w:t>
            </w:r>
          </w:p>
        </w:tc>
        <w:tc>
          <w:tcPr>
            <w:tcW w:w="980" w:type="dxa"/>
            <w:vAlign w:val="bottom"/>
            <w:gridSpan w:val="3"/>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Borders>
              <w:top w:val="single" w:sz="8" w:color="CFF0FC"/>
            </w:tcBorders>
            <w:gridSpan w:val="6"/>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8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8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6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Secured Canadian</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3,014</w:t>
            </w:r>
          </w:p>
        </w:tc>
        <w:tc>
          <w:tcPr>
            <w:tcW w:w="220" w:type="dxa"/>
            <w:vAlign w:val="bottom"/>
            <w:vMerge w:val="restart"/>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2,984</w:t>
            </w:r>
          </w:p>
        </w:tc>
        <w:tc>
          <w:tcPr>
            <w:tcW w:w="200" w:type="dxa"/>
            <w:vAlign w:val="bottom"/>
            <w:gridSpan w:val="2"/>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0"/>
                <w:szCs w:val="10"/>
                <w:color w:val="auto"/>
              </w:rPr>
            </w:pPr>
          </w:p>
        </w:tc>
        <w:tc>
          <w:tcPr>
            <w:tcW w:w="164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Debt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540" w:type="dxa"/>
            <w:vAlign w:val="bottom"/>
            <w:tcBorders>
              <w:bottom w:val="single" w:sz="8" w:color="auto"/>
            </w:tcBorders>
            <w:gridSpan w:val="3"/>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Borders>
              <w:left w:val="single" w:sz="8" w:color="CFF0FC"/>
            </w:tcBorders>
            <w:gridSpan w:val="6"/>
            <w:shd w:val="clear" w:color="auto" w:fill="CFF0FC"/>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Canadian</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spacing w:after="0"/>
              <w:rPr>
                <w:sz w:val="8"/>
                <w:szCs w:val="8"/>
                <w:color w:val="auto"/>
              </w:rPr>
            </w:pPr>
          </w:p>
        </w:tc>
        <w:tc>
          <w:tcPr>
            <w:tcW w:w="5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3,014</w:t>
            </w:r>
          </w:p>
        </w:tc>
        <w:tc>
          <w:tcPr>
            <w:tcW w:w="220" w:type="dxa"/>
            <w:vAlign w:val="bottom"/>
            <w:vMerge w:val="restart"/>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2,984</w:t>
            </w:r>
          </w:p>
        </w:tc>
        <w:tc>
          <w:tcPr>
            <w:tcW w:w="200" w:type="dxa"/>
            <w:vAlign w:val="bottom"/>
            <w:gridSpan w:val="2"/>
            <w:vMerge w:val="restart"/>
            <w:shd w:val="clear" w:color="auto" w:fill="CFF0FC"/>
          </w:tcPr>
          <w:p>
            <w:pPr>
              <w:spacing w:after="0"/>
              <w:rPr>
                <w:sz w:val="8"/>
                <w:szCs w:val="8"/>
                <w:color w:val="auto"/>
              </w:rPr>
            </w:pPr>
          </w:p>
        </w:tc>
        <w:tc>
          <w:tcPr>
            <w:tcW w:w="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0" w:type="dxa"/>
            <w:vAlign w:val="bottom"/>
            <w:tcBorders>
              <w:left w:val="single" w:sz="8" w:color="CFF0FC"/>
              <w:bottom w:val="single" w:sz="8" w:color="CFF0FC"/>
            </w:tcBorders>
            <w:shd w:val="clear" w:color="auto" w:fill="CFF0FC"/>
          </w:tcPr>
          <w:p>
            <w:pPr>
              <w:spacing w:after="0"/>
              <w:rPr>
                <w:sz w:val="10"/>
                <w:szCs w:val="10"/>
                <w:color w:val="auto"/>
              </w:rPr>
            </w:pPr>
          </w:p>
        </w:tc>
        <w:tc>
          <w:tcPr>
            <w:tcW w:w="1640" w:type="dxa"/>
            <w:vAlign w:val="bottom"/>
            <w:tcBorders>
              <w:bottom w:val="single" w:sz="8" w:color="CFF0FC"/>
            </w:tcBorders>
            <w:gridSpan w:val="5"/>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Corporate Debt</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gridSpan w:val="3"/>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620" w:type="dxa"/>
            <w:vAlign w:val="bottom"/>
            <w:tcBorders>
              <w:bottom w:val="single" w:sz="8" w:color="auto"/>
            </w:tcBorders>
            <w:gridSpan w:val="2"/>
            <w:vMerge w:val="continue"/>
            <w:shd w:val="clear" w:color="auto" w:fill="CFF0FC"/>
          </w:tcPr>
          <w:p>
            <w:pPr>
              <w:spacing w:after="0"/>
              <w:rPr>
                <w:sz w:val="10"/>
                <w:szCs w:val="10"/>
                <w:color w:val="auto"/>
              </w:rPr>
            </w:pPr>
          </w:p>
        </w:tc>
        <w:tc>
          <w:tcPr>
            <w:tcW w:w="200" w:type="dxa"/>
            <w:vAlign w:val="bottom"/>
            <w:tcBorders>
              <w:bottom w:val="single" w:sz="8" w:color="CFF0FC"/>
            </w:tcBorders>
            <w:gridSpan w:val="2"/>
            <w:vMerge w:val="continue"/>
            <w:shd w:val="clear" w:color="auto" w:fill="CFF0FC"/>
          </w:tcPr>
          <w:p>
            <w:pPr>
              <w:spacing w:after="0"/>
              <w:rPr>
                <w:sz w:val="10"/>
                <w:szCs w:val="10"/>
                <w:color w:val="auto"/>
              </w:rPr>
            </w:pPr>
          </w:p>
        </w:tc>
        <w:tc>
          <w:tcPr>
            <w:tcW w:w="780" w:type="dxa"/>
            <w:vAlign w:val="bottom"/>
            <w:tcBorders>
              <w:bottom w:val="single" w:sz="8" w:color="auto"/>
            </w:tcBorders>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273,604</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274,516</w:t>
            </w:r>
          </w:p>
        </w:tc>
        <w:tc>
          <w:tcPr>
            <w:tcW w:w="980" w:type="dxa"/>
            <w:vAlign w:val="bottom"/>
            <w:gridSpan w:val="3"/>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91.2%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Class Series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4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6"/>
                <w:szCs w:val="6"/>
                <w:b w:val="1"/>
                <w:bCs w:val="1"/>
                <w:color w:val="auto"/>
              </w:rPr>
              <w:t xml:space="preserve"> (17)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 of Net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Footnote</w:t>
            </w:r>
          </w:p>
        </w:tc>
        <w:tc>
          <w:tcPr>
            <w:tcW w:w="0" w:type="dxa"/>
            <w:vAlign w:val="bottom"/>
          </w:tcPr>
          <w:p>
            <w:pPr>
              <w:spacing w:after="0"/>
              <w:rPr>
                <w:sz w:val="1"/>
                <w:szCs w:val="1"/>
                <w:color w:val="auto"/>
              </w:rPr>
            </w:pPr>
          </w:p>
        </w:tc>
      </w:tr>
      <w:tr>
        <w:trPr>
          <w:trHeight w:val="102"/>
        </w:trPr>
        <w:tc>
          <w:tcPr>
            <w:tcW w:w="1740" w:type="dxa"/>
            <w:vAlign w:val="bottom"/>
            <w:tcBorders>
              <w:top w:val="single" w:sz="8" w:color="auto"/>
              <w:left w:val="single" w:sz="8" w:color="CFF0FC"/>
            </w:tcBorders>
            <w:gridSpan w:val="6"/>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U.S. Preferred Stock</w:t>
            </w:r>
          </w:p>
        </w:tc>
        <w:tc>
          <w:tcPr>
            <w:tcW w:w="820" w:type="dxa"/>
            <w:vAlign w:val="bottom"/>
            <w:tcBorders>
              <w:top w:val="single" w:sz="8" w:color="auto"/>
              <w:lef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 w:type="dxa"/>
            <w:vAlign w:val="bottom"/>
          </w:tcPr>
          <w:p>
            <w:pPr>
              <w:spacing w:after="0"/>
              <w:rPr>
                <w:sz w:val="8"/>
                <w:szCs w:val="8"/>
                <w:color w:val="auto"/>
              </w:rPr>
            </w:pPr>
          </w:p>
        </w:tc>
        <w:tc>
          <w:tcPr>
            <w:tcW w:w="1640" w:type="dxa"/>
            <w:vAlign w:val="bottom"/>
            <w:gridSpan w:val="5"/>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5"/>
              </w:rPr>
              <w:t>Real Estate and Rental and Leasing</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40" w:type="dxa"/>
            <w:vAlign w:val="bottom"/>
            <w:tcBorders>
              <w:left w:val="single" w:sz="8" w:color="CFF0FC"/>
              <w:bottom w:val="single" w:sz="8" w:color="CFF0FC"/>
            </w:tcBorders>
            <w:gridSpan w:val="6"/>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gridSpan w:val="4"/>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A-1 Preferred</w:t>
            </w: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gridSpan w:val="3"/>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500,000</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84"/>
              </w:rPr>
              <w:t>500</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rPr>
              <w:t>0.2%</w:t>
            </w:r>
          </w:p>
        </w:tc>
        <w:tc>
          <w:tcPr>
            <w:tcW w:w="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CFF0FC"/>
            </w:tcBorders>
            <w:gridSpan w:val="3"/>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6"/>
              </w:rPr>
              <w:t>(6)(10)</w:t>
            </w:r>
          </w:p>
        </w:tc>
        <w:tc>
          <w:tcPr>
            <w:tcW w:w="0" w:type="dxa"/>
            <w:vAlign w:val="bottom"/>
          </w:tcPr>
          <w:p>
            <w:pPr>
              <w:spacing w:after="0"/>
              <w:rPr>
                <w:sz w:val="1"/>
                <w:szCs w:val="1"/>
                <w:color w:val="auto"/>
              </w:rPr>
            </w:pPr>
          </w:p>
        </w:tc>
      </w:tr>
      <w:tr>
        <w:trPr>
          <w:trHeight w:val="115"/>
        </w:trPr>
        <w:tc>
          <w:tcPr>
            <w:tcW w:w="2560" w:type="dxa"/>
            <w:vAlign w:val="bottom"/>
            <w:gridSpan w:val="7"/>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500</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tcBorders>
            <w:gridSpan w:val="6"/>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U.S. Preferred Stock</w:t>
            </w:r>
          </w:p>
        </w:tc>
        <w:tc>
          <w:tcPr>
            <w:tcW w:w="8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500</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180" w:type="dxa"/>
            <w:vAlign w:val="bottom"/>
            <w:shd w:val="clear" w:color="auto" w:fill="CFF0FC"/>
          </w:tcPr>
          <w:p>
            <w:pPr>
              <w:spacing w:after="0"/>
              <w:rPr>
                <w:sz w:val="10"/>
                <w:szCs w:val="10"/>
                <w:color w:val="auto"/>
              </w:rPr>
            </w:pPr>
          </w:p>
        </w:tc>
        <w:tc>
          <w:tcPr>
            <w:tcW w:w="980" w:type="dxa"/>
            <w:vAlign w:val="bottom"/>
            <w:gridSpan w:val="3"/>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U .S. Warrants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 w:type="dxa"/>
            <w:vAlign w:val="bottom"/>
            <w:tcBorders>
              <w:left w:val="single" w:sz="8" w:color="CFF0FC"/>
            </w:tcBorders>
            <w:shd w:val="clear" w:color="auto" w:fill="CFF0FC"/>
          </w:tcPr>
          <w:p>
            <w:pPr>
              <w:spacing w:after="0"/>
              <w:rPr>
                <w:sz w:val="8"/>
                <w:szCs w:val="8"/>
                <w:color w:val="auto"/>
              </w:rPr>
            </w:pPr>
          </w:p>
        </w:tc>
        <w:tc>
          <w:tcPr>
            <w:tcW w:w="1640" w:type="dxa"/>
            <w:vAlign w:val="bottom"/>
            <w:gridSpan w:val="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5"/>
              </w:rPr>
              <w:t>Real Estate and Rental and Leasing</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4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color w:val="auto"/>
              </w:rPr>
              <w:t>A-3 Warrants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71,000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97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91</w:t>
            </w:r>
          </w:p>
        </w:tc>
        <w:tc>
          <w:tcPr>
            <w:tcW w:w="180" w:type="dxa"/>
            <w:vAlign w:val="bottom"/>
          </w:tcPr>
          <w:p>
            <w:pPr>
              <w:spacing w:after="0"/>
              <w:rPr>
                <w:sz w:val="10"/>
                <w:szCs w:val="10"/>
                <w:color w:val="auto"/>
              </w:rPr>
            </w:pPr>
          </w:p>
        </w:tc>
        <w:tc>
          <w:tcPr>
            <w:tcW w:w="980" w:type="dxa"/>
            <w:vAlign w:val="bottom"/>
            <w:gridSpan w:val="3"/>
          </w:tcPr>
          <w:p>
            <w:pPr>
              <w:jc w:val="center"/>
              <w:ind w:left="6"/>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820" w:type="dxa"/>
            <w:vAlign w:val="bottom"/>
            <w:gridSpan w:val="4"/>
          </w:tcPr>
          <w:p>
            <w:pPr>
              <w:jc w:val="center"/>
              <w:ind w:left="66"/>
              <w:spacing w:after="0" w:line="115" w:lineRule="exact"/>
              <w:rPr>
                <w:sz w:val="20"/>
                <w:szCs w:val="20"/>
                <w:color w:val="auto"/>
              </w:rPr>
            </w:pPr>
            <w:r>
              <w:rPr>
                <w:rFonts w:ascii="Times New Roman" w:cs="Times New Roman" w:eastAsia="Times New Roman" w:hAnsi="Times New Roman"/>
                <w:sz w:val="11"/>
                <w:szCs w:val="11"/>
                <w:color w:val="auto"/>
                <w:w w:val="96"/>
              </w:rPr>
              <w:t>(6)(10)</w:t>
            </w:r>
          </w:p>
        </w:tc>
        <w:tc>
          <w:tcPr>
            <w:tcW w:w="0" w:type="dxa"/>
            <w:vAlign w:val="bottom"/>
          </w:tcPr>
          <w:p>
            <w:pPr>
              <w:spacing w:after="0"/>
              <w:rPr>
                <w:sz w:val="1"/>
                <w:szCs w:val="1"/>
                <w:color w:val="auto"/>
              </w:rPr>
            </w:pPr>
          </w:p>
        </w:tc>
      </w:tr>
      <w:tr>
        <w:trPr>
          <w:trHeight w:val="122"/>
        </w:trPr>
        <w:tc>
          <w:tcPr>
            <w:tcW w:w="1740" w:type="dxa"/>
            <w:vAlign w:val="bottom"/>
            <w:tcBorders>
              <w:left w:val="single" w:sz="8" w:color="CFF0FC"/>
              <w:bottom w:val="single" w:sz="8" w:color="CFF0FC"/>
            </w:tcBorders>
            <w:gridSpan w:val="6"/>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gridSpan w:val="4"/>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A-4 Warrants</w:t>
            </w: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gridSpan w:val="3"/>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105,000</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84"/>
              </w:rPr>
              <w:t>146</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CFF0FC"/>
            </w:tcBorders>
            <w:gridSpan w:val="3"/>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6"/>
              </w:rPr>
              <w:t>(6)(10)</w:t>
            </w:r>
          </w:p>
        </w:tc>
        <w:tc>
          <w:tcPr>
            <w:tcW w:w="0" w:type="dxa"/>
            <w:vAlign w:val="bottom"/>
          </w:tcPr>
          <w:p>
            <w:pPr>
              <w:spacing w:after="0"/>
              <w:rPr>
                <w:sz w:val="1"/>
                <w:szCs w:val="1"/>
                <w:color w:val="auto"/>
              </w:rPr>
            </w:pPr>
          </w:p>
        </w:tc>
      </w:tr>
      <w:tr>
        <w:trPr>
          <w:trHeight w:val="115"/>
        </w:trPr>
        <w:tc>
          <w:tcPr>
            <w:tcW w:w="2560" w:type="dxa"/>
            <w:vAlign w:val="bottom"/>
            <w:gridSpan w:val="7"/>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243</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tcBorders>
            <w:gridSpan w:val="6"/>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U.S. Warrants</w:t>
            </w:r>
          </w:p>
        </w:tc>
        <w:tc>
          <w:tcPr>
            <w:tcW w:w="8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243</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225</w:t>
            </w:r>
          </w:p>
        </w:tc>
        <w:tc>
          <w:tcPr>
            <w:tcW w:w="180" w:type="dxa"/>
            <w:vAlign w:val="bottom"/>
            <w:shd w:val="clear" w:color="auto" w:fill="CFF0FC"/>
          </w:tcPr>
          <w:p>
            <w:pPr>
              <w:spacing w:after="0"/>
              <w:rPr>
                <w:sz w:val="10"/>
                <w:szCs w:val="10"/>
                <w:color w:val="auto"/>
              </w:rPr>
            </w:pPr>
          </w:p>
        </w:tc>
        <w:tc>
          <w:tcPr>
            <w:tcW w:w="980" w:type="dxa"/>
            <w:vAlign w:val="bottom"/>
            <w:gridSpan w:val="3"/>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gridSpan w:val="4"/>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Canadian Warrants</w:t>
            </w:r>
          </w:p>
        </w:tc>
        <w:tc>
          <w:tcPr>
            <w:tcW w:w="78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0" w:type="dxa"/>
            <w:vAlign w:val="bottom"/>
            <w:tcBorders>
              <w:left w:val="single" w:sz="8" w:color="CFF0FC"/>
            </w:tcBorders>
            <w:shd w:val="clear" w:color="auto" w:fill="CFF0FC"/>
          </w:tcPr>
          <w:p>
            <w:pPr>
              <w:spacing w:after="0"/>
              <w:rPr>
                <w:sz w:val="8"/>
                <w:szCs w:val="8"/>
                <w:color w:val="auto"/>
              </w:rPr>
            </w:pPr>
          </w:p>
        </w:tc>
        <w:tc>
          <w:tcPr>
            <w:tcW w:w="1640" w:type="dxa"/>
            <w:vAlign w:val="bottom"/>
            <w:gridSpan w:val="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4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auto"/>
              </w:rPr>
              <w:t>Tulip.io Inc.</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color w:val="auto"/>
              </w:rPr>
              <w:t>Warrants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11/4/2024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64,776</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20" w:type="dxa"/>
            <w:vAlign w:val="bottom"/>
            <w:tcBorders>
              <w:bottom w:val="single" w:sz="8" w:color="auto"/>
            </w:tcBorders>
          </w:tcPr>
          <w:p>
            <w:pPr>
              <w:spacing w:after="0"/>
              <w:rPr>
                <w:sz w:val="10"/>
                <w:szCs w:val="10"/>
                <w:color w:val="auto"/>
              </w:rPr>
            </w:pPr>
          </w:p>
        </w:tc>
        <w:tc>
          <w:tcPr>
            <w:tcW w:w="800" w:type="dxa"/>
            <w:vAlign w:val="bottom"/>
            <w:gridSpan w:val="3"/>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5"/>
              </w:rPr>
              <w:t>(6)(8)(14)</w:t>
            </w: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bottom w:val="single" w:sz="8" w:color="CFF0FC"/>
            </w:tcBorders>
            <w:gridSpan w:val="6"/>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6"/>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Warrants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bottom w:val="single" w:sz="8" w:color="CFF0FC"/>
            </w:tcBorders>
            <w:gridSpan w:val="6"/>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Equity Investments</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743</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725</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2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274,347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275,241</w:t>
            </w:r>
          </w:p>
        </w:tc>
        <w:tc>
          <w:tcPr>
            <w:tcW w:w="180" w:type="dxa"/>
            <w:vAlign w:val="bottom"/>
          </w:tcPr>
          <w:p>
            <w:pPr>
              <w:spacing w:after="0"/>
              <w:rPr>
                <w:sz w:val="11"/>
                <w:szCs w:val="11"/>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91.4%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-2318385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-2318385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-2318385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-1932940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-1932940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-1932940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-1238250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-1238250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-1238250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-758190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-758190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-758190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-269875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-269875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-269875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-98425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-98425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-98425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494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2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Footnote</w:t>
            </w:r>
          </w:p>
        </w:tc>
      </w:tr>
      <w:tr>
        <w:trPr>
          <w:trHeight w:val="155"/>
        </w:trPr>
        <w:tc>
          <w:tcPr>
            <w:tcW w:w="4940" w:type="dxa"/>
            <w:vAlign w:val="bottom"/>
            <w:tcBorders>
              <w:top w:val="single" w:sz="8" w:color="auto"/>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&amp; Cash Equivalents</w:t>
            </w:r>
          </w:p>
        </w:tc>
        <w:tc>
          <w:tcPr>
            <w:tcW w:w="12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r>
      <w:tr>
        <w:trPr>
          <w:trHeight w:val="20"/>
        </w:trPr>
        <w:tc>
          <w:tcPr>
            <w:tcW w:w="1780" w:type="dxa"/>
            <w:vAlign w:val="bottom"/>
            <w:tcBorders>
              <w:top w:val="single" w:sz="8" w:color="auto"/>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r>
      <w:tr>
        <w:trPr>
          <w:trHeight w:val="203"/>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Street Institutional US Government Money Market Fund</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4.43%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23,932</w:t>
            </w:r>
          </w:p>
        </w:tc>
        <w:tc>
          <w:tcPr>
            <w:tcW w:w="13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7.9%</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color w:val="auto"/>
              </w:rPr>
              <w:t>(15)(16)</w:t>
            </w:r>
          </w:p>
        </w:tc>
      </w:tr>
      <w:tr>
        <w:trPr>
          <w:trHeight w:val="203"/>
        </w:trPr>
        <w:tc>
          <w:tcPr>
            <w:tcW w:w="49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Total Cash &amp; Cash Equivalents</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23,932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23,932</w:t>
            </w:r>
          </w:p>
        </w:tc>
        <w:tc>
          <w:tcPr>
            <w:tcW w:w="1360" w:type="dxa"/>
            <w:vAlign w:val="bottom"/>
            <w:gridSpan w:val="2"/>
            <w:shd w:val="clear" w:color="auto" w:fill="CFF0FC"/>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7.9%</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189"/>
        </w:trPr>
        <w:tc>
          <w:tcPr>
            <w:tcW w:w="17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Portfolio Investments and Cash &amp; Cash Equivalents</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298,279</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299,174</w:t>
            </w:r>
          </w:p>
        </w:tc>
        <w:tc>
          <w:tcPr>
            <w:tcW w:w="2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99.3%</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securities are valued using significant unobservable inputs, which are categorized as Level 3 assets under the Financial Accounting Standards Board’s Accounting Standards Codification 820's Fair Value Hierarchy.</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December 31, 2024, rates for 1M S, 3M S and 6M S are 4.53%, 4.69%, and 5.03%, respectively. As of December 31, 2024, the P was 7.50%.</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December 31, 2024, no debt investments are deemed as non-income producing.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2024 the aggregate fair value of non-qualifying assets is $59,263,833 or 19.14% of the Company’s total assets.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shown is the annualized seven-day yield as of December 31,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‘Cash and cash equivalents’ on the Statements of Assets and Liabilities.</w:t>
      </w:r>
    </w:p>
    <w:p>
      <w:pPr>
        <w:spacing w:after="0" w:line="9"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Chicago Atlantic BDC, Inc. (formerly, Silver Spike Investment Corp.) (an emerging growth company) (the “Company”, “we” or “our”) was formed on January 25, 2021 as a Maryland corporation structured as an externally managed, closed-end, non-diversified management investment company. The Company has elected to be regulated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and has maintained (and intends to continue to maintain) such election in subsequent taxable years. However, there is no guarantee that the Company will qualify to make such an election for any taxable year.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managed by Chicago Atlantic BDC Advisers, LLC (formerly, Silver Spike Capital, LLC) (the “Adviser”), a registered investment adviser under the Investment Advisers Act of 1940 with the Securities and Exchange Commission (“SEC”). The Adviser has engaged SS&amp;C Technologies, Inc. and ALPS Fund Services, Inc. (“SS&amp;C”), as sub-administrator, to perform administrative services necessary for the Company's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the Company focuses on investments in the cannabis industry, the Company may also invest in growth and technology companies, esoteric and asset-based lending opportunities, and liquidity solutions opportunities.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maximize risk-adjusted returns on equity for its shareholders. The Company seeks to capitalize on, among other things, what it believes to be nascent cannabis industry growth, and drive return on equity by generating current income from its debt investments and capital appreciation from its equity and equity-related investments. The Company intends to achieve its investment objective by investing primarily in secured debt, unsecured debt, equity warrants and direct equity investments in privately held businesses. The Company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acquisition of a portfolio of loans (the “Loan Portfolio”) from Chicago Atlantic Loan Portfolio, LLC ("CALP")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statements have been prepared in accordance with accounting principles generally accepted in the United States of America (“U.S. GAAP”). The Company is an investment company following the accounting and reporting requirements set forth in the Financial Accounting Standards Board (“FASB”) Accounting Standards Codification (“ASC”) 946, </w:t>
      </w:r>
      <w:r>
        <w:rPr>
          <w:rFonts w:ascii="Times New Roman" w:cs="Times New Roman" w:eastAsia="Times New Roman" w:hAnsi="Times New Roman"/>
          <w:sz w:val="18"/>
          <w:szCs w:val="18"/>
          <w:i w:val="1"/>
          <w:iCs w:val="1"/>
          <w:color w:val="auto"/>
        </w:rPr>
        <w:t>Financial Services—Investment Companies</w:t>
      </w:r>
      <w:r>
        <w:rPr>
          <w:rFonts w:ascii="Times New Roman" w:cs="Times New Roman" w:eastAsia="Times New Roman" w:hAnsi="Times New Roman"/>
          <w:sz w:val="18"/>
          <w:szCs w:val="18"/>
          <w:color w:val="auto"/>
        </w:rPr>
        <w:t xml:space="preserve"> and Articles 6 and 12 of Regulation S-X. The financial statements reflect all adjustments and reclassification that, in the opinion of management, are necessary for the fair presentation of results of operations and financial condition as of and 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periods presented. The current period’s results of operations are not necessarily indicative of results that may be achieved for the year ending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in the presentation of prior year financial statements and accompanying notes to conform to the presentation as of and for the three and six months ended June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certain estimates and assumptions affecting reported amounts of assets and liabilities at the date of the financial statements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Cash and cash equivalents consists of funds deposited with financial institutions and short-term (maturity of 90 days or less) liquid investments and money market funds. Funds held in money market funds are considered Level 1 in the fair value hierarchy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ASC 820"). Cash held in demand deposit accounts may exceed the Federal Deposit Insurance Corporation (“FDIC”) insured limit. The Company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any losses on these accounts, and the credit risk exposure is mitigated by the financial strength of the banking institution where the accounts are held. As of June 30, 2025 and December 31, 2024, cash and cash equivalents consisted of $13.8 million and $23.9 million, respectively, all of which are held with high credit quality financial institutions, which are members of the FDIC.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 transactions are recorded on the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the fair value of investments are reflected as a component of the net change in unrealized appreciation (depreciation) from investments on the Statements of Operations. The net change in unrealized appreciation (depreciation) primarily reflects the change in fair value of investments as of the last business day of the reporting period, including the reversal of previously recorded unrealized gains or losses with respect to investments realized during the period.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traded but not yet settled, if any, are reported in payable for investments purchased and receivable for investments sold on the Statements of Assets and Liabilities.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are recorded at their estimated fair value on the Statements of Assets and Liabilities.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the Adviser utilizes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public company method (“GPC”) and the controlling transaction method (“CTM”). The GPC method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same premise as the GPC.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Rule 2a-5 under the 1940 Act, the Board of Directors of the Company (the "Board") designated the Adviser as the Valuation Designee to perform the fair value determinations for the Company, subject to the oversight of the Board and certain Board reporting and other requirements.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85" w:lineRule="exact"/>
        <w:rPr>
          <w:sz w:val="20"/>
          <w:szCs w:val="20"/>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48" w:lineRule="exact"/>
        <w:rPr>
          <w:sz w:val="20"/>
          <w:szCs w:val="20"/>
          <w:color w:val="auto"/>
        </w:rPr>
      </w:pPr>
    </w:p>
    <w:p>
      <w:pPr>
        <w:ind w:left="520" w:right="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 amounts that are different from the amounts presented and such differences could be material. 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and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be issued warrants by portfolio companies as yield enhancements in connection with a related debt investment. These warrants are recorded as assets at estimated fair value on the grant date. The Company determines the cost basis of the warrants or other equity securities received based upon their respective fair values on the date of receipt in proportion to the total fair value of the debt and warrants or other equity securities received. Depending on the facts and circumstances, the Company generally utilizes a combination of one or several forms of the market approach and contingent claim analyses (a form of option analysis) to estimate the fair value of the securities as of the measurement date and determines the cost basis using a relative fair value methodology. As part of its application of the market approach, the Company estimates the enterprise value of a portfolio company utilizing customary pricing multiples, based on the development stage of the underlying issuers, or other appropriate valuation methods, such as considering recent transactions in the equity securities of the portfolio company or third-party valuations that are assessed to be indicative of fair value of the respective portfolio company. If appropriate, based on the facts and circumstances, the Company performs an allocation of the enterprise value to the equity securities utilizing a contingent claim analysis and/or other waterfall calculation by which it allocates the enterprise value across the portfolio company’s warrants and other equity securities in order of their preference relative to one another.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investments may have contractual payment-in-kind ("PIK") interest or dividends. PIK interest or dividends represents accrued interest or dividends that is added to the principal amount of the investment on the respective interest or dividend payment dates rather than being paid in cash and generally becomes due at maturity.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Income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transaction fees earned in connection with our investments are recognized as fee income and are generally non-recurring. Such fees typically include fees for services, including administrative, structuring (including with respect to amendments)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Policy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interest receivable is reversed from income in the period that a loan is placed on non-accrual status. However, the Company may make exceptions to this policy if the investment has sufficient collateral value and is in the process of collection. If PIK interest or dividends are not expected to be realized by the Company, the investment generating PIK interest or dividends will be placed on non-accrual status. When an investment with PIK is placed on</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non-accrual status, the accrued, uncapitalized interest or dividends are generally reversed through interest or dividend income, respectively. As of June 30, 2025 and December 31, 2024, there were no investments placed on non-accrual status.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decision to establish an interest reserve is made during the underwriting process and considers the creditworthiness and expertise of the borrower, and the debt coverage provided by the pledged collateral. It is the Company’s policy to recognize income for this interest component as long as the subject loan is performing as originally projected and if there has been no deterioration in the financial condition of the borrower. The Company’s standard accounting policies for interest income recognition are applied to all loans, including those with interest reserves. As of June 30, 2025 and December 31, 2024, the Company recorded $126,136 and $37,752, respectively, of prepaid interest reserves, which are presented as unearned interest income on the Statements of Assets and Liabilities.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an initial tax year end of December 31, 2021 and was taxed as a corporation for U.S. federal income tax purposes for the tax period ended December 31, 2021. The Company adopted the tax year end of March 31 and elected to be treated for U.S. federal income tax purposes as a RIC under Subchapter M of the Code for the tax period January 1, 2022 through March 31, 2022 and in subsequent years. The Company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w:t>
      </w:r>
    </w:p>
    <w:p>
      <w:pPr>
        <w:spacing w:after="0" w:line="3" w:lineRule="exact"/>
        <w:rPr>
          <w:sz w:val="20"/>
          <w:szCs w:val="20"/>
          <w:color w:val="auto"/>
        </w:rPr>
      </w:pPr>
    </w:p>
    <w:p>
      <w:pPr>
        <w:jc w:val="both"/>
        <w:ind w:firstLine="8"/>
        <w:spacing w:after="0" w:line="253"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Company did not accrue any excise tax. As of June 30, 2025 and December 31, 2024, $0 and $88,709, respectively, of accrued excise taxes remained payable.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2025, the Company determined that it had overpaid its estimated federal excise tax liability for the prior fiscal year by $26,648. This overpayment resulted in a deferred tax asset and is included in prepaid expenses and other assets on the Statements of Assets and Liabilities. The Company has evaluated the realizability of the deferred tax asset and believes it is more likely than not that the benefit will be realized in future periods through either a refund or application against future excise tax liabilities. Accordingly, no valuation allowance has been recorded against this deferred tax asset.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analysis of the Company’s tax position, the Company had no uncertain tax positions that met the recognition or measurement criteria as of June 30, 2025 and December 31, 2024. The Company does not anticipate any significant increase or decrease in unrecognized tax benefits for the next twelve months. The Company identifies its major tax jurisdiction as the United States. As of June 30, 2025, the tax years that remain subject to examination by the Internal Revenue Service are from 2022 (commencement of operations) forward.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Distributions to common stockholders are recorded on the record date. The amount of taxable income to be paid out as a distribution is determined by our Board on a quarterly basis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costs consist primarily of legal fees and other costs incurred in connection with issuances of the Company’s common stock, including the preparation of the Company’s registration statement, registration fees, transfer agent expenses, and other expenses relating to the offering. Offering costs are capitalized as deferred offering costs and, if any, are included in prepaid expenses and other assets on the Statements of Assets and Liabilities. As of June 30, 2025 and December 31, 2024, deferred offering costs were $151,284 and $49,998, respectively.</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deferred offering costs were charged to capital upon the issuance of shares subsequent to the completion of the Loan Portfolio Acquisition. For the three and six months ended June 30, 2025, $0 of offering costs were charged to capital. For the year ended December 31, 2024, $1,214,375 of offering costs were charged to capital. As of June 30, 2025 and December 31, 2024, there were $92,615 and $989,645, respectively, of offering costs that remained payable by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related to the Loan Portfolio Acquisition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transaction expenses related to the Loan Portfolio Acquisition through June 30, 2025 and December 31, 2024 were $0 and $6,053,043, respectively, and consisted primarily of legal fees and valuation fees.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incurred transaction expenses related to the Loan Portfolio Acquisition of $0. For the three and six months ended June 30, 2024, the Company incurred transaction expenses related to the Loan Portfolio Acquisition of $533,019 and $2,639,069, respectively. As of June 30, 2025 and December 31, 2024, $0 and $2,945,125, respectively, of transaction expenses related to the Loan Portfolio Acquisition remained payable, and are included in transaction fees payable on the Statements of Assets and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financing costs consist of origination expenses incurred in connection with the closing, or anticipated closing, of a credit facility, and include legal, accounting, and other related expenses. These costs are deferred and amortized as interest expense using the straight-line method over the term of the applicable credit facility. In addition to origination expenses, the Company pays an annual upfront fee related to its credit facility. These fees are deferred and amortized as interest expense using the straight-line method over a one-year term. Deferred financing costs are included in prepaid expenses and other assets on the Statements of Assets and Liabilities. As of June 30, 2025 and December 31, 2024, deferred financing costs payable were $47,881 and $47,881,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2025, the Company adopted Accounting Standards Update ("ASU") No. 2023-09, Income Taxes (Topic 740): Improvements to Income Tax Disclosures, which requires, among other things, greater disaggregation of information in the income tax rate reconciliation and for paid income taxes to be disaggregated by jurisdiction. This ASU affects financial statement disclosure only, which is not required until year end 2025 and, as a result, does not affect our results of operations or financial condition.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No. 2024-03 requires disaggregated disclosure of certain costs and expenses, including purchase of inventory, employee compensation, depreciation, amortization and depletion, within relevant income statement captions. ASU 2024-03 is effective for annual years beginning after December 15, 2026, and interim periods beginning after December 15, 2027. Early adoption and retrospective application are permitted. The Company is currently evaluating the impact of adopting ASU No. 2024-03.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investments in portfolio companies are primarily in the form of debt investments, but may include equity warrants received in connection with debt investments, equity investments and derivative investments.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tables presented below for the Company’s debt investments, the amortized cost represents the original cost adjusted for any accretion of discounts, amortization of premiums and PIK interest or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investment type as of June 30, 2025 and December 31, 2024.</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20" w:type="dxa"/>
            <w:vAlign w:val="bottom"/>
            <w:gridSpan w:val="2"/>
          </w:tcPr>
          <w:p>
            <w:pPr>
              <w:jc w:val="right"/>
              <w:ind w:right="169"/>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Principal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269,141,132</w:t>
            </w:r>
          </w:p>
        </w:tc>
        <w:tc>
          <w:tcPr>
            <w:tcW w:w="1580" w:type="dxa"/>
            <w:vAlign w:val="bottom"/>
            <w:tcBorders>
              <w:right w:val="single" w:sz="8" w:color="CFF0FC"/>
            </w:tcBorders>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266,158,202</w:t>
            </w:r>
          </w:p>
        </w:tc>
        <w:tc>
          <w:tcPr>
            <w:tcW w:w="1620" w:type="dxa"/>
            <w:vAlign w:val="bottom"/>
            <w:tcBorders>
              <w:left w:val="single" w:sz="8" w:color="CFF0FC"/>
              <w:right w:val="single" w:sz="8" w:color="CFF0FC"/>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267,620,749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39,255,809</w:t>
            </w:r>
          </w:p>
        </w:tc>
        <w:tc>
          <w:tcPr>
            <w:tcW w:w="158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38,395,314</w:t>
            </w:r>
          </w:p>
        </w:tc>
        <w:tc>
          <w:tcPr>
            <w:tcW w:w="16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38,854,589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right w:val="single" w:sz="8" w:color="CFF0FC"/>
            </w:tcBorders>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620" w:type="dxa"/>
            <w:vAlign w:val="bottom"/>
            <w:tcBorders>
              <w:left w:val="single" w:sz="8" w:color="CFF0FC"/>
              <w:right w:val="single" w:sz="8" w:color="CFF0FC"/>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665,207</w:t>
            </w:r>
          </w:p>
        </w:tc>
        <w:tc>
          <w:tcPr>
            <w:tcW w:w="16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308,396,941</w:t>
            </w:r>
          </w:p>
        </w:tc>
        <w:tc>
          <w:tcPr>
            <w:tcW w:w="1580" w:type="dxa"/>
            <w:vAlign w:val="bottom"/>
            <w:tcBorders>
              <w:right w:val="single" w:sz="8" w:color="CFF0FC"/>
            </w:tcBorders>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305,718,723</w:t>
            </w:r>
          </w:p>
        </w:tc>
        <w:tc>
          <w:tcPr>
            <w:tcW w:w="1620" w:type="dxa"/>
            <w:vAlign w:val="bottom"/>
            <w:tcBorders>
              <w:left w:val="single" w:sz="8" w:color="CFF0FC"/>
              <w:right w:val="single" w:sz="8" w:color="CFF0FC"/>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307,499,004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6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0"/>
                <w:szCs w:val="10"/>
                <w:color w:val="auto"/>
              </w:rPr>
            </w:pPr>
          </w:p>
        </w:tc>
        <w:tc>
          <w:tcPr>
            <w:tcW w:w="820" w:type="dxa"/>
            <w:vAlign w:val="bottom"/>
          </w:tcPr>
          <w:p>
            <w:pPr>
              <w:jc w:val="right"/>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at Principal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at Amortized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2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242,269,725</w:t>
            </w:r>
          </w:p>
        </w:tc>
        <w:tc>
          <w:tcPr>
            <w:tcW w:w="260" w:type="dxa"/>
            <w:vAlign w:val="bottom"/>
            <w:tcBorders>
              <w:right w:val="single" w:sz="8" w:color="CFF0FC"/>
            </w:tcBorders>
            <w:shd w:val="clear" w:color="auto" w:fill="CFF0FC"/>
          </w:tcPr>
          <w:p>
            <w:pPr>
              <w:spacing w:after="0"/>
              <w:rPr>
                <w:sz w:val="17"/>
                <w:szCs w:val="17"/>
                <w:color w:val="auto"/>
              </w:rPr>
            </w:pP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87.3%</w:t>
            </w:r>
          </w:p>
        </w:tc>
        <w:tc>
          <w:tcPr>
            <w:tcW w:w="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239,036,463</w:t>
            </w:r>
          </w:p>
        </w:tc>
        <w:tc>
          <w:tcPr>
            <w:tcW w:w="1620" w:type="dxa"/>
            <w:vAlign w:val="bottom"/>
            <w:tcBorders>
              <w:left w:val="single" w:sz="8" w:color="CFF0FC"/>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239,860,206</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35,147,669</w:t>
            </w:r>
          </w:p>
        </w:tc>
        <w:tc>
          <w:tcPr>
            <w:tcW w:w="26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34,567,422</w:t>
            </w: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34,656,192</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620" w:type="dxa"/>
            <w:vAlign w:val="bottom"/>
            <w:tcBorders>
              <w:left w:val="single" w:sz="8" w:color="CFF0FC"/>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242,826</w:t>
            </w: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225,000</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277,417,394</w:t>
            </w:r>
          </w:p>
        </w:tc>
        <w:tc>
          <w:tcPr>
            <w:tcW w:w="260" w:type="dxa"/>
            <w:vAlign w:val="bottom"/>
            <w:tcBorders>
              <w:right w:val="single" w:sz="8" w:color="CFF0FC"/>
            </w:tcBorders>
            <w:shd w:val="clear" w:color="auto" w:fill="CFF0FC"/>
          </w:tcPr>
          <w:p>
            <w:pPr>
              <w:spacing w:after="0"/>
              <w:rPr>
                <w:sz w:val="18"/>
                <w:szCs w:val="18"/>
                <w:color w:val="auto"/>
              </w:rPr>
            </w:pP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274,346,711</w:t>
            </w:r>
          </w:p>
        </w:tc>
        <w:tc>
          <w:tcPr>
            <w:tcW w:w="1620" w:type="dxa"/>
            <w:vAlign w:val="bottom"/>
            <w:tcBorders>
              <w:left w:val="single" w:sz="8" w:color="CFF0FC"/>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275,241,398</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-1233805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-1216660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-1233805</wp:posOffset>
            </wp:positionV>
            <wp:extent cx="939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-1216660</wp:posOffset>
            </wp:positionV>
            <wp:extent cx="93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-1233805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-1216660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-1233805</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-1216660</wp:posOffset>
            </wp:positionV>
            <wp:extent cx="93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-1233805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-1216660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-1233805</wp:posOffset>
            </wp:positionV>
            <wp:extent cx="93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-1216660</wp:posOffset>
            </wp:positionV>
            <wp:extent cx="939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-25400</wp:posOffset>
            </wp:positionV>
            <wp:extent cx="93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-8255</wp:posOffset>
            </wp:positionV>
            <wp:extent cx="939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93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93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93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93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composition of the Company’s debt portfolio based on rate characteristics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Time to</w:t>
            </w:r>
          </w:p>
        </w:tc>
      </w:tr>
      <w:tr>
        <w:trPr>
          <w:trHeight w:val="238"/>
        </w:trPr>
        <w:tc>
          <w:tcPr>
            <w:tcW w:w="57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Rate Type</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10"/>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73,549,472</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72,224,874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72,732,054</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2.3 years</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Floating-rate debt (SOFR)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25,458,876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25,240,875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25,334,568</w:t>
            </w: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 years</w:t>
            </w:r>
          </w:p>
        </w:tc>
      </w:tr>
      <w:tr>
        <w:trPr>
          <w:trHeight w:val="216"/>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Floating-rate debt (PRIME)</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209,388,593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207,087,767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208,408,716</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1.7 years</w:t>
            </w:r>
          </w:p>
        </w:tc>
      </w:tr>
      <w:tr>
        <w:trPr>
          <w:trHeight w:val="20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308,396,941</w:t>
            </w:r>
          </w:p>
        </w:tc>
        <w:tc>
          <w:tcPr>
            <w:tcW w:w="1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304,553,516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306,475,338</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-153670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-153670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Time to</w:t>
            </w:r>
          </w:p>
        </w:tc>
      </w:tr>
      <w:tr>
        <w:trPr>
          <w:trHeight w:val="238"/>
        </w:trPr>
        <w:tc>
          <w:tcPr>
            <w:tcW w:w="44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Rate Type</w:t>
            </w:r>
          </w:p>
        </w:tc>
        <w:tc>
          <w:tcPr>
            <w:tcW w:w="1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debt</w:t>
            </w:r>
          </w:p>
        </w:tc>
        <w:tc>
          <w:tcPr>
            <w:tcW w:w="1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56,819,862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55,954,923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56,158,027</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2.6 years</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debt (SOFR)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15,543,708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15,134,388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15,209,230</w:t>
            </w: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years</w:t>
            </w: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Floating-rate debt (PRIME)</w:t>
            </w: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205,053,824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202,514,574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203,149,141</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 years</w:t>
            </w: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Debt Instruments</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277,417,394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273,603,885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274,516,398</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42"/>
        </w:trPr>
        <w:tc>
          <w:tcPr>
            <w:tcW w:w="440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-1062355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-1062355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portfolio investments are primarily in companies conducting business in or supporting the cannabis industry. The Company uses the North American Industry Classification System ("NAICS") for classifying the industry groupings of its portfolio companies, excluding any portfolio company operating in the cannabis industry. The following tables summarize the composition of the Company’s portfolio investments by industry as of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at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at</w:t>
            </w:r>
          </w:p>
        </w:tc>
        <w:tc>
          <w:tcPr>
            <w:tcW w:w="0" w:type="dxa"/>
            <w:vAlign w:val="bottom"/>
          </w:tcPr>
          <w:p>
            <w:pPr>
              <w:spacing w:after="0"/>
              <w:rPr>
                <w:sz w:val="1"/>
                <w:szCs w:val="1"/>
                <w:color w:val="auto"/>
              </w:rPr>
            </w:pPr>
          </w:p>
        </w:tc>
      </w:tr>
      <w:tr>
        <w:trPr>
          <w:trHeight w:val="238"/>
        </w:trPr>
        <w:tc>
          <w:tcPr>
            <w:tcW w:w="49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239,593,413</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78.4%</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241,289,886</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28,863,003</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28,933,406</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Administration</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11,686,994</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11,756,250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11,890,832</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11,933,964</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Trade</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10,960,310</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10,972,751</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2,724,171</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2,612,747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020" w:type="dxa"/>
            <w:vAlign w:val="bottom"/>
            <w:gridSpan w:val="2"/>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305,718,723</w:t>
            </w:r>
          </w:p>
        </w:tc>
        <w:tc>
          <w:tcPr>
            <w:tcW w:w="200" w:type="dxa"/>
            <w:vAlign w:val="bottom"/>
            <w:vMerge w:val="continue"/>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22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at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at</w:t>
            </w:r>
          </w:p>
        </w:tc>
        <w:tc>
          <w:tcPr>
            <w:tcW w:w="0" w:type="dxa"/>
            <w:vAlign w:val="bottom"/>
          </w:tcPr>
          <w:p>
            <w:pPr>
              <w:spacing w:after="0"/>
              <w:rPr>
                <w:sz w:val="1"/>
                <w:szCs w:val="1"/>
                <w:color w:val="auto"/>
              </w:rPr>
            </w:pPr>
          </w:p>
        </w:tc>
      </w:tr>
      <w:tr>
        <w:trPr>
          <w:trHeight w:val="238"/>
        </w:trPr>
        <w:tc>
          <w:tcPr>
            <w:tcW w:w="49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210,144,841</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76.6%</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211,007,307</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30,866,942</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30,907,369</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Information</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14,873,810</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14,754,624</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Administration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10,273,444</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10,322,928</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Trade</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3,285,390</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3,275,125</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2,753,852</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2,796,946</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2,148,432</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2,177,099</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274,346,711</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-1859280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-1842135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-2005330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-1859280</wp:posOffset>
            </wp:positionV>
            <wp:extent cx="1111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-1842135</wp:posOffset>
            </wp:positionV>
            <wp:extent cx="111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-2005330</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-1859280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-1842135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-2005330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-1859280</wp:posOffset>
            </wp:positionV>
            <wp:extent cx="1117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-1842135</wp:posOffset>
            </wp:positionV>
            <wp:extent cx="1117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-2005330</wp:posOffset>
            </wp:positionV>
            <wp:extent cx="1117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geographic composition is determined by the location of the principal place of business of each portfolio company. 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geographic region as of June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at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at</w:t>
            </w:r>
          </w:p>
        </w:tc>
      </w:tr>
      <w:tr>
        <w:trPr>
          <w:trHeight w:val="238"/>
        </w:trPr>
        <w:tc>
          <w:tcPr>
            <w:tcW w:w="49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20"/>
                <w:szCs w:val="20"/>
                <w:color w:val="auto"/>
              </w:rPr>
            </w:pPr>
          </w:p>
        </w:tc>
      </w:tr>
      <w:tr>
        <w:trPr>
          <w:trHeight w:val="210"/>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Midwest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105,670,652</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106,097,915</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90,011,802</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90,737,355</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Northeast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54,992,092</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55,512,306</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Southeast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30,006,524</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30,091,409</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Southwest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21,977,635</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3,060,018</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3,060,019</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305,718,723</w:t>
            </w:r>
          </w:p>
        </w:tc>
        <w:tc>
          <w:tcPr>
            <w:tcW w:w="2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628"/>
        </w:trPr>
        <w:tc>
          <w:tcPr>
            <w:tcW w:w="49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-933450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-916305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1111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1111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-916305</wp:posOffset>
            </wp:positionV>
            <wp:extent cx="1117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6"/>
                <w:szCs w:val="16"/>
                <w:color w:val="auto"/>
              </w:rPr>
            </w:pPr>
          </w:p>
        </w:tc>
        <w:tc>
          <w:tcPr>
            <w:tcW w:w="16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at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at</w:t>
            </w:r>
          </w:p>
        </w:tc>
        <w:tc>
          <w:tcPr>
            <w:tcW w:w="180" w:type="dxa"/>
            <w:vAlign w:val="bottom"/>
          </w:tcPr>
          <w:p>
            <w:pPr>
              <w:spacing w:after="0"/>
              <w:rPr>
                <w:sz w:val="16"/>
                <w:szCs w:val="16"/>
                <w:color w:val="auto"/>
              </w:rPr>
            </w:pPr>
          </w:p>
        </w:tc>
      </w:tr>
      <w:tr>
        <w:trPr>
          <w:trHeight w:val="238"/>
        </w:trPr>
        <w:tc>
          <w:tcPr>
            <w:tcW w:w="49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20"/>
                <w:szCs w:val="20"/>
                <w:color w:val="auto"/>
              </w:rPr>
            </w:pPr>
          </w:p>
        </w:tc>
      </w:tr>
      <w:tr>
        <w:trPr>
          <w:trHeight w:val="209"/>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Midwest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88,999,405</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89,624,122</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86,686,279</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86,660,218</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Northeast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52,963,212</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53,223,047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Southwest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21,980,052</w:t>
            </w:r>
          </w:p>
        </w:tc>
        <w:tc>
          <w:tcPr>
            <w:tcW w:w="1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Southeast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20,703,496</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20,749,887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3,014,267</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2,984,124</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274,346,711</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111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1111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 Factors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manages a variety of risks including market risk, concentration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Concentration risk includes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 Investing in portfolio companies involved in the cannabis industry subjects us to the following risks:</w:t>
      </w:r>
    </w:p>
    <w:p>
      <w:pPr>
        <w:spacing w:after="0" w:line="13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is extremely speculative and raises a host of legality issues, making it subject to inherent risk;</w:t>
      </w:r>
    </w:p>
    <w:p>
      <w:pPr>
        <w:spacing w:after="0" w:line="19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3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collateralizing loans to cannabis businesses may be forfeited to the U.S. federal government in connection with government enforcement actions under U.S. federal law;</w:t>
      </w:r>
    </w:p>
    <w:p>
      <w:pPr>
        <w:spacing w:after="0" w:line="134"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4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we had three portfolio companies that represented 39.5% and 45.1%, respectively, of the fair values of our portfolio. As of June 30, 2025 and December 31, 2024, our largest portfolio company represented 16.8% and 18.9%, respectively, of the total fair values of our investments in portfolio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an adverse impact on our and our portfolio companies’ businesses, financial condition and results of operations.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refers to the change in earnings that may result from changes in the level of interest rates. To the extent that the Company borrows money to make investments, including under its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OF FINANCIAL INSTRUMENTS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June 30, 2025 and December 31, 2024, the Company’s portfolio investments consisted primarily of investments in senior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determination of each portfolio investment categorized as Level 3 required the use of one or more unobservable inputs.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and volatility assumptions. The significant unobservable inputs used in the fair value measurement of the Company’s equity and warrant investments may vary and may include EBITDA multiples, revenue multiples and asset multiples.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measured at fair value by investment type on a recurring basis as of June 30, 2025 and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June 30, 2025 Using</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left="12"/>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Senior Secured Loans</w:t>
            </w:r>
          </w:p>
        </w:tc>
        <w:tc>
          <w:tcPr>
            <w:tcW w:w="1420" w:type="dxa"/>
            <w:vAlign w:val="bottom"/>
            <w:shd w:val="clear" w:color="auto" w:fill="CFF0FC"/>
          </w:tcPr>
          <w:p>
            <w:pPr>
              <w:jc w:val="right"/>
              <w:ind w:right="12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267,620,749</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267,620,749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38,854,589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38,854,589</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523,666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523,666</w:t>
            </w:r>
          </w:p>
        </w:tc>
        <w:tc>
          <w:tcPr>
            <w:tcW w:w="100" w:type="dxa"/>
            <w:vAlign w:val="bottom"/>
          </w:tcPr>
          <w:p>
            <w:pPr>
              <w:spacing w:after="0"/>
              <w:rPr>
                <w:sz w:val="18"/>
                <w:szCs w:val="18"/>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FF0FC"/>
          </w:tcPr>
          <w:p>
            <w:pPr>
              <w:jc w:val="right"/>
              <w:ind w:right="12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24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100" w:type="dxa"/>
            <w:vAlign w:val="bottom"/>
            <w:shd w:val="clear" w:color="auto" w:fill="CFF0FC"/>
          </w:tcPr>
          <w:p>
            <w:pPr>
              <w:spacing w:after="0"/>
              <w:rPr>
                <w:sz w:val="19"/>
                <w:szCs w:val="19"/>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2"/>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tcBorders>
              <w:bottom w:val="single" w:sz="8" w:color="auto"/>
            </w:tcBorders>
            <w:gridSpan w:val="10"/>
          </w:tcPr>
          <w:p>
            <w:pPr>
              <w:jc w:val="center"/>
              <w:ind w:left="1012"/>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 Using</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left="12"/>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Senior Secured Loans</w:t>
            </w:r>
          </w:p>
        </w:tc>
        <w:tc>
          <w:tcPr>
            <w:tcW w:w="1420" w:type="dxa"/>
            <w:vAlign w:val="bottom"/>
            <w:shd w:val="clear" w:color="auto" w:fill="CFF0FC"/>
          </w:tcPr>
          <w:p>
            <w:pPr>
              <w:jc w:val="right"/>
              <w:ind w:right="12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239,860,206</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239,860,206</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34,656,192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34,656,192</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18"/>
                <w:szCs w:val="18"/>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FF0FC"/>
          </w:tcPr>
          <w:p>
            <w:pPr>
              <w:jc w:val="right"/>
              <w:ind w:right="12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24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100" w:type="dxa"/>
            <w:vAlign w:val="bottom"/>
            <w:shd w:val="clear" w:color="auto" w:fill="CFF0FC"/>
          </w:tcPr>
          <w:p>
            <w:pPr>
              <w:spacing w:after="0"/>
              <w:rPr>
                <w:sz w:val="19"/>
                <w:szCs w:val="19"/>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-1584960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-1567815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-1584960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-1567815</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-1584960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-1567815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provide a summary of the significant unobservable inputs used to fair value the Level 3 portfolio investments as of June 30, 2025 and December 31, 2024. The methodology for the determination of the fair value of the Company’s investments is discussed in “Note 2 – Significant Accounting Policies”. Discount rate ranges are shown as spread over the U.S. Prime Rate ("PRIME"), Secured Overnight Financing Rate ("SOFR") and/or U.S. Treasury Rates, as applicable, for senior secured first lien term loans, as of June 30, 2025 and December 31,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46"/>
        </w:trPr>
        <w:tc>
          <w:tcPr>
            <w:tcW w:w="20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Techniques/Methodologies</w:t>
            </w:r>
          </w:p>
        </w:tc>
        <w:tc>
          <w:tcPr>
            <w:tcW w:w="1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21"/>
                <w:szCs w:val="21"/>
                <w:color w:val="auto"/>
              </w:rPr>
            </w:pPr>
          </w:p>
        </w:tc>
        <w:tc>
          <w:tcPr>
            <w:tcW w:w="196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Average</w:t>
            </w:r>
            <w:r>
              <w:rPr>
                <w:rFonts w:ascii="Times New Roman" w:cs="Times New Roman" w:eastAsia="Times New Roman" w:hAnsi="Times New Roman"/>
                <w:sz w:val="21"/>
                <w:szCs w:val="21"/>
                <w:b w:val="1"/>
                <w:bCs w:val="1"/>
                <w:color w:val="auto"/>
                <w:vertAlign w:val="superscript"/>
              </w:rPr>
              <w:t>(1)</w:t>
            </w:r>
          </w:p>
        </w:tc>
      </w:tr>
      <w:tr>
        <w:trPr>
          <w:trHeight w:val="182"/>
        </w:trPr>
        <w:tc>
          <w:tcPr>
            <w:tcW w:w="200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First Lien Senior Secured</w:t>
            </w: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235,283,670</w:t>
            </w: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 - 30.10%</w:t>
            </w:r>
          </w:p>
        </w:tc>
        <w:tc>
          <w:tcPr>
            <w:tcW w:w="2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13.30%</w:t>
            </w: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First Lien Senior Secured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32,337,079</w:t>
            </w:r>
          </w:p>
        </w:tc>
        <w:tc>
          <w:tcPr>
            <w:tcW w:w="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Recent Transaction</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 Price</w:t>
            </w:r>
          </w:p>
        </w:tc>
        <w:tc>
          <w:tcPr>
            <w:tcW w:w="10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20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38,854,589</w:t>
            </w: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7"/>
                <w:szCs w:val="17"/>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 - 18.20%</w:t>
            </w:r>
          </w:p>
        </w:tc>
        <w:tc>
          <w:tcPr>
            <w:tcW w:w="2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11.15%</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Current Value</w:t>
            </w:r>
          </w:p>
        </w:tc>
        <w:tc>
          <w:tcPr>
            <w:tcW w:w="10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2.5x</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2.5x</w:t>
            </w: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20" w:type="dxa"/>
            <w:vAlign w:val="bottom"/>
            <w:shd w:val="clear" w:color="auto" w:fill="CFF0FC"/>
          </w:tcPr>
          <w:p>
            <w:pPr>
              <w:spacing w:after="0"/>
              <w:rPr>
                <w:sz w:val="17"/>
                <w:szCs w:val="17"/>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Volatility Factor</w:t>
            </w:r>
          </w:p>
        </w:tc>
        <w:tc>
          <w:tcPr>
            <w:tcW w:w="2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45.60%</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45.60%</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337,666</w:t>
            </w:r>
          </w:p>
        </w:tc>
        <w:tc>
          <w:tcPr>
            <w:tcW w:w="2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Recent Transaction</w:t>
            </w:r>
          </w:p>
        </w:tc>
        <w:tc>
          <w:tcPr>
            <w:tcW w:w="1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Transaction Price</w:t>
            </w:r>
          </w:p>
        </w:tc>
        <w:tc>
          <w:tcPr>
            <w:tcW w:w="10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236"/>
        </w:trPr>
        <w:tc>
          <w:tcPr>
            <w:tcW w:w="2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307,499,004</w:t>
            </w:r>
          </w:p>
        </w:tc>
        <w:tc>
          <w:tcPr>
            <w:tcW w:w="2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46"/>
        </w:trPr>
        <w:tc>
          <w:tcPr>
            <w:tcW w:w="19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Techniques/Methodologies</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21"/>
                <w:szCs w:val="21"/>
                <w:color w:val="auto"/>
              </w:rPr>
            </w:pP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Average</w:t>
            </w:r>
            <w:r>
              <w:rPr>
                <w:rFonts w:ascii="Times New Roman" w:cs="Times New Roman" w:eastAsia="Times New Roman" w:hAnsi="Times New Roman"/>
                <w:sz w:val="21"/>
                <w:szCs w:val="21"/>
                <w:b w:val="1"/>
                <w:bCs w:val="1"/>
                <w:color w:val="auto"/>
                <w:vertAlign w:val="superscript"/>
              </w:rPr>
              <w:t>(1)</w:t>
            </w:r>
          </w:p>
        </w:tc>
      </w:tr>
      <w:tr>
        <w:trPr>
          <w:trHeight w:val="182"/>
        </w:trPr>
        <w:tc>
          <w:tcPr>
            <w:tcW w:w="192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First Lien Senior Secured</w:t>
            </w: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6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16"/>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220" w:type="dxa"/>
            <w:vAlign w:val="bottom"/>
            <w:shd w:val="clear" w:color="auto" w:fill="CFF0FC"/>
          </w:tcPr>
          <w:p>
            <w:pPr>
              <w:spacing w:after="0"/>
              <w:rPr>
                <w:sz w:val="18"/>
                <w:szCs w:val="18"/>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 - 28.60%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13.38%</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2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7.40% - 17.20%</w:t>
            </w:r>
          </w:p>
        </w:tc>
        <w:tc>
          <w:tcPr>
            <w:tcW w:w="26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11.53%</w:t>
            </w:r>
          </w:p>
        </w:tc>
      </w:tr>
      <w:tr>
        <w:trPr>
          <w:trHeight w:val="203"/>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shd w:val="clear" w:color="auto" w:fill="CFF0FC"/>
          </w:tcPr>
          <w:p>
            <w:pPr>
              <w:spacing w:after="0"/>
              <w:rPr>
                <w:sz w:val="17"/>
                <w:szCs w:val="17"/>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Current Value</w:t>
            </w: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2.5x</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2.5x</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2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Volatility Factor</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47.20%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47.20%</w:t>
            </w:r>
          </w:p>
        </w:tc>
      </w:tr>
      <w:tr>
        <w:trPr>
          <w:trHeight w:val="216"/>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2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is calculated based on the fair value of each investment.</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the fair value of the Company’s Level 3 portfolio investments for the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First Lien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Senior Secured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Senior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Secured Notes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as of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239,860,206</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34,656,192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55,028,224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59,050,605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Accretion of discount and fees (amortization</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premium), net</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1,096,351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119,751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1,216,102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PIK interest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sales of investments and</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repayments</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(29,940,662)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(29,940,662)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12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638,803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370,506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(123,715)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on investments</w:t>
            </w:r>
          </w:p>
        </w:tc>
        <w:tc>
          <w:tcPr>
            <w:tcW w:w="120" w:type="dxa"/>
            <w:vAlign w:val="bottom"/>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267,620,749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38,854,589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523,666</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appreciation/depreciation on</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Level 3 investments still held as</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638,803</w:t>
            </w:r>
          </w:p>
        </w:tc>
        <w:tc>
          <w:tcPr>
            <w:tcW w:w="160" w:type="dxa"/>
            <w:vAlign w:val="bottom"/>
            <w:shd w:val="clear" w:color="auto" w:fill="CFF0FC"/>
          </w:tcPr>
          <w:p>
            <w:pPr>
              <w:spacing w:after="0"/>
              <w:rPr>
                <w:sz w:val="18"/>
                <w:szCs w:val="18"/>
                <w:color w:val="auto"/>
              </w:rPr>
            </w:pPr>
          </w:p>
        </w:tc>
        <w:tc>
          <w:tcPr>
            <w:tcW w:w="8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370,506</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(123,715)</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of June 30, 2025</w:t>
            </w:r>
          </w:p>
        </w:tc>
        <w:tc>
          <w:tcPr>
            <w:tcW w:w="120" w:type="dxa"/>
            <w:vAlign w:val="bottom"/>
            <w:vMerge w:val="continue"/>
            <w:shd w:val="clear" w:color="auto" w:fill="CFF0FC"/>
          </w:tcPr>
          <w:p>
            <w:pPr>
              <w:spacing w:after="0"/>
              <w:rPr>
                <w:sz w:val="20"/>
                <w:szCs w:val="20"/>
                <w:color w:val="auto"/>
              </w:rPr>
            </w:pPr>
          </w:p>
        </w:tc>
        <w:tc>
          <w:tcPr>
            <w:tcW w:w="13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280" w:type="dxa"/>
            <w:vAlign w:val="bottom"/>
            <w:gridSpan w:val="2"/>
            <w:vMerge w:val="continue"/>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39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First Lien</w:t>
            </w: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Senior Secured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Senior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Secured Notes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46,006,000</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8,114,000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Accretion of discount and fees (amortization</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premium), net</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231,942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PIK interest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sales of investments and</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repayments</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(3,126,000)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(3,126,000)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12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292,910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on investments</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44,350,164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53,398,164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appreciation/depreciation on</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Level 3 investments still held as</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292,910</w:t>
            </w:r>
          </w:p>
        </w:tc>
        <w:tc>
          <w:tcPr>
            <w:tcW w:w="160" w:type="dxa"/>
            <w:vAlign w:val="bottom"/>
            <w:shd w:val="clear" w:color="auto" w:fill="CFF0FC"/>
          </w:tcPr>
          <w:p>
            <w:pPr>
              <w:spacing w:after="0"/>
              <w:rPr>
                <w:sz w:val="18"/>
                <w:szCs w:val="18"/>
                <w:color w:val="auto"/>
              </w:rPr>
            </w:pPr>
          </w:p>
        </w:tc>
        <w:tc>
          <w:tcPr>
            <w:tcW w:w="8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35,763</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140" w:type="dxa"/>
            <w:vAlign w:val="bottom"/>
            <w:shd w:val="clear" w:color="auto" w:fill="CFF0FC"/>
          </w:tcPr>
          <w:p>
            <w:pPr>
              <w:spacing w:after="0"/>
              <w:rPr>
                <w:sz w:val="18"/>
                <w:szCs w:val="18"/>
                <w:color w:val="auto"/>
              </w:rPr>
            </w:pP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of June 30, 2024</w:t>
            </w:r>
          </w:p>
        </w:tc>
        <w:tc>
          <w:tcPr>
            <w:tcW w:w="120" w:type="dxa"/>
            <w:vAlign w:val="bottom"/>
            <w:vMerge w:val="continue"/>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-3634105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-3634105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-3634105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-3634105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-2802255</wp:posOffset>
            </wp:positionV>
            <wp:extent cx="768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-2785110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-2802255</wp:posOffset>
            </wp:positionV>
            <wp:extent cx="768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-2785110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-2802255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-2785110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-2802255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-2785110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-856615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-856615</wp:posOffset>
            </wp:positionV>
            <wp:extent cx="768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-856615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-856615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-25400</wp:posOffset>
            </wp:positionV>
            <wp:extent cx="76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768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768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annual rate of one-month term SOFR plus 3.00%, subject to a minimum interest rate of 6.00%. The Company will pay a commitment fee of 0.50% per annum on the average daily unused portion of commitments under the Credit Agreement during the Revolving Period. For the three and six months ended June 30, 2025, the company recorded $126,111 and $192,778, respectively, of commitment fees which are included in interest expense on the Statements of Operations. The Company will also be required to pay letter of credit participation fees and a fronting fee on the average daily amount of the lenders’ exposure with respect to any letters of credit issued at the request of the Company under the Credit Agreement.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$1,079,310 of financing costs in connection with the origination of the Revolving Line of Credit. As of June 30, 2025, the balance of $830,531 of deferred financing costs was included in prepaid expenses and other assets on the Statements of Assets and Liabilities. For the three and six months ended June 30, 2025, $170,065 and $248,779 respectively, of such costs were amortized and included in interest expense on the Statements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$5,000,000 outstanding borrowings and $95,000,000 available under the Revolving Line of Credit. Additionally, as of June 30, 2025, $233.9 million of loans held for investment, at principal, were pledged as collateral in the borrowing base of the Revolving Loan.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Revolving Line of Credit is equal to its carrying value because the revolver is a floating rate facility that reprices to a market rate frequently. The fair value is categorized as Level 2 under ASC 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 for the following periods: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09"/>
        </w:trPr>
        <w:tc>
          <w:tcPr>
            <w:tcW w:w="4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fee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126,111</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192,778</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301,260</w:t>
            </w:r>
          </w:p>
        </w:tc>
        <w:tc>
          <w:tcPr>
            <w:tcW w:w="260" w:type="dxa"/>
            <w:vAlign w:val="bottom"/>
          </w:tcPr>
          <w:p>
            <w:pPr>
              <w:spacing w:after="0"/>
              <w:rPr>
                <w:sz w:val="18"/>
                <w:szCs w:val="18"/>
                <w:color w:val="auto"/>
              </w:rPr>
            </w:pPr>
          </w:p>
        </w:tc>
        <w:tc>
          <w:tcPr>
            <w:tcW w:w="13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446,641</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interest rate</w:t>
            </w: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274,725</w:t>
            </w:r>
          </w:p>
        </w:tc>
        <w:tc>
          <w:tcPr>
            <w:tcW w:w="260" w:type="dxa"/>
            <w:vAlign w:val="bottom"/>
          </w:tcPr>
          <w:p>
            <w:pPr>
              <w:spacing w:after="0"/>
              <w:rPr>
                <w:sz w:val="20"/>
                <w:szCs w:val="20"/>
                <w:color w:val="auto"/>
              </w:rPr>
            </w:pPr>
          </w:p>
        </w:tc>
        <w:tc>
          <w:tcPr>
            <w:tcW w:w="13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138,122</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-456565</wp:posOffset>
            </wp:positionV>
            <wp:extent cx="1111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-456565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-456565</wp:posOffset>
            </wp:positionV>
            <wp:extent cx="1111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investment advisory agreement between the Company and the Adviser (the “Investment Advisory Agreement”), fees payable to the Adviser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the Adviser if the Company’s entire investment portfolio was liquidated at its fair value as of the balance sheet date even though the Adviser is not entitled to an Incentive Fee on Capital Gains with respect to unrealized capital appreciation unless and until such gains are actually realized.</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fee is payable quarterly in arrears. For the three months ended June 30, 2025 and 2024, the Company incurred management fee expenses of $1,345,331 and $246,324, respectively. For the six months ended June 30, 2025 and 2024, the Company incurred management fee expenses of $2,606,206 and $492,455, respectively. As of June 30, 2025 and December 31, 2024, $1,345,331 and $758,362, respectively, remained payable.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and 2024, the Company incurred income-based incentive fee expenses of $1,968,637 and $328,503,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and 2024, the Company incurred income-based incentive fee expenses of $3,884,914 and $328,503,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$1,968,640 and $1,998,945, respectively, remained payable.</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incurred capital gains incentive fee expenses of $183,932 and $(46,555), respectively. For the six months ended June 30, 2025 and 2024, the Company incurred capital gains incentive fee expenses of $177,119 and $73,369, respectively. As of June 30, 2025 and December 31, 2024, $299,006 and $121,887, respectively, remained payable.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Limitation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2024, in connection with the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the period ending September 30,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$791,783 and $0, respectively, of the Company’s operating expenses were waived by the Adviser pursuant to the Expense Limitation Agreement. For the six months ended June 30, 2025 and 2024 $1,107,783 and $0, respectively, of the Company’s operating expenses were waived by the Adviser pursuant to the Expense Limitation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administration agreement between the Company and the Adviser (the “Administration Agreement”), the Company is to reimburse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SS&amp;C, the sub-administrator. The Company is generally not responsible for the compensation of the Adviser’s employees or any overhead expenses. However, we may reimburse the Adviser for an allocable portion of the compensation paid by the Adviser to our Chief Compliance Officer ("CCO") and Chief Financial Officer ("CFO") and their respective staffs (based on a percentage of time such individuals devote, on an estimated basis, to our business affairs).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entered into a license agreement with the Adviser pursuant to which the Adviser has agreed to grant the Company a nonexclusive, royalty-free license to use the name “Chicago Atlantic.” Under this agreement, the Company will have a right to use the “Chicago Atlantic” name, for so long as the Adviser or one of its affiliates remains the Company’s investment adviser. Other than with respect to this limited license, the Company will have no legal right to the “Chicago Atlantic” name.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Fees &amp;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related parties fees and expenses incurred by the Company for the three and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Income-based incentive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1,968,637</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3,884,914</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1,345,331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2,606,206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 incentive fees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(46,555)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3,497,900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528,272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6,668,239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limitation agreement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(791,783)</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(1,107,783)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waiver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(658,477)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General and administrative expenses reimbursable to the</w:t>
            </w:r>
          </w:p>
        </w:tc>
        <w:tc>
          <w:tcPr>
            <w:tcW w:w="12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Adviser</w:t>
            </w: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affiliate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4,072,900</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528,272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7,243,239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-864870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-864870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-864870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administrative expenses reimbursable to the Adviser are included in due to affiliates on the accompanying Statements of Assets and Liabilities as of June 30, 2025 and December 31, 2024. Related party fees and expenses payable to the Adviser and its affiliates as of June 30, 2025 were $724,306, of which $575,000 and $149,306, represented general and administrative expenses reimbursable to the Adviser and amounts due to Chicago Atlantic Admin, LLC, respectively. Total amounts payable to the Adviser and its affiliates as of December 31, 2024 were $905,129, of which $820,797 and $84,332, represented general and administrative expenses reimbursable to the Adviser and amounts due to Chicago Atlantic Admin, LLC, respectively.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Adviser voluntarily and irrevocably waived approximately $0 and $658,477, respectively, of general and administrative expenses incurred by the Adviser that would have otherwise been reimbursed and payable by the Company. The expenses waived for the three and six months ended June 30, 2025 are not subject to recoupment by the Adviser or future reimbursement by the Company. There were no waived expenses for the three and six months ended June 30,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Affiliated Loan Administrative and Collateral Agent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Chicago Atlantic Admin, LLC (the “Loan Administrator”), serves as a loan administrator and collateral agent for certain loans within the Company’s investment portfolio. Among other customary responsibilities as described in each respective loan document, the Loan Administrator is responsible for: (a) the collection of interest, loan fees, and principal payments from portfolio companies, and (b) the subsequent disbursement of the allocable portion of such collections to the lender(s), including the Company. The Loan Administrator is a wholly-owned subsidiary of Chicago Atlantic Group, LP.</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 prior to June 30, 2025, but which were not remitted to the Company until after June 30, 2025, are included in due from affiliates on the Statements of Assets and Liabilities. As of June 30, 2025, the due from affiliates balance of $6,517,715 consists of $3,381,424 and $3,136,291 in interest and principal payments receivable, respectively. The amounts due from affiliates as of June 30, 2025 were collected in July 2025.</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 prior to December 31, 2024, but which were not remitted to the Company until after December 31, 2024, are included in due from affiliates on the Statements of Assets and Liabilities. As of December 31, 2024, the due from affiliates balance of $2,361,019 consists of $1,559,758 and $801,261 in interest and principal payments receivable, respectively. The amounts due from affiliates as of December 31, 2024 were collected in January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Company’s co-investment exemptive order and the Adviser’s co-investment allocation policies. The Company is not obligated to provide, nor has it provided, any financial support to the other managed investment vehicles. As such, the Company’s risk is limited to the carrying value of its investment in any such co-investment. As of June 30, 2025 and December 31, 2024, $264,496,941 and $272,816,695, respectively, of the Company’s investments were co-investments with affiliates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Adviser was the seed investor of the Company and provided initial funding to the Company by purchasing approximately 4.5 million shares of the Company’s common stock in the Company’s initial public offering. The Adviser provided this “seed capital” to the Company for the purpose of facilitating the launch and initial operation of the Company, as opposed to for long term investment purposes. The Adviser does not expect to hold the Company’s common stock indefinitely, and may sell the Company’s common stock, or distribute the Company’s common stock to its members (who may, in turn, sell the Company’s common stock subject to certain holding period requirements), at a future point in time. In order for the Adviser’s sales of the shares of the Company not to be deemed to have been made “on the basis of” material nonpublic information, such sales may be made pursuant to a pre-approved trading plan that complies with Rule 10b5-1 under the Exchange Act and that may obligate the Adviser to make recurring sales of the Company’s common stock on a periodic basis. Sales of substantial amounts of the Company’s common stock, including by the Adviser, its members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the Adviser and certain related parties received dividend distributions from the Company relating to their shares held. Refer to “Note 8 – Common Stock” for further details on the Company’s dividend reinvestment plan and the distributions declared.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commitments and contingencies include unfunded commitments to extend credit, typically in the form of delayed draw term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includes only those commitments that are available at the request of the portfolio company and are unencumbered by milestones or additional lending provisions. As of June 30, 2025 and December 31, 2024, the Company had the following unfunded commitments on existing loans: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r>
      <w:tr>
        <w:trPr>
          <w:trHeight w:val="210"/>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Unfunded delayed draw loan commitments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16,185,714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undrawn commitments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16,185,714</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-153670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have any other off-balance sheet commitments or liabilities as of June 30, 2025 or December 31, 2024.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June 30, 2025, there were no material legal matters or material litigation pending of which the Company is aware.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100,000,000 shares of $0.01 par value common stock were authorized.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 Acquisition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the Loan Portfolio Acquisition, pursuant to the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by the Company during the six months ended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Per Share Amount</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100" w:type="dxa"/>
            <w:vAlign w:val="bottom"/>
          </w:tcPr>
          <w:p>
            <w:pPr>
              <w:spacing w:after="0"/>
              <w:rPr>
                <w:sz w:val="15"/>
                <w:szCs w:val="15"/>
                <w:color w:val="auto"/>
              </w:rPr>
            </w:pPr>
          </w:p>
        </w:tc>
      </w:tr>
      <w:tr>
        <w:trPr>
          <w:trHeight w:val="210"/>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14, 2025</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11, 2025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7,758,931</w:t>
            </w:r>
          </w:p>
        </w:tc>
        <w:tc>
          <w:tcPr>
            <w:tcW w:w="100" w:type="dxa"/>
            <w:vAlign w:val="bottom"/>
            <w:shd w:val="clear" w:color="auto" w:fill="CFF0FC"/>
          </w:tcPr>
          <w:p>
            <w:pPr>
              <w:spacing w:after="0"/>
              <w:rPr>
                <w:sz w:val="18"/>
                <w:szCs w:val="18"/>
                <w:color w:val="auto"/>
              </w:rPr>
            </w:pP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12, 2025</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27, 2025</w:t>
            </w:r>
          </w:p>
        </w:tc>
        <w:tc>
          <w:tcPr>
            <w:tcW w:w="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11, 2025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7,758,939</w:t>
            </w:r>
          </w:p>
        </w:tc>
        <w:tc>
          <w:tcPr>
            <w:tcW w:w="100" w:type="dxa"/>
            <w:vAlign w:val="bottom"/>
          </w:tcPr>
          <w:p>
            <w:pPr>
              <w:spacing w:after="0"/>
              <w:rPr>
                <w:sz w:val="20"/>
                <w:szCs w:val="20"/>
                <w:color w:val="auto"/>
              </w:rPr>
            </w:pPr>
          </w:p>
        </w:tc>
      </w:tr>
      <w:tr>
        <w:trPr>
          <w:trHeight w:val="414"/>
        </w:trPr>
        <w:tc>
          <w:tcPr>
            <w:tcW w:w="9340" w:type="dxa"/>
            <w:vAlign w:val="bottom"/>
            <w:gridSpan w:val="10"/>
          </w:tcPr>
          <w:p>
            <w:pPr>
              <w:jc w:val="right"/>
              <w:ind w:right="254"/>
              <w:spacing w:after="0"/>
              <w:rPr>
                <w:sz w:val="20"/>
                <w:szCs w:val="20"/>
                <w:color w:val="auto"/>
              </w:rPr>
            </w:pPr>
            <w:r>
              <w:rPr>
                <w:rFonts w:ascii="Times New Roman" w:cs="Times New Roman" w:eastAsia="Times New Roman" w:hAnsi="Times New Roman"/>
                <w:sz w:val="18"/>
                <w:szCs w:val="18"/>
                <w:color w:val="auto"/>
                <w:w w:val="99"/>
              </w:rPr>
              <w:t>The following table summarizes distributions declared and paid by the Company during the six months ended June 30, 2024: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0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0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8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 Amount</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0" w:type="dxa"/>
            <w:vAlign w:val="bottom"/>
          </w:tcPr>
          <w:p>
            <w:pPr>
              <w:spacing w:after="0"/>
              <w:rPr>
                <w:sz w:val="24"/>
                <w:szCs w:val="24"/>
                <w:color w:val="auto"/>
              </w:rPr>
            </w:pPr>
          </w:p>
        </w:tc>
      </w:tr>
      <w:tr>
        <w:trPr>
          <w:trHeight w:val="209"/>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1,553,736</w:t>
            </w:r>
          </w:p>
        </w:tc>
        <w:tc>
          <w:tcPr>
            <w:tcW w:w="100" w:type="dxa"/>
            <w:vAlign w:val="bottom"/>
            <w:shd w:val="clear" w:color="auto" w:fill="CFF0FC"/>
          </w:tcPr>
          <w:p>
            <w:pPr>
              <w:spacing w:after="0"/>
              <w:rPr>
                <w:sz w:val="18"/>
                <w:szCs w:val="18"/>
                <w:color w:val="auto"/>
              </w:rPr>
            </w:pP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 2024</w:t>
            </w:r>
          </w:p>
        </w:tc>
        <w:tc>
          <w:tcPr>
            <w:tcW w:w="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1,553,738</w:t>
            </w:r>
          </w:p>
        </w:tc>
        <w:tc>
          <w:tcPr>
            <w:tcW w:w="100" w:type="dxa"/>
            <w:vAlign w:val="bottom"/>
          </w:tcPr>
          <w:p>
            <w:pPr>
              <w:spacing w:after="0"/>
              <w:rPr>
                <w:sz w:val="20"/>
                <w:szCs w:val="20"/>
                <w:color w:val="auto"/>
              </w:rPr>
            </w:pPr>
          </w:p>
        </w:tc>
      </w:tr>
      <w:tr>
        <w:trPr>
          <w:trHeight w:val="630"/>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dividend reinvestment plan (the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DRIP is administered by its transfer agent on behalf of the Company’s record holders and participating brokerage firms. Brokerage firms and other financial intermediaries may decide not to participate in the DRIP but may provide a similar dividend reinvestment plan for their clients.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the Company issued the following shares of common stock under the DRIP:</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00" w:type="dxa"/>
            <w:vAlign w:val="bottom"/>
          </w:tcPr>
          <w:p>
            <w:pPr>
              <w:spacing w:after="0"/>
              <w:rPr>
                <w:sz w:val="20"/>
                <w:szCs w:val="20"/>
                <w:color w:val="auto"/>
              </w:rPr>
            </w:pPr>
          </w:p>
        </w:tc>
        <w:tc>
          <w:tcPr>
            <w:tcW w:w="1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60" w:type="dxa"/>
            <w:vAlign w:val="bottom"/>
          </w:tcPr>
          <w:p>
            <w:pPr>
              <w:spacing w:after="0"/>
              <w:rPr>
                <w:sz w:val="20"/>
                <w:szCs w:val="20"/>
                <w:color w:val="auto"/>
              </w:rPr>
            </w:pPr>
          </w:p>
        </w:tc>
        <w:tc>
          <w:tcPr>
            <w:tcW w:w="18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r>
      <w:tr>
        <w:trPr>
          <w:trHeight w:val="210"/>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c>
          <w:tcPr>
            <w:tcW w:w="200" w:type="dxa"/>
            <w:vAlign w:val="bottom"/>
            <w:shd w:val="clear" w:color="auto" w:fill="CFF0FC"/>
          </w:tcPr>
          <w:p>
            <w:pPr>
              <w:spacing w:after="0"/>
              <w:rPr>
                <w:sz w:val="18"/>
                <w:szCs w:val="18"/>
                <w:color w:val="auto"/>
              </w:rPr>
            </w:pPr>
          </w:p>
        </w:tc>
        <w:tc>
          <w:tcPr>
            <w:tcW w:w="19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April 11, 2025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issued the following shares of common stock under the DRIP: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60" w:type="dxa"/>
            <w:vAlign w:val="bottom"/>
          </w:tcPr>
          <w:p>
            <w:pPr>
              <w:spacing w:after="0"/>
              <w:rPr>
                <w:sz w:val="20"/>
                <w:szCs w:val="20"/>
                <w:color w:val="auto"/>
              </w:rPr>
            </w:pPr>
          </w:p>
        </w:tc>
        <w:tc>
          <w:tcPr>
            <w:tcW w:w="18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r>
      <w:tr>
        <w:trPr>
          <w:trHeight w:val="210"/>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c>
          <w:tcPr>
            <w:tcW w:w="2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28,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9, 2024</w:t>
            </w:r>
          </w:p>
        </w:tc>
        <w:tc>
          <w:tcPr>
            <w:tcW w:w="2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2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 2024</w:t>
            </w: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INDEMNIFICATION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weighted average basic and diluted net increase (decrease) in net assets per share resulting from operations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0"/>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00" w:type="dxa"/>
            <w:vAlign w:val="bottom"/>
          </w:tcPr>
          <w:p>
            <w:pPr>
              <w:spacing w:after="0"/>
              <w:rPr>
                <w:sz w:val="18"/>
                <w:szCs w:val="18"/>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8,584,265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1,292,861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16,198,622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1,812,672</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22,820,405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6,214,949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6,214,945</w:t>
            </w:r>
          </w:p>
        </w:tc>
        <w:tc>
          <w:tcPr>
            <w:tcW w:w="100" w:type="dxa"/>
            <w:vAlign w:val="bottom"/>
          </w:tcPr>
          <w:p>
            <w:pPr>
              <w:spacing w:after="0"/>
              <w:rPr>
                <w:sz w:val="18"/>
                <w:szCs w:val="18"/>
                <w:color w:val="auto"/>
              </w:rPr>
            </w:pPr>
          </w:p>
        </w:tc>
      </w:tr>
      <w:tr>
        <w:trPr>
          <w:trHeight w:val="198"/>
        </w:trPr>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resulting from operations- basic and</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FF0FC"/>
          </w:tcPr>
          <w:p>
            <w:pPr>
              <w:spacing w:after="0"/>
              <w:rPr>
                <w:sz w:val="20"/>
                <w:szCs w:val="20"/>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adopted a tax year end of March 31 and elected to be treated as a RIC for U.S. federal income tax purposes under Subchapter M of the Code.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U.S. GAAP. The final determination of the source of all distributions in 2025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federal income tax regulations differ from U.S. GAAP, distributions in accordance with tax regulations may differ from net investment income (loss)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 The Company had not recorded a liability for any uncertain tax positions pursuant to the provisions of ASC 740 as of June 30, 2025 and December 31, 2024. In the normal course of business, the Company is subject to examination by federal and certain state and local tax regulators.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normal course of business, the Company is subject to examination by federal and certain state and local tax regulators.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As of March 31, 2025, the Company’s most recent tax year end, the Company had a net short-term capital loss carryforward of $210,767 and a net long-term capital loss carryforward of $74,483, each of which may be carried forward for an indefinite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taxable income for each period is an estimate and will not be finally determined until the Company files its tax return for each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final taxable income earned in each year and carried forward for distribution in the following year may be different than this estimate.</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tax years ended March 31, 2025 and March 31, 2024, the Company reclassified for book purposes amounts arising from permanent book to tax differences primarily related to non-deductible excise tax paid.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additional paid in capital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(120,003)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(10,676)</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distributable earnings (accumulated loss)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income tax purposes, distributions paid to shareholders are reported as ordinary income, return of capital, long-term capital gains, or a combination thereof. The tax character of distributions paid for the three months ended June 30, 2025 and the tax year ended March 31,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tax year from</w:t>
            </w:r>
          </w:p>
        </w:tc>
      </w:tr>
      <w:tr>
        <w:trPr>
          <w:trHeight w:val="216"/>
        </w:trPr>
        <w:tc>
          <w:tcPr>
            <w:tcW w:w="71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For the tax period from</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April 1, 2024</w:t>
            </w:r>
          </w:p>
        </w:tc>
      </w:tr>
      <w:tr>
        <w:trPr>
          <w:trHeight w:val="216"/>
        </w:trPr>
        <w:tc>
          <w:tcPr>
            <w:tcW w:w="7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1, 2025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through March 31,</w:t>
            </w:r>
          </w:p>
        </w:tc>
      </w:tr>
      <w:tr>
        <w:trPr>
          <w:trHeight w:val="238"/>
        </w:trPr>
        <w:tc>
          <w:tcPr>
            <w:tcW w:w="7140" w:type="dxa"/>
            <w:vAlign w:val="bottom"/>
          </w:tcPr>
          <w:p>
            <w:pPr>
              <w:spacing w:after="0"/>
              <w:rPr>
                <w:sz w:val="20"/>
                <w:szCs w:val="20"/>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through June 30, 2025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7,758,939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18,625,335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Long-term Capital Gain</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Distributions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7,758,939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18,625,335</w:t>
            </w:r>
          </w:p>
        </w:tc>
        <w:tc>
          <w:tcPr>
            <w:tcW w:w="10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March 31, 2024,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 and distributions payable.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ordinary income</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9,344,744</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1,782,017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20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(3,210,239)</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1,248,303</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Gain/(Loss) Carry Forwards</w:t>
            </w:r>
          </w:p>
        </w:tc>
        <w:tc>
          <w:tcPr>
            <w:tcW w:w="2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(285,250)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(210,767)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0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(8,211,487)</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(3,393,536)</w:t>
            </w:r>
          </w:p>
        </w:tc>
      </w:tr>
      <w:tr>
        <w:trPr>
          <w:trHeight w:val="20"/>
        </w:trPr>
        <w:tc>
          <w:tcPr>
            <w:tcW w:w="7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(2,362,232)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(573,983)</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cost basis and the estimated aggregate gross unrealized appreciation and depreciation from investments and cash equivalents for federal income tax purposes as of June 30, 2025 and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cost of investments and cash equivalents</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322,763,701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307,394,719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depreciation</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(3,628,011)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(4,496,904)</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unrealized appreciation (depreciation) from investments and cash</w:t>
            </w:r>
          </w:p>
        </w:tc>
        <w:tc>
          <w:tcPr>
            <w:tcW w:w="1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(1,435,344)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(3,210,239)</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equivalents</w:t>
            </w:r>
          </w:p>
        </w:tc>
        <w:tc>
          <w:tcPr>
            <w:tcW w:w="170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FINANCIAL HIGHLIGHTS</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presents financial highlights for the six months ended June 30, 2025 and 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-805180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-805180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09"/>
        </w:trPr>
        <w:tc>
          <w:tcPr>
            <w:tcW w:w="6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4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8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(loss) </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and unrealized gains/(losses) on investments </w:t>
            </w:r>
            <w:r>
              <w:rPr>
                <w:rFonts w:ascii="Times New Roman" w:cs="Times New Roman" w:eastAsia="Times New Roman" w:hAnsi="Times New Roman"/>
                <w:sz w:val="24"/>
                <w:szCs w:val="24"/>
                <w:color w:val="auto"/>
                <w:vertAlign w:val="superscript"/>
              </w:rPr>
              <w:t>(1)</w:t>
            </w: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18"/>
                <w:szCs w:val="18"/>
                <w:color w:val="auto"/>
              </w:rPr>
            </w:pPr>
          </w:p>
        </w:tc>
      </w:tr>
      <w:tr>
        <w:trPr>
          <w:trHeight w:val="210"/>
        </w:trPr>
        <w:tc>
          <w:tcPr>
            <w:tcW w:w="612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increase/(decrease) in net assets resulting from operations </w:t>
            </w:r>
            <w:r>
              <w:rPr>
                <w:rFonts w:ascii="Times New Roman" w:cs="Times New Roman" w:eastAsia="Times New Roman" w:hAnsi="Times New Roman"/>
                <w:sz w:val="24"/>
                <w:szCs w:val="24"/>
                <w:color w:val="auto"/>
                <w:vertAlign w:val="superscript"/>
              </w:rPr>
              <w:t>(1)</w:t>
            </w:r>
          </w:p>
        </w:tc>
        <w:tc>
          <w:tcPr>
            <w:tcW w:w="1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Distributions from net investment income (loss) </w:t>
            </w:r>
            <w:r>
              <w:rPr>
                <w:rFonts w:ascii="Times New Roman" w:cs="Times New Roman" w:eastAsia="Times New Roman" w:hAnsi="Times New Roman"/>
                <w:sz w:val="24"/>
                <w:szCs w:val="24"/>
                <w:color w:val="auto"/>
                <w:vertAlign w:val="superscript"/>
              </w:rPr>
              <w:t>(2)</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6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assets at end of period</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301,843,563</w:t>
            </w:r>
          </w:p>
        </w:tc>
        <w:tc>
          <w:tcPr>
            <w:tcW w:w="30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84,258,073</w:t>
            </w:r>
          </w:p>
        </w:tc>
        <w:tc>
          <w:tcPr>
            <w:tcW w:w="180" w:type="dxa"/>
            <w:vAlign w:val="bottom"/>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22,820,408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621,494</w:t>
            </w:r>
          </w:p>
        </w:tc>
        <w:tc>
          <w:tcPr>
            <w:tcW w:w="180" w:type="dxa"/>
            <w:vAlign w:val="bottom"/>
            <w:shd w:val="clear" w:color="auto" w:fill="CFF0FC"/>
          </w:tcPr>
          <w:p>
            <w:pPr>
              <w:spacing w:after="0"/>
              <w:rPr>
                <w:sz w:val="18"/>
                <w:szCs w:val="18"/>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net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301,094,453</w:t>
            </w:r>
          </w:p>
        </w:tc>
        <w:tc>
          <w:tcPr>
            <w:tcW w:w="3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85,034,260</w:t>
            </w:r>
          </w:p>
        </w:tc>
        <w:tc>
          <w:tcPr>
            <w:tcW w:w="180" w:type="dxa"/>
            <w:vAlign w:val="bottom"/>
          </w:tcPr>
          <w:p>
            <w:pPr>
              <w:spacing w:after="0"/>
              <w:rPr>
                <w:sz w:val="20"/>
                <w:szCs w:val="20"/>
                <w:color w:val="auto"/>
              </w:rPr>
            </w:pPr>
          </w:p>
        </w:tc>
      </w:tr>
      <w:tr>
        <w:trPr>
          <w:trHeight w:val="198"/>
        </w:trPr>
        <w:tc>
          <w:tcPr>
            <w:tcW w:w="6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4"/>
                <w:szCs w:val="24"/>
                <w:color w:val="auto"/>
                <w:vertAlign w:val="superscript"/>
              </w:rPr>
              <w:t>(3)</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46.73%</w:t>
            </w:r>
          </w:p>
        </w:tc>
      </w:tr>
      <w:tr>
        <w:trPr>
          <w:trHeight w:val="216"/>
        </w:trPr>
        <w:tc>
          <w:tcPr>
            <w:tcW w:w="6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(3)</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432"/>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6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Ratio of net investment income (loss) to average net assets </w:t>
            </w:r>
            <w:r>
              <w:rPr>
                <w:rFonts w:ascii="Times New Roman" w:cs="Times New Roman" w:eastAsia="Times New Roman" w:hAnsi="Times New Roman"/>
                <w:sz w:val="24"/>
                <w:szCs w:val="24"/>
                <w:color w:val="auto"/>
                <w:vertAlign w:val="superscript"/>
              </w:rPr>
              <w:t>(4)</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Ratio of expenses to average net assets (3)</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6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Ratio of waived expenses to average net assets</w:t>
            </w:r>
            <w:r>
              <w:rPr>
                <w:rFonts w:ascii="Times New Roman" w:cs="Times New Roman" w:eastAsia="Times New Roman" w:hAnsi="Times New Roman"/>
                <w:sz w:val="24"/>
                <w:szCs w:val="24"/>
                <w:color w:val="auto"/>
                <w:vertAlign w:val="superscript"/>
              </w:rPr>
              <w:t>(4)</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Ratio of net expenses to average net assets</w:t>
            </w:r>
            <w:r>
              <w:rPr>
                <w:rFonts w:ascii="Times New Roman" w:cs="Times New Roman" w:eastAsia="Times New Roman" w:hAnsi="Times New Roman"/>
                <w:sz w:val="24"/>
                <w:szCs w:val="24"/>
                <w:color w:val="auto"/>
                <w:vertAlign w:val="superscript"/>
              </w:rPr>
              <w:t>(4)</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6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Portfolio turnover </w:t>
            </w:r>
            <w:r>
              <w:rPr>
                <w:rFonts w:ascii="Times New Roman" w:cs="Times New Roman" w:eastAsia="Times New Roman" w:hAnsi="Times New Roman"/>
                <w:sz w:val="24"/>
                <w:szCs w:val="24"/>
                <w:color w:val="auto"/>
                <w:vertAlign w:val="superscript"/>
              </w:rPr>
              <w:t>(4)</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-2236470</wp:posOffset>
            </wp:positionV>
            <wp:extent cx="1460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-2236470</wp:posOffset>
            </wp:positionV>
            <wp:extent cx="1117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-1945640</wp:posOffset>
            </wp:positionV>
            <wp:extent cx="14605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-1928495</wp:posOffset>
            </wp:positionV>
            <wp:extent cx="1460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-1945640</wp:posOffset>
            </wp:positionV>
            <wp:extent cx="1117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-1928495</wp:posOffset>
            </wp:positionV>
            <wp:extent cx="1117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6"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per share data was derived by using the weighted average shares outstanding during the periods presented.</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 shown may not correspond for the period as it includes the effect of the timing of the distribution and the issuance of common stock.</w:t>
      </w:r>
    </w:p>
    <w:p>
      <w:pPr>
        <w:spacing w:after="0" w:line="2" w:lineRule="exact"/>
        <w:rPr>
          <w:rFonts w:ascii="Times New Roman" w:cs="Times New Roman" w:eastAsia="Times New Roman" w:hAnsi="Times New Roman"/>
          <w:sz w:val="24"/>
          <w:szCs w:val="24"/>
          <w:color w:val="auto"/>
          <w:vertAlign w:val="superscript"/>
        </w:rPr>
      </w:pPr>
    </w:p>
    <w:p>
      <w:pPr>
        <w:jc w:val="both"/>
        <w:ind w:left="520" w:hanging="512"/>
        <w:spacing w:after="0" w:line="230" w:lineRule="auto"/>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Total return based on market value is based on the change in market price per share between the beginning and ending market prices per share in each period and assumes that common stock dividends are reinvested in accordance with the DRIP. Total return based on net asset value is based upon the change in net asset value per share between the beginning and ending net asset values per share in each period and assumes that dividends are reinvested in accordance with the DRIP. For periods less than a year, total return is not annualized.</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Ratio is not annualized.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Company operates through a single operating and reporting segment with an investment objective of maximizing risk-adjusted returns on equity for its shareholders. The management approach considers the internal organization and reporting used by the Company’s Chief Executive Officer, Chief Financial Officer, and Co-Chief Investment Officers, which comprise the chief operating decision maker (“CODM”) for making decisions, allocating resources and assessing performance. The CODM assesses the performance of, and makes operating decisions for, the Company primarily based on the Company’s net asset value, net investment income, and net increase (decrease) in net assets resulting from operations. These measures of segment performance are the same as those presented in the Company’s Statements of Assets and Liabilities and Statements of Operations, prepared in accordance with U.S. GAAP. In addition to other factors and metrics, the CODM utilizes net increase (decrease) in net assets resulting from operations, as reported on the Statements of Operations, as a key determinant of the amount of dividends to be distributed to the Company’s stockholders.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Company’s operations comprise of a single reporting segment, the segment assets are reflected on the accompanying Statements of Assets and Liabilities as “total assets” and the significant segment expenses are listed on the accompanying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12, 2025, the Board approved a cash dividend of $0.34 per share. The dividend is payable on October 10, 2025 to stockholders of record on September 29,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31, 2025, the Company received a principal repayment of approximately $38.7 million, representing the full repayment of its loan to STIIIZY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(Shryne Group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annual report on Form 10-K for the fiscal year ended December 31, 2024 and elsewhere in this quarterly report on Form 10-Q. Please also see the section entitled “Special Note Regarding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formed in January 2021 as a Maryland corporation and are structured as an externally managed, closed-end, non-diversified management investment company. We have elected to be regulated as a business development company ("BDC") under the Investment Company Act of 1940 (the "1940 Act"). In addition, for U.S. federal income tax purposes we have elected to be treated, and intend to qualify annually to be treated, as a regulated investment company ("RIC") under Subchapter M of the Internal Revenue Code (the "Code"), commencing with our taxable year ended March 31, 2022.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$780.3 million of potential investments in varying stages of underwriting.</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describes the four primary current sub-strategies of our principal investment strategy. We are not required to have a minimum investment in any of these sub-strategies.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Cannabis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Chicago Atlantic BDC Advisers, LLC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cannabis companies that it believes have some or all of the following characteristics:</w:t>
      </w:r>
    </w:p>
    <w:p>
      <w:pPr>
        <w:spacing w:after="0" w:line="18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or EBITDA positive entities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require capital but do not want to dilute their equity</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&amp; Technology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growth and technology focused companies that it believes have some or all of the following characteristics:</w:t>
      </w:r>
    </w:p>
    <w:p>
      <w:pPr>
        <w:spacing w:after="0" w:line="19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 and disruptive companies experiencing strong growth</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raised significant equity capital validating market value</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focus typically includes software, hardware, e-commerce, direct to consumer and other fast-growing companies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covenants that ensure such company has adequate cash runway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Profitable or demonstrated path to near term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Esoteric &amp; Asset-Based Lending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Adviser seeks to invest in esoteric industries or companies in need of asset-based loans that it believes have some or all of the following characteristics:</w:t>
      </w:r>
    </w:p>
    <w:p>
      <w:pPr>
        <w:spacing w:after="0" w:line="121"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 but the industries carry regulatory, reputational or other risks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attractive assets, including, but not limited to, accounts receivable, equipment or real estate</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 or situation</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asset value and/or enterprise value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Solutions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liquidity solutions opportunities that it believes have some or all of the following characteristics:</w:t>
      </w:r>
    </w:p>
    <w:p>
      <w:pPr>
        <w:spacing w:after="0" w:line="18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is typically event driven</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pursuing a merger, acquisition, refinancing, dividend recap, or other strategic liquidity need</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multiple areas of value and liquidity in addition to the underlying business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 ratios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investment policies are fundamental, and thus may be changed without stockholder approval.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externally managed by the Adviser. The Adviser also provides the administrative services necessary for us to operate. We believe that our ability to leverage the existing investment management platform of Chicago Atlantic enables us to operate more efficiently and with lower overhead costs than other funds of comparable size.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two to six years. Our loan portfolio will bear interest at a fixed or floating rate, subject to interest rate floors in certain cases. Interest on our debt investments will generally be payable either monthly or quarterly, but may be semi-annually.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 portfolio consists of fixed and floating rate loans, and our revolving credit facility also bears interest at a floating rate, when drawn. Macro trends in base interest rates like PRIME or SOFR may affect our net investment income (loss) over the long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income on equity investments, if applicable, will be recorded on the record date for private portfolio companies or on the ex-dividend date for publicly traded companies.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operating expenses are a base management fee and any incentive fees under the investment advisory agreement between the Company and the Adviser (the "Investment Advisory Agreement"). Our investment management fee compensates our Adviser for its work in identifying, evaluating, negotiating, executing, monitoring, servicing and realizing our investments. See “Item 1. Business—Investment Advisory Agreement.”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Chief Financial Officer ("CFO") and Chief Compliance Officer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4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organization and offerings;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shares of our common stock and other securities;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under any underwriting agreements, if any;</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payable pursuant to the Investment Advisory Agreement;</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third-parties relating to, or associated with, making investments and valuing investments (including third-party valuation firms);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legal fees, associated with compliance under cannabis laws;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 (including attendance at industry and investor conferences and similar events);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 and fees payable to rating agencies;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 including travel expenses;</w:t>
      </w:r>
    </w:p>
    <w:p>
      <w:pPr>
        <w:spacing w:after="0" w:line="19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 and other compensation payable to brokers or dealers;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market data;</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errors and omissions liability insurance and other insurance premiums;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and staff;</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and consulting costs;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winding up;</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formation or maintenance of entities or vehicles to hold our assets for tax or other purposes;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indemnification); and</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reporting and compliance obligations under the 1940 Act and applicable federal and state securities laws.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but cannot assure, that our general and administrative expenses will increase in dollar terms during periods of asset growth, but will decline as a percentage of total assets during such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 and Investment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our investment portfolio had an aggregate fair value of approximately $307.5 million and was comprised of approximately $267.6 million in first lien, senior secured loans, approximately $38.9 million in senior secured notes and approximately $1.0 million in equity securities across thirty-three portfolio companies. As of December 31, 2024, our investment portfolio had an aggregate fair value of approximately $275.2 million and was comprised of approximately $239.9 million in first lien, senior secured loans, approximately $34.7 million in senior secured notes and $0.7 million in equity securities across twenty-eight portfolio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composition of our investment portfolio at amortized cost and fair value as a percentage of total investments as of June 30, 2025 and December 31, 2024 are shown in the following tables.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vMerge w:val="restart"/>
          </w:tcPr>
          <w:p>
            <w:pPr>
              <w:ind w:left="308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20" w:type="dxa"/>
            <w:vAlign w:val="bottom"/>
            <w:vMerge w:val="restart"/>
          </w:tcPr>
          <w:p>
            <w:pPr>
              <w:spacing w:after="0"/>
              <w:rPr>
                <w:sz w:val="20"/>
                <w:szCs w:val="20"/>
                <w:color w:val="auto"/>
              </w:rPr>
            </w:pPr>
          </w:p>
        </w:tc>
        <w:tc>
          <w:tcPr>
            <w:tcW w:w="368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87.0%</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111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111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vMerge w:val="restart"/>
          </w:tcPr>
          <w:p>
            <w:pPr>
              <w:ind w:left="308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20" w:type="dxa"/>
            <w:vAlign w:val="bottom"/>
            <w:vMerge w:val="restart"/>
          </w:tcPr>
          <w:p>
            <w:pPr>
              <w:spacing w:after="0"/>
              <w:rPr>
                <w:sz w:val="20"/>
                <w:szCs w:val="20"/>
                <w:color w:val="auto"/>
              </w:rPr>
            </w:pPr>
          </w:p>
        </w:tc>
        <w:tc>
          <w:tcPr>
            <w:tcW w:w="368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87.1%</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111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111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the composition of our investment portfolio by geographic region of the United States at amortized cost and fair value as a percentage of total investments as of June 30, 2025 and December 31, 2024. The geographic composition is determined by the location of the headquarters of the portfolio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20" w:type="dxa"/>
            <w:vAlign w:val="bottom"/>
            <w:vMerge w:val="restart"/>
          </w:tcPr>
          <w:p>
            <w:pPr>
              <w:spacing w:after="0"/>
              <w:rPr>
                <w:sz w:val="20"/>
                <w:szCs w:val="20"/>
                <w:color w:val="auto"/>
              </w:rPr>
            </w:pPr>
          </w:p>
        </w:tc>
        <w:tc>
          <w:tcPr>
            <w:tcW w:w="368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Southeast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Southwest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1111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1111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Midwest</w:t>
            </w:r>
          </w:p>
        </w:tc>
        <w:tc>
          <w:tcPr>
            <w:tcW w:w="4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West</w:t>
            </w:r>
          </w:p>
        </w:tc>
        <w:tc>
          <w:tcPr>
            <w:tcW w:w="44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Northeast</w:t>
            </w:r>
          </w:p>
        </w:tc>
        <w:tc>
          <w:tcPr>
            <w:tcW w:w="4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Southwest</w:t>
            </w:r>
          </w:p>
        </w:tc>
        <w:tc>
          <w:tcPr>
            <w:tcW w:w="44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Southeast</w:t>
            </w:r>
          </w:p>
        </w:tc>
        <w:tc>
          <w:tcPr>
            <w:tcW w:w="4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560" w:type="dxa"/>
            <w:vAlign w:val="bottom"/>
            <w:gridSpan w:val="2"/>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shd w:val="clear" w:color="auto" w:fill="CFF0FC"/>
          </w:tcPr>
          <w:p>
            <w:pPr>
              <w:spacing w:after="0"/>
              <w:rPr>
                <w:sz w:val="21"/>
                <w:szCs w:val="21"/>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28"/>
        </w:trPr>
        <w:tc>
          <w:tcPr>
            <w:tcW w:w="5000" w:type="dxa"/>
            <w:vAlign w:val="bottom"/>
            <w:tcBorders>
              <w:top w:val="single" w:sz="8" w:color="CFF0FC"/>
            </w:tcBorders>
          </w:tcPr>
          <w:p>
            <w:pPr>
              <w:spacing w:after="0"/>
              <w:rPr>
                <w:sz w:val="24"/>
                <w:szCs w:val="24"/>
                <w:color w:val="auto"/>
              </w:rPr>
            </w:pPr>
          </w:p>
        </w:tc>
        <w:tc>
          <w:tcPr>
            <w:tcW w:w="2440" w:type="dxa"/>
            <w:vAlign w:val="bottom"/>
            <w:tcBorders>
              <w:top w:val="single" w:sz="8" w:color="CFF0FC"/>
            </w:tcBorders>
          </w:tcPr>
          <w:p>
            <w:pPr>
              <w:jc w:val="right"/>
              <w:ind w:right="16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-933450</wp:posOffset>
            </wp:positionV>
            <wp:extent cx="1111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1111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-916305</wp:posOffset>
            </wp:positionV>
            <wp:extent cx="1117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the industry composition of our investment portfolio at amortized cost and fair value as a percentage of total investments as of June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vMerge w:val="restart"/>
          </w:tcPr>
          <w:p>
            <w:pPr>
              <w:ind w:left="3320"/>
              <w:spacing w:after="0"/>
              <w:rPr>
                <w:sz w:val="20"/>
                <w:szCs w:val="20"/>
                <w:color w:val="auto"/>
              </w:rPr>
            </w:pPr>
            <w:r>
              <w:rPr>
                <w:rFonts w:ascii="Times New Roman" w:cs="Times New Roman" w:eastAsia="Times New Roman" w:hAnsi="Times New Roman"/>
                <w:sz w:val="18"/>
                <w:szCs w:val="18"/>
                <w:b w:val="1"/>
                <w:bCs w:val="1"/>
                <w:color w:val="auto"/>
              </w:rPr>
              <w:t>Industry</w:t>
            </w:r>
            <w:r>
              <w:rPr>
                <w:rFonts w:ascii="Times New Roman" w:cs="Times New Roman" w:eastAsia="Times New Roman" w:hAnsi="Times New Roman"/>
                <w:sz w:val="24"/>
                <w:szCs w:val="24"/>
                <w:b w:val="1"/>
                <w:bCs w:val="1"/>
                <w:color w:val="auto"/>
                <w:vertAlign w:val="superscript"/>
              </w:rPr>
              <w:t>(1)</w:t>
            </w:r>
          </w:p>
        </w:tc>
        <w:tc>
          <w:tcPr>
            <w:tcW w:w="120" w:type="dxa"/>
            <w:vAlign w:val="bottom"/>
            <w:vMerge w:val="restart"/>
          </w:tcPr>
          <w:p>
            <w:pPr>
              <w:spacing w:after="0"/>
              <w:rPr>
                <w:sz w:val="20"/>
                <w:szCs w:val="20"/>
                <w:color w:val="auto"/>
              </w:rPr>
            </w:pPr>
          </w:p>
        </w:tc>
        <w:tc>
          <w:tcPr>
            <w:tcW w:w="368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Administration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Trade</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111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1111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vMerge w:val="restart"/>
          </w:tcPr>
          <w:p>
            <w:pPr>
              <w:ind w:left="3320"/>
              <w:spacing w:after="0"/>
              <w:rPr>
                <w:sz w:val="20"/>
                <w:szCs w:val="20"/>
                <w:color w:val="auto"/>
              </w:rPr>
            </w:pPr>
            <w:r>
              <w:rPr>
                <w:rFonts w:ascii="Times New Roman" w:cs="Times New Roman" w:eastAsia="Times New Roman" w:hAnsi="Times New Roman"/>
                <w:sz w:val="18"/>
                <w:szCs w:val="18"/>
                <w:b w:val="1"/>
                <w:bCs w:val="1"/>
                <w:color w:val="auto"/>
              </w:rPr>
              <w:t>Industry</w:t>
            </w:r>
            <w:r>
              <w:rPr>
                <w:rFonts w:ascii="Times New Roman" w:cs="Times New Roman" w:eastAsia="Times New Roman" w:hAnsi="Times New Roman"/>
                <w:sz w:val="24"/>
                <w:szCs w:val="24"/>
                <w:b w:val="1"/>
                <w:bCs w:val="1"/>
                <w:color w:val="auto"/>
                <w:vertAlign w:val="superscript"/>
              </w:rPr>
              <w:t>(1)</w:t>
            </w:r>
          </w:p>
        </w:tc>
        <w:tc>
          <w:tcPr>
            <w:tcW w:w="120" w:type="dxa"/>
            <w:vAlign w:val="bottom"/>
            <w:vMerge w:val="restart"/>
          </w:tcPr>
          <w:p>
            <w:pPr>
              <w:spacing w:after="0"/>
              <w:rPr>
                <w:sz w:val="20"/>
                <w:szCs w:val="20"/>
                <w:color w:val="auto"/>
              </w:rPr>
            </w:pPr>
          </w:p>
        </w:tc>
        <w:tc>
          <w:tcPr>
            <w:tcW w:w="368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Information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Administration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Trade</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7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-170815</wp:posOffset>
            </wp:positionV>
            <wp:extent cx="1111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we had three portfolio companies that represented 39.5% and 45.1% respectively, of our investments, at fair value. As of June 30, 2025 and December 31, 2024, our largest portfolio company represented 16.8% and 18.9%, respectively, of our investments, at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investment portfolio for the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Portfolio, at fair value</w:t>
            </w:r>
          </w:p>
        </w:tc>
        <w:tc>
          <w:tcPr>
            <w:tcW w:w="2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59,050,605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discount and fees (amortization of premium), net</w:t>
            </w:r>
          </w:p>
        </w:tc>
        <w:tc>
          <w:tcPr>
            <w:tcW w:w="2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1,216,102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PIK interest</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of investments and principal repayments</w:t>
            </w:r>
          </w:p>
        </w:tc>
        <w:tc>
          <w:tcPr>
            <w:tcW w:w="2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(29,940,662)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(3,126,000)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tc>
        <w:tc>
          <w:tcPr>
            <w:tcW w:w="24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Ending Portfolio, at fair value</w:t>
            </w:r>
          </w:p>
        </w:tc>
        <w:tc>
          <w:tcPr>
            <w:tcW w:w="2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53,398,164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4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-1079500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Asset Quality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Company's Board of Directors (the "Board") and the Audit Committee of the Board.</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Investment Performance Risk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886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1976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-409575</wp:posOffset>
            </wp:positionV>
            <wp:extent cx="7132320" cy="4114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635</wp:posOffset>
            </wp:positionV>
            <wp:extent cx="7132320" cy="4114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right="80"/>
        <w:spacing w:after="0" w:line="250" w:lineRule="auto"/>
        <w:rPr>
          <w:sz w:val="20"/>
          <w:szCs w:val="20"/>
          <w:color w:val="auto"/>
        </w:rPr>
      </w:pPr>
      <w:r>
        <w:rPr>
          <w:rFonts w:ascii="Times New Roman" w:cs="Times New Roman" w:eastAsia="Times New Roman" w:hAnsi="Times New Roman"/>
          <w:sz w:val="18"/>
          <w:szCs w:val="18"/>
          <w:color w:val="auto"/>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1270</wp:posOffset>
            </wp:positionV>
            <wp:extent cx="7132320" cy="548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both"/>
        <w:ind w:right="260"/>
        <w:spacing w:after="0" w:line="273" w:lineRule="auto"/>
        <w:rPr>
          <w:sz w:val="20"/>
          <w:szCs w:val="20"/>
          <w:color w:val="auto"/>
        </w:rPr>
      </w:pPr>
      <w:r>
        <w:rPr>
          <w:rFonts w:ascii="Times New Roman" w:cs="Times New Roman" w:eastAsia="Times New Roman" w:hAnsi="Times New Roman"/>
          <w:sz w:val="17"/>
          <w:szCs w:val="17"/>
          <w:color w:val="auto"/>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p>
      <w:pPr>
        <w:spacing w:after="0" w:line="172" w:lineRule="exact"/>
        <w:rPr>
          <w:sz w:val="20"/>
          <w:szCs w:val="20"/>
          <w:color w:val="auto"/>
        </w:rPr>
      </w:pPr>
    </w:p>
    <w:p>
      <w:pPr>
        <w:sectPr>
          <w:pgSz w:w="11900" w:h="16838" w:orient="portrait"/>
          <w:cols w:equalWidth="0" w:num="2">
            <w:col w:w="920" w:space="560"/>
            <w:col w:w="9760"/>
          </w:cols>
          <w:pgMar w:left="320" w:top="11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the distribution of our loan investments on the 1 to 5 investment risk rating scale at fair value as of June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at Fair</w:t>
            </w:r>
          </w:p>
        </w:tc>
        <w:tc>
          <w:tcPr>
            <w:tcW w:w="24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Investment Performance Risk Rating</w:t>
            </w:r>
          </w:p>
        </w:tc>
        <w:tc>
          <w:tcPr>
            <w:tcW w:w="1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jc w:val="right"/>
              <w:ind w:right="5110"/>
              <w:spacing w:after="0"/>
              <w:rPr>
                <w:sz w:val="20"/>
                <w:szCs w:val="20"/>
                <w:color w:val="auto"/>
              </w:rPr>
            </w:pPr>
            <w:r>
              <w:rPr>
                <w:rFonts w:ascii="Times New Roman" w:cs="Times New Roman" w:eastAsia="Times New Roman" w:hAnsi="Times New Roman"/>
                <w:sz w:val="18"/>
                <w:szCs w:val="18"/>
                <w:color w:val="auto"/>
                <w:w w:val="88"/>
              </w:rPr>
              <w:t>1</w:t>
            </w:r>
          </w:p>
        </w:tc>
        <w:tc>
          <w:tcPr>
            <w:tcW w:w="23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0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w w:val="88"/>
              </w:rPr>
              <w:t>2</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jc w:val="right"/>
              <w:ind w:right="5110"/>
              <w:spacing w:after="0"/>
              <w:rPr>
                <w:sz w:val="20"/>
                <w:szCs w:val="20"/>
                <w:color w:val="auto"/>
              </w:rPr>
            </w:pPr>
            <w:r>
              <w:rPr>
                <w:rFonts w:ascii="Times New Roman" w:cs="Times New Roman" w:eastAsia="Times New Roman" w:hAnsi="Times New Roman"/>
                <w:sz w:val="18"/>
                <w:szCs w:val="18"/>
                <w:color w:val="auto"/>
                <w:w w:val="88"/>
              </w:rPr>
              <w:t>3</w:t>
            </w: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0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w w:val="88"/>
              </w:rPr>
              <w:t>4</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jc w:val="right"/>
              <w:ind w:right="5110"/>
              <w:spacing w:after="0"/>
              <w:rPr>
                <w:sz w:val="20"/>
                <w:szCs w:val="20"/>
                <w:color w:val="auto"/>
              </w:rPr>
            </w:pPr>
            <w:r>
              <w:rPr>
                <w:rFonts w:ascii="Times New Roman" w:cs="Times New Roman" w:eastAsia="Times New Roman" w:hAnsi="Times New Roman"/>
                <w:sz w:val="18"/>
                <w:szCs w:val="18"/>
                <w:color w:val="auto"/>
                <w:w w:val="88"/>
              </w:rPr>
              <w:t>5</w:t>
            </w: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jc w:val="right"/>
              <w:ind w:right="469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307,499,004</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at Fair</w:t>
            </w:r>
          </w:p>
        </w:tc>
        <w:tc>
          <w:tcPr>
            <w:tcW w:w="24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Investment Performance Risk Rating</w:t>
            </w:r>
          </w:p>
        </w:tc>
        <w:tc>
          <w:tcPr>
            <w:tcW w:w="1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jc w:val="right"/>
              <w:ind w:right="5110"/>
              <w:spacing w:after="0"/>
              <w:rPr>
                <w:sz w:val="20"/>
                <w:szCs w:val="20"/>
                <w:color w:val="auto"/>
              </w:rPr>
            </w:pPr>
            <w:r>
              <w:rPr>
                <w:rFonts w:ascii="Times New Roman" w:cs="Times New Roman" w:eastAsia="Times New Roman" w:hAnsi="Times New Roman"/>
                <w:sz w:val="18"/>
                <w:szCs w:val="18"/>
                <w:color w:val="auto"/>
                <w:w w:val="88"/>
              </w:rPr>
              <w:t>1</w:t>
            </w:r>
          </w:p>
        </w:tc>
        <w:tc>
          <w:tcPr>
            <w:tcW w:w="23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0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w w:val="88"/>
              </w:rPr>
              <w:t>2</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jc w:val="right"/>
              <w:ind w:right="5110"/>
              <w:spacing w:after="0"/>
              <w:rPr>
                <w:sz w:val="20"/>
                <w:szCs w:val="20"/>
                <w:color w:val="auto"/>
              </w:rPr>
            </w:pPr>
            <w:r>
              <w:rPr>
                <w:rFonts w:ascii="Times New Roman" w:cs="Times New Roman" w:eastAsia="Times New Roman" w:hAnsi="Times New Roman"/>
                <w:sz w:val="18"/>
                <w:szCs w:val="18"/>
                <w:color w:val="auto"/>
                <w:w w:val="88"/>
              </w:rPr>
              <w:t>3</w:t>
            </w: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0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w w:val="88"/>
              </w:rPr>
              <w:t>4</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jc w:val="right"/>
              <w:ind w:right="5110"/>
              <w:spacing w:after="0"/>
              <w:rPr>
                <w:sz w:val="20"/>
                <w:szCs w:val="20"/>
                <w:color w:val="auto"/>
              </w:rPr>
            </w:pPr>
            <w:r>
              <w:rPr>
                <w:rFonts w:ascii="Times New Roman" w:cs="Times New Roman" w:eastAsia="Times New Roman" w:hAnsi="Times New Roman"/>
                <w:sz w:val="18"/>
                <w:szCs w:val="18"/>
                <w:color w:val="auto"/>
                <w:w w:val="88"/>
              </w:rPr>
              <w:t>5</w:t>
            </w: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Pr>
          <w:p>
            <w:pPr>
              <w:jc w:val="right"/>
              <w:ind w:right="469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275,241,398</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6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-2639695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-2639695</wp:posOffset>
            </wp:positionV>
            <wp:extent cx="1117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-1079500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-1079500</wp:posOffset>
            </wp:positionV>
            <wp:extent cx="11176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 on Non-Accrual Status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there were no loans in our portfolio placed on non-accrual status.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Line of Credit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$5,000,000 outstanding borrowings and $95,000,000 available under the Revolving Line of Credit. Additionally, as of June 30, 2025, $233.9 million of loans held for investment, at principal, were pledged as collateral in the borrowing base of the Revolving Loan.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of our results of operations encompasses our results for the three and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investment income for the three and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0"/>
        </w:trPr>
        <w:tc>
          <w:tcPr>
            <w:tcW w:w="590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10,616,576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2,522,397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20,799,750</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5,054,514</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 and fees (amortization of premium),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693,195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349,179</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PIK</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596,295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1,169,670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11,906,066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2,790,333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23,185,522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5,516,830</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Fee income</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1,173,972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1,817,518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13,080,038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3,081,333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25,003,040</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5,841,580</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-453390</wp:posOffset>
            </wp:positionV>
            <wp:extent cx="7747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-453390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-453390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774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investment income from the investments we hold, generally in the form of interest income from our debt securities. We also generate revenues in the form of investment income from the cash we hold, generally in the form of interest income from our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recognizes certain fees as one-time fee income, including, but not limited to, structuring fees.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total investment income was approximately $13.1 million and $25.0 million, respectively, which was attributable to $1.2 million and $1.8 million of fee income related to commitment fees, success fees, amendment fees and administrative fees and approximately $11.9 million and $23.2 million of interest income, respectively. For the three and six months ended June 30, 2024, total investment income was approximately $3.1 million and $5.8 million, respectively, which was attributable to approximately $0.3 million and $0.3 million of fee income related to commitment fees, advisory fees, and administrative fees and approximately $2.8 million and $5.5 million of interest income,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for the six months ended June 30, 2025 and 2024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Income-based incentive fees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3,884,914</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328,503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3,556,411</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1082.6%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2,113,751</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429.2%</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2,341,260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2,341,260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424,192</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371,450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446,641</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expense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140,202</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114,981</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Sub-administrator fees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199,643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 incentive fees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expenses related to the Loan Portfolio Acquisition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2,639,069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(2,639,069)</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09"/>
        </w:trPr>
        <w:tc>
          <w:tcPr>
            <w:tcW w:w="5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11,456,272</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4,395,756</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7,060,516</w:t>
            </w:r>
          </w:p>
        </w:tc>
        <w:tc>
          <w:tcPr>
            <w:tcW w:w="24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Waiver of General and administrative expense (Note 6)</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(658,477)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(658,477)</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Expense limitation agreement (Note 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(1,107,783)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(1,107,783)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9,690,012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4,395,756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5,294,256</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-590550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-590550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-590550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investment income was approximately $7.7 million and $15.3 million for the three and six months ended June 30, 2025, respectively, as compared to approximately $1.5 million and $1.4 million for the three and six months ended June 30, 2024, respectively. The fluctuation in net investment income is attributable to the increase in complexity, portfolio size and growth of the Company following the close of the previously announced acquisition of a portfolio of loans (the “Loan Portfolio”) from Chicago Atlantic Loan Portfolio, LLC (“CALP”) in exchange for newly issued shares of the Company’s common stock (the “Loan Portfolio Acquisition”). The amortized cost of the Company’s investment portfolio increased by $253.3 million from June 30, 2024 to June 30,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no net realized gains or losses from investments during the three and six months ended June 30,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from Investments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change in unrealized appreciation (depreciation) from investments for the three and six months ended June 30, 2025 and 2024 is comprised of the following: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unrealized appreciation</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1,428,075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190,134</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1,553,712</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depreciation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(508,417)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(422,906)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net change in unrealized appreciation (depreciation) from</w:t>
            </w:r>
          </w:p>
        </w:tc>
        <w:tc>
          <w:tcPr>
            <w:tcW w:w="280" w:type="dxa"/>
            <w:vAlign w:val="bottom"/>
            <w:vMerge w:val="restart"/>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919,658</w:t>
            </w:r>
          </w:p>
        </w:tc>
        <w:tc>
          <w:tcPr>
            <w:tcW w:w="140" w:type="dxa"/>
            <w:vAlign w:val="bottom"/>
            <w:shd w:val="clear" w:color="auto" w:fill="CFF0FC"/>
          </w:tcPr>
          <w:p>
            <w:pPr>
              <w:spacing w:after="0"/>
              <w:rPr>
                <w:sz w:val="16"/>
                <w:szCs w:val="16"/>
                <w:color w:val="auto"/>
              </w:rPr>
            </w:pPr>
          </w:p>
        </w:tc>
        <w:tc>
          <w:tcPr>
            <w:tcW w:w="2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(232,772)</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140" w:type="dxa"/>
            <w:vAlign w:val="bottom"/>
            <w:shd w:val="clear" w:color="auto" w:fill="CFF0FC"/>
          </w:tcPr>
          <w:p>
            <w:pPr>
              <w:spacing w:after="0"/>
              <w:rPr>
                <w:sz w:val="16"/>
                <w:szCs w:val="16"/>
                <w:color w:val="auto"/>
              </w:rPr>
            </w:pPr>
          </w:p>
        </w:tc>
        <w:tc>
          <w:tcPr>
            <w:tcW w:w="40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4920" w:type="dxa"/>
            <w:vAlign w:val="bottom"/>
            <w:vMerge w:val="restart"/>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vMerge w:val="continue"/>
            <w:shd w:val="clear" w:color="auto" w:fill="CFF0FC"/>
          </w:tcPr>
          <w:p>
            <w:pPr>
              <w:spacing w:after="0"/>
              <w:rPr>
                <w:sz w:val="8"/>
                <w:szCs w:val="8"/>
                <w:color w:val="auto"/>
              </w:rPr>
            </w:pPr>
          </w:p>
        </w:tc>
        <w:tc>
          <w:tcPr>
            <w:tcW w:w="160" w:type="dxa"/>
            <w:vAlign w:val="bottom"/>
            <w:vMerge w:val="continue"/>
            <w:shd w:val="clear" w:color="auto" w:fill="CFF0FC"/>
          </w:tcPr>
          <w:p>
            <w:pPr>
              <w:spacing w:after="0"/>
              <w:rPr>
                <w:sz w:val="8"/>
                <w:szCs w:val="8"/>
                <w:color w:val="auto"/>
              </w:rPr>
            </w:pPr>
          </w:p>
        </w:tc>
        <w:tc>
          <w:tcPr>
            <w:tcW w:w="130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gridSpan w:val="2"/>
            <w:vMerge w:val="continue"/>
            <w:shd w:val="clear" w:color="auto" w:fill="CFF0FC"/>
          </w:tcPr>
          <w:p>
            <w:pPr>
              <w:spacing w:after="0"/>
              <w:rPr>
                <w:sz w:val="8"/>
                <w:szCs w:val="8"/>
                <w:color w:val="auto"/>
              </w:rPr>
            </w:pPr>
          </w:p>
        </w:tc>
        <w:tc>
          <w:tcPr>
            <w:tcW w:w="1460" w:type="dxa"/>
            <w:vAlign w:val="bottom"/>
            <w:gridSpan w:val="2"/>
            <w:vMerge w:val="continue"/>
            <w:shd w:val="clear" w:color="auto" w:fill="CFF0FC"/>
          </w:tcPr>
          <w:p>
            <w:pPr>
              <w:spacing w:after="0"/>
              <w:rPr>
                <w:sz w:val="8"/>
                <w:szCs w:val="8"/>
                <w:color w:val="auto"/>
              </w:rPr>
            </w:pPr>
          </w:p>
        </w:tc>
        <w:tc>
          <w:tcPr>
            <w:tcW w:w="260" w:type="dxa"/>
            <w:vAlign w:val="bottom"/>
            <w:gridSpan w:val="2"/>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gridSpan w:val="2"/>
            <w:vMerge w:val="continue"/>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920" w:type="dxa"/>
            <w:vAlign w:val="bottom"/>
            <w:tcBorders>
              <w:bottom w:val="single" w:sz="8" w:color="CFF0FC"/>
            </w:tcBorders>
            <w:vMerge w:val="continue"/>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28"/>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-933450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-916305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-933450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-916305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net change in unrealized appreciation (depreciation) for our portfolio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Aeriz Holdings Corp</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121,039</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53,418</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Archos Capital Group, LLC</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Ascend Wellness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Aura Home, Inc</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Cannabis &amp; Glass (Kapple Holdings LLC)</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Curaleaf Holdings, Inc.</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Deep Roots Harvest, Inc.</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822,813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Dreamfields Brands, Inc. (d/b/a Jeeter)</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(17,206)</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Elevation Cannabis, LLC</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(112,185)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Flowery - Bill's Nursery, Inc.</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Fluent Corp. (f/k/a Consortium)</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(11,661)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HA-MD, LLC</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Hartford Gold Group, LLC: (Maturity: 1/6/2027)</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(72,170)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(30,004)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Hartford Gold Group, LLC: (Maturity: 12/17/2025)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Kaleafa, Inc.</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Minden Holdings, LLC</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Nova Farms, LLC</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(83,199)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(107,432)</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Oasis - AZ GOAT AZ LLC</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PharmaCann, Inc.</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 Holdings, LLC</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Protect Animals With Satellites LLC (Halo Collar): Term Loan</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Protect Animals With Satellites LLC (Halo Collar): Incremental Term</w:t>
            </w: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w:t>
            </w: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Remedy - Maryland Wellness, LLC</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(12,172)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RTCP, LLC</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Silver Therapeutics, Inc.</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(87,300)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(87,300)</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Simspace Corporation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STIIIZY, Inc. (f/k/a Shryne Group Inc.)</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(251,788)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(10,994)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Subsero Holdings - Illinois, Inc</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Sunny Days Enterprises, LLC</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(43,094)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TheraTrue, Inc.</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Tulip.io Inc.</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Verano Holdings Corp.</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 Creek Financial Holdings, Inc. dba Koalafi</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72,076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Workbox Holdings Inc.</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Workbox Holdings Inc.: A-3 Warrants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Workbox Holdings Inc.:A-4 Warrants</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Youth Opportunity Investments, LLC</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(17,530)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net change in unrealized appreciation (depreciation) from</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919,658</w:t>
            </w:r>
          </w:p>
        </w:tc>
        <w:tc>
          <w:tcPr>
            <w:tcW w:w="16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(232,772)</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885,594</w:t>
            </w:r>
          </w:p>
        </w:tc>
        <w:tc>
          <w:tcPr>
            <w:tcW w:w="160" w:type="dxa"/>
            <w:vAlign w:val="bottom"/>
          </w:tcPr>
          <w:p>
            <w:pPr>
              <w:spacing w:after="0"/>
              <w:rPr>
                <w:sz w:val="16"/>
                <w:szCs w:val="16"/>
                <w:color w:val="auto"/>
              </w:rPr>
            </w:pPr>
          </w:p>
        </w:tc>
        <w:tc>
          <w:tcPr>
            <w:tcW w:w="4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366,848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55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54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-281940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-281940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-281940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 Liquidity and Capital Resources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cash primarily from the net proceeds of offerings of securities and cash flows from operations, including interest earned from the temporary investment of cash in U.S. government securities.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a revolving credit facility. The amount of leverage that we employ will depend on our assessment of market conditions and other factors at the time of any proposed borrowing, such as the maturity, covenant package and rate structure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use of funds will be investments in portfolio companies, dividend payments to holders of our common stock who opt out of the Company’s dividend reinvestment plan (the “DRIP”), and the payment of operating expenses. As of June 30, 2025 and December 31, 2024, we had cash and cash equivalents of approximately $13.8 million and $23.9 million, respectively, and no indebtedness.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may also be distributed in accordance with the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estimates follows.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r>
        <w:rPr>
          <w:rFonts w:ascii="Times New Roman" w:cs="Times New Roman" w:eastAsia="Times New Roman" w:hAnsi="Times New Roman"/>
          <w:sz w:val="18"/>
          <w:szCs w:val="18"/>
          <w:color w:val="00B050"/>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85" w:lineRule="exact"/>
        <w:rPr>
          <w:sz w:val="20"/>
          <w:szCs w:val="20"/>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Accounting Standards Codification ("ASC")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48" w:lineRule="exact"/>
        <w:rPr>
          <w:sz w:val="20"/>
          <w:szCs w:val="20"/>
          <w:color w:val="auto"/>
        </w:rPr>
      </w:pPr>
    </w:p>
    <w:p>
      <w:pPr>
        <w:ind w:left="520" w:right="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investments as of June 30, 2025 and December 31, 2024 were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or unobservable inputs, fluctuate based on both market and company specific factors. Please refer to “Note 4 – Fair Value of Financial Instruments” in the notes to the financial statements included with this quarterly report on Form 10-Q for specific unobservable inputs.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Contractual Obligations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certain commitments pursuant to our Investment Advisory Agreement.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the Adviser to serve as our administrator. Payments under the administration agreement between the Company and the Adviser (the "Administration Agreement") will be reimbursements to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a sub-administrator. The Company is not responsible for the compensation of the Adviser’s employees and overhead expenses. See “Item 1. Business—Administration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Global Market on February 4, 2022 in connection with our initial public offering of shares of our common stock. Since October 2, 2024, our common stock trades on the Nasdaq Global Market under the symbol “LIEN.”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August 13, 2025, the last reported closing sales price of our common stock on the Nasdaq Global Market was $10.41 per share, which represented a discount of approximately 21.32% to our net asset value per share of $13.23 as of June 30,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High Sales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Low Sales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Price Range</w:t>
            </w: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0" w:type="dxa"/>
            <w:vAlign w:val="bottom"/>
          </w:tcPr>
          <w:p>
            <w:pPr>
              <w:spacing w:after="0"/>
              <w:rPr>
                <w:sz w:val="1"/>
                <w:szCs w:val="1"/>
                <w:color w:val="auto"/>
              </w:rPr>
            </w:pPr>
          </w:p>
        </w:tc>
      </w:tr>
      <w:tr>
        <w:trPr>
          <w:trHeight w:val="167"/>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8"/>
                <w:szCs w:val="18"/>
                <w:b w:val="1"/>
                <w:bCs w:val="1"/>
                <w:color w:val="auto"/>
                <w:w w:val="99"/>
              </w:rPr>
              <w:t>Net Asset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7" w:lineRule="exact"/>
              <w:rPr>
                <w:sz w:val="20"/>
                <w:szCs w:val="20"/>
                <w:color w:val="auto"/>
              </w:rPr>
            </w:pPr>
            <w:r>
              <w:rPr>
                <w:rFonts w:ascii="Times New Roman" w:cs="Times New Roman" w:eastAsia="Times New Roman" w:hAnsi="Times New Roman"/>
                <w:sz w:val="18"/>
                <w:szCs w:val="18"/>
                <w:b w:val="1"/>
                <w:bCs w:val="1"/>
                <w:color w:val="auto"/>
                <w:w w:val="99"/>
              </w:rPr>
              <w:t>Net Asset</w:t>
            </w:r>
          </w:p>
        </w:tc>
        <w:tc>
          <w:tcPr>
            <w:tcW w:w="130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8"/>
                <w:szCs w:val="18"/>
                <w:b w:val="1"/>
                <w:bCs w:val="1"/>
                <w:color w:val="auto"/>
                <w:w w:val="99"/>
              </w:rPr>
              <w:t>Net Asset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8"/>
                <w:szCs w:val="18"/>
                <w:b w:val="1"/>
                <w:bCs w:val="1"/>
                <w:color w:val="auto"/>
                <w:w w:val="99"/>
              </w:rPr>
              <w:t>Dividend</w:t>
            </w:r>
          </w:p>
        </w:tc>
        <w:tc>
          <w:tcPr>
            <w:tcW w:w="0" w:type="dxa"/>
            <w:vAlign w:val="bottom"/>
          </w:tcPr>
          <w:p>
            <w:pPr>
              <w:spacing w:after="0"/>
              <w:rPr>
                <w:sz w:val="1"/>
                <w:szCs w:val="1"/>
                <w:color w:val="auto"/>
              </w:rPr>
            </w:pPr>
          </w:p>
        </w:tc>
      </w:tr>
      <w:tr>
        <w:trPr>
          <w:trHeight w:val="258"/>
        </w:trPr>
        <w:tc>
          <w:tcPr>
            <w:tcW w:w="42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Class and Period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340"/>
              <w:spacing w:after="0" w:line="258" w:lineRule="exact"/>
              <w:rPr>
                <w:sz w:val="20"/>
                <w:szCs w:val="20"/>
                <w:color w:val="auto"/>
              </w:rPr>
            </w:pPr>
            <w:r>
              <w:rPr>
                <w:rFonts w:ascii="Times New Roman" w:cs="Times New Roman" w:eastAsia="Times New Roman" w:hAnsi="Times New Roman"/>
                <w:sz w:val="18"/>
                <w:szCs w:val="18"/>
                <w:b w:val="1"/>
                <w:bCs w:val="1"/>
                <w:color w:val="auto"/>
                <w:w w:val="91"/>
              </w:rPr>
              <w:t>Value</w:t>
            </w:r>
            <w:r>
              <w:rPr>
                <w:rFonts w:ascii="Times New Roman" w:cs="Times New Roman" w:eastAsia="Times New Roman" w:hAnsi="Times New Roman"/>
                <w:sz w:val="24"/>
                <w:szCs w:val="24"/>
                <w:b w:val="1"/>
                <w:bCs w:val="1"/>
                <w:color w:val="auto"/>
                <w:w w:val="91"/>
                <w:vertAlign w:val="superscript"/>
              </w:rPr>
              <w:t>(1)</w:t>
            </w:r>
          </w:p>
        </w:tc>
        <w:tc>
          <w:tcPr>
            <w:tcW w:w="120" w:type="dxa"/>
            <w:vAlign w:val="bottom"/>
          </w:tcPr>
          <w:p>
            <w:pPr>
              <w:spacing w:after="0"/>
              <w:rPr>
                <w:sz w:val="22"/>
                <w:szCs w:val="22"/>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spacing w:after="0"/>
              <w:rPr>
                <w:sz w:val="22"/>
                <w:szCs w:val="22"/>
                <w:color w:val="auto"/>
              </w:rPr>
            </w:pPr>
          </w:p>
        </w:tc>
        <w:tc>
          <w:tcPr>
            <w:tcW w:w="1300" w:type="dxa"/>
            <w:vAlign w:val="bottom"/>
            <w:gridSpan w:val="2"/>
          </w:tcPr>
          <w:p>
            <w:pPr>
              <w:jc w:val="center"/>
              <w:ind w:right="300"/>
              <w:spacing w:after="0" w:line="258" w:lineRule="exact"/>
              <w:rPr>
                <w:sz w:val="20"/>
                <w:szCs w:val="20"/>
                <w:color w:val="auto"/>
              </w:rPr>
            </w:pPr>
            <w:r>
              <w:rPr>
                <w:rFonts w:ascii="Times New Roman" w:cs="Times New Roman" w:eastAsia="Times New Roman" w:hAnsi="Times New Roman"/>
                <w:sz w:val="18"/>
                <w:szCs w:val="18"/>
                <w:b w:val="1"/>
                <w:bCs w:val="1"/>
                <w:color w:val="auto"/>
                <w:w w:val="94"/>
              </w:rPr>
              <w:t>Value</w:t>
            </w:r>
            <w:r>
              <w:rPr>
                <w:rFonts w:ascii="Times New Roman" w:cs="Times New Roman" w:eastAsia="Times New Roman" w:hAnsi="Times New Roman"/>
                <w:sz w:val="24"/>
                <w:szCs w:val="24"/>
                <w:b w:val="1"/>
                <w:bCs w:val="1"/>
                <w:color w:val="auto"/>
                <w:w w:val="94"/>
                <w:vertAlign w:val="superscript"/>
              </w:rPr>
              <w:t>(2)</w:t>
            </w:r>
          </w:p>
        </w:tc>
        <w:tc>
          <w:tcPr>
            <w:tcW w:w="1300" w:type="dxa"/>
            <w:vAlign w:val="bottom"/>
            <w:gridSpan w:val="2"/>
          </w:tcPr>
          <w:p>
            <w:pPr>
              <w:jc w:val="center"/>
              <w:ind w:right="220"/>
              <w:spacing w:after="0" w:line="258" w:lineRule="exact"/>
              <w:rPr>
                <w:sz w:val="20"/>
                <w:szCs w:val="20"/>
                <w:color w:val="auto"/>
              </w:rPr>
            </w:pPr>
            <w:r>
              <w:rPr>
                <w:rFonts w:ascii="Times New Roman" w:cs="Times New Roman" w:eastAsia="Times New Roman" w:hAnsi="Times New Roman"/>
                <w:sz w:val="18"/>
                <w:szCs w:val="18"/>
                <w:b w:val="1"/>
                <w:bCs w:val="1"/>
                <w:color w:val="auto"/>
                <w:w w:val="94"/>
              </w:rPr>
              <w:t>Value</w:t>
            </w:r>
            <w:r>
              <w:rPr>
                <w:rFonts w:ascii="Times New Roman" w:cs="Times New Roman" w:eastAsia="Times New Roman" w:hAnsi="Times New Roman"/>
                <w:sz w:val="24"/>
                <w:szCs w:val="24"/>
                <w:b w:val="1"/>
                <w:bCs w:val="1"/>
                <w:color w:val="auto"/>
                <w:w w:val="94"/>
                <w:vertAlign w:val="superscript"/>
              </w:rPr>
              <w:t>(2)</w:t>
            </w:r>
          </w:p>
        </w:tc>
        <w:tc>
          <w:tcPr>
            <w:tcW w:w="60" w:type="dxa"/>
            <w:vAlign w:val="bottom"/>
          </w:tcPr>
          <w:p>
            <w:pPr>
              <w:spacing w:after="0"/>
              <w:rPr>
                <w:sz w:val="22"/>
                <w:szCs w:val="22"/>
                <w:color w:val="auto"/>
              </w:rPr>
            </w:pPr>
          </w:p>
        </w:tc>
        <w:tc>
          <w:tcPr>
            <w:tcW w:w="1180" w:type="dxa"/>
            <w:vAlign w:val="bottom"/>
            <w:gridSpan w:val="3"/>
          </w:tcPr>
          <w:p>
            <w:pPr>
              <w:jc w:val="center"/>
              <w:ind w:right="120"/>
              <w:spacing w:after="0" w:line="258" w:lineRule="exact"/>
              <w:rPr>
                <w:sz w:val="20"/>
                <w:szCs w:val="20"/>
                <w:color w:val="auto"/>
              </w:rPr>
            </w:pPr>
            <w:r>
              <w:rPr>
                <w:rFonts w:ascii="Times New Roman" w:cs="Times New Roman" w:eastAsia="Times New Roman" w:hAnsi="Times New Roman"/>
                <w:sz w:val="18"/>
                <w:szCs w:val="18"/>
                <w:b w:val="1"/>
                <w:bCs w:val="1"/>
                <w:color w:val="auto"/>
                <w:w w:val="94"/>
              </w:rPr>
              <w:t>Per Share</w:t>
            </w:r>
            <w:r>
              <w:rPr>
                <w:rFonts w:ascii="Times New Roman" w:cs="Times New Roman" w:eastAsia="Times New Roman" w:hAnsi="Times New Roman"/>
                <w:sz w:val="24"/>
                <w:szCs w:val="24"/>
                <w:b w:val="1"/>
                <w:bCs w:val="1"/>
                <w:color w:val="auto"/>
                <w:w w:val="94"/>
                <w:vertAlign w:val="superscript"/>
              </w:rPr>
              <w:t>(3)</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(Through August 13, 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Year Ended December 31, 2022</w:t>
            </w:r>
            <w:r>
              <w:rPr>
                <w:rFonts w:ascii="Times New Roman" w:cs="Times New Roman" w:eastAsia="Times New Roman" w:hAnsi="Times New Roman"/>
                <w:sz w:val="24"/>
                <w:szCs w:val="24"/>
                <w:b w:val="1"/>
                <w:bCs w:val="1"/>
                <w:color w:val="auto"/>
                <w:vertAlign w:val="superscript"/>
              </w:rPr>
              <w:t>(4)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First Quarter</w:t>
            </w:r>
            <w:r>
              <w:rPr>
                <w:rFonts w:ascii="Times New Roman" w:cs="Times New Roman" w:eastAsia="Times New Roman" w:hAnsi="Times New Roman"/>
                <w:sz w:val="24"/>
                <w:szCs w:val="24"/>
                <w:color w:val="auto"/>
                <w:vertAlign w:val="superscript"/>
              </w:rPr>
              <w:t>(5)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end of the applicable quarter).</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8, 2022, our Board approved a change to our fiscal year end from March 31 to December 31.</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began trading on the Nasdaq Global Market on February 4, 2022. Since October 2, 2024, our common stock trades on the Nasdaq Global Market under the symbol “LIEN.”</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quarterly dividend and a special dividend.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determined at time of filing.</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12, 2025, there were approximately 285 holders of record of our common stock, which does not include stockholders for whom shares are held in “nominee” or “street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pay quarterly distributions to our stockholders out of assets legally available for distribution. All distributions will be paid at the discretion of our Board and will depend on our earnings, financial condition, maintenance of our tax treatment as a RIC, compliance with applicable BDC regulations and such other factors as our Board may deem relevant from time to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imposed. In such an event, we will be liable for this tax only on the amount by which we do not meet the foregoing distribution requirement.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and/or paid by the Company from inception through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Dividends Paid</w:t>
            </w:r>
          </w:p>
        </w:tc>
        <w:tc>
          <w:tcPr>
            <w:tcW w:w="100" w:type="dxa"/>
            <w:vAlign w:val="bottom"/>
          </w:tcPr>
          <w:p>
            <w:pPr>
              <w:spacing w:after="0"/>
              <w:rPr>
                <w:sz w:val="20"/>
                <w:szCs w:val="20"/>
                <w:color w:val="auto"/>
              </w:rPr>
            </w:pPr>
          </w:p>
        </w:tc>
      </w:tr>
      <w:tr>
        <w:trPr>
          <w:trHeight w:val="209"/>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10, 2023</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15, 2023</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29, 2023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1,429,375</w:t>
            </w:r>
          </w:p>
        </w:tc>
        <w:tc>
          <w:tcPr>
            <w:tcW w:w="100" w:type="dxa"/>
            <w:vAlign w:val="bottom"/>
            <w:shd w:val="clear" w:color="auto" w:fill="CFF0FC"/>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2023</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15, 2023</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2,485,869</w:t>
            </w:r>
          </w:p>
        </w:tc>
        <w:tc>
          <w:tcPr>
            <w:tcW w:w="100" w:type="dxa"/>
            <w:vAlign w:val="bottom"/>
          </w:tcPr>
          <w:p>
            <w:pPr>
              <w:spacing w:after="0"/>
              <w:rPr>
                <w:sz w:val="18"/>
                <w:szCs w:val="18"/>
                <w:color w:val="auto"/>
              </w:rPr>
            </w:pPr>
          </w:p>
        </w:tc>
      </w:tr>
      <w:tr>
        <w:trPr>
          <w:trHeight w:val="216"/>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29, 2023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1,553,676</w:t>
            </w:r>
          </w:p>
        </w:tc>
        <w:tc>
          <w:tcPr>
            <w:tcW w:w="100" w:type="dxa"/>
            <w:vAlign w:val="bottom"/>
            <w:shd w:val="clear" w:color="auto" w:fill="CFF0FC"/>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29, 2023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2,796,617</w:t>
            </w:r>
          </w:p>
        </w:tc>
        <w:tc>
          <w:tcPr>
            <w:tcW w:w="100" w:type="dxa"/>
            <w:vAlign w:val="bottom"/>
          </w:tcPr>
          <w:p>
            <w:pPr>
              <w:spacing w:after="0"/>
              <w:rPr>
                <w:sz w:val="18"/>
                <w:szCs w:val="18"/>
                <w:color w:val="auto"/>
              </w:rPr>
            </w:pPr>
          </w:p>
        </w:tc>
      </w:tr>
      <w:tr>
        <w:trPr>
          <w:trHeight w:val="216"/>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28, 2024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1,553,736</w:t>
            </w:r>
          </w:p>
        </w:tc>
        <w:tc>
          <w:tcPr>
            <w:tcW w:w="100" w:type="dxa"/>
            <w:vAlign w:val="bottom"/>
            <w:shd w:val="clear" w:color="auto" w:fill="CFF0FC"/>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 2024</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1,553,738</w:t>
            </w:r>
          </w:p>
        </w:tc>
        <w:tc>
          <w:tcPr>
            <w:tcW w:w="100" w:type="dxa"/>
            <w:vAlign w:val="bottom"/>
          </w:tcPr>
          <w:p>
            <w:pPr>
              <w:spacing w:after="0"/>
              <w:rPr>
                <w:sz w:val="18"/>
                <w:szCs w:val="18"/>
                <w:color w:val="auto"/>
              </w:rPr>
            </w:pPr>
          </w:p>
        </w:tc>
      </w:tr>
      <w:tr>
        <w:trPr>
          <w:trHeight w:val="216"/>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8, 2024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19, 2024</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27, 2024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1,553,741</w:t>
            </w:r>
          </w:p>
        </w:tc>
        <w:tc>
          <w:tcPr>
            <w:tcW w:w="100" w:type="dxa"/>
            <w:vAlign w:val="bottom"/>
            <w:shd w:val="clear" w:color="auto" w:fill="CFF0FC"/>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2024</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27, 2024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7,758,925</w:t>
            </w:r>
          </w:p>
        </w:tc>
        <w:tc>
          <w:tcPr>
            <w:tcW w:w="100" w:type="dxa"/>
            <w:vAlign w:val="bottom"/>
          </w:tcPr>
          <w:p>
            <w:pPr>
              <w:spacing w:after="0"/>
              <w:rPr>
                <w:sz w:val="18"/>
                <w:szCs w:val="18"/>
                <w:color w:val="auto"/>
              </w:rPr>
            </w:pPr>
          </w:p>
        </w:tc>
      </w:tr>
      <w:tr>
        <w:trPr>
          <w:trHeight w:val="216"/>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14, 2025</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April 11, 2025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7,758,931</w:t>
            </w:r>
          </w:p>
        </w:tc>
        <w:tc>
          <w:tcPr>
            <w:tcW w:w="100" w:type="dxa"/>
            <w:vAlign w:val="bottom"/>
            <w:shd w:val="clear" w:color="auto" w:fill="CFF0FC"/>
          </w:tcPr>
          <w:p>
            <w:pPr>
              <w:spacing w:after="0"/>
              <w:rPr>
                <w:sz w:val="18"/>
                <w:szCs w:val="18"/>
                <w:color w:val="auto"/>
              </w:rPr>
            </w:pPr>
          </w:p>
        </w:tc>
      </w:tr>
      <w:tr>
        <w:trPr>
          <w:trHeight w:val="234"/>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12, 2025</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27, 2025</w:t>
            </w:r>
          </w:p>
        </w:tc>
        <w:tc>
          <w:tcPr>
            <w:tcW w:w="1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11, 2025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7,758,939</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“opt out” DRIP for our stockholders. As a result, if we declare a dividend, then stockholders’ cash distributions will be automatically reinvested in additional shares of our common stock, unless they specifically “opt out” of the DRIP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the Company issued the following shares of common stock under the DRIP:</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00" w:type="dxa"/>
            <w:vAlign w:val="bottom"/>
          </w:tcPr>
          <w:p>
            <w:pPr>
              <w:spacing w:after="0"/>
              <w:rPr>
                <w:sz w:val="20"/>
                <w:szCs w:val="20"/>
                <w:color w:val="auto"/>
              </w:rPr>
            </w:pPr>
          </w:p>
        </w:tc>
        <w:tc>
          <w:tcPr>
            <w:tcW w:w="1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60" w:type="dxa"/>
            <w:vAlign w:val="bottom"/>
          </w:tcPr>
          <w:p>
            <w:pPr>
              <w:spacing w:after="0"/>
              <w:rPr>
                <w:sz w:val="20"/>
                <w:szCs w:val="20"/>
                <w:color w:val="auto"/>
              </w:rPr>
            </w:pPr>
          </w:p>
        </w:tc>
        <w:tc>
          <w:tcPr>
            <w:tcW w:w="18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r>
      <w:tr>
        <w:trPr>
          <w:trHeight w:val="210"/>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c>
          <w:tcPr>
            <w:tcW w:w="200" w:type="dxa"/>
            <w:vAlign w:val="bottom"/>
            <w:shd w:val="clear" w:color="auto" w:fill="CFF0FC"/>
          </w:tcPr>
          <w:p>
            <w:pPr>
              <w:spacing w:after="0"/>
              <w:rPr>
                <w:sz w:val="18"/>
                <w:szCs w:val="18"/>
                <w:color w:val="auto"/>
              </w:rPr>
            </w:pPr>
          </w:p>
        </w:tc>
        <w:tc>
          <w:tcPr>
            <w:tcW w:w="19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April 11, 2025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issued the following shares of common stock under the DRIP: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00" w:type="dxa"/>
            <w:vAlign w:val="bottom"/>
          </w:tcPr>
          <w:p>
            <w:pPr>
              <w:spacing w:after="0"/>
              <w:rPr>
                <w:sz w:val="20"/>
                <w:szCs w:val="20"/>
                <w:color w:val="auto"/>
              </w:rPr>
            </w:pPr>
          </w:p>
        </w:tc>
        <w:tc>
          <w:tcPr>
            <w:tcW w:w="19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20, 2024</w:t>
            </w:r>
          </w:p>
        </w:tc>
        <w:tc>
          <w:tcPr>
            <w:tcW w:w="2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9, 2024</w:t>
            </w:r>
          </w:p>
        </w:tc>
        <w:tc>
          <w:tcPr>
            <w:tcW w:w="2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2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 2024</w:t>
            </w: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six months ended June 30, 2025 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Uncertainty with respect to the economic effects of political tensions in the United States and around the world (including the current conflicts between Russia and Ukraine and in the Middle East)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and risk refer to the change in earnings that may result from changes in the level of interest rates. To the extent that we borrow money to make investments, including under our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76.2% of our debt investments based on outstanding principal balance represented floating-rate investments based on PRIME or SOFR and approximately 23.8% of our debt investments based on outstanding principal balance represented fixed rate investments. As of December 31, 2024, 79.5% of our debt investments based on outstanding principal balance represented floating-rate investments based on PRIME or SOFR and approximately 20.5% of our debt investments based on outstanding principal balance represented fixed rate investments.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Statements of Operations for the six months ended June 30, 2025, the following table shows the annualized impact on net income of hypothetical base rate changes in the benchmark rate on our debt investments (considering interest rate floors for floating rate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38"/>
        </w:trPr>
        <w:tc>
          <w:tcPr>
            <w:tcW w:w="33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Interest Income</w:t>
            </w:r>
          </w:p>
        </w:tc>
        <w:tc>
          <w:tcPr>
            <w:tcW w:w="280" w:type="dxa"/>
            <w:vAlign w:val="bottom"/>
          </w:tcPr>
          <w:p>
            <w:pPr>
              <w:spacing w:after="0"/>
              <w:rPr>
                <w:sz w:val="20"/>
                <w:szCs w:val="20"/>
                <w:color w:val="auto"/>
              </w:rPr>
            </w:pPr>
          </w:p>
        </w:tc>
        <w:tc>
          <w:tcPr>
            <w:tcW w:w="2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in Interest Expense</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Net Income</w:t>
            </w:r>
          </w:p>
        </w:tc>
        <w:tc>
          <w:tcPr>
            <w:tcW w:w="100" w:type="dxa"/>
            <w:vAlign w:val="bottom"/>
          </w:tcPr>
          <w:p>
            <w:pPr>
              <w:spacing w:after="0"/>
              <w:rPr>
                <w:sz w:val="20"/>
                <w:szCs w:val="20"/>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8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185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Down 100 basis points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2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200 basis points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(1,796)</w:t>
            </w:r>
          </w:p>
        </w:tc>
        <w:tc>
          <w:tcPr>
            <w:tcW w:w="20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(1,730)</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Down 300 basis points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w:t>
            </w:r>
          </w:p>
        </w:tc>
        <w:tc>
          <w:tcPr>
            <w:tcW w:w="20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Rules 13a-15(b) and 15d-15(b) under the Securities Exchange Act of 1934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three months ended June 30, 2025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during the six months ended June 30, 2025 to the risk factors discussed in “Item 1A. Risk Factors” in our annual report on Form 10-K for the fiscal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Use of Leverage and Credit Facilities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credit facility and any credit facility we may enter into in the future would likely subject all or significant amounts of our assets to security interests and if we default on our obligations under such a credit facility, we may suffer adverse consequences, including foreclosure on our assets.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2025, we entered into a senior secured revolving credit agreement, under which,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facility also provides for the issuance of letters of credit in an aggregate face amount of up to $5,000,000. Availability under the credit agreement will terminate on February 11, 2027, and the credit agreement has a scheduled maturity date of March 31, 2028.</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credit facility, all or significant amounts of our assets are pledged as collateral to secure borrowings thereunder. If we default on our obligations under the facility, the lenders may have the right to foreclose upon and sell, or otherwise transfer, the collateral subject to their security interests or their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intend to operate. As a result, we could be forced to curtail or cease new investment activities and lower or eliminate the dividends that we intend to pay to our stockholders.</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if the lenders exercise their right to sell the assets pledged under the credit facility, such sales may be completed at distressed sale prices, thereby diminishing or potentially eliminating the amount of cash available to us after repayment of the amounts outstanding under such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11, 2025, pursuant to its DRIP, the Company issued 22 shares of its common stock, at a price of $10.71 per share, to stockholders of record as of March 28, 2025 that did not opt out of the DRIP in order to satisfy the reinvestment portion of the Company’s dividends. This issuance was not subject to the registration requirements of the Securities Act. See “Item 1. Financial Statements – Note 8 – Common Stock – Dividend Reinvestment Plan” for more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 or hereby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auto"/>
                <w:w w:val="97"/>
              </w:rPr>
            </w:pPr>
            <w:hyperlink r:id="rId486">
              <w:r>
                <w:rPr>
                  <w:rFonts w:ascii="Times New Roman" w:cs="Times New Roman" w:eastAsia="Times New Roman" w:hAnsi="Times New Roman"/>
                  <w:sz w:val="18"/>
                  <w:szCs w:val="18"/>
                  <w:color w:val="auto"/>
                  <w:w w:val="97"/>
                </w:rPr>
                <w:t>3.1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5"/>
                <w:szCs w:val="15"/>
                <w:color w:val="auto"/>
              </w:rPr>
              <w:t>Articles of Amendment and Restatement of the Company</w:t>
            </w:r>
            <w:r>
              <w:rPr>
                <w:rFonts w:ascii="Times New Roman" w:cs="Times New Roman" w:eastAsia="Times New Roman" w:hAnsi="Times New Roman"/>
                <w:sz w:val="20"/>
                <w:szCs w:val="20"/>
                <w:color w:val="auto"/>
                <w:vertAlign w:val="superscript"/>
              </w:rPr>
              <w:t>(1)</w:t>
            </w:r>
          </w:p>
        </w:tc>
      </w:tr>
      <w:tr>
        <w:trPr>
          <w:trHeight w:val="176"/>
        </w:trPr>
        <w:tc>
          <w:tcPr>
            <w:tcW w:w="320" w:type="dxa"/>
            <w:vAlign w:val="bottom"/>
            <w:gridSpan w:val="2"/>
          </w:tcPr>
          <w:p>
            <w:pPr>
              <w:spacing w:after="0" w:line="176" w:lineRule="exact"/>
              <w:rPr>
                <w:rFonts w:ascii="Times New Roman" w:cs="Times New Roman" w:eastAsia="Times New Roman" w:hAnsi="Times New Roman"/>
                <w:sz w:val="18"/>
                <w:szCs w:val="18"/>
                <w:color w:val="auto"/>
              </w:rPr>
            </w:pPr>
            <w:hyperlink r:id="rId487">
              <w:r>
                <w:rPr>
                  <w:rFonts w:ascii="Times New Roman" w:cs="Times New Roman" w:eastAsia="Times New Roman" w:hAnsi="Times New Roman"/>
                  <w:sz w:val="18"/>
                  <w:szCs w:val="18"/>
                  <w:color w:val="auto"/>
                </w:rPr>
                <w:t>3.2</w:t>
              </w:r>
            </w:hyperlink>
          </w:p>
        </w:tc>
        <w:tc>
          <w:tcPr>
            <w:tcW w:w="880" w:type="dxa"/>
            <w:vAlign w:val="bottom"/>
          </w:tcPr>
          <w:p>
            <w:pPr>
              <w:spacing w:after="0"/>
              <w:rPr>
                <w:sz w:val="15"/>
                <w:szCs w:val="15"/>
                <w:color w:val="auto"/>
              </w:rPr>
            </w:pPr>
          </w:p>
        </w:tc>
        <w:tc>
          <w:tcPr>
            <w:tcW w:w="10040" w:type="dxa"/>
            <w:vAlign w:val="bottom"/>
            <w:gridSpan w:val="4"/>
          </w:tcPr>
          <w:p>
            <w:pPr>
              <w:spacing w:after="0" w:line="176" w:lineRule="exact"/>
              <w:rPr>
                <w:sz w:val="20"/>
                <w:szCs w:val="20"/>
                <w:color w:val="auto"/>
              </w:rPr>
            </w:pPr>
            <w:r>
              <w:rPr>
                <w:rFonts w:ascii="Times New Roman" w:cs="Times New Roman" w:eastAsia="Times New Roman" w:hAnsi="Times New Roman"/>
                <w:sz w:val="15"/>
                <w:szCs w:val="15"/>
                <w:color w:val="auto"/>
              </w:rPr>
              <w:t>Articles of Amendment of the Company</w:t>
            </w:r>
            <w:r>
              <w:rPr>
                <w:rFonts w:ascii="Times New Roman" w:cs="Times New Roman" w:eastAsia="Times New Roman" w:hAnsi="Times New Roman"/>
                <w:sz w:val="20"/>
                <w:szCs w:val="20"/>
                <w:color w:val="auto"/>
                <w:vertAlign w:val="superscript"/>
              </w:rPr>
              <w:t>(2)</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auto"/>
                <w:w w:val="97"/>
              </w:rPr>
            </w:pPr>
            <w:hyperlink r:id="rId488">
              <w:r>
                <w:rPr>
                  <w:rFonts w:ascii="Times New Roman" w:cs="Times New Roman" w:eastAsia="Times New Roman" w:hAnsi="Times New Roman"/>
                  <w:sz w:val="18"/>
                  <w:szCs w:val="18"/>
                  <w:color w:val="auto"/>
                  <w:w w:val="97"/>
                </w:rPr>
                <w:t>3.3</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5"/>
                <w:szCs w:val="15"/>
                <w:color w:val="auto"/>
              </w:rPr>
              <w:t>Amended and Restated Bylaws of the Company</w:t>
            </w:r>
            <w:r>
              <w:rPr>
                <w:rFonts w:ascii="Times New Roman" w:cs="Times New Roman" w:eastAsia="Times New Roman" w:hAnsi="Times New Roman"/>
                <w:sz w:val="20"/>
                <w:szCs w:val="20"/>
                <w:color w:val="auto"/>
                <w:vertAlign w:val="superscript"/>
              </w:rPr>
              <w:t>(3)</w:t>
            </w:r>
          </w:p>
        </w:tc>
      </w:tr>
      <w:tr>
        <w:trPr>
          <w:trHeight w:val="175"/>
        </w:trPr>
        <w:tc>
          <w:tcPr>
            <w:tcW w:w="1200" w:type="dxa"/>
            <w:vAlign w:val="bottom"/>
            <w:gridSpan w:val="3"/>
          </w:tcPr>
          <w:p>
            <w:pPr>
              <w:spacing w:after="0" w:line="176" w:lineRule="exact"/>
              <w:rPr>
                <w:rFonts w:ascii="Times New Roman" w:cs="Times New Roman" w:eastAsia="Times New Roman" w:hAnsi="Times New Roman"/>
                <w:sz w:val="18"/>
                <w:szCs w:val="18"/>
                <w:color w:val="auto"/>
              </w:rPr>
            </w:pPr>
            <w:hyperlink r:id="rId489">
              <w:r>
                <w:rPr>
                  <w:rFonts w:ascii="Times New Roman" w:cs="Times New Roman" w:eastAsia="Times New Roman" w:hAnsi="Times New Roman"/>
                  <w:sz w:val="18"/>
                  <w:szCs w:val="18"/>
                  <w:color w:val="auto"/>
                </w:rPr>
                <w:t>10.1</w:t>
              </w:r>
            </w:hyperlink>
          </w:p>
        </w:tc>
        <w:tc>
          <w:tcPr>
            <w:tcW w:w="10040" w:type="dxa"/>
            <w:vAlign w:val="bottom"/>
            <w:gridSpan w:val="4"/>
          </w:tcPr>
          <w:p>
            <w:pPr>
              <w:spacing w:after="0" w:line="176" w:lineRule="exact"/>
              <w:rPr>
                <w:sz w:val="20"/>
                <w:szCs w:val="20"/>
                <w:color w:val="auto"/>
              </w:rPr>
            </w:pPr>
            <w:r>
              <w:rPr>
                <w:rFonts w:ascii="Times New Roman" w:cs="Times New Roman" w:eastAsia="Times New Roman" w:hAnsi="Times New Roman"/>
                <w:sz w:val="15"/>
                <w:szCs w:val="15"/>
                <w:color w:val="auto"/>
              </w:rPr>
              <w:t>WATC Custody Agreement</w:t>
            </w:r>
            <w:r>
              <w:rPr>
                <w:rFonts w:ascii="Times New Roman" w:cs="Times New Roman" w:eastAsia="Times New Roman" w:hAnsi="Times New Roman"/>
                <w:sz w:val="20"/>
                <w:szCs w:val="20"/>
                <w:color w:val="auto"/>
                <w:vertAlign w:val="superscript"/>
              </w:rPr>
              <w:t>(4)</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75"/>
        </w:trPr>
        <w:tc>
          <w:tcPr>
            <w:tcW w:w="1200" w:type="dxa"/>
            <w:vAlign w:val="bottom"/>
            <w:gridSpan w:val="3"/>
            <w:shd w:val="clear" w:color="auto" w:fill="CCEEFF"/>
          </w:tcPr>
          <w:p>
            <w:pPr>
              <w:spacing w:after="0" w:line="176" w:lineRule="exact"/>
              <w:rPr>
                <w:rFonts w:ascii="Times New Roman" w:cs="Times New Roman" w:eastAsia="Times New Roman" w:hAnsi="Times New Roman"/>
                <w:sz w:val="18"/>
                <w:szCs w:val="18"/>
                <w:color w:val="auto"/>
              </w:rPr>
            </w:pPr>
            <w:hyperlink r:id="rId490">
              <w:r>
                <w:rPr>
                  <w:rFonts w:ascii="Times New Roman" w:cs="Times New Roman" w:eastAsia="Times New Roman" w:hAnsi="Times New Roman"/>
                  <w:sz w:val="18"/>
                  <w:szCs w:val="18"/>
                  <w:color w:val="auto"/>
                </w:rPr>
                <w:t>10.2</w:t>
              </w:r>
            </w:hyperlink>
          </w:p>
        </w:tc>
        <w:tc>
          <w:tcPr>
            <w:tcW w:w="100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5"/>
                <w:szCs w:val="15"/>
                <w:color w:val="auto"/>
              </w:rPr>
              <w:t>WAB Custody Agreement</w:t>
            </w:r>
            <w:r>
              <w:rPr>
                <w:rFonts w:ascii="Times New Roman" w:cs="Times New Roman" w:eastAsia="Times New Roman" w:hAnsi="Times New Roman"/>
                <w:sz w:val="20"/>
                <w:szCs w:val="20"/>
                <w:color w:val="auto"/>
                <w:vertAlign w:val="superscript"/>
              </w:rPr>
              <w:t>(5)</w:t>
            </w:r>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0" w:type="dxa"/>
            <w:vAlign w:val="bottom"/>
            <w:gridSpan w:val="3"/>
          </w:tcPr>
          <w:p>
            <w:pPr>
              <w:spacing w:after="0" w:line="176" w:lineRule="exact"/>
              <w:rPr>
                <w:rFonts w:ascii="Times New Roman" w:cs="Times New Roman" w:eastAsia="Times New Roman" w:hAnsi="Times New Roman"/>
                <w:sz w:val="18"/>
                <w:szCs w:val="18"/>
                <w:color w:val="auto"/>
              </w:rPr>
            </w:pPr>
            <w:hyperlink r:id="rId491">
              <w:r>
                <w:rPr>
                  <w:rFonts w:ascii="Times New Roman" w:cs="Times New Roman" w:eastAsia="Times New Roman" w:hAnsi="Times New Roman"/>
                  <w:sz w:val="18"/>
                  <w:szCs w:val="18"/>
                  <w:color w:val="auto"/>
                </w:rPr>
                <w:t>10.3</w:t>
              </w:r>
            </w:hyperlink>
          </w:p>
        </w:tc>
        <w:tc>
          <w:tcPr>
            <w:tcW w:w="10040" w:type="dxa"/>
            <w:vAlign w:val="bottom"/>
            <w:gridSpan w:val="4"/>
          </w:tcPr>
          <w:p>
            <w:pPr>
              <w:spacing w:after="0" w:line="176" w:lineRule="exact"/>
              <w:rPr>
                <w:sz w:val="20"/>
                <w:szCs w:val="20"/>
                <w:color w:val="auto"/>
              </w:rPr>
            </w:pPr>
            <w:r>
              <w:rPr>
                <w:rFonts w:ascii="Times New Roman" w:cs="Times New Roman" w:eastAsia="Times New Roman" w:hAnsi="Times New Roman"/>
                <w:sz w:val="15"/>
                <w:szCs w:val="15"/>
                <w:color w:val="auto"/>
              </w:rPr>
              <w:t>Credit Agreement</w:t>
            </w:r>
            <w:r>
              <w:rPr>
                <w:rFonts w:ascii="Times New Roman" w:cs="Times New Roman" w:eastAsia="Times New Roman" w:hAnsi="Times New Roman"/>
                <w:sz w:val="20"/>
                <w:szCs w:val="20"/>
                <w:color w:val="auto"/>
                <w:vertAlign w:val="superscript"/>
              </w:rPr>
              <w:t>(6)</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76"/>
        </w:trPr>
        <w:tc>
          <w:tcPr>
            <w:tcW w:w="12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580" w:type="dxa"/>
            <w:vAlign w:val="bottom"/>
            <w:tcBorders>
              <w:top w:val="single" w:sz="8" w:color="0000EE"/>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4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580" w:type="dxa"/>
            <w:vAlign w:val="bottom"/>
            <w:tcBorders>
              <w:top w:val="single" w:sz="8" w:color="0000EE"/>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75"/>
        </w:trPr>
        <w:tc>
          <w:tcPr>
            <w:tcW w:w="120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217"/>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Oxley Act of 2002*</w:t>
            </w:r>
          </w:p>
        </w:tc>
        <w:tc>
          <w:tcPr>
            <w:tcW w:w="860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12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Act of 2002*</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98"/>
        </w:trPr>
        <w:tc>
          <w:tcPr>
            <w:tcW w:w="12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(this instance document does not appear in the Interactive Data File because its XBRL tags are embedded</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8"/>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040" w:firstLine="53"/>
        <w:spacing w:after="0" w:line="489" w:lineRule="auto"/>
        <w:tabs>
          <w:tab w:leader="none" w:pos="123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1"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of the Company’s annual report on Form 10-K/A, filed on June 30, 2022.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of the Company’s quarterly report on Form 10-Q filed on November 8, 2024.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of the Company’s annual report on Form 10-K/A, filed on June 30, 2022.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of the Company’s current report on Form 8-K filed on February 18, 2025.</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10.3 of the Company’s current report on Form 8-K filed on February 18, 2025.</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Company’s current report on Form 8-K filed on February 18,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 on August 14, 2025.</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Peter Sack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Thomas Geoffroy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Sack, Chief Executive Officer of Chicago Atlantic BDC, Inc., certify that:</w:t>
      </w:r>
    </w:p>
    <w:p>
      <w:pPr>
        <w:spacing w:after="0" w:line="225"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BDC, Inc. (the “registrant”) for the quarter ended June 30, 2025;</w:t>
      </w:r>
    </w:p>
    <w:p>
      <w:pPr>
        <w:spacing w:after="0" w:line="225" w:lineRule="exact"/>
        <w:rPr>
          <w:rFonts w:ascii="Times New Roman" w:cs="Times New Roman" w:eastAsia="Times New Roman" w:hAnsi="Times New Roman"/>
          <w:sz w:val="18"/>
          <w:szCs w:val="18"/>
          <w:color w:val="auto"/>
        </w:rPr>
      </w:pPr>
    </w:p>
    <w:p>
      <w:pPr>
        <w:ind w:right="60" w:firstLine="8"/>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40" w:hanging="3"/>
        <w:spacing w:after="0" w:line="266" w:lineRule="auto"/>
        <w:tabs>
          <w:tab w:leader="none" w:pos="715" w:val="left"/>
        </w:tabs>
        <w:numPr>
          <w:ilvl w:val="1"/>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i w:val="1"/>
          <w:iCs w:val="1"/>
          <w:color w:val="auto"/>
        </w:rPr>
      </w:pPr>
    </w:p>
    <w:p>
      <w:pPr>
        <w:ind w:left="520" w:right="200" w:hanging="3"/>
        <w:spacing w:after="0" w:line="266" w:lineRule="auto"/>
        <w:tabs>
          <w:tab w:leader="none" w:pos="715" w:val="left"/>
        </w:tabs>
        <w:numPr>
          <w:ilvl w:val="1"/>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i w:val="1"/>
          <w:iCs w:val="1"/>
          <w:color w:val="auto"/>
        </w:rPr>
      </w:pPr>
    </w:p>
    <w:p>
      <w:pPr>
        <w:ind w:left="520" w:right="820" w:hanging="3"/>
        <w:spacing w:after="0" w:line="312" w:lineRule="auto"/>
        <w:tabs>
          <w:tab w:leader="none" w:pos="705" w:val="left"/>
        </w:tabs>
        <w:numPr>
          <w:ilvl w:val="1"/>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i w:val="1"/>
          <w:iCs w:val="1"/>
          <w:color w:val="auto"/>
        </w:rPr>
      </w:pPr>
    </w:p>
    <w:p>
      <w:pPr>
        <w:jc w:val="both"/>
        <w:ind w:left="520" w:right="240" w:hanging="3"/>
        <w:spacing w:after="0" w:line="266" w:lineRule="auto"/>
        <w:tabs>
          <w:tab w:leader="none" w:pos="715" w:val="left"/>
        </w:tabs>
        <w:numPr>
          <w:ilvl w:val="1"/>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right="46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520" w:right="220" w:hanging="3"/>
        <w:spacing w:after="0" w:line="282" w:lineRule="auto"/>
        <w:tabs>
          <w:tab w:leader="none" w:pos="715" w:val="left"/>
        </w:tabs>
        <w:numPr>
          <w:ilvl w:val="1"/>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i w:val="1"/>
          <w:iCs w:val="1"/>
          <w:color w:val="auto"/>
        </w:rPr>
      </w:pPr>
    </w:p>
    <w:p>
      <w:pPr>
        <w:ind w:left="520" w:right="180" w:hanging="3"/>
        <w:spacing w:after="0" w:line="282" w:lineRule="auto"/>
        <w:tabs>
          <w:tab w:leader="none" w:pos="715" w:val="left"/>
        </w:tabs>
        <w:numPr>
          <w:ilvl w:val="1"/>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0" w:val="left"/>
          <w:tab w:leader="none" w:pos="810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Geoffroy, Interim Chief Financial Officer of Chicago Atlantic BDC, Inc.,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BDC, Inc. (the “registrant”) for the quarter ended June 30, 2025;</w:t>
      </w:r>
    </w:p>
    <w:p>
      <w:pPr>
        <w:spacing w:after="0" w:line="225"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2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i w:val="1"/>
          <w:iCs w:val="1"/>
          <w:color w:val="auto"/>
        </w:rPr>
      </w:pPr>
    </w:p>
    <w:p>
      <w:pPr>
        <w:ind w:left="520" w:right="18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i w:val="1"/>
          <w:iCs w:val="1"/>
          <w:color w:val="auto"/>
        </w:rPr>
      </w:pPr>
    </w:p>
    <w:p>
      <w:pPr>
        <w:ind w:left="520" w:right="800" w:hanging="3"/>
        <w:spacing w:after="0" w:line="312" w:lineRule="auto"/>
        <w:tabs>
          <w:tab w:leader="none" w:pos="705" w:val="left"/>
        </w:tabs>
        <w:numPr>
          <w:ilvl w:val="1"/>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i w:val="1"/>
          <w:iCs w:val="1"/>
          <w:color w:val="auto"/>
        </w:rPr>
      </w:pPr>
    </w:p>
    <w:p>
      <w:pPr>
        <w:jc w:val="both"/>
        <w:ind w:left="520" w:right="22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right="4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59" w:lineRule="exact"/>
        <w:rPr>
          <w:rFonts w:ascii="Times New Roman" w:cs="Times New Roman" w:eastAsia="Times New Roman" w:hAnsi="Times New Roman"/>
          <w:sz w:val="18"/>
          <w:szCs w:val="18"/>
          <w:color w:val="auto"/>
        </w:rPr>
      </w:pPr>
    </w:p>
    <w:p>
      <w:pPr>
        <w:ind w:left="520" w:right="100" w:hanging="3"/>
        <w:spacing w:after="0" w:line="284"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i w:val="1"/>
          <w:iCs w:val="1"/>
          <w:color w:val="auto"/>
        </w:rPr>
      </w:pPr>
    </w:p>
    <w:p>
      <w:pPr>
        <w:ind w:left="520" w:right="80" w:hanging="3"/>
        <w:spacing w:after="0" w:line="284"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Pursuant to Section 1350, Chapter 63 of Title 18, United States Code, as adopted pursuant to Section 906 of the Sarbanes-Oxley Act of 2002, the undersigned, as Chief Executive Officer of Chicago Atlantic BDC, Inc. (the “Company”), does hereby certify that to the undersigned’s knowledge:</w:t>
      </w:r>
    </w:p>
    <w:p>
      <w:pPr>
        <w:spacing w:after="0" w:line="140" w:lineRule="exact"/>
        <w:rPr>
          <w:sz w:val="20"/>
          <w:szCs w:val="20"/>
          <w:color w:val="auto"/>
        </w:rPr>
      </w:pPr>
    </w:p>
    <w:p>
      <w:pPr>
        <w:ind w:right="520" w:firstLine="8"/>
        <w:spacing w:after="0" w:line="282" w:lineRule="auto"/>
        <w:tabs>
          <w:tab w:leader="none" w:pos="1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quarter ended June 30, 2025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640" w:firstLine="8"/>
        <w:spacing w:after="0" w:line="282" w:lineRule="auto"/>
        <w:tabs>
          <w:tab w:leader="none" w:pos="1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quarter ended June 30, 2025 fairly presents, in all material respects, the financial condition and results of operations of the Company.</w:t>
      </w:r>
    </w:p>
    <w:p>
      <w:pPr>
        <w:spacing w:after="0" w:line="162" w:lineRule="exact"/>
        <w:rPr>
          <w:sz w:val="20"/>
          <w:szCs w:val="20"/>
          <w:color w:val="auto"/>
        </w:rPr>
      </w:pPr>
    </w:p>
    <w:p>
      <w:pPr>
        <w:spacing w:after="0"/>
        <w:tabs>
          <w:tab w:leader="none" w:pos="5600" w:val="left"/>
          <w:tab w:leader="none" w:pos="810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Interim Chief Financial Officer of Chicago Atlantic BDC, Inc. (the “Company”), does hereby certify that to the undersigned’s knowledge:</w:t>
      </w:r>
    </w:p>
    <w:p>
      <w:pPr>
        <w:spacing w:after="0" w:line="162" w:lineRule="exact"/>
        <w:rPr>
          <w:sz w:val="20"/>
          <w:szCs w:val="20"/>
          <w:color w:val="auto"/>
        </w:rPr>
      </w:pPr>
    </w:p>
    <w:p>
      <w:pPr>
        <w:ind w:right="520" w:firstLine="8"/>
        <w:spacing w:after="0" w:line="282" w:lineRule="auto"/>
        <w:tabs>
          <w:tab w:leader="none" w:pos="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quarter ended June 30, 2025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640" w:firstLine="8"/>
        <w:spacing w:after="0" w:line="282" w:lineRule="auto"/>
        <w:tabs>
          <w:tab w:leader="none" w:pos="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quarter ended June 30, 2025 fairly presents, in all material respects, the financial condition and results of operations of the Company.</w:t>
      </w:r>
    </w:p>
    <w:p>
      <w:pPr>
        <w:spacing w:after="0" w:line="162"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4"/>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7"/>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Roman"/>
      <w:start w:val="3"/>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2"/>
    </w:lvl>
  </w:abstractNum>
  <w:abstractNum w:abstractNumId="26">
    <w:nsid w:val="3A95F874"/>
    <w:multiLevelType w:val="hybridMultilevel"/>
    <w:lvl w:ilvl="0">
      <w:lvlJc w:val="left"/>
      <w:lvlText w:val="*"/>
      <w:numFmt w:val="bullet"/>
      <w:start w:val="1"/>
    </w:lvl>
    <w:lvl w:ilvl="1">
      <w:lvlJc w:val="left"/>
      <w:lvlText w:val="%2"/>
      <w:numFmt w:val="decimal"/>
      <w:start w:val="104"/>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486" Type="http://schemas.openxmlformats.org/officeDocument/2006/relationships/hyperlink" Target="https://www.sec.gov/Archives/edgar/data/1843162/000095010322011767/dp176400_ex0301.htm" TargetMode="External"/><Relationship Id="rId487" Type="http://schemas.openxmlformats.org/officeDocument/2006/relationships/hyperlink" Target="https://www.sec.gov/Archives/edgar/data/1843162/000114036124045703/ef20034548_ex3-2.htm" TargetMode="External"/><Relationship Id="rId488" Type="http://schemas.openxmlformats.org/officeDocument/2006/relationships/hyperlink" Target="https://www.sec.gov/Archives/edgar/data/1843162/000095010322011767/dp176400_ex0302.htm" TargetMode="External"/><Relationship Id="rId489" Type="http://schemas.openxmlformats.org/officeDocument/2006/relationships/hyperlink" Target="https://www.sec.gov/Archives/edgar/data/1843162/000095010325002119/dp225007_ex1002.htm" TargetMode="External"/><Relationship Id="rId490" Type="http://schemas.openxmlformats.org/officeDocument/2006/relationships/hyperlink" Target="https://www.sec.gov/Archives/edgar/data/1843162/000095010325002119/dp225007_ex1003.htm" TargetMode="External"/><Relationship Id="rId491" Type="http://schemas.openxmlformats.org/officeDocument/2006/relationships/hyperlink" Target="https://www.sec.gov/Archives/edgar/data/1843162/000095010325002119/dp22500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2025-08-14T06:21:59Z</dcterms:created>
  <dcterms:modified xsi:type="dcterms:W3CDTF">2025-08-14T06:21:59Z</dcterms:modified>
</cp:coreProperties>
</file>