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266700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131445</wp:posOffset>
            </wp:positionV>
            <wp:extent cx="142494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4940" cy="1587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146685</wp:posOffset>
            </wp:positionV>
            <wp:extent cx="1424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940" cy="1587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2" w:lineRule="exact"/>
        <w:rPr>
          <w:sz w:val="24"/>
          <w:szCs w:val="24"/>
          <w:color w:val="auto"/>
        </w:rPr>
      </w:pPr>
    </w:p>
    <w:p>
      <w:pPr>
        <w:ind w:left="3840" w:right="2740" w:hanging="3838"/>
        <w:spacing w:after="0" w:line="525" w:lineRule="auto"/>
        <w:tabs>
          <w:tab w:leader="none" w:pos="29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 For the Quarterly Period Ended September 30, 2023</w:t>
      </w:r>
    </w:p>
    <w:p>
      <w:pPr>
        <w:spacing w:after="0" w:line="165" w:lineRule="exact"/>
        <w:rPr>
          <w:sz w:val="24"/>
          <w:szCs w:val="24"/>
          <w:color w:val="auto"/>
        </w:rPr>
      </w:pPr>
    </w:p>
    <w:p>
      <w:pPr>
        <w:ind w:left="4360" w:right="2720" w:hanging="4358"/>
        <w:spacing w:after="0" w:line="525" w:lineRule="auto"/>
        <w:tabs>
          <w:tab w:leader="none" w:pos="30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1426210</wp:posOffset>
            </wp:positionH>
            <wp:positionV relativeFrom="paragraph">
              <wp:posOffset>-16510</wp:posOffset>
            </wp:positionV>
            <wp:extent cx="429069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0695" cy="1587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SILVER SPIKE INVESTMENT CORP.</w:t>
      </w:r>
    </w:p>
    <w:p>
      <w:pPr>
        <w:spacing w:after="0" w:line="42" w:lineRule="exact"/>
        <w:rPr>
          <w:sz w:val="24"/>
          <w:szCs w:val="24"/>
          <w:color w:val="auto"/>
        </w:rPr>
      </w:pPr>
    </w:p>
    <w:tbl>
      <w:tblPr>
        <w:tblLayout w:type="fixed"/>
        <w:tblInd w:w="142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7400" w:type="dxa"/>
            <w:vAlign w:val="bottom"/>
            <w:gridSpan w:val="3"/>
          </w:tcPr>
          <w:p>
            <w:pPr>
              <w:ind w:left="1620"/>
              <w:spacing w:after="0"/>
              <w:rPr>
                <w:sz w:val="20"/>
                <w:szCs w:val="20"/>
                <w:color w:val="auto"/>
              </w:rPr>
            </w:pPr>
            <w:r>
              <w:rPr>
                <w:rFonts w:ascii="Arial" w:cs="Arial" w:eastAsia="Arial" w:hAnsi="Arial"/>
                <w:sz w:val="17"/>
                <w:szCs w:val="17"/>
                <w:color w:val="auto"/>
              </w:rPr>
              <w:t>(Exact name of registrant as specified in its charter)</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820" w:type="dxa"/>
            <w:vAlign w:val="bottom"/>
          </w:tcPr>
          <w:p>
            <w:pPr>
              <w:spacing w:after="0"/>
              <w:rPr>
                <w:sz w:val="24"/>
                <w:szCs w:val="24"/>
                <w:color w:val="auto"/>
              </w:rPr>
            </w:pPr>
          </w:p>
        </w:tc>
        <w:tc>
          <w:tcPr>
            <w:tcW w:w="3460" w:type="dxa"/>
            <w:vAlign w:val="bottom"/>
          </w:tcPr>
          <w:p>
            <w:pPr>
              <w:jc w:val="center"/>
              <w:ind w:right="2335"/>
              <w:spacing w:after="0"/>
              <w:rPr>
                <w:sz w:val="20"/>
                <w:szCs w:val="20"/>
                <w:color w:val="auto"/>
              </w:rPr>
            </w:pPr>
            <w:r>
              <w:rPr>
                <w:rFonts w:ascii="Arial" w:cs="Arial" w:eastAsia="Arial" w:hAnsi="Arial"/>
                <w:sz w:val="17"/>
                <w:szCs w:val="17"/>
                <w:b w:val="1"/>
                <w:bCs w:val="1"/>
                <w:color w:val="auto"/>
                <w:w w:val="96"/>
              </w:rPr>
              <w:t>Maryland</w:t>
            </w:r>
          </w:p>
        </w:tc>
        <w:tc>
          <w:tcPr>
            <w:tcW w:w="3300" w:type="dxa"/>
            <w:vAlign w:val="bottom"/>
          </w:tcPr>
          <w:p>
            <w:pPr>
              <w:jc w:val="right"/>
              <w:ind w:right="15"/>
              <w:spacing w:after="0"/>
              <w:rPr>
                <w:sz w:val="20"/>
                <w:szCs w:val="20"/>
                <w:color w:val="auto"/>
              </w:rPr>
            </w:pPr>
            <w:r>
              <w:rPr>
                <w:rFonts w:ascii="Arial" w:cs="Arial" w:eastAsia="Arial" w:hAnsi="Arial"/>
                <w:sz w:val="17"/>
                <w:szCs w:val="17"/>
                <w:b w:val="1"/>
                <w:bCs w:val="1"/>
                <w:color w:val="auto"/>
              </w:rPr>
              <w:t>86-2872887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80" w:type="dxa"/>
            <w:vAlign w:val="bottom"/>
            <w:gridSpan w:val="2"/>
          </w:tcPr>
          <w:p>
            <w:pPr>
              <w:jc w:val="center"/>
              <w:ind w:right="1515"/>
              <w:spacing w:after="0"/>
              <w:rPr>
                <w:sz w:val="20"/>
                <w:szCs w:val="20"/>
                <w:color w:val="auto"/>
              </w:rPr>
            </w:pPr>
            <w:r>
              <w:rPr>
                <w:rFonts w:ascii="Arial" w:cs="Arial" w:eastAsia="Arial" w:hAnsi="Arial"/>
                <w:sz w:val="17"/>
                <w:szCs w:val="17"/>
                <w:color w:val="auto"/>
                <w:w w:val="92"/>
              </w:rPr>
              <w:t>(State or other jurisdiction of</w:t>
            </w:r>
          </w:p>
        </w:tc>
        <w:tc>
          <w:tcPr>
            <w:tcW w:w="3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jc w:val="center"/>
              <w:ind w:right="1515"/>
              <w:spacing w:after="0"/>
              <w:rPr>
                <w:sz w:val="20"/>
                <w:szCs w:val="20"/>
                <w:color w:val="auto"/>
              </w:rPr>
            </w:pPr>
            <w:r>
              <w:rPr>
                <w:rFonts w:ascii="Arial" w:cs="Arial" w:eastAsia="Arial" w:hAnsi="Arial"/>
                <w:sz w:val="17"/>
                <w:szCs w:val="17"/>
                <w:color w:val="auto"/>
                <w:w w:val="92"/>
              </w:rPr>
              <w:t>incorporation or organization)</w:t>
            </w:r>
          </w:p>
        </w:tc>
        <w:tc>
          <w:tcPr>
            <w:tcW w:w="3940" w:type="dxa"/>
            <w:vAlign w:val="bottom"/>
            <w:gridSpan w:val="2"/>
          </w:tcPr>
          <w:p>
            <w:pPr>
              <w:jc w:val="center"/>
              <w:ind w:left="1515"/>
              <w:spacing w:after="0"/>
              <w:rPr>
                <w:sz w:val="20"/>
                <w:szCs w:val="20"/>
                <w:color w:val="auto"/>
              </w:rPr>
            </w:pPr>
            <w:r>
              <w:rPr>
                <w:rFonts w:ascii="Arial" w:cs="Arial" w:eastAsia="Arial" w:hAnsi="Arial"/>
                <w:sz w:val="17"/>
                <w:szCs w:val="17"/>
                <w:color w:val="auto"/>
                <w:w w:val="94"/>
              </w:rPr>
              <w:t>(IRS Employer Identification No.)</w:t>
            </w:r>
          </w:p>
        </w:tc>
        <w:tc>
          <w:tcPr>
            <w:tcW w:w="0" w:type="dxa"/>
            <w:vAlign w:val="bottom"/>
          </w:tcPr>
          <w:p>
            <w:pPr>
              <w:spacing w:after="0"/>
              <w:rPr>
                <w:sz w:val="1"/>
                <w:szCs w:val="1"/>
                <w:color w:val="auto"/>
              </w:rPr>
            </w:pPr>
          </w:p>
        </w:tc>
      </w:tr>
      <w:tr>
        <w:trPr>
          <w:trHeight w:val="393"/>
        </w:trPr>
        <w:tc>
          <w:tcPr>
            <w:tcW w:w="4280" w:type="dxa"/>
            <w:vAlign w:val="bottom"/>
            <w:gridSpan w:val="2"/>
          </w:tcPr>
          <w:p>
            <w:pPr>
              <w:jc w:val="center"/>
              <w:ind w:right="1495"/>
              <w:spacing w:after="0"/>
              <w:rPr>
                <w:sz w:val="20"/>
                <w:szCs w:val="20"/>
                <w:color w:val="auto"/>
              </w:rPr>
            </w:pPr>
            <w:r>
              <w:rPr>
                <w:rFonts w:ascii="Arial" w:cs="Arial" w:eastAsia="Arial" w:hAnsi="Arial"/>
                <w:sz w:val="17"/>
                <w:szCs w:val="17"/>
                <w:b w:val="1"/>
                <w:bCs w:val="1"/>
                <w:color w:val="auto"/>
                <w:w w:val="89"/>
              </w:rPr>
              <w:t>600 Madison Avenue, Suite 1800</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280" w:type="dxa"/>
            <w:vAlign w:val="bottom"/>
            <w:gridSpan w:val="2"/>
          </w:tcPr>
          <w:p>
            <w:pPr>
              <w:jc w:val="center"/>
              <w:ind w:right="1515"/>
              <w:spacing w:after="0"/>
              <w:rPr>
                <w:sz w:val="20"/>
                <w:szCs w:val="20"/>
                <w:color w:val="auto"/>
              </w:rPr>
            </w:pPr>
            <w:r>
              <w:rPr>
                <w:rFonts w:ascii="Arial" w:cs="Arial" w:eastAsia="Arial" w:hAnsi="Arial"/>
                <w:sz w:val="17"/>
                <w:szCs w:val="17"/>
                <w:b w:val="1"/>
                <w:bCs w:val="1"/>
                <w:color w:val="auto"/>
                <w:w w:val="94"/>
              </w:rPr>
              <w:t>New York, NY</w:t>
            </w:r>
          </w:p>
        </w:tc>
        <w:tc>
          <w:tcPr>
            <w:tcW w:w="33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10022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jc w:val="center"/>
              <w:ind w:right="1515"/>
              <w:spacing w:after="0"/>
              <w:rPr>
                <w:sz w:val="20"/>
                <w:szCs w:val="20"/>
                <w:color w:val="auto"/>
              </w:rPr>
            </w:pPr>
            <w:r>
              <w:rPr>
                <w:rFonts w:ascii="Arial" w:cs="Arial" w:eastAsia="Arial" w:hAnsi="Arial"/>
                <w:sz w:val="17"/>
                <w:szCs w:val="17"/>
                <w:color w:val="auto"/>
                <w:w w:val="92"/>
              </w:rPr>
              <w:t>(Address of principal executive offices)</w:t>
            </w:r>
          </w:p>
        </w:tc>
        <w:tc>
          <w:tcPr>
            <w:tcW w:w="3940" w:type="dxa"/>
            <w:vAlign w:val="bottom"/>
            <w:gridSpan w:val="2"/>
          </w:tcPr>
          <w:p>
            <w:pPr>
              <w:jc w:val="center"/>
              <w:ind w:left="1555"/>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905-4923</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(Registrant’s telephone number, including area code)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w w:val="97"/>
              </w:rPr>
              <w:t>Securities registered pursuant to Section 12(b) of the Act:</w:t>
            </w:r>
          </w:p>
        </w:tc>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4"/>
        </w:trPr>
        <w:tc>
          <w:tcPr>
            <w:tcW w:w="4560" w:type="dxa"/>
            <w:vAlign w:val="bottom"/>
            <w:gridSpan w:val="3"/>
          </w:tcPr>
          <w:p>
            <w:pPr>
              <w:jc w:val="center"/>
              <w:ind w:right="1020"/>
              <w:spacing w:after="0"/>
              <w:rPr>
                <w:sz w:val="20"/>
                <w:szCs w:val="20"/>
                <w:color w:val="auto"/>
              </w:rPr>
            </w:pPr>
            <w:r>
              <w:rPr>
                <w:rFonts w:ascii="Arial" w:cs="Arial" w:eastAsia="Arial" w:hAnsi="Arial"/>
                <w:sz w:val="17"/>
                <w:szCs w:val="17"/>
                <w:color w:val="auto"/>
                <w:w w:val="91"/>
              </w:rPr>
              <w:t>Title of Each Class</w:t>
            </w:r>
          </w:p>
        </w:tc>
        <w:tc>
          <w:tcPr>
            <w:tcW w:w="3120" w:type="dxa"/>
            <w:vAlign w:val="bottom"/>
            <w:gridSpan w:val="2"/>
          </w:tcPr>
          <w:p>
            <w:pPr>
              <w:jc w:val="center"/>
              <w:ind w:right="1000"/>
              <w:spacing w:after="0"/>
              <w:rPr>
                <w:sz w:val="20"/>
                <w:szCs w:val="20"/>
                <w:color w:val="auto"/>
              </w:rPr>
            </w:pPr>
            <w:r>
              <w:rPr>
                <w:rFonts w:ascii="Arial" w:cs="Arial" w:eastAsia="Arial" w:hAnsi="Arial"/>
                <w:sz w:val="17"/>
                <w:szCs w:val="17"/>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6"/>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jc w:val="center"/>
              <w:ind w:right="755"/>
              <w:spacing w:after="0"/>
              <w:rPr>
                <w:sz w:val="20"/>
                <w:szCs w:val="20"/>
                <w:color w:val="auto"/>
              </w:rPr>
            </w:pPr>
            <w:r>
              <w:rPr>
                <w:rFonts w:ascii="Arial" w:cs="Arial" w:eastAsia="Arial" w:hAnsi="Arial"/>
                <w:sz w:val="17"/>
                <w:szCs w:val="17"/>
                <w:color w:val="auto"/>
                <w:w w:val="90"/>
              </w:rPr>
              <w:t>SSIC</w:t>
            </w:r>
          </w:p>
        </w:tc>
        <w:tc>
          <w:tcPr>
            <w:tcW w:w="160" w:type="dxa"/>
            <w:vAlign w:val="bottom"/>
          </w:tcPr>
          <w:p>
            <w:pPr>
              <w:spacing w:after="0"/>
              <w:rPr>
                <w:sz w:val="17"/>
                <w:szCs w:val="17"/>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The NASDAQ Stock Market LLC</w:t>
            </w:r>
          </w:p>
        </w:tc>
      </w:tr>
    </w:tbl>
    <w:p>
      <w:pPr>
        <w:jc w:val="both"/>
        <w:spacing w:after="0" w:line="28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360" w:firstLine="2"/>
        <w:spacing w:after="0" w:line="320" w:lineRule="exact"/>
        <w:tabs>
          <w:tab w:leader="none" w:pos="212"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5" w:lineRule="exact"/>
        <w:rPr>
          <w:sz w:val="24"/>
          <w:szCs w:val="24"/>
          <w:color w:val="auto"/>
        </w:rPr>
      </w:pPr>
    </w:p>
    <w:p>
      <w:pPr>
        <w:ind w:right="180"/>
        <w:spacing w:after="0" w:line="30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ind w:right="60"/>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30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ind w:left="280"/>
              <w:spacing w:after="0"/>
              <w:rPr>
                <w:sz w:val="20"/>
                <w:szCs w:val="20"/>
                <w:color w:val="auto"/>
              </w:rPr>
            </w:pPr>
            <w:r>
              <w:rPr>
                <w:rFonts w:ascii="Arial" w:cs="Arial" w:eastAsia="Arial" w:hAnsi="Arial"/>
                <w:sz w:val="17"/>
                <w:szCs w:val="17"/>
                <w:color w:val="auto"/>
              </w:rPr>
              <w:t>Accelerated filer</w:t>
            </w:r>
          </w:p>
        </w:tc>
        <w:tc>
          <w:tcPr>
            <w:tcW w:w="178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4"/>
        </w:trPr>
        <w:tc>
          <w:tcPr>
            <w:tcW w:w="3380" w:type="dxa"/>
            <w:vAlign w:val="bottom"/>
          </w:tcPr>
          <w:p>
            <w:pPr>
              <w:spacing w:after="0"/>
              <w:rPr>
                <w:sz w:val="20"/>
                <w:szCs w:val="20"/>
                <w:color w:val="auto"/>
              </w:rPr>
            </w:pPr>
            <w:r>
              <w:rPr>
                <w:rFonts w:ascii="Arial" w:cs="Arial" w:eastAsia="Arial" w:hAnsi="Arial"/>
                <w:sz w:val="17"/>
                <w:szCs w:val="17"/>
                <w:color w:val="auto"/>
              </w:rPr>
              <w:t>Non-accelerated filer</w:t>
            </w:r>
          </w:p>
        </w:tc>
        <w:tc>
          <w:tcPr>
            <w:tcW w:w="230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rPr>
              <w:t>☒</w:t>
            </w:r>
          </w:p>
        </w:tc>
        <w:tc>
          <w:tcPr>
            <w:tcW w:w="3780" w:type="dxa"/>
            <w:vAlign w:val="bottom"/>
          </w:tcPr>
          <w:p>
            <w:pPr>
              <w:ind w:left="280"/>
              <w:spacing w:after="0"/>
              <w:rPr>
                <w:sz w:val="20"/>
                <w:szCs w:val="20"/>
                <w:color w:val="auto"/>
              </w:rPr>
            </w:pPr>
            <w:r>
              <w:rPr>
                <w:rFonts w:ascii="Arial" w:cs="Arial" w:eastAsia="Arial" w:hAnsi="Arial"/>
                <w:sz w:val="17"/>
                <w:szCs w:val="17"/>
                <w:color w:val="auto"/>
              </w:rPr>
              <w:t>Smaller reporting company</w:t>
            </w:r>
          </w:p>
        </w:tc>
        <w:tc>
          <w:tcPr>
            <w:tcW w:w="178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6"/>
        </w:trPr>
        <w:tc>
          <w:tcPr>
            <w:tcW w:w="3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780" w:type="dxa"/>
            <w:vAlign w:val="bottom"/>
          </w:tcPr>
          <w:p>
            <w:pPr>
              <w:ind w:left="280"/>
              <w:spacing w:after="0"/>
              <w:rPr>
                <w:sz w:val="20"/>
                <w:szCs w:val="20"/>
                <w:color w:val="auto"/>
              </w:rPr>
            </w:pPr>
            <w:r>
              <w:rPr>
                <w:rFonts w:ascii="Arial" w:cs="Arial" w:eastAsia="Arial" w:hAnsi="Arial"/>
                <w:sz w:val="17"/>
                <w:szCs w:val="17"/>
                <w:color w:val="auto"/>
              </w:rPr>
              <w:t>Emerging growth company</w:t>
            </w:r>
          </w:p>
        </w:tc>
        <w:tc>
          <w:tcPr>
            <w:tcW w:w="178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1" w:lineRule="exact"/>
        <w:rPr>
          <w:sz w:val="24"/>
          <w:szCs w:val="24"/>
          <w:color w:val="auto"/>
        </w:rPr>
      </w:pPr>
    </w:p>
    <w:p>
      <w:pPr>
        <w:ind w:right="6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3" w:lineRule="exact"/>
        <w:rPr>
          <w:sz w:val="24"/>
          <w:szCs w:val="24"/>
          <w:color w:val="auto"/>
        </w:rPr>
      </w:pPr>
    </w:p>
    <w:p>
      <w:pPr>
        <w:spacing w:after="0" w:line="196" w:lineRule="exact"/>
        <w:tabs>
          <w:tab w:leader="none" w:pos="7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9, 2023, the registrant had 6,214,705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39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280670</wp:posOffset>
            </wp:positionV>
            <wp:extent cx="713994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71399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gridSpan w:val="8"/>
          </w:tcPr>
          <w:p>
            <w:pPr>
              <w:jc w:val="center"/>
              <w:ind w:right="1920"/>
              <w:spacing w:after="0"/>
              <w:rPr>
                <w:sz w:val="20"/>
                <w:szCs w:val="20"/>
                <w:color w:val="auto"/>
              </w:rPr>
            </w:pPr>
            <w:r>
              <w:rPr>
                <w:rFonts w:ascii="Arial" w:cs="Arial" w:eastAsia="Arial" w:hAnsi="Arial"/>
                <w:sz w:val="17"/>
                <w:szCs w:val="17"/>
                <w:b w:val="1"/>
                <w:bCs w:val="1"/>
                <w:color w:val="auto"/>
                <w:w w:val="99"/>
              </w:rPr>
              <w:t>SILVER SPIKE INVESTMENT CORP.</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8"/>
          </w:tcPr>
          <w:p>
            <w:pPr>
              <w:jc w:val="center"/>
              <w:ind w:right="1900"/>
              <w:spacing w:after="0"/>
              <w:rPr>
                <w:sz w:val="20"/>
                <w:szCs w:val="20"/>
                <w:color w:val="auto"/>
              </w:rPr>
            </w:pPr>
            <w:r>
              <w:rPr>
                <w:rFonts w:ascii="Arial" w:cs="Arial" w:eastAsia="Arial" w:hAnsi="Arial"/>
                <w:sz w:val="17"/>
                <w:szCs w:val="17"/>
                <w:b w:val="1"/>
                <w:bCs w:val="1"/>
                <w:color w:val="auto"/>
                <w:w w:val="99"/>
              </w:rPr>
              <w:t>FORM 10-Q</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8"/>
          </w:tcPr>
          <w:p>
            <w:pPr>
              <w:ind w:left="800"/>
              <w:spacing w:after="0"/>
              <w:rPr>
                <w:sz w:val="20"/>
                <w:szCs w:val="20"/>
                <w:color w:val="auto"/>
              </w:rPr>
            </w:pPr>
            <w:r>
              <w:rPr>
                <w:rFonts w:ascii="Arial" w:cs="Arial" w:eastAsia="Arial" w:hAnsi="Arial"/>
                <w:sz w:val="17"/>
                <w:szCs w:val="17"/>
                <w:b w:val="1"/>
                <w:bCs w:val="1"/>
                <w:color w:val="auto"/>
              </w:rPr>
              <w:t>TABLE OF CONTENTS</w:t>
            </w:r>
          </w:p>
        </w:tc>
        <w:tc>
          <w:tcPr>
            <w:tcW w:w="2020" w:type="dxa"/>
            <w:vAlign w:val="bottom"/>
            <w:vMerge w:val="restart"/>
          </w:tcPr>
          <w:p>
            <w:pPr>
              <w:jc w:val="center"/>
              <w:ind w:left="1115"/>
              <w:spacing w:after="0"/>
              <w:rPr>
                <w:sz w:val="20"/>
                <w:szCs w:val="20"/>
                <w:color w:val="auto"/>
              </w:rPr>
            </w:pPr>
            <w:r>
              <w:rPr>
                <w:rFonts w:ascii="Arial" w:cs="Arial" w:eastAsia="Arial" w:hAnsi="Arial"/>
                <w:sz w:val="17"/>
                <w:szCs w:val="17"/>
                <w:b w:val="1"/>
                <w:bCs w:val="1"/>
                <w:color w:val="auto"/>
                <w:w w:val="95"/>
              </w:rPr>
              <w:t>PAGE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PART I</w:t>
            </w:r>
          </w:p>
        </w:tc>
        <w:tc>
          <w:tcPr>
            <w:tcW w:w="8040" w:type="dxa"/>
            <w:vAlign w:val="bottom"/>
            <w:gridSpan w:val="16"/>
            <w:vMerge w:val="restart"/>
          </w:tcPr>
          <w:p>
            <w:pPr>
              <w:ind w:left="20"/>
              <w:spacing w:after="0"/>
              <w:rPr>
                <w:sz w:val="20"/>
                <w:szCs w:val="20"/>
                <w:color w:val="auto"/>
              </w:rPr>
            </w:pPr>
            <w:r>
              <w:rPr>
                <w:rFonts w:ascii="Arial" w:cs="Arial" w:eastAsia="Arial" w:hAnsi="Arial"/>
                <w:sz w:val="17"/>
                <w:szCs w:val="17"/>
                <w:b w:val="1"/>
                <w:bCs w:val="1"/>
                <w:color w:val="auto"/>
              </w:rPr>
              <w:t>FINANCIAL INFORMATION</w:t>
            </w:r>
          </w:p>
        </w:tc>
        <w:tc>
          <w:tcPr>
            <w:tcW w:w="2020" w:type="dxa"/>
            <w:vAlign w:val="bottom"/>
          </w:tcPr>
          <w:p>
            <w:pPr>
              <w:jc w:val="center"/>
              <w:ind w:left="1155"/>
              <w:spacing w:after="0"/>
              <w:rPr>
                <w:sz w:val="20"/>
                <w:szCs w:val="20"/>
                <w:color w:val="auto"/>
              </w:rPr>
            </w:pPr>
            <w:r>
              <w:rPr>
                <w:rFonts w:ascii="Arial" w:cs="Arial" w:eastAsia="Arial" w:hAnsi="Arial"/>
                <w:sz w:val="17"/>
                <w:szCs w:val="17"/>
                <w:b w:val="1"/>
                <w:bCs w:val="1"/>
                <w:color w:val="auto"/>
                <w:w w:val="99"/>
              </w:rPr>
              <w:t>NO.</w:t>
            </w:r>
          </w:p>
        </w:tc>
        <w:tc>
          <w:tcPr>
            <w:tcW w:w="0" w:type="dxa"/>
            <w:vAlign w:val="bottom"/>
          </w:tcPr>
          <w:p>
            <w:pPr>
              <w:spacing w:after="0"/>
              <w:rPr>
                <w:sz w:val="1"/>
                <w:szCs w:val="1"/>
                <w:color w:val="auto"/>
              </w:rPr>
            </w:pPr>
          </w:p>
        </w:tc>
      </w:tr>
      <w:tr>
        <w:trPr>
          <w:trHeight w:val="204"/>
        </w:trPr>
        <w:tc>
          <w:tcPr>
            <w:tcW w:w="1180" w:type="dxa"/>
            <w:vAlign w:val="bottom"/>
            <w:gridSpan w:val="3"/>
            <w:vMerge w:val="continue"/>
          </w:tcPr>
          <w:p>
            <w:pPr>
              <w:spacing w:after="0"/>
              <w:rPr>
                <w:sz w:val="17"/>
                <w:szCs w:val="17"/>
                <w:color w:val="auto"/>
              </w:rPr>
            </w:pPr>
          </w:p>
        </w:tc>
        <w:tc>
          <w:tcPr>
            <w:tcW w:w="8040" w:type="dxa"/>
            <w:vAlign w:val="bottom"/>
            <w:gridSpan w:val="16"/>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80" w:type="dxa"/>
            <w:vAlign w:val="bottom"/>
            <w:tcBorders>
              <w:right w:val="single" w:sz="8" w:color="CCEEFF"/>
            </w:tcBorders>
            <w:gridSpan w:val="3"/>
            <w:shd w:val="clear" w:color="auto" w:fill="CCEEFF"/>
          </w:tcPr>
          <w:p>
            <w:pPr>
              <w:ind w:left="40"/>
              <w:spacing w:after="0" w:line="167" w:lineRule="exact"/>
              <w:rPr>
                <w:sz w:val="20"/>
                <w:szCs w:val="20"/>
                <w:color w:val="auto"/>
              </w:rPr>
            </w:pPr>
            <w:r>
              <w:rPr>
                <w:rFonts w:ascii="Arial" w:cs="Arial" w:eastAsia="Arial" w:hAnsi="Arial"/>
                <w:sz w:val="17"/>
                <w:szCs w:val="17"/>
                <w:color w:val="auto"/>
              </w:rPr>
              <w:t>Item 1</w:t>
            </w:r>
          </w:p>
        </w:tc>
        <w:tc>
          <w:tcPr>
            <w:tcW w:w="8040" w:type="dxa"/>
            <w:vAlign w:val="bottom"/>
            <w:gridSpan w:val="16"/>
            <w:shd w:val="clear" w:color="auto" w:fill="CCEEFF"/>
          </w:tcPr>
          <w:p>
            <w:pPr>
              <w:spacing w:after="0" w:line="167" w:lineRule="exact"/>
              <w:rPr>
                <w:sz w:val="20"/>
                <w:szCs w:val="20"/>
                <w:color w:val="auto"/>
              </w:rPr>
            </w:pPr>
            <w:r>
              <w:rPr>
                <w:rFonts w:ascii="Arial" w:cs="Arial" w:eastAsia="Arial" w:hAnsi="Arial"/>
                <w:sz w:val="17"/>
                <w:szCs w:val="17"/>
                <w:color w:val="0000EE"/>
              </w:rPr>
              <w:t>Financial Statements</w:t>
            </w:r>
          </w:p>
        </w:tc>
        <w:tc>
          <w:tcPr>
            <w:tcW w:w="2020" w:type="dxa"/>
            <w:vAlign w:val="bottom"/>
            <w:shd w:val="clear" w:color="auto" w:fill="CCEEFF"/>
          </w:tcPr>
          <w:p>
            <w:pPr>
              <w:jc w:val="center"/>
              <w:ind w:left="1155"/>
              <w:spacing w:after="0" w:line="167"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8"/>
        </w:trPr>
        <w:tc>
          <w:tcPr>
            <w:tcW w:w="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40" w:type="dxa"/>
            <w:vAlign w:val="bottom"/>
            <w:gridSpan w:val="16"/>
          </w:tcPr>
          <w:p>
            <w:pPr>
              <w:spacing w:after="0" w:line="166" w:lineRule="exact"/>
              <w:rPr>
                <w:sz w:val="20"/>
                <w:szCs w:val="20"/>
                <w:color w:val="auto"/>
              </w:rPr>
            </w:pPr>
            <w:r>
              <w:rPr>
                <w:rFonts w:ascii="Arial" w:cs="Arial" w:eastAsia="Arial" w:hAnsi="Arial"/>
                <w:sz w:val="17"/>
                <w:szCs w:val="17"/>
                <w:color w:val="0000EE"/>
              </w:rPr>
              <w:t>Statements of Assets and Liabilities as of September 30, 2023 (unaudited) and December 31, 2022</w:t>
            </w:r>
          </w:p>
        </w:tc>
        <w:tc>
          <w:tcPr>
            <w:tcW w:w="2020" w:type="dxa"/>
            <w:vAlign w:val="bottom"/>
          </w:tcPr>
          <w:p>
            <w:pPr>
              <w:jc w:val="center"/>
              <w:ind w:left="1135"/>
              <w:spacing w:after="0" w:line="166"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right w:val="single" w:sz="8" w:color="CCEEFF"/>
            </w:tcBorders>
            <w:shd w:val="clear" w:color="auto" w:fill="CCEEFF"/>
          </w:tcPr>
          <w:p>
            <w:pPr>
              <w:spacing w:after="0"/>
              <w:rPr>
                <w:sz w:val="16"/>
                <w:szCs w:val="16"/>
                <w:color w:val="auto"/>
              </w:rPr>
            </w:pPr>
          </w:p>
        </w:tc>
        <w:tc>
          <w:tcPr>
            <w:tcW w:w="7260" w:type="dxa"/>
            <w:vAlign w:val="bottom"/>
            <w:tcBorders>
              <w:bottom w:val="single" w:sz="8" w:color="0000EE"/>
            </w:tcBorders>
            <w:gridSpan w:val="15"/>
            <w:shd w:val="clear" w:color="auto" w:fill="CCEEFF"/>
          </w:tcPr>
          <w:p>
            <w:pPr>
              <w:spacing w:after="0" w:line="175" w:lineRule="exact"/>
              <w:rPr>
                <w:sz w:val="20"/>
                <w:szCs w:val="20"/>
                <w:color w:val="auto"/>
              </w:rPr>
            </w:pPr>
            <w:r>
              <w:rPr>
                <w:rFonts w:ascii="Arial" w:cs="Arial" w:eastAsia="Arial" w:hAnsi="Arial"/>
                <w:sz w:val="17"/>
                <w:szCs w:val="17"/>
                <w:color w:val="0000EE"/>
                <w:w w:val="89"/>
              </w:rPr>
              <w:t>Statements of Operations for the Three and Nine Months Ended September 30, 2023 and 2022 (unaudited)</w:t>
            </w:r>
          </w:p>
        </w:tc>
        <w:tc>
          <w:tcPr>
            <w:tcW w:w="7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center"/>
              <w:ind w:left="1135"/>
              <w:spacing w:after="0" w:line="175"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40" w:type="dxa"/>
            <w:vAlign w:val="bottom"/>
            <w:tcBorders>
              <w:bottom w:val="single" w:sz="8" w:color="0000EE"/>
            </w:tcBorders>
            <w:gridSpan w:val="16"/>
          </w:tcPr>
          <w:p>
            <w:pPr>
              <w:spacing w:after="0" w:line="166" w:lineRule="exact"/>
              <w:rPr>
                <w:sz w:val="20"/>
                <w:szCs w:val="20"/>
                <w:color w:val="auto"/>
              </w:rPr>
            </w:pPr>
            <w:r>
              <w:rPr>
                <w:rFonts w:ascii="Arial" w:cs="Arial" w:eastAsia="Arial" w:hAnsi="Arial"/>
                <w:sz w:val="17"/>
                <w:szCs w:val="17"/>
                <w:color w:val="0000EE"/>
                <w:w w:val="89"/>
              </w:rPr>
              <w:t>Statements of Changes in Net Assets for the Three and Nine Months Ended September 30, 2023 and 2022 (unaudited)</w:t>
            </w:r>
          </w:p>
        </w:tc>
        <w:tc>
          <w:tcPr>
            <w:tcW w:w="2020" w:type="dxa"/>
            <w:vAlign w:val="bottom"/>
          </w:tcPr>
          <w:p>
            <w:pPr>
              <w:jc w:val="center"/>
              <w:ind w:left="1135"/>
              <w:spacing w:after="0" w:line="166" w:lineRule="exact"/>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193"/>
        </w:trPr>
        <w:tc>
          <w:tcPr>
            <w:tcW w:w="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right w:val="single" w:sz="8" w:color="CCEEFF"/>
            </w:tcBorders>
            <w:shd w:val="clear" w:color="auto" w:fill="CCEEFF"/>
          </w:tcPr>
          <w:p>
            <w:pPr>
              <w:spacing w:after="0"/>
              <w:rPr>
                <w:sz w:val="16"/>
                <w:szCs w:val="16"/>
                <w:color w:val="auto"/>
              </w:rPr>
            </w:pPr>
          </w:p>
        </w:tc>
        <w:tc>
          <w:tcPr>
            <w:tcW w:w="6580" w:type="dxa"/>
            <w:vAlign w:val="bottom"/>
            <w:tcBorders>
              <w:bottom w:val="single" w:sz="8" w:color="0000EE"/>
            </w:tcBorders>
            <w:gridSpan w:val="13"/>
            <w:shd w:val="clear" w:color="auto" w:fill="CCEEFF"/>
          </w:tcPr>
          <w:p>
            <w:pPr>
              <w:spacing w:after="0" w:line="175" w:lineRule="exact"/>
              <w:rPr>
                <w:sz w:val="20"/>
                <w:szCs w:val="20"/>
                <w:color w:val="auto"/>
              </w:rPr>
            </w:pPr>
            <w:r>
              <w:rPr>
                <w:rFonts w:ascii="Arial" w:cs="Arial" w:eastAsia="Arial" w:hAnsi="Arial"/>
                <w:sz w:val="17"/>
                <w:szCs w:val="17"/>
                <w:color w:val="0000EE"/>
                <w:w w:val="89"/>
              </w:rPr>
              <w:t>Statements of Cash Flows for the Nine Months Ended September 30, 2023 and 2022 (unaudited)</w:t>
            </w:r>
          </w:p>
        </w:tc>
        <w:tc>
          <w:tcPr>
            <w:tcW w:w="1460" w:type="dxa"/>
            <w:vAlign w:val="bottom"/>
            <w:tcBorders>
              <w:bottom w:val="single" w:sz="8" w:color="CCEEFF"/>
            </w:tcBorders>
            <w:gridSpan w:val="3"/>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center"/>
              <w:ind w:left="1135"/>
              <w:spacing w:after="0" w:line="175"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tcBorders>
              <w:bottom w:val="single" w:sz="8" w:color="0000EE"/>
            </w:tcBorders>
            <w:gridSpan w:val="11"/>
          </w:tcPr>
          <w:p>
            <w:pPr>
              <w:spacing w:after="0" w:line="166" w:lineRule="exact"/>
              <w:rPr>
                <w:sz w:val="20"/>
                <w:szCs w:val="20"/>
                <w:color w:val="auto"/>
              </w:rPr>
            </w:pPr>
            <w:r>
              <w:rPr>
                <w:rFonts w:ascii="Arial" w:cs="Arial" w:eastAsia="Arial" w:hAnsi="Arial"/>
                <w:sz w:val="17"/>
                <w:szCs w:val="17"/>
                <w:color w:val="0000EE"/>
                <w:w w:val="89"/>
              </w:rPr>
              <w:t>Schedule of Investments as of September 30, 2023 (unaudited) and December 31, 2022</w:t>
            </w:r>
          </w:p>
        </w:tc>
        <w:tc>
          <w:tcPr>
            <w:tcW w:w="2100" w:type="dxa"/>
            <w:vAlign w:val="bottom"/>
            <w:gridSpan w:val="5"/>
          </w:tcPr>
          <w:p>
            <w:pPr>
              <w:spacing w:after="0"/>
              <w:rPr>
                <w:sz w:val="15"/>
                <w:szCs w:val="15"/>
                <w:color w:val="auto"/>
              </w:rPr>
            </w:pPr>
          </w:p>
        </w:tc>
        <w:tc>
          <w:tcPr>
            <w:tcW w:w="2020" w:type="dxa"/>
            <w:vAlign w:val="bottom"/>
          </w:tcPr>
          <w:p>
            <w:pPr>
              <w:jc w:val="center"/>
              <w:ind w:left="1135"/>
              <w:spacing w:after="0" w:line="166"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8040" w:type="dxa"/>
            <w:vAlign w:val="bottom"/>
            <w:gridSpan w:val="16"/>
            <w:shd w:val="clear" w:color="auto" w:fill="CCEEFF"/>
          </w:tcPr>
          <w:p>
            <w:pPr>
              <w:spacing w:after="0" w:line="175" w:lineRule="exact"/>
              <w:rPr>
                <w:sz w:val="20"/>
                <w:szCs w:val="20"/>
                <w:color w:val="auto"/>
              </w:rPr>
            </w:pPr>
            <w:r>
              <w:rPr>
                <w:rFonts w:ascii="Arial" w:cs="Arial" w:eastAsia="Arial" w:hAnsi="Arial"/>
                <w:sz w:val="17"/>
                <w:szCs w:val="17"/>
                <w:color w:val="0000EE"/>
              </w:rPr>
              <w:t>Notes to Financial Statements (unaudited)</w:t>
            </w:r>
          </w:p>
        </w:tc>
        <w:tc>
          <w:tcPr>
            <w:tcW w:w="2020" w:type="dxa"/>
            <w:vAlign w:val="bottom"/>
            <w:shd w:val="clear" w:color="auto" w:fill="CCEEFF"/>
          </w:tcPr>
          <w:p>
            <w:pPr>
              <w:jc w:val="center"/>
              <w:ind w:left="1135"/>
              <w:spacing w:after="0" w:line="175" w:lineRule="exact"/>
              <w:rPr>
                <w:sz w:val="20"/>
                <w:szCs w:val="20"/>
                <w:color w:val="auto"/>
              </w:rPr>
            </w:pPr>
            <w:r>
              <w:rPr>
                <w:rFonts w:ascii="Arial" w:cs="Arial" w:eastAsia="Arial" w:hAnsi="Arial"/>
                <w:sz w:val="17"/>
                <w:szCs w:val="17"/>
                <w:color w:val="auto"/>
                <w:w w:val="84"/>
              </w:rPr>
              <w:t>11</w:t>
            </w:r>
          </w:p>
        </w:tc>
        <w:tc>
          <w:tcPr>
            <w:tcW w:w="0" w:type="dxa"/>
            <w:vAlign w:val="bottom"/>
          </w:tcPr>
          <w:p>
            <w:pPr>
              <w:spacing w:after="0"/>
              <w:rPr>
                <w:sz w:val="1"/>
                <w:szCs w:val="1"/>
                <w:color w:val="auto"/>
              </w:rPr>
            </w:pPr>
          </w:p>
        </w:tc>
      </w:tr>
      <w:tr>
        <w:trPr>
          <w:trHeight w:val="38"/>
        </w:trPr>
        <w:tc>
          <w:tcPr>
            <w:tcW w:w="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gridSpan w:val="3"/>
          </w:tcPr>
          <w:p>
            <w:pPr>
              <w:ind w:left="40"/>
              <w:spacing w:after="0" w:line="166" w:lineRule="exact"/>
              <w:rPr>
                <w:sz w:val="20"/>
                <w:szCs w:val="20"/>
                <w:color w:val="auto"/>
              </w:rPr>
            </w:pPr>
            <w:r>
              <w:rPr>
                <w:rFonts w:ascii="Arial" w:cs="Arial" w:eastAsia="Arial" w:hAnsi="Arial"/>
                <w:sz w:val="17"/>
                <w:szCs w:val="17"/>
                <w:color w:val="auto"/>
              </w:rPr>
              <w:t>Item 2</w:t>
            </w:r>
          </w:p>
        </w:tc>
        <w:tc>
          <w:tcPr>
            <w:tcW w:w="6100" w:type="dxa"/>
            <w:vAlign w:val="bottom"/>
            <w:tcBorders>
              <w:bottom w:val="single" w:sz="8" w:color="0000EE"/>
            </w:tcBorders>
            <w:gridSpan w:val="12"/>
          </w:tcPr>
          <w:p>
            <w:pPr>
              <w:spacing w:after="0" w:line="166" w:lineRule="exact"/>
              <w:rPr>
                <w:sz w:val="20"/>
                <w:szCs w:val="20"/>
                <w:color w:val="auto"/>
              </w:rPr>
            </w:pPr>
            <w:r>
              <w:rPr>
                <w:rFonts w:ascii="Arial" w:cs="Arial" w:eastAsia="Arial" w:hAnsi="Arial"/>
                <w:sz w:val="17"/>
                <w:szCs w:val="17"/>
                <w:color w:val="0000EE"/>
                <w:w w:val="90"/>
              </w:rPr>
              <w:t>Management’s Discussion and Analysis of Financial Condition and Results of Operations</w:t>
            </w:r>
          </w:p>
        </w:tc>
        <w:tc>
          <w:tcPr>
            <w:tcW w:w="1940" w:type="dxa"/>
            <w:vAlign w:val="bottom"/>
            <w:gridSpan w:val="4"/>
          </w:tcPr>
          <w:p>
            <w:pPr>
              <w:spacing w:after="0"/>
              <w:rPr>
                <w:sz w:val="15"/>
                <w:szCs w:val="15"/>
                <w:color w:val="auto"/>
              </w:rPr>
            </w:pPr>
          </w:p>
        </w:tc>
        <w:tc>
          <w:tcPr>
            <w:tcW w:w="2020" w:type="dxa"/>
            <w:vAlign w:val="bottom"/>
          </w:tcPr>
          <w:p>
            <w:pPr>
              <w:jc w:val="center"/>
              <w:ind w:left="1155"/>
              <w:spacing w:after="0" w:line="166" w:lineRule="exact"/>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right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7"/>
                <w:szCs w:val="17"/>
                <w:color w:val="auto"/>
              </w:rPr>
              <w:t>Item 3</w:t>
            </w:r>
          </w:p>
        </w:tc>
        <w:tc>
          <w:tcPr>
            <w:tcW w:w="4120" w:type="dxa"/>
            <w:vAlign w:val="bottom"/>
            <w:tcBorders>
              <w:bottom w:val="single" w:sz="8" w:color="0000EE"/>
            </w:tcBorders>
            <w:gridSpan w:val="10"/>
            <w:shd w:val="clear" w:color="auto" w:fill="CCEEFF"/>
          </w:tcPr>
          <w:p>
            <w:pPr>
              <w:spacing w:after="0" w:line="175" w:lineRule="exact"/>
              <w:rPr>
                <w:sz w:val="20"/>
                <w:szCs w:val="20"/>
                <w:color w:val="auto"/>
              </w:rPr>
            </w:pPr>
            <w:r>
              <w:rPr>
                <w:rFonts w:ascii="Arial" w:cs="Arial" w:eastAsia="Arial" w:hAnsi="Arial"/>
                <w:sz w:val="17"/>
                <w:szCs w:val="17"/>
                <w:color w:val="0000EE"/>
                <w:w w:val="92"/>
              </w:rPr>
              <w:t>Quantitative and Qualitative Disclosures About Market Risk</w:t>
            </w:r>
          </w:p>
        </w:tc>
        <w:tc>
          <w:tcPr>
            <w:tcW w:w="3920" w:type="dxa"/>
            <w:vAlign w:val="bottom"/>
            <w:tcBorders>
              <w:bottom w:val="single" w:sz="8" w:color="CCEEFF"/>
            </w:tcBorders>
            <w:gridSpan w:val="6"/>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center"/>
              <w:ind w:left="1155"/>
              <w:spacing w:after="0" w:line="175" w:lineRule="exact"/>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175"/>
        </w:trPr>
        <w:tc>
          <w:tcPr>
            <w:tcW w:w="1180" w:type="dxa"/>
            <w:vAlign w:val="bottom"/>
            <w:gridSpan w:val="3"/>
          </w:tcPr>
          <w:p>
            <w:pPr>
              <w:ind w:left="40"/>
              <w:spacing w:after="0" w:line="166" w:lineRule="exact"/>
              <w:rPr>
                <w:sz w:val="20"/>
                <w:szCs w:val="20"/>
                <w:color w:val="auto"/>
              </w:rPr>
            </w:pPr>
            <w:r>
              <w:rPr>
                <w:rFonts w:ascii="Arial" w:cs="Arial" w:eastAsia="Arial" w:hAnsi="Arial"/>
                <w:sz w:val="17"/>
                <w:szCs w:val="17"/>
                <w:color w:val="auto"/>
              </w:rPr>
              <w:t>Item 4</w:t>
            </w:r>
          </w:p>
        </w:tc>
        <w:tc>
          <w:tcPr>
            <w:tcW w:w="1680" w:type="dxa"/>
            <w:vAlign w:val="bottom"/>
            <w:tcBorders>
              <w:bottom w:val="single" w:sz="8" w:color="0000EE"/>
            </w:tcBorders>
            <w:gridSpan w:val="6"/>
          </w:tcPr>
          <w:p>
            <w:pPr>
              <w:spacing w:after="0" w:line="166" w:lineRule="exact"/>
              <w:rPr>
                <w:sz w:val="20"/>
                <w:szCs w:val="20"/>
                <w:color w:val="auto"/>
              </w:rPr>
            </w:pPr>
            <w:r>
              <w:rPr>
                <w:rFonts w:ascii="Arial" w:cs="Arial" w:eastAsia="Arial" w:hAnsi="Arial"/>
                <w:sz w:val="17"/>
                <w:szCs w:val="17"/>
                <w:color w:val="0000EE"/>
                <w:w w:val="88"/>
              </w:rPr>
              <w:t>Controls and Procedures</w:t>
            </w:r>
          </w:p>
        </w:tc>
        <w:tc>
          <w:tcPr>
            <w:tcW w:w="6360" w:type="dxa"/>
            <w:vAlign w:val="bottom"/>
            <w:gridSpan w:val="10"/>
          </w:tcPr>
          <w:p>
            <w:pPr>
              <w:spacing w:after="0"/>
              <w:rPr>
                <w:sz w:val="15"/>
                <w:szCs w:val="15"/>
                <w:color w:val="auto"/>
              </w:rPr>
            </w:pPr>
          </w:p>
        </w:tc>
        <w:tc>
          <w:tcPr>
            <w:tcW w:w="2020" w:type="dxa"/>
            <w:vAlign w:val="bottom"/>
          </w:tcPr>
          <w:p>
            <w:pPr>
              <w:jc w:val="center"/>
              <w:ind w:left="1155"/>
              <w:spacing w:after="0" w:line="166" w:lineRule="exact"/>
              <w:rPr>
                <w:sz w:val="20"/>
                <w:szCs w:val="20"/>
                <w:color w:val="auto"/>
              </w:rPr>
            </w:pPr>
            <w:r>
              <w:rPr>
                <w:rFonts w:ascii="Arial" w:cs="Arial" w:eastAsia="Arial" w:hAnsi="Arial"/>
                <w:sz w:val="17"/>
                <w:szCs w:val="17"/>
                <w:color w:val="auto"/>
                <w:w w:val="94"/>
              </w:rPr>
              <w:t>35</w:t>
            </w:r>
          </w:p>
        </w:tc>
        <w:tc>
          <w:tcPr>
            <w:tcW w:w="0" w:type="dxa"/>
            <w:vAlign w:val="bottom"/>
          </w:tcPr>
          <w:p>
            <w:pPr>
              <w:spacing w:after="0"/>
              <w:rPr>
                <w:sz w:val="1"/>
                <w:szCs w:val="1"/>
                <w:color w:val="auto"/>
              </w:rPr>
            </w:pPr>
          </w:p>
        </w:tc>
      </w:tr>
      <w:tr>
        <w:trPr>
          <w:trHeight w:val="213"/>
        </w:trPr>
        <w:tc>
          <w:tcPr>
            <w:tcW w:w="1180" w:type="dxa"/>
            <w:vAlign w:val="bottom"/>
            <w:tcBorders>
              <w:right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PART II</w:t>
            </w:r>
          </w:p>
        </w:tc>
        <w:tc>
          <w:tcPr>
            <w:tcW w:w="8040" w:type="dxa"/>
            <w:vAlign w:val="bottom"/>
            <w:gridSpan w:val="16"/>
            <w:shd w:val="clear" w:color="auto" w:fill="CCEEFF"/>
          </w:tcPr>
          <w:p>
            <w:pPr>
              <w:spacing w:after="0"/>
              <w:rPr>
                <w:sz w:val="20"/>
                <w:szCs w:val="20"/>
                <w:color w:val="auto"/>
              </w:rPr>
            </w:pPr>
            <w:r>
              <w:rPr>
                <w:rFonts w:ascii="Arial" w:cs="Arial" w:eastAsia="Arial" w:hAnsi="Arial"/>
                <w:sz w:val="17"/>
                <w:szCs w:val="17"/>
                <w:b w:val="1"/>
                <w:bCs w:val="1"/>
                <w:color w:val="auto"/>
              </w:rPr>
              <w:t>OTHER INFORMATION</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80" w:type="dxa"/>
            <w:vAlign w:val="bottom"/>
            <w:gridSpan w:val="3"/>
          </w:tcPr>
          <w:p>
            <w:pPr>
              <w:ind w:left="40"/>
              <w:spacing w:after="0" w:line="166" w:lineRule="exact"/>
              <w:rPr>
                <w:sz w:val="20"/>
                <w:szCs w:val="20"/>
                <w:color w:val="auto"/>
              </w:rPr>
            </w:pPr>
            <w:r>
              <w:rPr>
                <w:rFonts w:ascii="Arial" w:cs="Arial" w:eastAsia="Arial" w:hAnsi="Arial"/>
                <w:sz w:val="17"/>
                <w:szCs w:val="17"/>
                <w:color w:val="auto"/>
              </w:rPr>
              <w:t>Item 1</w:t>
            </w:r>
          </w:p>
        </w:tc>
        <w:tc>
          <w:tcPr>
            <w:tcW w:w="8040" w:type="dxa"/>
            <w:vAlign w:val="bottom"/>
            <w:gridSpan w:val="16"/>
          </w:tcPr>
          <w:p>
            <w:pPr>
              <w:spacing w:after="0" w:line="166" w:lineRule="exact"/>
              <w:rPr>
                <w:sz w:val="20"/>
                <w:szCs w:val="20"/>
                <w:color w:val="auto"/>
              </w:rPr>
            </w:pPr>
            <w:r>
              <w:rPr>
                <w:rFonts w:ascii="Arial" w:cs="Arial" w:eastAsia="Arial" w:hAnsi="Arial"/>
                <w:sz w:val="17"/>
                <w:szCs w:val="17"/>
                <w:color w:val="0000EE"/>
              </w:rPr>
              <w:t>Legal Proceedings</w:t>
            </w:r>
          </w:p>
        </w:tc>
        <w:tc>
          <w:tcPr>
            <w:tcW w:w="2020" w:type="dxa"/>
            <w:vAlign w:val="bottom"/>
          </w:tcPr>
          <w:p>
            <w:pPr>
              <w:jc w:val="center"/>
              <w:ind w:left="1155"/>
              <w:spacing w:after="0" w:line="166"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right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7"/>
                <w:szCs w:val="17"/>
                <w:color w:val="auto"/>
              </w:rPr>
              <w:t>Item 1A</w:t>
            </w:r>
          </w:p>
        </w:tc>
        <w:tc>
          <w:tcPr>
            <w:tcW w:w="860" w:type="dxa"/>
            <w:vAlign w:val="bottom"/>
            <w:tcBorders>
              <w:top w:val="single" w:sz="8" w:color="0000EE"/>
              <w:bottom w:val="single" w:sz="8" w:color="0000EE"/>
            </w:tcBorders>
            <w:gridSpan w:val="2"/>
            <w:shd w:val="clear" w:color="auto" w:fill="CCEEFF"/>
          </w:tcPr>
          <w:p>
            <w:pPr>
              <w:spacing w:after="0" w:line="175" w:lineRule="exact"/>
              <w:rPr>
                <w:sz w:val="20"/>
                <w:szCs w:val="20"/>
                <w:color w:val="auto"/>
              </w:rPr>
            </w:pPr>
            <w:r>
              <w:rPr>
                <w:rFonts w:ascii="Arial" w:cs="Arial" w:eastAsia="Arial" w:hAnsi="Arial"/>
                <w:sz w:val="17"/>
                <w:szCs w:val="17"/>
                <w:color w:val="0000EE"/>
                <w:w w:val="88"/>
              </w:rPr>
              <w:t>Risk Factors</w:t>
            </w:r>
          </w:p>
        </w:tc>
        <w:tc>
          <w:tcPr>
            <w:tcW w:w="40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6780" w:type="dxa"/>
            <w:vAlign w:val="bottom"/>
            <w:tcBorders>
              <w:bottom w:val="single" w:sz="8" w:color="CCEEFF"/>
            </w:tcBorders>
            <w:gridSpan w:val="12"/>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center"/>
              <w:ind w:left="1155"/>
              <w:spacing w:after="0" w:line="175"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75"/>
        </w:trPr>
        <w:tc>
          <w:tcPr>
            <w:tcW w:w="1180" w:type="dxa"/>
            <w:vAlign w:val="bottom"/>
            <w:gridSpan w:val="3"/>
          </w:tcPr>
          <w:p>
            <w:pPr>
              <w:ind w:left="40"/>
              <w:spacing w:after="0" w:line="166" w:lineRule="exact"/>
              <w:rPr>
                <w:sz w:val="20"/>
                <w:szCs w:val="20"/>
                <w:color w:val="auto"/>
              </w:rPr>
            </w:pPr>
            <w:r>
              <w:rPr>
                <w:rFonts w:ascii="Arial" w:cs="Arial" w:eastAsia="Arial" w:hAnsi="Arial"/>
                <w:sz w:val="17"/>
                <w:szCs w:val="17"/>
                <w:color w:val="auto"/>
              </w:rPr>
              <w:t>Item 2</w:t>
            </w:r>
          </w:p>
        </w:tc>
        <w:tc>
          <w:tcPr>
            <w:tcW w:w="8040" w:type="dxa"/>
            <w:vAlign w:val="bottom"/>
            <w:gridSpan w:val="16"/>
          </w:tcPr>
          <w:p>
            <w:pPr>
              <w:spacing w:after="0" w:line="166" w:lineRule="exact"/>
              <w:rPr>
                <w:sz w:val="20"/>
                <w:szCs w:val="20"/>
                <w:color w:val="auto"/>
              </w:rPr>
            </w:pPr>
            <w:r>
              <w:rPr>
                <w:rFonts w:ascii="Arial" w:cs="Arial" w:eastAsia="Arial" w:hAnsi="Arial"/>
                <w:sz w:val="17"/>
                <w:szCs w:val="17"/>
                <w:color w:val="0000EE"/>
              </w:rPr>
              <w:t>Unregistered Sales of Equity Securities and Use of Proceeds</w:t>
            </w:r>
          </w:p>
        </w:tc>
        <w:tc>
          <w:tcPr>
            <w:tcW w:w="2020" w:type="dxa"/>
            <w:vAlign w:val="bottom"/>
          </w:tcPr>
          <w:p>
            <w:pPr>
              <w:jc w:val="center"/>
              <w:ind w:left="1155"/>
              <w:spacing w:after="0" w:line="166"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right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7"/>
                <w:szCs w:val="17"/>
                <w:color w:val="auto"/>
              </w:rPr>
              <w:t>Item 3</w:t>
            </w:r>
          </w:p>
        </w:tc>
        <w:tc>
          <w:tcPr>
            <w:tcW w:w="2200" w:type="dxa"/>
            <w:vAlign w:val="bottom"/>
            <w:tcBorders>
              <w:top w:val="single" w:sz="8" w:color="0000EE"/>
              <w:bottom w:val="single" w:sz="8" w:color="0000EE"/>
            </w:tcBorders>
            <w:gridSpan w:val="7"/>
            <w:shd w:val="clear" w:color="auto" w:fill="CCEEFF"/>
          </w:tcPr>
          <w:p>
            <w:pPr>
              <w:spacing w:after="0" w:line="175" w:lineRule="exact"/>
              <w:rPr>
                <w:sz w:val="20"/>
                <w:szCs w:val="20"/>
                <w:color w:val="auto"/>
              </w:rPr>
            </w:pPr>
            <w:r>
              <w:rPr>
                <w:rFonts w:ascii="Arial" w:cs="Arial" w:eastAsia="Arial" w:hAnsi="Arial"/>
                <w:sz w:val="17"/>
                <w:szCs w:val="17"/>
                <w:color w:val="0000EE"/>
                <w:w w:val="90"/>
              </w:rPr>
              <w:t>Defaults Upon Senior Securities</w:t>
            </w:r>
          </w:p>
        </w:tc>
        <w:tc>
          <w:tcPr>
            <w:tcW w:w="190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3940" w:type="dxa"/>
            <w:vAlign w:val="bottom"/>
            <w:tcBorders>
              <w:bottom w:val="single" w:sz="8" w:color="CCEEFF"/>
            </w:tcBorders>
            <w:gridSpan w:val="7"/>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center"/>
              <w:ind w:left="1155"/>
              <w:spacing w:after="0" w:line="175"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75"/>
        </w:trPr>
        <w:tc>
          <w:tcPr>
            <w:tcW w:w="1180" w:type="dxa"/>
            <w:vAlign w:val="bottom"/>
            <w:gridSpan w:val="3"/>
          </w:tcPr>
          <w:p>
            <w:pPr>
              <w:ind w:left="40"/>
              <w:spacing w:after="0" w:line="166" w:lineRule="exact"/>
              <w:rPr>
                <w:sz w:val="20"/>
                <w:szCs w:val="20"/>
                <w:color w:val="auto"/>
              </w:rPr>
            </w:pPr>
            <w:r>
              <w:rPr>
                <w:rFonts w:ascii="Arial" w:cs="Arial" w:eastAsia="Arial" w:hAnsi="Arial"/>
                <w:sz w:val="17"/>
                <w:szCs w:val="17"/>
                <w:color w:val="auto"/>
              </w:rPr>
              <w:t>Item 4</w:t>
            </w:r>
          </w:p>
        </w:tc>
        <w:tc>
          <w:tcPr>
            <w:tcW w:w="1680" w:type="dxa"/>
            <w:vAlign w:val="bottom"/>
            <w:tcBorders>
              <w:bottom w:val="single" w:sz="8" w:color="0000EE"/>
            </w:tcBorders>
            <w:gridSpan w:val="6"/>
          </w:tcPr>
          <w:p>
            <w:pPr>
              <w:spacing w:after="0" w:line="166" w:lineRule="exact"/>
              <w:rPr>
                <w:sz w:val="20"/>
                <w:szCs w:val="20"/>
                <w:color w:val="auto"/>
              </w:rPr>
            </w:pPr>
            <w:r>
              <w:rPr>
                <w:rFonts w:ascii="Arial" w:cs="Arial" w:eastAsia="Arial" w:hAnsi="Arial"/>
                <w:sz w:val="17"/>
                <w:szCs w:val="17"/>
                <w:color w:val="0000EE"/>
                <w:w w:val="91"/>
              </w:rPr>
              <w:t>Mine Safety Disclosures</w:t>
            </w:r>
          </w:p>
        </w:tc>
        <w:tc>
          <w:tcPr>
            <w:tcW w:w="6360" w:type="dxa"/>
            <w:vAlign w:val="bottom"/>
            <w:gridSpan w:val="10"/>
          </w:tcPr>
          <w:p>
            <w:pPr>
              <w:spacing w:after="0"/>
              <w:rPr>
                <w:sz w:val="15"/>
                <w:szCs w:val="15"/>
                <w:color w:val="auto"/>
              </w:rPr>
            </w:pPr>
          </w:p>
        </w:tc>
        <w:tc>
          <w:tcPr>
            <w:tcW w:w="2020" w:type="dxa"/>
            <w:vAlign w:val="bottom"/>
          </w:tcPr>
          <w:p>
            <w:pPr>
              <w:jc w:val="center"/>
              <w:ind w:left="1155"/>
              <w:spacing w:after="0" w:line="166"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93"/>
        </w:trPr>
        <w:tc>
          <w:tcPr>
            <w:tcW w:w="1180" w:type="dxa"/>
            <w:vAlign w:val="bottom"/>
            <w:tcBorders>
              <w:right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7"/>
                <w:szCs w:val="17"/>
                <w:color w:val="auto"/>
              </w:rPr>
              <w:t>Item 5</w:t>
            </w:r>
          </w:p>
        </w:tc>
        <w:tc>
          <w:tcPr>
            <w:tcW w:w="8040" w:type="dxa"/>
            <w:vAlign w:val="bottom"/>
            <w:gridSpan w:val="16"/>
            <w:shd w:val="clear" w:color="auto" w:fill="CCEEFF"/>
          </w:tcPr>
          <w:p>
            <w:pPr>
              <w:spacing w:after="0" w:line="175" w:lineRule="exact"/>
              <w:rPr>
                <w:sz w:val="20"/>
                <w:szCs w:val="20"/>
                <w:color w:val="auto"/>
              </w:rPr>
            </w:pPr>
            <w:r>
              <w:rPr>
                <w:rFonts w:ascii="Arial" w:cs="Arial" w:eastAsia="Arial" w:hAnsi="Arial"/>
                <w:sz w:val="17"/>
                <w:szCs w:val="17"/>
                <w:color w:val="0000EE"/>
              </w:rPr>
              <w:t>Other Information</w:t>
            </w:r>
          </w:p>
        </w:tc>
        <w:tc>
          <w:tcPr>
            <w:tcW w:w="2020" w:type="dxa"/>
            <w:vAlign w:val="bottom"/>
            <w:shd w:val="clear" w:color="auto" w:fill="CCEEFF"/>
          </w:tcPr>
          <w:p>
            <w:pPr>
              <w:jc w:val="center"/>
              <w:ind w:left="1155"/>
              <w:spacing w:after="0" w:line="175"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75"/>
        </w:trPr>
        <w:tc>
          <w:tcPr>
            <w:tcW w:w="1180" w:type="dxa"/>
            <w:vAlign w:val="bottom"/>
            <w:tcBorders>
              <w:top w:val="single" w:sz="8" w:color="CCEEFF"/>
            </w:tcBorders>
            <w:gridSpan w:val="3"/>
          </w:tcPr>
          <w:p>
            <w:pPr>
              <w:ind w:left="40"/>
              <w:spacing w:after="0" w:line="166" w:lineRule="exact"/>
              <w:rPr>
                <w:sz w:val="20"/>
                <w:szCs w:val="20"/>
                <w:color w:val="auto"/>
              </w:rPr>
            </w:pPr>
            <w:r>
              <w:rPr>
                <w:rFonts w:ascii="Arial" w:cs="Arial" w:eastAsia="Arial" w:hAnsi="Arial"/>
                <w:sz w:val="17"/>
                <w:szCs w:val="17"/>
                <w:color w:val="auto"/>
              </w:rPr>
              <w:t>Item 6</w:t>
            </w:r>
          </w:p>
        </w:tc>
        <w:tc>
          <w:tcPr>
            <w:tcW w:w="1240" w:type="dxa"/>
            <w:vAlign w:val="bottom"/>
            <w:tcBorders>
              <w:top w:val="single" w:sz="8" w:color="0000EE"/>
            </w:tcBorders>
            <w:gridSpan w:val="3"/>
          </w:tcPr>
          <w:p>
            <w:pPr>
              <w:spacing w:after="0" w:line="166" w:lineRule="exact"/>
              <w:rPr>
                <w:sz w:val="20"/>
                <w:szCs w:val="20"/>
                <w:color w:val="auto"/>
              </w:rPr>
            </w:pPr>
            <w:r>
              <w:rPr>
                <w:rFonts w:ascii="Arial" w:cs="Arial" w:eastAsia="Arial" w:hAnsi="Arial"/>
                <w:sz w:val="17"/>
                <w:szCs w:val="17"/>
                <w:color w:val="0000EE"/>
              </w:rPr>
              <w:t>Exhibits</w:t>
            </w:r>
          </w:p>
        </w:tc>
        <w:tc>
          <w:tcPr>
            <w:tcW w:w="6800" w:type="dxa"/>
            <w:vAlign w:val="bottom"/>
            <w:tcBorders>
              <w:top w:val="single" w:sz="8" w:color="CCEEFF"/>
            </w:tcBorders>
            <w:gridSpan w:val="13"/>
          </w:tcPr>
          <w:p>
            <w:pPr>
              <w:spacing w:after="0"/>
              <w:rPr>
                <w:sz w:val="15"/>
                <w:szCs w:val="15"/>
                <w:color w:val="auto"/>
              </w:rPr>
            </w:pPr>
          </w:p>
        </w:tc>
        <w:tc>
          <w:tcPr>
            <w:tcW w:w="2020" w:type="dxa"/>
            <w:vAlign w:val="bottom"/>
            <w:tcBorders>
              <w:top w:val="single" w:sz="8" w:color="CCEEFF"/>
            </w:tcBorders>
          </w:tcPr>
          <w:p>
            <w:pPr>
              <w:jc w:val="center"/>
              <w:ind w:left="1155"/>
              <w:spacing w:after="0" w:line="166" w:lineRule="exact"/>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193"/>
        </w:trPr>
        <w:tc>
          <w:tcPr>
            <w:tcW w:w="1180" w:type="dxa"/>
            <w:vAlign w:val="bottom"/>
            <w:tcBorders>
              <w:right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7"/>
                <w:szCs w:val="17"/>
                <w:b w:val="1"/>
                <w:bCs w:val="1"/>
                <w:color w:val="0000EE"/>
                <w:w w:val="98"/>
              </w:rPr>
              <w:t>SIGNATURES</w:t>
            </w:r>
          </w:p>
        </w:tc>
        <w:tc>
          <w:tcPr>
            <w:tcW w:w="560" w:type="dxa"/>
            <w:vAlign w:val="bottom"/>
            <w:tcBorders>
              <w:top w:val="single" w:sz="8" w:color="0000EE"/>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20" w:type="dxa"/>
            <w:vAlign w:val="bottom"/>
            <w:shd w:val="clear" w:color="auto" w:fill="CCEEFF"/>
          </w:tcPr>
          <w:p>
            <w:pPr>
              <w:jc w:val="center"/>
              <w:ind w:left="1155"/>
              <w:spacing w:after="0" w:line="175" w:lineRule="exact"/>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5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940" w:type="dxa"/>
            <w:vAlign w:val="bottom"/>
            <w:tcBorders>
              <w:top w:val="single" w:sz="8" w:color="CCEEFF"/>
            </w:tcBorders>
            <w:gridSpan w:val="11"/>
          </w:tcPr>
          <w:p>
            <w:pPr>
              <w:ind w:left="4420"/>
              <w:spacing w:after="0"/>
              <w:rPr>
                <w:sz w:val="20"/>
                <w:szCs w:val="20"/>
                <w:color w:val="auto"/>
              </w:rPr>
            </w:pPr>
            <w:r>
              <w:rPr>
                <w:rFonts w:ascii="Arial" w:cs="Arial" w:eastAsia="Arial" w:hAnsi="Arial"/>
                <w:sz w:val="14"/>
                <w:szCs w:val="14"/>
                <w:color w:val="auto"/>
              </w:rPr>
              <w:t>2</w:t>
            </w:r>
          </w:p>
        </w:tc>
        <w:tc>
          <w:tcPr>
            <w:tcW w:w="1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6"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66" w:lineRule="exact"/>
        <w:rPr>
          <w:sz w:val="20"/>
          <w:szCs w:val="20"/>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operating results and distribution projections;</w:t>
      </w:r>
    </w:p>
    <w:p>
      <w:pPr>
        <w:spacing w:after="0" w:line="212" w:lineRule="exact"/>
        <w:rPr>
          <w:rFonts w:ascii="Arial" w:cs="Arial" w:eastAsia="Arial" w:hAnsi="Arial"/>
          <w:sz w:val="17"/>
          <w:szCs w:val="17"/>
          <w:color w:val="auto"/>
        </w:rPr>
      </w:pPr>
    </w:p>
    <w:p>
      <w:pPr>
        <w:ind w:left="120" w:hanging="118"/>
        <w:spacing w:after="0"/>
        <w:tabs>
          <w:tab w:leader="none" w:pos="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Silver Spike Capital, LLC (“SSC”) to attract and retain highly talented professionals;</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prospects and the prospects of our portfolio companies;</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interest and inflation rates on our business prospects and the prospects of our portfolio companies;</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investments that we expect to make;</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portfolio companies to achieve their objectives;</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expected financings and investments and the timing of our investments in our initial portfolio;</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regulation impacting the cannabis industry;</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cash resources and working capital;</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current and future effects of the COVID-19 pandemic on us and our portfolio companies; and</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transition report on Form 10-K for the transition period from April 1, 2022 to December 31, 2022 and elsewhere in this quarterly report on Form 10-Q. Other factors that could cause actual results to differ materially include:</w:t>
      </w:r>
    </w:p>
    <w:p>
      <w:pPr>
        <w:spacing w:after="0" w:line="166" w:lineRule="exact"/>
        <w:rPr>
          <w:sz w:val="20"/>
          <w:szCs w:val="20"/>
          <w:color w:val="auto"/>
        </w:rPr>
      </w:pPr>
    </w:p>
    <w:p>
      <w:pPr>
        <w:ind w:left="160" w:hanging="158"/>
        <w:spacing w:after="0"/>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limited operating history;</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or potential disruptions in our operations, the economy, financial markets or political environment;</w:t>
      </w:r>
    </w:p>
    <w:p>
      <w:pPr>
        <w:spacing w:after="0" w:line="212" w:lineRule="exact"/>
        <w:rPr>
          <w:rFonts w:ascii="Arial" w:cs="Arial" w:eastAsia="Arial" w:hAnsi="Arial"/>
          <w:sz w:val="17"/>
          <w:szCs w:val="17"/>
          <w:color w:val="auto"/>
        </w:rPr>
      </w:pPr>
    </w:p>
    <w:p>
      <w:pPr>
        <w:ind w:left="160" w:hanging="158"/>
        <w:spacing w:after="0"/>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associated with possible disruption in our operations or the economy generally due to terrorism, natural disasters or the COVID-19 pandemic;</w:t>
      </w:r>
    </w:p>
    <w:p>
      <w:pPr>
        <w:spacing w:after="0" w:line="212" w:lineRule="exact"/>
        <w:rPr>
          <w:rFonts w:ascii="Arial" w:cs="Arial" w:eastAsia="Arial" w:hAnsi="Arial"/>
          <w:sz w:val="17"/>
          <w:szCs w:val="17"/>
          <w:color w:val="auto"/>
        </w:rPr>
      </w:pPr>
    </w:p>
    <w:p>
      <w:pPr>
        <w:ind w:left="160" w:hanging="158"/>
        <w:spacing w:after="0" w:line="274" w:lineRule="auto"/>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65" w:lineRule="exact"/>
        <w:rPr>
          <w:rFonts w:ascii="Arial" w:cs="Arial" w:eastAsia="Arial" w:hAnsi="Arial"/>
          <w:sz w:val="17"/>
          <w:szCs w:val="17"/>
          <w:color w:val="auto"/>
        </w:rPr>
      </w:pPr>
    </w:p>
    <w:p>
      <w:pPr>
        <w:ind w:left="160" w:hanging="158"/>
        <w:spacing w:after="0"/>
        <w:tabs>
          <w:tab w:leader="none" w:pos="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considerations that may be disclosed from time to time in our publicly disseminated documents and filings.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5"/>
              </w:rPr>
              <w:t>Table of Contents</w:t>
            </w: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8160" w:type="dxa"/>
            <w:vAlign w:val="bottom"/>
            <w:gridSpan w:val="2"/>
          </w:tcPr>
          <w:p>
            <w:pPr>
              <w:spacing w:after="0"/>
              <w:rPr>
                <w:sz w:val="20"/>
                <w:szCs w:val="20"/>
                <w:color w:val="auto"/>
              </w:rPr>
            </w:pPr>
            <w:r>
              <w:rPr>
                <w:rFonts w:ascii="Arial" w:cs="Arial" w:eastAsia="Arial" w:hAnsi="Arial"/>
                <w:sz w:val="17"/>
                <w:szCs w:val="17"/>
                <w:b w:val="1"/>
                <w:bCs w:val="1"/>
                <w:color w:val="auto"/>
              </w:rPr>
              <w:t>PART I: FINANCIAL INFORMATION</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16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 w:type="dxa"/>
            <w:vAlign w:val="bottom"/>
          </w:tcPr>
          <w:p>
            <w:pPr>
              <w:spacing w:after="0"/>
              <w:rPr>
                <w:sz w:val="24"/>
                <w:szCs w:val="24"/>
                <w:color w:val="auto"/>
              </w:rPr>
            </w:pPr>
          </w:p>
        </w:tc>
        <w:tc>
          <w:tcPr>
            <w:tcW w:w="7200" w:type="dxa"/>
            <w:vAlign w:val="bottom"/>
          </w:tcPr>
          <w:p>
            <w:pPr>
              <w:jc w:val="center"/>
              <w:ind w:left="2055"/>
              <w:spacing w:after="0"/>
              <w:rPr>
                <w:sz w:val="20"/>
                <w:szCs w:val="20"/>
                <w:color w:val="auto"/>
              </w:rPr>
            </w:pPr>
            <w:r>
              <w:rPr>
                <w:rFonts w:ascii="Arial" w:cs="Arial" w:eastAsia="Arial" w:hAnsi="Arial"/>
                <w:sz w:val="17"/>
                <w:szCs w:val="17"/>
                <w:b w:val="1"/>
                <w:bCs w:val="1"/>
                <w:color w:val="auto"/>
                <w:w w:val="99"/>
              </w:rPr>
              <w:t>SILVER SPIKE INVESTMENT CORP.</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 w:type="dxa"/>
            <w:vAlign w:val="bottom"/>
          </w:tcPr>
          <w:p>
            <w:pPr>
              <w:spacing w:after="0"/>
              <w:rPr>
                <w:sz w:val="24"/>
                <w:szCs w:val="24"/>
                <w:color w:val="auto"/>
              </w:rPr>
            </w:pPr>
          </w:p>
        </w:tc>
        <w:tc>
          <w:tcPr>
            <w:tcW w:w="7200" w:type="dxa"/>
            <w:vAlign w:val="bottom"/>
          </w:tcPr>
          <w:p>
            <w:pPr>
              <w:jc w:val="center"/>
              <w:ind w:left="2035"/>
              <w:spacing w:after="0"/>
              <w:rPr>
                <w:sz w:val="20"/>
                <w:szCs w:val="20"/>
                <w:color w:val="auto"/>
              </w:rPr>
            </w:pPr>
            <w:r>
              <w:rPr>
                <w:rFonts w:ascii="Arial" w:cs="Arial" w:eastAsia="Arial" w:hAnsi="Arial"/>
                <w:sz w:val="17"/>
                <w:szCs w:val="17"/>
                <w:b w:val="1"/>
                <w:bCs w:val="1"/>
                <w:color w:val="auto"/>
                <w:w w:val="87"/>
              </w:rPr>
              <w:t>Statements of Assets and Liabilities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7"/>
                <w:szCs w:val="17"/>
                <w:b w:val="1"/>
                <w:bCs w:val="1"/>
                <w:color w:val="auto"/>
              </w:rPr>
              <w:t>September 30, 2023</w:t>
            </w:r>
          </w:p>
        </w:tc>
        <w:tc>
          <w:tcPr>
            <w:tcW w:w="14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 2022</w:t>
            </w:r>
          </w:p>
        </w:tc>
        <w:tc>
          <w:tcPr>
            <w:tcW w:w="0" w:type="dxa"/>
            <w:vAlign w:val="bottom"/>
          </w:tcPr>
          <w:p>
            <w:pPr>
              <w:spacing w:after="0"/>
              <w:rPr>
                <w:sz w:val="1"/>
                <w:szCs w:val="1"/>
                <w:color w:val="auto"/>
              </w:rPr>
            </w:pPr>
          </w:p>
        </w:tc>
      </w:tr>
      <w:tr>
        <w:trPr>
          <w:trHeight w:val="219"/>
        </w:trPr>
        <w:tc>
          <w:tcPr>
            <w:tcW w:w="8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(unaudited)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7"/>
                <w:szCs w:val="17"/>
                <w:color w:val="auto"/>
              </w:rPr>
              <w:t>Investments at fair value: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4"/>
              </w:rPr>
              <w:t>Non-control/non-affiliate investments at fair value (amortized cost of $57,488,336 and $50,527,898, respectively)</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57,381,000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50,254,550</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29,820,936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35,125,320</w:t>
            </w: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receivable</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1,829,675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Prepaid expenses</w:t>
            </w: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103,838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32,323</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89,185,449</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86,971,274</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Income-based incentive fees payable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1,051,741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Management fee payable</w:t>
            </w: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264,565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170,965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payable</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150,667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42,215</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Valuation fees payables</w:t>
            </w:r>
          </w:p>
        </w:tc>
        <w:tc>
          <w:tcPr>
            <w:tcW w:w="18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94,130</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Administrator fees payable</w:t>
            </w:r>
          </w:p>
        </w:tc>
        <w:tc>
          <w:tcPr>
            <w:tcW w:w="1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81,954</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57,306</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Audit fees payable</w:t>
            </w:r>
          </w:p>
        </w:tc>
        <w:tc>
          <w:tcPr>
            <w:tcW w:w="18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75,165</w:t>
            </w:r>
          </w:p>
        </w:tc>
        <w:tc>
          <w:tcPr>
            <w:tcW w:w="3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Director’s fee payable</w:t>
            </w:r>
          </w:p>
        </w:tc>
        <w:tc>
          <w:tcPr>
            <w:tcW w:w="1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34,768</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32,049</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Professional fees payable</w:t>
            </w:r>
          </w:p>
        </w:tc>
        <w:tc>
          <w:tcPr>
            <w:tcW w:w="18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18,065</w:t>
            </w:r>
          </w:p>
        </w:tc>
        <w:tc>
          <w:tcPr>
            <w:tcW w:w="3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28,744</w:t>
            </w: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payables</w:t>
            </w:r>
          </w:p>
        </w:tc>
        <w:tc>
          <w:tcPr>
            <w:tcW w:w="1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10,923</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33,663</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color w:val="auto"/>
              </w:rPr>
              <w:t>Distributions payable</w:t>
            </w: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321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Due to affiliate</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60" w:type="dxa"/>
            <w:vAlign w:val="bottom"/>
            <w:gridSpan w:val="2"/>
          </w:tcPr>
          <w:p>
            <w:pPr>
              <w:spacing w:after="0"/>
              <w:rPr>
                <w:sz w:val="20"/>
                <w:szCs w:val="20"/>
                <w:color w:val="auto"/>
              </w:rPr>
            </w:pPr>
            <w:r>
              <w:rPr>
                <w:rFonts w:ascii="Arial" w:cs="Arial" w:eastAsia="Arial" w:hAnsi="Arial"/>
                <w:sz w:val="17"/>
                <w:szCs w:val="17"/>
                <w:color w:val="auto"/>
              </w:rPr>
              <w:t>Excise tax payable</w:t>
            </w: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80,566</w:t>
            </w:r>
          </w:p>
        </w:tc>
        <w:tc>
          <w:tcPr>
            <w:tcW w:w="0" w:type="dxa"/>
            <w:vAlign w:val="bottom"/>
          </w:tcPr>
          <w:p>
            <w:pPr>
              <w:spacing w:after="0"/>
              <w:rPr>
                <w:sz w:val="1"/>
                <w:szCs w:val="1"/>
                <w:color w:val="auto"/>
              </w:rPr>
            </w:pPr>
          </w:p>
        </w:tc>
      </w:tr>
      <w:tr>
        <w:trPr>
          <w:trHeight w:val="209"/>
        </w:trPr>
        <w:tc>
          <w:tcPr>
            <w:tcW w:w="816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1,782,597</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0" w:type="dxa"/>
            <w:vAlign w:val="bottom"/>
            <w:tcBorders>
              <w:top w:val="single" w:sz="8" w:color="CCEEFF"/>
            </w:tcBorders>
          </w:tcPr>
          <w:p>
            <w:pPr>
              <w:spacing w:after="0"/>
              <w:rPr>
                <w:sz w:val="17"/>
                <w:szCs w:val="17"/>
                <w:color w:val="auto"/>
              </w:rPr>
            </w:pPr>
          </w:p>
        </w:tc>
        <w:tc>
          <w:tcPr>
            <w:tcW w:w="7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 (Note 6)</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NET ASSETS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60" w:type="dxa"/>
            <w:vAlign w:val="bottom"/>
            <w:gridSpan w:val="2"/>
          </w:tcPr>
          <w:p>
            <w:pPr>
              <w:spacing w:after="0" w:line="192" w:lineRule="exact"/>
              <w:rPr>
                <w:sz w:val="20"/>
                <w:szCs w:val="20"/>
                <w:color w:val="auto"/>
              </w:rPr>
            </w:pPr>
            <w:r>
              <w:rPr>
                <w:rFonts w:ascii="Arial" w:cs="Arial" w:eastAsia="Arial" w:hAnsi="Arial"/>
                <w:sz w:val="17"/>
                <w:szCs w:val="17"/>
                <w:color w:val="auto"/>
                <w:w w:val="98"/>
              </w:rPr>
              <w:t>Common Stock, $0.01 par value, 100,000,000 shares authorized, 6,214,705 and 6,214,672 shares issued and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ind w:left="160"/>
              <w:spacing w:after="0"/>
              <w:rPr>
                <w:sz w:val="20"/>
                <w:szCs w:val="20"/>
                <w:color w:val="auto"/>
              </w:rPr>
            </w:pPr>
            <w:r>
              <w:rPr>
                <w:rFonts w:ascii="Arial" w:cs="Arial" w:eastAsia="Arial" w:hAnsi="Arial"/>
                <w:sz w:val="17"/>
                <w:szCs w:val="17"/>
                <w:color w:val="auto"/>
              </w:rPr>
              <w:t>outstanding, respectively</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62,147</w:t>
            </w: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62,147</w:t>
            </w:r>
          </w:p>
        </w:tc>
        <w:tc>
          <w:tcPr>
            <w:tcW w:w="0" w:type="dxa"/>
            <w:vAlign w:val="bottom"/>
          </w:tcPr>
          <w:p>
            <w:pPr>
              <w:spacing w:after="0"/>
              <w:rPr>
                <w:sz w:val="1"/>
                <w:szCs w:val="1"/>
                <w:color w:val="auto"/>
              </w:rPr>
            </w:pPr>
          </w:p>
        </w:tc>
      </w:tr>
      <w:tr>
        <w:trPr>
          <w:trHeight w:val="204"/>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paid-in-capital</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85,039,208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84,917,788</w:t>
            </w:r>
          </w:p>
        </w:tc>
        <w:tc>
          <w:tcPr>
            <w:tcW w:w="0" w:type="dxa"/>
            <w:vAlign w:val="bottom"/>
          </w:tcPr>
          <w:p>
            <w:pPr>
              <w:spacing w:after="0"/>
              <w:rPr>
                <w:sz w:val="1"/>
                <w:szCs w:val="1"/>
                <w:color w:val="auto"/>
              </w:rPr>
            </w:pPr>
          </w:p>
        </w:tc>
      </w:tr>
      <w:tr>
        <w:trPr>
          <w:trHeight w:val="209"/>
        </w:trPr>
        <w:tc>
          <w:tcPr>
            <w:tcW w:w="8160" w:type="dxa"/>
            <w:vAlign w:val="bottom"/>
            <w:gridSpan w:val="2"/>
          </w:tcPr>
          <w:p>
            <w:pPr>
              <w:spacing w:after="0"/>
              <w:rPr>
                <w:sz w:val="20"/>
                <w:szCs w:val="20"/>
                <w:color w:val="auto"/>
              </w:rPr>
            </w:pPr>
            <w:r>
              <w:rPr>
                <w:rFonts w:ascii="Arial" w:cs="Arial" w:eastAsia="Arial" w:hAnsi="Arial"/>
                <w:sz w:val="17"/>
                <w:szCs w:val="17"/>
                <w:color w:val="auto"/>
              </w:rPr>
              <w:t>Distributable earnings/(Accumulated losses)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2,301,497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1,495,794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Total net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87,402,852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86,475,729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Arial" w:cs="Arial" w:eastAsia="Arial" w:hAnsi="Arial"/>
                <w:sz w:val="17"/>
                <w:szCs w:val="17"/>
                <w:b w:val="1"/>
                <w:bCs w:val="1"/>
                <w:color w:val="auto"/>
              </w:rPr>
              <w:t>NET ASSET VALUE PER SHARE</w:t>
            </w: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14.06</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notes to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6280" w:type="dxa"/>
            <w:vAlign w:val="bottom"/>
            <w:gridSpan w:val="4"/>
          </w:tcPr>
          <w:p>
            <w:pPr>
              <w:jc w:val="center"/>
              <w:ind w:left="2975"/>
              <w:spacing w:after="0"/>
              <w:rPr>
                <w:sz w:val="20"/>
                <w:szCs w:val="20"/>
                <w:color w:val="auto"/>
              </w:rPr>
            </w:pPr>
            <w:r>
              <w:rPr>
                <w:rFonts w:ascii="Arial" w:cs="Arial" w:eastAsia="Arial" w:hAnsi="Arial"/>
                <w:sz w:val="17"/>
                <w:szCs w:val="17"/>
                <w:b w:val="1"/>
                <w:bCs w:val="1"/>
                <w:color w:val="auto"/>
                <w:w w:val="99"/>
              </w:rPr>
              <w:t>SILVER SPIKE INVESTMENT CORP.</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960" w:type="dxa"/>
            <w:vAlign w:val="bottom"/>
          </w:tcPr>
          <w:p>
            <w:pPr>
              <w:spacing w:after="0"/>
              <w:rPr>
                <w:sz w:val="24"/>
                <w:szCs w:val="24"/>
                <w:color w:val="auto"/>
              </w:rPr>
            </w:pPr>
          </w:p>
        </w:tc>
        <w:tc>
          <w:tcPr>
            <w:tcW w:w="6280" w:type="dxa"/>
            <w:vAlign w:val="bottom"/>
            <w:gridSpan w:val="4"/>
          </w:tcPr>
          <w:p>
            <w:pPr>
              <w:jc w:val="center"/>
              <w:ind w:left="2955"/>
              <w:spacing w:after="0"/>
              <w:rPr>
                <w:sz w:val="20"/>
                <w:szCs w:val="20"/>
                <w:color w:val="auto"/>
              </w:rPr>
            </w:pPr>
            <w:r>
              <w:rPr>
                <w:rFonts w:ascii="Arial" w:cs="Arial" w:eastAsia="Arial" w:hAnsi="Arial"/>
                <w:sz w:val="17"/>
                <w:szCs w:val="17"/>
                <w:b w:val="1"/>
                <w:bCs w:val="1"/>
                <w:color w:val="auto"/>
                <w:w w:val="88"/>
              </w:rPr>
              <w:t>Statements of Operations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5260" w:type="dxa"/>
            <w:vAlign w:val="bottom"/>
            <w:gridSpan w:val="2"/>
          </w:tcPr>
          <w:p>
            <w:pPr>
              <w:jc w:val="center"/>
              <w:ind w:left="3975"/>
              <w:spacing w:after="0"/>
              <w:rPr>
                <w:sz w:val="20"/>
                <w:szCs w:val="20"/>
                <w:color w:val="auto"/>
              </w:rPr>
            </w:pPr>
            <w:r>
              <w:rPr>
                <w:rFonts w:ascii="Arial" w:cs="Arial" w:eastAsia="Arial" w:hAnsi="Arial"/>
                <w:sz w:val="17"/>
                <w:szCs w:val="17"/>
                <w:b w:val="1"/>
                <w:bCs w:val="1"/>
                <w:color w:val="auto"/>
                <w:w w:val="93"/>
              </w:rPr>
              <w:t>(Unaudited)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Nine Months Ended</w:t>
            </w:r>
          </w:p>
        </w:tc>
      </w:tr>
      <w:tr>
        <w:trPr>
          <w:trHeight w:val="188"/>
        </w:trPr>
        <w:tc>
          <w:tcPr>
            <w:tcW w:w="9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180"/>
              <w:spacing w:after="0" w:line="188" w:lineRule="exact"/>
              <w:rPr>
                <w:sz w:val="20"/>
                <w:szCs w:val="20"/>
                <w:color w:val="auto"/>
              </w:rPr>
            </w:pPr>
            <w:r>
              <w:rPr>
                <w:rFonts w:ascii="Arial" w:cs="Arial" w:eastAsia="Arial" w:hAnsi="Arial"/>
                <w:sz w:val="17"/>
                <w:szCs w:val="17"/>
                <w:b w:val="1"/>
                <w:bCs w:val="1"/>
                <w:color w:val="auto"/>
                <w:w w:val="92"/>
              </w:rPr>
              <w:t>September 30,</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line="188" w:lineRule="exact"/>
              <w:rPr>
                <w:sz w:val="20"/>
                <w:szCs w:val="20"/>
                <w:color w:val="auto"/>
              </w:rPr>
            </w:pPr>
            <w:r>
              <w:rPr>
                <w:rFonts w:ascii="Arial" w:cs="Arial" w:eastAsia="Arial" w:hAnsi="Arial"/>
                <w:sz w:val="17"/>
                <w:szCs w:val="17"/>
                <w:b w:val="1"/>
                <w:bCs w:val="1"/>
                <w:color w:val="auto"/>
                <w:w w:val="91"/>
              </w:rPr>
              <w:t>September 30,</w:t>
            </w:r>
          </w:p>
        </w:tc>
        <w:tc>
          <w:tcPr>
            <w:tcW w:w="24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260"/>
              <w:spacing w:after="0" w:line="188" w:lineRule="exact"/>
              <w:rPr>
                <w:sz w:val="20"/>
                <w:szCs w:val="20"/>
                <w:color w:val="auto"/>
              </w:rPr>
            </w:pPr>
            <w:r>
              <w:rPr>
                <w:rFonts w:ascii="Arial" w:cs="Arial" w:eastAsia="Arial" w:hAnsi="Arial"/>
                <w:sz w:val="17"/>
                <w:szCs w:val="17"/>
                <w:b w:val="1"/>
                <w:bCs w:val="1"/>
                <w:color w:val="auto"/>
                <w:w w:val="91"/>
              </w:rPr>
              <w:t>September 30,</w:t>
            </w:r>
          </w:p>
        </w:tc>
        <w:tc>
          <w:tcPr>
            <w:tcW w:w="1100" w:type="dxa"/>
            <w:vAlign w:val="bottom"/>
            <w:tcBorders>
              <w:top w:val="single" w:sz="8" w:color="auto"/>
            </w:tcBorders>
            <w:gridSpan w:val="2"/>
          </w:tcPr>
          <w:p>
            <w:pPr>
              <w:jc w:val="right"/>
              <w:spacing w:after="0" w:line="188" w:lineRule="exact"/>
              <w:rPr>
                <w:sz w:val="20"/>
                <w:szCs w:val="20"/>
                <w:color w:val="auto"/>
              </w:rPr>
            </w:pPr>
            <w:r>
              <w:rPr>
                <w:rFonts w:ascii="Arial" w:cs="Arial" w:eastAsia="Arial" w:hAnsi="Arial"/>
                <w:sz w:val="17"/>
                <w:szCs w:val="17"/>
                <w:b w:val="1"/>
                <w:bCs w:val="1"/>
                <w:color w:val="auto"/>
                <w:w w:val="89"/>
              </w:rPr>
              <w:t>September 30,</w:t>
            </w:r>
          </w:p>
        </w:tc>
        <w:tc>
          <w:tcPr>
            <w:tcW w:w="100" w:type="dxa"/>
            <w:vAlign w:val="bottom"/>
          </w:tcPr>
          <w:p>
            <w:pPr>
              <w:spacing w:after="0"/>
              <w:rPr>
                <w:sz w:val="16"/>
                <w:szCs w:val="16"/>
                <w:color w:val="auto"/>
              </w:rPr>
            </w:pPr>
          </w:p>
        </w:tc>
      </w:tr>
      <w:tr>
        <w:trPr>
          <w:trHeight w:val="226"/>
        </w:trPr>
        <w:tc>
          <w:tcPr>
            <w:tcW w:w="9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r>
      <w:tr>
        <w:trPr>
          <w:trHeight w:val="188"/>
        </w:trPr>
        <w:tc>
          <w:tcPr>
            <w:tcW w:w="59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INVESTMENT INCOME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Non-control/non-affiliate investment income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2,885,725</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1,180,517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8,106,013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1,590,181</w:t>
            </w:r>
          </w:p>
        </w:tc>
        <w:tc>
          <w:tcPr>
            <w:tcW w:w="100" w:type="dxa"/>
            <w:vAlign w:val="bottom"/>
            <w:shd w:val="clear" w:color="auto" w:fill="CCEEFF"/>
          </w:tcPr>
          <w:p>
            <w:pPr>
              <w:spacing w:after="0"/>
              <w:rPr>
                <w:sz w:val="17"/>
                <w:szCs w:val="17"/>
                <w:color w:val="auto"/>
              </w:rPr>
            </w:pPr>
          </w:p>
        </w:tc>
      </w:tr>
      <w:tr>
        <w:trPr>
          <w:trHeight w:val="209"/>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Fee income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162,500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410,000</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investment income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2,916,975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1,180,517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8,268,513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2,000,181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9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Income-based incentive fees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405,247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1,051,741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Management fee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110,426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760,473</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165,467</w:t>
            </w:r>
          </w:p>
        </w:tc>
        <w:tc>
          <w:tcPr>
            <w:tcW w:w="100" w:type="dxa"/>
            <w:vAlign w:val="bottom"/>
            <w:shd w:val="clear" w:color="auto" w:fill="CCEEFF"/>
          </w:tcPr>
          <w:p>
            <w:pPr>
              <w:spacing w:after="0"/>
              <w:rPr>
                <w:sz w:val="17"/>
                <w:szCs w:val="17"/>
                <w:color w:val="auto"/>
              </w:rPr>
            </w:pP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Audit expenses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223,982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81,917</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409,365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175,667</w:t>
            </w:r>
          </w:p>
        </w:tc>
        <w:tc>
          <w:tcPr>
            <w:tcW w:w="100" w:type="dxa"/>
            <w:vAlign w:val="bottom"/>
          </w:tcPr>
          <w:p>
            <w:pPr>
              <w:spacing w:after="0"/>
              <w:rPr>
                <w:sz w:val="17"/>
                <w:szCs w:val="17"/>
                <w:color w:val="auto"/>
              </w:rPr>
            </w:pP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Legal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167,497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334,308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424,548</w:t>
            </w:r>
          </w:p>
        </w:tc>
        <w:tc>
          <w:tcPr>
            <w:tcW w:w="100" w:type="dxa"/>
            <w:vAlign w:val="bottom"/>
            <w:shd w:val="clear" w:color="auto" w:fill="CCEEFF"/>
          </w:tcPr>
          <w:p>
            <w:pPr>
              <w:spacing w:after="0"/>
              <w:rPr>
                <w:sz w:val="17"/>
                <w:szCs w:val="17"/>
                <w:color w:val="auto"/>
              </w:rPr>
            </w:pP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Administrator fees</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84,617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65,035</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250,314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174,732</w:t>
            </w:r>
          </w:p>
        </w:tc>
        <w:tc>
          <w:tcPr>
            <w:tcW w:w="100" w:type="dxa"/>
            <w:vAlign w:val="bottom"/>
          </w:tcPr>
          <w:p>
            <w:pPr>
              <w:spacing w:after="0"/>
              <w:rPr>
                <w:sz w:val="17"/>
                <w:szCs w:val="17"/>
                <w:color w:val="auto"/>
              </w:rPr>
            </w:pP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Insurance expense</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67,122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76,373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202,597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198,403</w:t>
            </w:r>
          </w:p>
        </w:tc>
        <w:tc>
          <w:tcPr>
            <w:tcW w:w="100" w:type="dxa"/>
            <w:vAlign w:val="bottom"/>
            <w:shd w:val="clear" w:color="auto" w:fill="CCEEFF"/>
          </w:tcPr>
          <w:p>
            <w:pPr>
              <w:spacing w:after="0"/>
              <w:rPr>
                <w:sz w:val="17"/>
                <w:szCs w:val="17"/>
                <w:color w:val="auto"/>
              </w:rPr>
            </w:pP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Director expenses</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38,223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32,049</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105,913</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67,796</w:t>
            </w: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Valuation fees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116,955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Professional fees</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15,841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39,903</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51,808</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80,788</w:t>
            </w: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Custodian fees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36,000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36,000</w:t>
            </w:r>
          </w:p>
        </w:tc>
      </w:tr>
      <w:tr>
        <w:trPr>
          <w:trHeight w:val="204"/>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Organizational expenses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34,168</w:t>
            </w:r>
          </w:p>
        </w:tc>
      </w:tr>
      <w:tr>
        <w:trPr>
          <w:trHeight w:val="20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Capital gains incentive fees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Other expenses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22,210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44,902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61,918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86,483</w:t>
            </w:r>
          </w:p>
        </w:tc>
      </w:tr>
      <w:tr>
        <w:trPr>
          <w:trHeight w:val="20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1,299,989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630,102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3,381,392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1,444,052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9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INVESTMENT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550,415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4,887,121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556,129</w:t>
            </w:r>
          </w:p>
        </w:tc>
        <w:tc>
          <w:tcPr>
            <w:tcW w:w="100" w:type="dxa"/>
            <w:vAlign w:val="bottom"/>
            <w:shd w:val="clear" w:color="auto" w:fill="CCEEFF"/>
          </w:tcPr>
          <w:p>
            <w:pPr>
              <w:spacing w:after="0"/>
              <w:rPr>
                <w:sz w:val="18"/>
                <w:szCs w:val="18"/>
                <w:color w:val="auto"/>
              </w:rPr>
            </w:pPr>
          </w:p>
        </w:tc>
      </w:tr>
      <w:tr>
        <w:trPr>
          <w:trHeight w:val="204"/>
        </w:trPr>
        <w:tc>
          <w:tcPr>
            <w:tcW w:w="960" w:type="dxa"/>
            <w:vAlign w:val="bottom"/>
            <w:tcBorders>
              <w:top w:val="single" w:sz="8" w:color="CCEEFF"/>
            </w:tcBorders>
          </w:tcPr>
          <w:p>
            <w:pPr>
              <w:spacing w:after="0"/>
              <w:rPr>
                <w:sz w:val="17"/>
                <w:szCs w:val="17"/>
                <w:color w:val="auto"/>
              </w:rPr>
            </w:pPr>
          </w:p>
        </w:tc>
        <w:tc>
          <w:tcPr>
            <w:tcW w:w="5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REALIZED GAIN (LOSS) FROM INVESTMENTS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Non-controlled/non-affiliate investments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(210,767)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realized gain (loss) from investments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(210,767)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9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596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NET CHANGE IN UNREALIZED APPRECIATION (DEPRECIATION)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FROM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5960" w:type="dxa"/>
            <w:vAlign w:val="bottom"/>
            <w:gridSpan w:val="2"/>
          </w:tcPr>
          <w:p>
            <w:pPr>
              <w:ind w:left="160"/>
              <w:spacing w:after="0"/>
              <w:rPr>
                <w:sz w:val="20"/>
                <w:szCs w:val="20"/>
                <w:color w:val="auto"/>
              </w:rPr>
            </w:pPr>
            <w:r>
              <w:rPr>
                <w:rFonts w:ascii="Arial" w:cs="Arial" w:eastAsia="Arial" w:hAnsi="Arial"/>
                <w:sz w:val="17"/>
                <w:szCs w:val="17"/>
                <w:color w:val="auto"/>
              </w:rPr>
              <w:t>Non-controlled/non-affiliate investments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(343,104)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9,508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166,012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unrealized appreciation (depreciation) from investments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(343,104)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166,012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gridSpan w:val="2"/>
          </w:tcPr>
          <w:p>
            <w:pPr>
              <w:spacing w:after="0"/>
              <w:rPr>
                <w:sz w:val="20"/>
                <w:szCs w:val="20"/>
                <w:color w:val="auto"/>
              </w:rPr>
            </w:pPr>
            <w:r>
              <w:rPr>
                <w:rFonts w:ascii="Arial" w:cs="Arial" w:eastAsia="Arial" w:hAnsi="Arial"/>
                <w:sz w:val="17"/>
                <w:szCs w:val="17"/>
                <w:color w:val="auto"/>
              </w:rPr>
              <w:t>Net realized and unrealized gains (losses)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(343,104)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9,508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(44,755)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4"/>
        </w:trPr>
        <w:tc>
          <w:tcPr>
            <w:tcW w:w="9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59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NET INCREASE (DECREASE) IN NET ASSETS RESULTING FROM</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96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OPERATIONS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1,273,882</w:t>
            </w:r>
          </w:p>
        </w:tc>
        <w:tc>
          <w:tcPr>
            <w:tcW w:w="140" w:type="dxa"/>
            <w:vAlign w:val="bottom"/>
          </w:tcPr>
          <w:p>
            <w:pPr>
              <w:spacing w:after="0"/>
              <w:rPr>
                <w:sz w:val="19"/>
                <w:szCs w:val="19"/>
                <w:color w:val="auto"/>
              </w:rPr>
            </w:pP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559,923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4,842,366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556,129</w:t>
            </w:r>
          </w:p>
        </w:tc>
        <w:tc>
          <w:tcPr>
            <w:tcW w:w="10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96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112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spacing w:after="0"/>
              <w:rPr>
                <w:sz w:val="16"/>
                <w:szCs w:val="16"/>
                <w:color w:val="auto"/>
              </w:rPr>
            </w:pPr>
          </w:p>
        </w:tc>
      </w:tr>
      <w:tr>
        <w:trPr>
          <w:trHeight w:val="204"/>
        </w:trPr>
        <w:tc>
          <w:tcPr>
            <w:tcW w:w="5960" w:type="dxa"/>
            <w:vAlign w:val="bottom"/>
            <w:gridSpan w:val="2"/>
          </w:tcPr>
          <w:p>
            <w:pPr>
              <w:spacing w:after="0"/>
              <w:rPr>
                <w:sz w:val="20"/>
                <w:szCs w:val="20"/>
                <w:color w:val="auto"/>
              </w:rPr>
            </w:pPr>
            <w:r>
              <w:rPr>
                <w:rFonts w:ascii="Arial" w:cs="Arial" w:eastAsia="Arial" w:hAnsi="Arial"/>
                <w:sz w:val="17"/>
                <w:szCs w:val="17"/>
                <w:color w:val="auto"/>
              </w:rPr>
              <w:t>NET INVESTMENT INCOME (LOSS) PER SHARE — BASIC AND DILUTED</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0.26</w:t>
            </w: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0.09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0.79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0.10</w:t>
            </w:r>
          </w:p>
        </w:tc>
      </w:tr>
      <w:tr>
        <w:trPr>
          <w:trHeight w:val="192"/>
        </w:trPr>
        <w:tc>
          <w:tcPr>
            <w:tcW w:w="596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NET INCREASE (DECREASE) IN NET ASSETS RESULTING FROM</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OPERATIONS PER SHARE — BASIC AND DILUTED</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0.78</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0.10</w:t>
            </w:r>
          </w:p>
        </w:tc>
      </w:tr>
      <w:tr>
        <w:trPr>
          <w:trHeight w:val="215"/>
        </w:trPr>
        <w:tc>
          <w:tcPr>
            <w:tcW w:w="59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 BASIC AND DILUTED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6,214,673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6,214,672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6,214,672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5,338,691</w:t>
            </w:r>
          </w:p>
        </w:tc>
        <w:tc>
          <w:tcPr>
            <w:tcW w:w="100" w:type="dxa"/>
            <w:vAlign w:val="bottom"/>
          </w:tcPr>
          <w:p>
            <w:pPr>
              <w:spacing w:after="0"/>
              <w:rPr>
                <w:sz w:val="18"/>
                <w:szCs w:val="18"/>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4000" w:type="dxa"/>
            <w:vAlign w:val="bottom"/>
            <w:gridSpan w:val="13"/>
          </w:tcPr>
          <w:p>
            <w:pPr>
              <w:jc w:val="center"/>
              <w:ind w:right="1020"/>
              <w:spacing w:after="0"/>
              <w:rPr>
                <w:sz w:val="20"/>
                <w:szCs w:val="20"/>
                <w:color w:val="auto"/>
              </w:rPr>
            </w:pPr>
            <w:r>
              <w:rPr>
                <w:rFonts w:ascii="Arial" w:cs="Arial" w:eastAsia="Arial" w:hAnsi="Arial"/>
                <w:sz w:val="17"/>
                <w:szCs w:val="17"/>
                <w:b w:val="1"/>
                <w:bCs w:val="1"/>
                <w:color w:val="auto"/>
                <w:w w:val="99"/>
              </w:rPr>
              <w:t>SILVER SPIKE INVESTMENT CORP.</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8"/>
          </w:tcPr>
          <w:p>
            <w:pPr>
              <w:jc w:val="center"/>
              <w:spacing w:after="0"/>
              <w:rPr>
                <w:sz w:val="20"/>
                <w:szCs w:val="20"/>
                <w:color w:val="auto"/>
              </w:rPr>
            </w:pPr>
            <w:r>
              <w:rPr>
                <w:rFonts w:ascii="Arial" w:cs="Arial" w:eastAsia="Arial" w:hAnsi="Arial"/>
                <w:sz w:val="17"/>
                <w:szCs w:val="17"/>
                <w:b w:val="1"/>
                <w:bCs w:val="1"/>
                <w:color w:val="auto"/>
                <w:w w:val="87"/>
              </w:rPr>
              <w:t>Statements of Changes in Net Assets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jc w:val="center"/>
              <w:spacing w:after="0"/>
              <w:rPr>
                <w:sz w:val="20"/>
                <w:szCs w:val="20"/>
                <w:color w:val="auto"/>
              </w:rPr>
            </w:pPr>
            <w:r>
              <w:rPr>
                <w:rFonts w:ascii="Arial" w:cs="Arial" w:eastAsia="Arial" w:hAnsi="Arial"/>
                <w:sz w:val="17"/>
                <w:szCs w:val="17"/>
                <w:b w:val="1"/>
                <w:bCs w:val="1"/>
                <w:color w:val="auto"/>
                <w:w w:val="93"/>
              </w:rPr>
              <w:t>(Unaudited)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Common Stock</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1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75"/>
              <w:spacing w:after="0" w:line="188" w:lineRule="exact"/>
              <w:rPr>
                <w:sz w:val="20"/>
                <w:szCs w:val="20"/>
                <w:color w:val="auto"/>
              </w:rPr>
            </w:pPr>
            <w:r>
              <w:rPr>
                <w:rFonts w:ascii="Arial" w:cs="Arial" w:eastAsia="Arial" w:hAnsi="Arial"/>
                <w:sz w:val="17"/>
                <w:szCs w:val="17"/>
                <w:b w:val="1"/>
                <w:bCs w:val="1"/>
                <w:color w:val="auto"/>
                <w:w w:val="93"/>
              </w:rPr>
              <w:t>Additional</w:t>
            </w:r>
          </w:p>
        </w:tc>
        <w:tc>
          <w:tcPr>
            <w:tcW w:w="200" w:type="dxa"/>
            <w:vAlign w:val="bottom"/>
          </w:tcPr>
          <w:p>
            <w:pPr>
              <w:spacing w:after="0"/>
              <w:rPr>
                <w:sz w:val="16"/>
                <w:szCs w:val="16"/>
                <w:color w:val="auto"/>
              </w:rPr>
            </w:pPr>
          </w:p>
        </w:tc>
        <w:tc>
          <w:tcPr>
            <w:tcW w:w="184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w w:val="97"/>
              </w:rPr>
              <w:t>Distributable 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88"/>
              </w:rPr>
              <w:t>Total</w:t>
            </w:r>
          </w:p>
        </w:tc>
      </w:tr>
      <w:tr>
        <w:trPr>
          <w:trHeight w:val="226"/>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September 30, 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Par Value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paid-in-capital</w:t>
            </w:r>
          </w:p>
        </w:tc>
        <w:tc>
          <w:tcPr>
            <w:tcW w:w="12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8"/>
              </w:rPr>
              <w:t>(Accumulated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net assets</w:t>
            </w:r>
          </w:p>
        </w:tc>
      </w:tr>
      <w:tr>
        <w:trPr>
          <w:trHeight w:val="204"/>
        </w:trPr>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June 30, 2023</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6,214,672</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85,038,887</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4,943,179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90,044,213</w:t>
            </w:r>
          </w:p>
        </w:tc>
        <w:tc>
          <w:tcPr>
            <w:tcW w:w="100" w:type="dxa"/>
            <w:vAlign w:val="bottom"/>
            <w:shd w:val="clear" w:color="auto" w:fill="CCEEFF"/>
          </w:tcPr>
          <w:p>
            <w:pPr>
              <w:spacing w:after="0"/>
              <w:rPr>
                <w:sz w:val="17"/>
                <w:szCs w:val="17"/>
                <w:color w:val="auto"/>
              </w:rPr>
            </w:pPr>
          </w:p>
        </w:tc>
      </w:tr>
      <w:tr>
        <w:trPr>
          <w:trHeight w:val="192"/>
        </w:trPr>
        <w:tc>
          <w:tcPr>
            <w:tcW w:w="4140" w:type="dxa"/>
            <w:vAlign w:val="bottom"/>
            <w:gridSpan w:val="2"/>
          </w:tcPr>
          <w:p>
            <w:pPr>
              <w:spacing w:after="0" w:line="192" w:lineRule="exact"/>
              <w:rPr>
                <w:sz w:val="20"/>
                <w:szCs w:val="20"/>
                <w:color w:val="auto"/>
              </w:rPr>
            </w:pPr>
            <w:r>
              <w:rPr>
                <w:rFonts w:ascii="Arial" w:cs="Arial" w:eastAsia="Arial" w:hAnsi="Arial"/>
                <w:sz w:val="17"/>
                <w:szCs w:val="17"/>
                <w:i w:val="1"/>
                <w:iCs w:val="1"/>
                <w:color w:val="auto"/>
              </w:rPr>
              <w:t>Net increase (decrease) in net assets resulting from</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7"/>
                <w:szCs w:val="17"/>
                <w:i w:val="1"/>
                <w:iCs w:val="1"/>
                <w:color w:val="auto"/>
              </w:rPr>
              <w:t>operations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investment income (loss)</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1,616,986</w:t>
            </w: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Net realized gain (loss) from investments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2"/>
        </w:trPr>
        <w:tc>
          <w:tcPr>
            <w:tcW w:w="41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91"/>
              </w:rPr>
              <w:t>Net change in unrealized appreciation (depreciation) from</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2"/>
        </w:trPr>
        <w:tc>
          <w:tcPr>
            <w:tcW w:w="4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investments</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(343,104)</w:t>
            </w: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89"/>
              </w:rPr>
              <w:t>Total net increase (decrease) in net assets resulting from</w:t>
            </w: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4140" w:type="dxa"/>
            <w:vAlign w:val="bottom"/>
            <w:gridSpan w:val="2"/>
          </w:tcPr>
          <w:p>
            <w:pPr>
              <w:ind w:left="460"/>
              <w:spacing w:after="0"/>
              <w:rPr>
                <w:sz w:val="20"/>
                <w:szCs w:val="20"/>
                <w:color w:val="auto"/>
              </w:rPr>
            </w:pPr>
            <w:r>
              <w:rPr>
                <w:rFonts w:ascii="Arial" w:cs="Arial" w:eastAsia="Arial" w:hAnsi="Arial"/>
                <w:sz w:val="17"/>
                <w:szCs w:val="17"/>
                <w:color w:val="auto"/>
              </w:rPr>
              <w:t>operations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1,273,882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1,273,882</w:t>
            </w: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Distributions to stockholders from:</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Investment income-net</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color w:val="auto"/>
              </w:rPr>
              <w:t>(3,915,564)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(3,915,564)</w:t>
            </w: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transactions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Issuance of common stock</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9"/>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Reinvestment of stockholder distributions</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w:t>
            </w: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92"/>
              </w:rPr>
              <w:t>Total net increase (decrease) in net assets from capital</w:t>
            </w: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2"/>
        </w:trPr>
        <w:tc>
          <w:tcPr>
            <w:tcW w:w="4140" w:type="dxa"/>
            <w:vAlign w:val="bottom"/>
            <w:gridSpan w:val="2"/>
          </w:tcPr>
          <w:p>
            <w:pPr>
              <w:ind w:left="300"/>
              <w:spacing w:after="0"/>
              <w:rPr>
                <w:sz w:val="20"/>
                <w:szCs w:val="20"/>
                <w:color w:val="auto"/>
              </w:rPr>
            </w:pPr>
            <w:r>
              <w:rPr>
                <w:rFonts w:ascii="Arial" w:cs="Arial" w:eastAsia="Arial" w:hAnsi="Arial"/>
                <w:sz w:val="17"/>
                <w:szCs w:val="17"/>
                <w:color w:val="auto"/>
              </w:rPr>
              <w:t>transactions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321</w:t>
            </w: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increase (decrease) in net assets</w:t>
            </w:r>
          </w:p>
        </w:tc>
        <w:tc>
          <w:tcPr>
            <w:tcW w:w="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(2,641,682)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(2,641,361)</w:t>
            </w:r>
          </w:p>
        </w:tc>
        <w:tc>
          <w:tcPr>
            <w:tcW w:w="100" w:type="dxa"/>
            <w:vAlign w:val="bottom"/>
            <w:shd w:val="clear" w:color="auto" w:fill="CCEEFF"/>
          </w:tcPr>
          <w:p>
            <w:pPr>
              <w:spacing w:after="0"/>
              <w:rPr>
                <w:sz w:val="17"/>
                <w:szCs w:val="17"/>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7"/>
                <w:szCs w:val="17"/>
                <w:color w:val="auto"/>
              </w:rPr>
              <w:t>Effect of permanent adjustments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September 30, 2023</w:t>
            </w: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6,214,705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85,039,208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2,301,497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87,402,852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4"/>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1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75"/>
              <w:spacing w:after="0" w:line="188" w:lineRule="exact"/>
              <w:rPr>
                <w:sz w:val="20"/>
                <w:szCs w:val="20"/>
                <w:color w:val="auto"/>
              </w:rPr>
            </w:pPr>
            <w:r>
              <w:rPr>
                <w:rFonts w:ascii="Arial" w:cs="Arial" w:eastAsia="Arial" w:hAnsi="Arial"/>
                <w:sz w:val="17"/>
                <w:szCs w:val="17"/>
                <w:b w:val="1"/>
                <w:bCs w:val="1"/>
                <w:color w:val="auto"/>
                <w:w w:val="93"/>
              </w:rPr>
              <w:t>Additional</w:t>
            </w:r>
          </w:p>
        </w:tc>
        <w:tc>
          <w:tcPr>
            <w:tcW w:w="200" w:type="dxa"/>
            <w:vAlign w:val="bottom"/>
          </w:tcPr>
          <w:p>
            <w:pPr>
              <w:spacing w:after="0"/>
              <w:rPr>
                <w:sz w:val="16"/>
                <w:szCs w:val="16"/>
                <w:color w:val="auto"/>
              </w:rPr>
            </w:pPr>
          </w:p>
        </w:tc>
        <w:tc>
          <w:tcPr>
            <w:tcW w:w="184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w w:val="97"/>
              </w:rPr>
              <w:t>Distributable 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88"/>
              </w:rPr>
              <w:t>Total</w:t>
            </w:r>
          </w:p>
        </w:tc>
      </w:tr>
      <w:tr>
        <w:trPr>
          <w:trHeight w:val="226"/>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September 30, 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Par value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paid-in-capital</w:t>
            </w:r>
          </w:p>
        </w:tc>
        <w:tc>
          <w:tcPr>
            <w:tcW w:w="12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8"/>
              </w:rPr>
              <w:t>(Accumulated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net assets</w:t>
            </w:r>
          </w:p>
        </w:tc>
      </w:tr>
      <w:tr>
        <w:trPr>
          <w:trHeight w:val="204"/>
        </w:trPr>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June 30, 2022</w:t>
            </w:r>
          </w:p>
        </w:tc>
        <w:tc>
          <w:tcPr>
            <w:tcW w:w="60" w:type="dxa"/>
            <w:vAlign w:val="bottom"/>
            <w:tcBorders>
              <w:top w:val="single" w:sz="8" w:color="auto"/>
            </w:tcBorders>
            <w:gridSpan w:val="2"/>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6,214,672</w:t>
            </w:r>
          </w:p>
        </w:tc>
        <w:tc>
          <w:tcPr>
            <w:tcW w:w="220" w:type="dxa"/>
            <w:vAlign w:val="bottom"/>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84,917,788</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84,763,827</w:t>
            </w:r>
          </w:p>
        </w:tc>
        <w:tc>
          <w:tcPr>
            <w:tcW w:w="100" w:type="dxa"/>
            <w:vAlign w:val="bottom"/>
            <w:shd w:val="clear" w:color="auto" w:fill="CCEEFF"/>
          </w:tcPr>
          <w:p>
            <w:pPr>
              <w:spacing w:after="0"/>
              <w:rPr>
                <w:sz w:val="17"/>
                <w:szCs w:val="17"/>
                <w:color w:val="auto"/>
              </w:rPr>
            </w:pPr>
          </w:p>
        </w:tc>
      </w:tr>
      <w:tr>
        <w:trPr>
          <w:trHeight w:val="192"/>
        </w:trPr>
        <w:tc>
          <w:tcPr>
            <w:tcW w:w="4140" w:type="dxa"/>
            <w:vAlign w:val="bottom"/>
            <w:gridSpan w:val="2"/>
          </w:tcPr>
          <w:p>
            <w:pPr>
              <w:spacing w:after="0" w:line="192" w:lineRule="exact"/>
              <w:rPr>
                <w:sz w:val="20"/>
                <w:szCs w:val="20"/>
                <w:color w:val="auto"/>
              </w:rPr>
            </w:pPr>
            <w:r>
              <w:rPr>
                <w:rFonts w:ascii="Arial" w:cs="Arial" w:eastAsia="Arial" w:hAnsi="Arial"/>
                <w:sz w:val="17"/>
                <w:szCs w:val="17"/>
                <w:i w:val="1"/>
                <w:iCs w:val="1"/>
                <w:color w:val="auto"/>
              </w:rPr>
              <w:t>Net increase (decrease) in net assets resulting from</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7"/>
                <w:szCs w:val="17"/>
                <w:i w:val="1"/>
                <w:iCs w:val="1"/>
                <w:color w:val="auto"/>
              </w:rPr>
              <w:t>operations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investment income (loss)</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550,415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550,415</w:t>
            </w: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Net realized gain (loss) from investments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2"/>
        </w:trPr>
        <w:tc>
          <w:tcPr>
            <w:tcW w:w="41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91"/>
              </w:rPr>
              <w:t>Net change in unrealized appreciation (depreciation) from</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2"/>
        </w:trPr>
        <w:tc>
          <w:tcPr>
            <w:tcW w:w="4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investments</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100" w:type="dxa"/>
            <w:vAlign w:val="bottom"/>
            <w:shd w:val="clear" w:color="auto" w:fill="CCEEFF"/>
          </w:tcPr>
          <w:p>
            <w:pPr>
              <w:spacing w:after="0"/>
              <w:rPr>
                <w:sz w:val="19"/>
                <w:szCs w:val="19"/>
                <w:color w:val="auto"/>
              </w:rPr>
            </w:pP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89"/>
              </w:rPr>
              <w:t>Total net increase (decrease) in net assets resulting from</w:t>
            </w: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4140" w:type="dxa"/>
            <w:vAlign w:val="bottom"/>
            <w:gridSpan w:val="2"/>
          </w:tcPr>
          <w:p>
            <w:pPr>
              <w:ind w:left="460"/>
              <w:spacing w:after="0"/>
              <w:rPr>
                <w:sz w:val="20"/>
                <w:szCs w:val="20"/>
                <w:color w:val="auto"/>
              </w:rPr>
            </w:pPr>
            <w:r>
              <w:rPr>
                <w:rFonts w:ascii="Arial" w:cs="Arial" w:eastAsia="Arial" w:hAnsi="Arial"/>
                <w:sz w:val="17"/>
                <w:szCs w:val="17"/>
                <w:color w:val="auto"/>
              </w:rPr>
              <w:t>operations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559,923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559,923</w:t>
            </w: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transactions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Issuance of common stock, net of offering cost</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increase (decrease) in net assets</w:t>
            </w:r>
          </w:p>
        </w:tc>
        <w:tc>
          <w:tcPr>
            <w:tcW w:w="180" w:type="dxa"/>
            <w:vAlign w:val="bottom"/>
            <w:gridSpan w:val="4"/>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559,923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559,923</w:t>
            </w:r>
          </w:p>
        </w:tc>
        <w:tc>
          <w:tcPr>
            <w:tcW w:w="100" w:type="dxa"/>
            <w:vAlign w:val="bottom"/>
            <w:shd w:val="clear" w:color="auto" w:fill="CCEEFF"/>
          </w:tcPr>
          <w:p>
            <w:pPr>
              <w:spacing w:after="0"/>
              <w:rPr>
                <w:sz w:val="17"/>
                <w:szCs w:val="17"/>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7"/>
                <w:szCs w:val="17"/>
                <w:i w:val="1"/>
                <w:iCs w:val="1"/>
                <w:color w:val="auto"/>
              </w:rPr>
              <w:t>Effect of permanent adjustments</w:t>
            </w:r>
          </w:p>
        </w:tc>
        <w:tc>
          <w:tcPr>
            <w:tcW w:w="122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September 30, 2022</w:t>
            </w: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6,214,672</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84,917,788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85,323,750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3960" w:type="dxa"/>
            <w:vAlign w:val="bottom"/>
            <w:gridSpan w:val="16"/>
          </w:tcPr>
          <w:p>
            <w:pPr>
              <w:jc w:val="center"/>
              <w:ind w:right="980"/>
              <w:spacing w:after="0"/>
              <w:rPr>
                <w:sz w:val="20"/>
                <w:szCs w:val="20"/>
                <w:color w:val="auto"/>
              </w:rPr>
            </w:pPr>
            <w:r>
              <w:rPr>
                <w:rFonts w:ascii="Arial" w:cs="Arial" w:eastAsia="Arial" w:hAnsi="Arial"/>
                <w:sz w:val="17"/>
                <w:szCs w:val="17"/>
                <w:b w:val="1"/>
                <w:bCs w:val="1"/>
                <w:color w:val="auto"/>
                <w:w w:val="99"/>
              </w:rPr>
              <w:t>SILVER SPIKE INVESTMENT CORP.</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1"/>
          </w:tcPr>
          <w:p>
            <w:pPr>
              <w:jc w:val="center"/>
              <w:spacing w:after="0"/>
              <w:rPr>
                <w:sz w:val="20"/>
                <w:szCs w:val="20"/>
                <w:color w:val="auto"/>
              </w:rPr>
            </w:pPr>
            <w:r>
              <w:rPr>
                <w:rFonts w:ascii="Arial" w:cs="Arial" w:eastAsia="Arial" w:hAnsi="Arial"/>
                <w:sz w:val="17"/>
                <w:szCs w:val="17"/>
                <w:b w:val="1"/>
                <w:bCs w:val="1"/>
                <w:color w:val="auto"/>
                <w:w w:val="87"/>
              </w:rPr>
              <w:t>Statements of Changes in Net Assets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9"/>
          </w:tcPr>
          <w:p>
            <w:pPr>
              <w:jc w:val="center"/>
              <w:ind w:left="75"/>
              <w:spacing w:after="0"/>
              <w:rPr>
                <w:sz w:val="20"/>
                <w:szCs w:val="20"/>
                <w:color w:val="auto"/>
              </w:rPr>
            </w:pPr>
            <w:r>
              <w:rPr>
                <w:rFonts w:ascii="Arial" w:cs="Arial" w:eastAsia="Arial" w:hAnsi="Arial"/>
                <w:sz w:val="17"/>
                <w:szCs w:val="17"/>
                <w:b w:val="1"/>
                <w:bCs w:val="1"/>
                <w:color w:val="auto"/>
                <w:w w:val="93"/>
              </w:rPr>
              <w:t>(Unaudited)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7"/>
              </w:rPr>
              <w:t>Common Stock</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1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Nine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line="188" w:lineRule="exact"/>
              <w:rPr>
                <w:sz w:val="20"/>
                <w:szCs w:val="20"/>
                <w:color w:val="auto"/>
              </w:rPr>
            </w:pPr>
            <w:r>
              <w:rPr>
                <w:rFonts w:ascii="Arial" w:cs="Arial" w:eastAsia="Arial" w:hAnsi="Arial"/>
                <w:sz w:val="17"/>
                <w:szCs w:val="17"/>
                <w:b w:val="1"/>
                <w:bCs w:val="1"/>
                <w:color w:val="auto"/>
                <w:w w:val="96"/>
              </w:rPr>
              <w:t>Additional</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w w:val="97"/>
              </w:rPr>
              <w:t>Distributable 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88"/>
              </w:rPr>
              <w:t>Total</w:t>
            </w:r>
          </w:p>
        </w:tc>
      </w:tr>
      <w:tr>
        <w:trPr>
          <w:trHeight w:val="226"/>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September 30, 2023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ind w:left="300"/>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7"/>
                <w:szCs w:val="17"/>
                <w:b w:val="1"/>
                <w:bCs w:val="1"/>
                <w:color w:val="auto"/>
              </w:rPr>
              <w:t>Par Value</w:t>
            </w:r>
          </w:p>
        </w:tc>
        <w:tc>
          <w:tcPr>
            <w:tcW w:w="4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Arial" w:cs="Arial" w:eastAsia="Arial" w:hAnsi="Arial"/>
                <w:sz w:val="17"/>
                <w:szCs w:val="17"/>
                <w:b w:val="1"/>
                <w:bCs w:val="1"/>
                <w:color w:val="auto"/>
              </w:rPr>
              <w:t>paid-in-capital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(Accumulated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net assets</w:t>
            </w:r>
          </w:p>
        </w:tc>
      </w:tr>
      <w:tr>
        <w:trPr>
          <w:trHeight w:val="204"/>
        </w:trPr>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2022</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6,214,672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84,917,788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1,495,794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86,475,729</w:t>
            </w:r>
          </w:p>
        </w:tc>
        <w:tc>
          <w:tcPr>
            <w:tcW w:w="100" w:type="dxa"/>
            <w:vAlign w:val="bottom"/>
            <w:shd w:val="clear" w:color="auto" w:fill="CCEEFF"/>
          </w:tcPr>
          <w:p>
            <w:pPr>
              <w:spacing w:after="0"/>
              <w:rPr>
                <w:sz w:val="17"/>
                <w:szCs w:val="17"/>
                <w:color w:val="auto"/>
              </w:rPr>
            </w:pPr>
          </w:p>
        </w:tc>
      </w:tr>
      <w:tr>
        <w:trPr>
          <w:trHeight w:val="192"/>
        </w:trPr>
        <w:tc>
          <w:tcPr>
            <w:tcW w:w="4140" w:type="dxa"/>
            <w:vAlign w:val="bottom"/>
            <w:gridSpan w:val="2"/>
          </w:tcPr>
          <w:p>
            <w:pPr>
              <w:spacing w:after="0" w:line="192" w:lineRule="exact"/>
              <w:rPr>
                <w:sz w:val="20"/>
                <w:szCs w:val="20"/>
                <w:color w:val="auto"/>
              </w:rPr>
            </w:pPr>
            <w:r>
              <w:rPr>
                <w:rFonts w:ascii="Arial" w:cs="Arial" w:eastAsia="Arial" w:hAnsi="Arial"/>
                <w:sz w:val="17"/>
                <w:szCs w:val="17"/>
                <w:i w:val="1"/>
                <w:iCs w:val="1"/>
                <w:color w:val="auto"/>
              </w:rPr>
              <w:t>Net increase (decrease) in net assets resulting from</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7"/>
                <w:szCs w:val="17"/>
                <w:i w:val="1"/>
                <w:iCs w:val="1"/>
                <w:color w:val="auto"/>
              </w:rPr>
              <w:t>operations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investment income (loss)</w:t>
            </w:r>
          </w:p>
        </w:tc>
        <w:tc>
          <w:tcPr>
            <w:tcW w:w="130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4,887,121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4,887,121</w:t>
            </w: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Net realized gain (loss) from investments</w:t>
            </w:r>
          </w:p>
        </w:tc>
        <w:tc>
          <w:tcPr>
            <w:tcW w:w="130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7"/>
                <w:szCs w:val="17"/>
                <w:color w:val="auto"/>
              </w:rPr>
              <w:t>(210,767)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(210,767)</w:t>
            </w:r>
          </w:p>
        </w:tc>
      </w:tr>
      <w:tr>
        <w:trPr>
          <w:trHeight w:val="192"/>
        </w:trPr>
        <w:tc>
          <w:tcPr>
            <w:tcW w:w="41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91"/>
              </w:rPr>
              <w:t>Net change in unrealized appreciation (depreciation) from</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2"/>
        </w:trPr>
        <w:tc>
          <w:tcPr>
            <w:tcW w:w="4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investments</w:t>
            </w:r>
          </w:p>
        </w:tc>
        <w:tc>
          <w:tcPr>
            <w:tcW w:w="130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166,012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166,012</w:t>
            </w:r>
          </w:p>
        </w:tc>
        <w:tc>
          <w:tcPr>
            <w:tcW w:w="100" w:type="dxa"/>
            <w:vAlign w:val="bottom"/>
            <w:shd w:val="clear" w:color="auto" w:fill="CCEEFF"/>
          </w:tcPr>
          <w:p>
            <w:pPr>
              <w:spacing w:after="0"/>
              <w:rPr>
                <w:sz w:val="19"/>
                <w:szCs w:val="19"/>
                <w:color w:val="auto"/>
              </w:rPr>
            </w:pP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89"/>
              </w:rPr>
              <w:t>Total net increase (decrease) in net assets resulting from</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4140" w:type="dxa"/>
            <w:vAlign w:val="bottom"/>
            <w:gridSpan w:val="2"/>
          </w:tcPr>
          <w:p>
            <w:pPr>
              <w:ind w:left="460"/>
              <w:spacing w:after="0"/>
              <w:rPr>
                <w:sz w:val="20"/>
                <w:szCs w:val="20"/>
                <w:color w:val="auto"/>
              </w:rPr>
            </w:pPr>
            <w:r>
              <w:rPr>
                <w:rFonts w:ascii="Arial" w:cs="Arial" w:eastAsia="Arial" w:hAnsi="Arial"/>
                <w:sz w:val="17"/>
                <w:szCs w:val="17"/>
                <w:color w:val="auto"/>
              </w:rPr>
              <w:t>operations</w:t>
            </w:r>
          </w:p>
        </w:tc>
        <w:tc>
          <w:tcPr>
            <w:tcW w:w="130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4,842,366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4,842,366</w:t>
            </w: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Distributions to stockholders from:</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Investment income-net</w:t>
            </w:r>
          </w:p>
        </w:tc>
        <w:tc>
          <w:tcPr>
            <w:tcW w:w="130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7"/>
                <w:szCs w:val="17"/>
                <w:color w:val="auto"/>
              </w:rPr>
              <w:t>(3,915,564)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(3,915,564)</w:t>
            </w: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transactions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Issuance of common stock</w:t>
            </w:r>
          </w:p>
        </w:tc>
        <w:tc>
          <w:tcPr>
            <w:tcW w:w="130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9"/>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Reinvestment of stockholder distributions</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w:t>
            </w: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92"/>
              </w:rPr>
              <w:t>Total net increase (decrease) in net assets from capital</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2"/>
        </w:trPr>
        <w:tc>
          <w:tcPr>
            <w:tcW w:w="4140" w:type="dxa"/>
            <w:vAlign w:val="bottom"/>
            <w:gridSpan w:val="2"/>
          </w:tcPr>
          <w:p>
            <w:pPr>
              <w:ind w:left="300"/>
              <w:spacing w:after="0"/>
              <w:rPr>
                <w:sz w:val="20"/>
                <w:szCs w:val="20"/>
                <w:color w:val="auto"/>
              </w:rPr>
            </w:pPr>
            <w:r>
              <w:rPr>
                <w:rFonts w:ascii="Arial" w:cs="Arial" w:eastAsia="Arial" w:hAnsi="Arial"/>
                <w:sz w:val="17"/>
                <w:szCs w:val="17"/>
                <w:color w:val="auto"/>
              </w:rPr>
              <w:t>transactions</w:t>
            </w: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321</w:t>
            </w: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increase (decrease) in net assets</w:t>
            </w:r>
          </w:p>
        </w:tc>
        <w:tc>
          <w:tcPr>
            <w:tcW w:w="140" w:type="dxa"/>
            <w:vAlign w:val="bottom"/>
            <w:gridSpan w:val="2"/>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926,802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927,123</w:t>
            </w:r>
          </w:p>
        </w:tc>
        <w:tc>
          <w:tcPr>
            <w:tcW w:w="100" w:type="dxa"/>
            <w:vAlign w:val="bottom"/>
            <w:shd w:val="clear" w:color="auto" w:fill="CCEEFF"/>
          </w:tcPr>
          <w:p>
            <w:pPr>
              <w:spacing w:after="0"/>
              <w:rPr>
                <w:sz w:val="17"/>
                <w:szCs w:val="17"/>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7"/>
                <w:szCs w:val="17"/>
                <w:color w:val="auto"/>
              </w:rPr>
              <w:t>Effect of permanent adjustments</w:t>
            </w:r>
          </w:p>
        </w:tc>
        <w:tc>
          <w:tcPr>
            <w:tcW w:w="130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121,099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7"/>
                <w:szCs w:val="17"/>
                <w:color w:val="auto"/>
              </w:rPr>
              <w:t>(121,099)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September 30, 2023</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6,214,705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85,039,208</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2,301,497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87,402,852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4"/>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w w:val="99"/>
              </w:rPr>
              <w:t>Common Stock</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41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Nine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5"/>
              <w:spacing w:after="0" w:line="188" w:lineRule="exact"/>
              <w:rPr>
                <w:sz w:val="20"/>
                <w:szCs w:val="20"/>
                <w:color w:val="auto"/>
              </w:rPr>
            </w:pPr>
            <w:r>
              <w:rPr>
                <w:rFonts w:ascii="Arial" w:cs="Arial" w:eastAsia="Arial" w:hAnsi="Arial"/>
                <w:sz w:val="17"/>
                <w:szCs w:val="17"/>
                <w:b w:val="1"/>
                <w:bCs w:val="1"/>
                <w:color w:val="auto"/>
                <w:w w:val="91"/>
              </w:rPr>
              <w:t>Additional</w:t>
            </w:r>
          </w:p>
        </w:tc>
        <w:tc>
          <w:tcPr>
            <w:tcW w:w="2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3"/>
          </w:tcPr>
          <w:p>
            <w:pPr>
              <w:ind w:left="20"/>
              <w:spacing w:after="0" w:line="188" w:lineRule="exact"/>
              <w:rPr>
                <w:sz w:val="20"/>
                <w:szCs w:val="20"/>
                <w:color w:val="auto"/>
              </w:rPr>
            </w:pPr>
            <w:r>
              <w:rPr>
                <w:rFonts w:ascii="Arial" w:cs="Arial" w:eastAsia="Arial" w:hAnsi="Arial"/>
                <w:sz w:val="17"/>
                <w:szCs w:val="17"/>
                <w:b w:val="1"/>
                <w:bCs w:val="1"/>
                <w:color w:val="auto"/>
                <w:w w:val="96"/>
              </w:rPr>
              <w:t>Distributable 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88"/>
              </w:rPr>
              <w:t>Total</w:t>
            </w:r>
          </w:p>
        </w:tc>
      </w:tr>
      <w:tr>
        <w:trPr>
          <w:trHeight w:val="226"/>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September 30, 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ind w:left="300"/>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ind w:left="40"/>
              <w:spacing w:after="0"/>
              <w:rPr>
                <w:sz w:val="20"/>
                <w:szCs w:val="20"/>
                <w:color w:val="auto"/>
              </w:rPr>
            </w:pPr>
            <w:r>
              <w:rPr>
                <w:rFonts w:ascii="Arial" w:cs="Arial" w:eastAsia="Arial" w:hAnsi="Arial"/>
                <w:sz w:val="17"/>
                <w:szCs w:val="17"/>
                <w:b w:val="1"/>
                <w:bCs w:val="1"/>
                <w:color w:val="auto"/>
              </w:rPr>
              <w:t>Par value</w:t>
            </w:r>
          </w:p>
        </w:tc>
        <w:tc>
          <w:tcPr>
            <w:tcW w:w="1300" w:type="dxa"/>
            <w:vAlign w:val="bottom"/>
            <w:gridSpan w:val="5"/>
          </w:tcPr>
          <w:p>
            <w:pPr>
              <w:ind w:left="20"/>
              <w:spacing w:after="0"/>
              <w:rPr>
                <w:sz w:val="20"/>
                <w:szCs w:val="20"/>
                <w:color w:val="auto"/>
              </w:rPr>
            </w:pPr>
            <w:r>
              <w:rPr>
                <w:rFonts w:ascii="Arial" w:cs="Arial" w:eastAsia="Arial" w:hAnsi="Arial"/>
                <w:sz w:val="17"/>
                <w:szCs w:val="17"/>
                <w:b w:val="1"/>
                <w:bCs w:val="1"/>
                <w:color w:val="auto"/>
              </w:rPr>
              <w:t>paid-in-capital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8"/>
              </w:rPr>
              <w:t>(Accumulated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net assets</w:t>
            </w:r>
          </w:p>
        </w:tc>
      </w:tr>
      <w:tr>
        <w:trPr>
          <w:trHeight w:val="204"/>
        </w:trPr>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December 31, 2021</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(507,549)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(502,149)</w:t>
            </w:r>
          </w:p>
        </w:tc>
        <w:tc>
          <w:tcPr>
            <w:tcW w:w="100" w:type="dxa"/>
            <w:vAlign w:val="bottom"/>
            <w:shd w:val="clear" w:color="auto" w:fill="CCEEFF"/>
          </w:tcPr>
          <w:p>
            <w:pPr>
              <w:spacing w:after="0"/>
              <w:rPr>
                <w:sz w:val="17"/>
                <w:szCs w:val="17"/>
                <w:color w:val="auto"/>
              </w:rPr>
            </w:pPr>
          </w:p>
        </w:tc>
      </w:tr>
      <w:tr>
        <w:trPr>
          <w:trHeight w:val="192"/>
        </w:trPr>
        <w:tc>
          <w:tcPr>
            <w:tcW w:w="4140" w:type="dxa"/>
            <w:vAlign w:val="bottom"/>
            <w:gridSpan w:val="2"/>
          </w:tcPr>
          <w:p>
            <w:pPr>
              <w:spacing w:after="0" w:line="192" w:lineRule="exact"/>
              <w:rPr>
                <w:sz w:val="20"/>
                <w:szCs w:val="20"/>
                <w:color w:val="auto"/>
              </w:rPr>
            </w:pPr>
            <w:r>
              <w:rPr>
                <w:rFonts w:ascii="Arial" w:cs="Arial" w:eastAsia="Arial" w:hAnsi="Arial"/>
                <w:sz w:val="17"/>
                <w:szCs w:val="17"/>
                <w:i w:val="1"/>
                <w:iCs w:val="1"/>
                <w:color w:val="auto"/>
              </w:rPr>
              <w:t>Net increase (decrease) in net assets resulting from</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7"/>
                <w:szCs w:val="17"/>
                <w:i w:val="1"/>
                <w:iCs w:val="1"/>
                <w:color w:val="auto"/>
              </w:rPr>
              <w:t>operations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investment income (loss)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556,129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556,129</w:t>
            </w:r>
          </w:p>
        </w:tc>
        <w:tc>
          <w:tcPr>
            <w:tcW w:w="100" w:type="dxa"/>
            <w:vAlign w:val="bottom"/>
            <w:shd w:val="clear" w:color="auto" w:fill="CCEEFF"/>
          </w:tcPr>
          <w:p>
            <w:pPr>
              <w:spacing w:after="0"/>
              <w:rPr>
                <w:sz w:val="17"/>
                <w:szCs w:val="17"/>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7"/>
                <w:szCs w:val="17"/>
                <w:color w:val="auto"/>
              </w:rPr>
              <w:t>Net realized gain (loss) from investments</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2"/>
        </w:trPr>
        <w:tc>
          <w:tcPr>
            <w:tcW w:w="41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91"/>
              </w:rPr>
              <w:t>Net change in unrealized appreciation (depreciation) from</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2"/>
        </w:trPr>
        <w:tc>
          <w:tcPr>
            <w:tcW w:w="4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investments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192"/>
        </w:trPr>
        <w:tc>
          <w:tcPr>
            <w:tcW w:w="4140" w:type="dxa"/>
            <w:vAlign w:val="bottom"/>
            <w:tcBorders>
              <w:top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w w:val="89"/>
              </w:rPr>
              <w:t>Total net increase (decrease) in net assets resulting from</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4140" w:type="dxa"/>
            <w:vAlign w:val="bottom"/>
            <w:gridSpan w:val="2"/>
          </w:tcPr>
          <w:p>
            <w:pPr>
              <w:ind w:left="460"/>
              <w:spacing w:after="0"/>
              <w:rPr>
                <w:sz w:val="20"/>
                <w:szCs w:val="20"/>
                <w:color w:val="auto"/>
              </w:rPr>
            </w:pPr>
            <w:r>
              <w:rPr>
                <w:rFonts w:ascii="Arial" w:cs="Arial" w:eastAsia="Arial" w:hAnsi="Arial"/>
                <w:sz w:val="17"/>
                <w:szCs w:val="17"/>
                <w:color w:val="auto"/>
              </w:rPr>
              <w:t>operations</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556,129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556,129</w:t>
            </w:r>
          </w:p>
        </w:tc>
        <w:tc>
          <w:tcPr>
            <w:tcW w:w="100" w:type="dxa"/>
            <w:vAlign w:val="bottom"/>
          </w:tcPr>
          <w:p>
            <w:pPr>
              <w:spacing w:after="0"/>
              <w:rPr>
                <w:sz w:val="18"/>
                <w:szCs w:val="18"/>
                <w:color w:val="auto"/>
              </w:rPr>
            </w:pP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transactions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2"/>
        </w:trPr>
        <w:tc>
          <w:tcPr>
            <w:tcW w:w="4140" w:type="dxa"/>
            <w:vAlign w:val="bottom"/>
            <w:gridSpan w:val="2"/>
          </w:tcPr>
          <w:p>
            <w:pPr>
              <w:ind w:left="160"/>
              <w:spacing w:after="0" w:line="192" w:lineRule="exact"/>
              <w:rPr>
                <w:sz w:val="20"/>
                <w:szCs w:val="20"/>
                <w:color w:val="auto"/>
              </w:rPr>
            </w:pPr>
            <w:r>
              <w:rPr>
                <w:rFonts w:ascii="Arial" w:cs="Arial" w:eastAsia="Arial" w:hAnsi="Arial"/>
                <w:sz w:val="17"/>
                <w:szCs w:val="17"/>
                <w:color w:val="auto"/>
              </w:rPr>
              <w:t>Issuance of common stock, net of offering costs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4140" w:type="dxa"/>
            <w:vAlign w:val="bottom"/>
            <w:gridSpan w:val="2"/>
          </w:tcPr>
          <w:p>
            <w:pPr>
              <w:ind w:left="300"/>
              <w:spacing w:after="0"/>
              <w:rPr>
                <w:sz w:val="20"/>
                <w:szCs w:val="20"/>
                <w:color w:val="auto"/>
              </w:rPr>
            </w:pPr>
            <w:r>
              <w:rPr>
                <w:rFonts w:ascii="Arial" w:cs="Arial" w:eastAsia="Arial" w:hAnsi="Arial"/>
                <w:sz w:val="17"/>
                <w:szCs w:val="17"/>
                <w:color w:val="auto"/>
              </w:rPr>
              <w:t>$1,609,184</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6,214,286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62,143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85,207,627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85,269,770</w:t>
            </w:r>
          </w:p>
        </w:tc>
      </w:tr>
      <w:tr>
        <w:trPr>
          <w:trHeight w:val="204"/>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increase (decrease) in net assets</w:t>
            </w:r>
          </w:p>
        </w:tc>
        <w:tc>
          <w:tcPr>
            <w:tcW w:w="140" w:type="dxa"/>
            <w:vAlign w:val="bottom"/>
            <w:gridSpan w:val="2"/>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6,214,286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85,207,627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556,129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85,825,899</w:t>
            </w:r>
          </w:p>
        </w:tc>
        <w:tc>
          <w:tcPr>
            <w:tcW w:w="100" w:type="dxa"/>
            <w:vAlign w:val="bottom"/>
            <w:shd w:val="clear" w:color="auto" w:fill="CCEEFF"/>
          </w:tcPr>
          <w:p>
            <w:pPr>
              <w:spacing w:after="0"/>
              <w:rPr>
                <w:sz w:val="17"/>
                <w:szCs w:val="17"/>
                <w:color w:val="auto"/>
              </w:rPr>
            </w:pPr>
          </w:p>
        </w:tc>
      </w:tr>
      <w:tr>
        <w:trPr>
          <w:trHeight w:val="209"/>
        </w:trPr>
        <w:tc>
          <w:tcPr>
            <w:tcW w:w="4140" w:type="dxa"/>
            <w:vAlign w:val="bottom"/>
            <w:gridSpan w:val="2"/>
          </w:tcPr>
          <w:p>
            <w:pPr>
              <w:spacing w:after="0"/>
              <w:rPr>
                <w:sz w:val="20"/>
                <w:szCs w:val="20"/>
                <w:color w:val="auto"/>
              </w:rPr>
            </w:pPr>
            <w:r>
              <w:rPr>
                <w:rFonts w:ascii="Arial" w:cs="Arial" w:eastAsia="Arial" w:hAnsi="Arial"/>
                <w:sz w:val="17"/>
                <w:szCs w:val="17"/>
                <w:color w:val="auto"/>
              </w:rPr>
              <w:t>Effect of permanent adjustments</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7"/>
                <w:szCs w:val="17"/>
                <w:color w:val="auto"/>
              </w:rPr>
              <w:t>(295,235)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295,235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September 30, 2022</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6,214,672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62,147</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84,917,788</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85,323,750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7140" w:type="dxa"/>
            <w:vAlign w:val="bottom"/>
          </w:tcPr>
          <w:p>
            <w:pPr>
              <w:jc w:val="center"/>
              <w:ind w:left="2115"/>
              <w:spacing w:after="0"/>
              <w:rPr>
                <w:sz w:val="20"/>
                <w:szCs w:val="20"/>
                <w:color w:val="auto"/>
              </w:rPr>
            </w:pPr>
            <w:r>
              <w:rPr>
                <w:rFonts w:ascii="Arial" w:cs="Arial" w:eastAsia="Arial" w:hAnsi="Arial"/>
                <w:sz w:val="17"/>
                <w:szCs w:val="17"/>
                <w:b w:val="1"/>
                <w:bCs w:val="1"/>
                <w:color w:val="auto"/>
                <w:w w:val="99"/>
              </w:rPr>
              <w:t>SILVER SPIKE INVESTMENT CORP.</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960" w:type="dxa"/>
            <w:vAlign w:val="bottom"/>
          </w:tcPr>
          <w:p>
            <w:pPr>
              <w:spacing w:after="0"/>
              <w:rPr>
                <w:sz w:val="24"/>
                <w:szCs w:val="24"/>
                <w:color w:val="auto"/>
              </w:rPr>
            </w:pPr>
          </w:p>
        </w:tc>
        <w:tc>
          <w:tcPr>
            <w:tcW w:w="7140" w:type="dxa"/>
            <w:vAlign w:val="bottom"/>
          </w:tcPr>
          <w:p>
            <w:pPr>
              <w:jc w:val="center"/>
              <w:ind w:left="2115"/>
              <w:spacing w:after="0"/>
              <w:rPr>
                <w:sz w:val="20"/>
                <w:szCs w:val="20"/>
                <w:color w:val="auto"/>
              </w:rPr>
            </w:pPr>
            <w:r>
              <w:rPr>
                <w:rFonts w:ascii="Arial" w:cs="Arial" w:eastAsia="Arial" w:hAnsi="Arial"/>
                <w:sz w:val="17"/>
                <w:szCs w:val="17"/>
                <w:b w:val="1"/>
                <w:bCs w:val="1"/>
                <w:color w:val="auto"/>
                <w:w w:val="87"/>
              </w:rPr>
              <w:t>Statements of Cash Flows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7140" w:type="dxa"/>
            <w:vAlign w:val="bottom"/>
          </w:tcPr>
          <w:p>
            <w:pPr>
              <w:jc w:val="center"/>
              <w:ind w:left="2095"/>
              <w:spacing w:after="0"/>
              <w:rPr>
                <w:sz w:val="20"/>
                <w:szCs w:val="20"/>
                <w:color w:val="auto"/>
              </w:rPr>
            </w:pPr>
            <w:r>
              <w:rPr>
                <w:rFonts w:ascii="Arial" w:cs="Arial" w:eastAsia="Arial" w:hAnsi="Arial"/>
                <w:sz w:val="17"/>
                <w:szCs w:val="17"/>
                <w:b w:val="1"/>
                <w:bCs w:val="1"/>
                <w:color w:val="auto"/>
                <w:w w:val="93"/>
              </w:rPr>
              <w:t>(Unaudited)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9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w w:val="98"/>
              </w:rPr>
              <w:t>For the nine months ended</w:t>
            </w:r>
          </w:p>
        </w:tc>
      </w:tr>
      <w:tr>
        <w:trPr>
          <w:trHeight w:val="209"/>
        </w:trPr>
        <w:tc>
          <w:tcPr>
            <w:tcW w:w="9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9"/>
              </w:rPr>
              <w:t>September 30, 2023</w:t>
            </w: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88"/>
              </w:rPr>
              <w:t>September 30, 2022</w:t>
            </w:r>
          </w:p>
        </w:tc>
        <w:tc>
          <w:tcPr>
            <w:tcW w:w="100" w:type="dxa"/>
            <w:vAlign w:val="bottom"/>
          </w:tcPr>
          <w:p>
            <w:pPr>
              <w:spacing w:after="0"/>
              <w:rPr>
                <w:sz w:val="18"/>
                <w:szCs w:val="18"/>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 net assets resulting from operations</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4,842,366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556,129</w:t>
            </w:r>
          </w:p>
        </w:tc>
        <w:tc>
          <w:tcPr>
            <w:tcW w:w="100" w:type="dxa"/>
            <w:vAlign w:val="bottom"/>
            <w:shd w:val="clear" w:color="auto" w:fill="CCEEFF"/>
          </w:tcPr>
          <w:p>
            <w:pPr>
              <w:spacing w:after="0"/>
              <w:rPr>
                <w:sz w:val="17"/>
                <w:szCs w:val="17"/>
                <w:color w:val="auto"/>
              </w:rPr>
            </w:pPr>
          </w:p>
        </w:tc>
      </w:tr>
      <w:tr>
        <w:trPr>
          <w:trHeight w:val="192"/>
        </w:trPr>
        <w:tc>
          <w:tcPr>
            <w:tcW w:w="8100" w:type="dxa"/>
            <w:vAlign w:val="bottom"/>
            <w:gridSpan w:val="2"/>
          </w:tcPr>
          <w:p>
            <w:pPr>
              <w:ind w:left="160"/>
              <w:spacing w:after="0" w:line="192" w:lineRule="exact"/>
              <w:rPr>
                <w:sz w:val="20"/>
                <w:szCs w:val="20"/>
                <w:color w:val="auto"/>
              </w:rPr>
            </w:pPr>
            <w:r>
              <w:rPr>
                <w:rFonts w:ascii="Arial" w:cs="Arial" w:eastAsia="Arial" w:hAnsi="Arial"/>
                <w:sz w:val="17"/>
                <w:szCs w:val="17"/>
                <w:color w:val="auto"/>
                <w:w w:val="94"/>
              </w:rPr>
              <w:t>Adjustments to reconcile net increase (decrease) in net assets resulting from operations to net cash provided by</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100" w:type="dxa"/>
            <w:vAlign w:val="bottom"/>
            <w:gridSpan w:val="2"/>
          </w:tcPr>
          <w:p>
            <w:pPr>
              <w:ind w:left="300"/>
              <w:spacing w:after="0"/>
              <w:rPr>
                <w:sz w:val="20"/>
                <w:szCs w:val="20"/>
                <w:color w:val="auto"/>
              </w:rPr>
            </w:pPr>
            <w:r>
              <w:rPr>
                <w:rFonts w:ascii="Arial" w:cs="Arial" w:eastAsia="Arial" w:hAnsi="Arial"/>
                <w:sz w:val="17"/>
                <w:szCs w:val="17"/>
                <w:color w:val="auto"/>
              </w:rPr>
              <w:t>(used in)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Net realized (gain) loss from investments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210,767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300"/>
              <w:spacing w:after="0"/>
              <w:rPr>
                <w:sz w:val="20"/>
                <w:szCs w:val="20"/>
                <w:color w:val="auto"/>
              </w:rPr>
            </w:pPr>
            <w:r>
              <w:rPr>
                <w:rFonts w:ascii="Arial" w:cs="Arial" w:eastAsia="Arial" w:hAnsi="Arial"/>
                <w:sz w:val="17"/>
                <w:szCs w:val="17"/>
                <w:color w:val="auto"/>
              </w:rPr>
              <w:t>Net change in unrealized (appreciation) depreciation from investments</w:t>
            </w:r>
          </w:p>
        </w:tc>
        <w:tc>
          <w:tcPr>
            <w:tcW w:w="3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(166,012)</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Net (accretion of discounts) and amortization of premiums</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(431,052)</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(49,966)</w:t>
            </w:r>
          </w:p>
        </w:tc>
      </w:tr>
      <w:tr>
        <w:trPr>
          <w:trHeight w:val="204"/>
        </w:trPr>
        <w:tc>
          <w:tcPr>
            <w:tcW w:w="8100" w:type="dxa"/>
            <w:vAlign w:val="bottom"/>
            <w:gridSpan w:val="2"/>
          </w:tcPr>
          <w:p>
            <w:pPr>
              <w:ind w:left="300"/>
              <w:spacing w:after="0"/>
              <w:rPr>
                <w:sz w:val="20"/>
                <w:szCs w:val="20"/>
                <w:color w:val="auto"/>
              </w:rPr>
            </w:pPr>
            <w:r>
              <w:rPr>
                <w:rFonts w:ascii="Arial" w:cs="Arial" w:eastAsia="Arial" w:hAnsi="Arial"/>
                <w:sz w:val="17"/>
                <w:szCs w:val="17"/>
                <w:color w:val="auto"/>
              </w:rPr>
              <w:t>Purchase of investments</w:t>
            </w:r>
          </w:p>
        </w:tc>
        <w:tc>
          <w:tcPr>
            <w:tcW w:w="3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(8,442,000)</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(24,417,500)</w:t>
            </w:r>
          </w:p>
        </w:tc>
      </w:tr>
      <w:tr>
        <w:trPr>
          <w:trHeight w:val="204"/>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PIK interest capitalized</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(78,153)</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300"/>
              <w:spacing w:after="0"/>
              <w:rPr>
                <w:sz w:val="20"/>
                <w:szCs w:val="20"/>
                <w:color w:val="auto"/>
              </w:rPr>
            </w:pPr>
            <w:r>
              <w:rPr>
                <w:rFonts w:ascii="Arial" w:cs="Arial" w:eastAsia="Arial" w:hAnsi="Arial"/>
                <w:sz w:val="17"/>
                <w:szCs w:val="17"/>
                <w:color w:val="auto"/>
              </w:rPr>
              <w:t>Proceeds from sales of investments and principal repayments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1,780,000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(Increase)/Decrease in operating 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Interest receivable</w:t>
            </w:r>
          </w:p>
        </w:tc>
        <w:tc>
          <w:tcPr>
            <w:tcW w:w="3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(270,594)</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(252,547)</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Prepaid expenses</w:t>
            </w:r>
          </w:p>
        </w:tc>
        <w:tc>
          <w:tcPr>
            <w:tcW w:w="3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(71,515)</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(119,787)</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Deferred offering costs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1,395,059</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spacing w:after="0"/>
              <w:rPr>
                <w:sz w:val="20"/>
                <w:szCs w:val="20"/>
                <w:color w:val="auto"/>
              </w:rPr>
            </w:pPr>
            <w:r>
              <w:rPr>
                <w:rFonts w:ascii="Arial" w:cs="Arial" w:eastAsia="Arial" w:hAnsi="Arial"/>
                <w:sz w:val="17"/>
                <w:szCs w:val="17"/>
                <w:color w:val="auto"/>
              </w:rPr>
              <w:t>Increase/(Decrease) in operating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Income-based incentive fees payable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1,051,741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Management fee payable</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93,600</w:t>
            </w:r>
          </w:p>
        </w:tc>
        <w:tc>
          <w:tcPr>
            <w:tcW w:w="3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110,426</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Legal fees payable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108,452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155,139</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Valuation fees payable</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94,130</w:t>
            </w:r>
          </w:p>
        </w:tc>
        <w:tc>
          <w:tcPr>
            <w:tcW w:w="3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83,083</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Administrator fees payable</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24,648</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73,908</w:t>
            </w: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Audit fees payable</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25,165</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Director’s fee payable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32,049</w:t>
            </w: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Professional fees payable</w:t>
            </w:r>
          </w:p>
        </w:tc>
        <w:tc>
          <w:tcPr>
            <w:tcW w:w="3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(10,679)</w:t>
            </w:r>
          </w:p>
        </w:tc>
        <w:tc>
          <w:tcPr>
            <w:tcW w:w="3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50,185</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Other payable</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(22,740)</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Due to affiliate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(383,207)</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Excise tax payable</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(80,566)</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60"/>
              <w:spacing w:after="0"/>
              <w:rPr>
                <w:sz w:val="20"/>
                <w:szCs w:val="20"/>
                <w:color w:val="auto"/>
              </w:rPr>
            </w:pPr>
            <w:r>
              <w:rPr>
                <w:rFonts w:ascii="Arial" w:cs="Arial" w:eastAsia="Arial" w:hAnsi="Arial"/>
                <w:sz w:val="17"/>
                <w:szCs w:val="17"/>
                <w:color w:val="auto"/>
              </w:rPr>
              <w:t>Offering cost payable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(1,024,256)</w:t>
            </w:r>
          </w:p>
        </w:tc>
      </w:tr>
      <w:tr>
        <w:trPr>
          <w:trHeight w:val="204"/>
        </w:trPr>
        <w:tc>
          <w:tcPr>
            <w:tcW w:w="8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Organization costs payable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(430,276)</w:t>
            </w:r>
          </w:p>
        </w:tc>
      </w:tr>
      <w:tr>
        <w:trPr>
          <w:trHeight w:val="25"/>
        </w:trPr>
        <w:tc>
          <w:tcPr>
            <w:tcW w:w="96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(1,389,462)</w:t>
            </w: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(24,219,323)</w:t>
            </w:r>
          </w:p>
        </w:tc>
      </w:tr>
      <w:tr>
        <w:trPr>
          <w:trHeight w:val="204"/>
        </w:trPr>
        <w:tc>
          <w:tcPr>
            <w:tcW w:w="96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Issuance of common stock, net of offering cost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85,269,770</w:t>
            </w:r>
          </w:p>
        </w:tc>
      </w:tr>
      <w:tr>
        <w:trPr>
          <w:trHeight w:val="209"/>
        </w:trPr>
        <w:tc>
          <w:tcPr>
            <w:tcW w:w="8100" w:type="dxa"/>
            <w:vAlign w:val="bottom"/>
            <w:gridSpan w:val="2"/>
          </w:tcPr>
          <w:p>
            <w:pPr>
              <w:ind w:left="300"/>
              <w:spacing w:after="0"/>
              <w:rPr>
                <w:sz w:val="20"/>
                <w:szCs w:val="20"/>
                <w:color w:val="auto"/>
              </w:rPr>
            </w:pPr>
            <w:r>
              <w:rPr>
                <w:rFonts w:ascii="Arial" w:cs="Arial" w:eastAsia="Arial" w:hAnsi="Arial"/>
                <w:sz w:val="17"/>
                <w:szCs w:val="17"/>
                <w:color w:val="auto"/>
              </w:rPr>
              <w:t>Distributions paid</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(3,914,922)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9"/>
        </w:trPr>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(3,914,922)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85,269,770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9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r>
      <w:tr>
        <w:trPr>
          <w:trHeight w:val="204"/>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&amp; cash equivalents</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(5,304,384)</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61,050,447</w:t>
            </w:r>
          </w:p>
        </w:tc>
      </w:tr>
      <w:tr>
        <w:trPr>
          <w:trHeight w:val="209"/>
        </w:trPr>
        <w:tc>
          <w:tcPr>
            <w:tcW w:w="8100" w:type="dxa"/>
            <w:vAlign w:val="bottom"/>
            <w:gridSpan w:val="2"/>
          </w:tcPr>
          <w:p>
            <w:pPr>
              <w:spacing w:after="0"/>
              <w:rPr>
                <w:sz w:val="20"/>
                <w:szCs w:val="20"/>
                <w:color w:val="auto"/>
              </w:rPr>
            </w:pPr>
            <w:r>
              <w:rPr>
                <w:rFonts w:ascii="Arial" w:cs="Arial" w:eastAsia="Arial" w:hAnsi="Arial"/>
                <w:sz w:val="17"/>
                <w:szCs w:val="17"/>
                <w:b w:val="1"/>
                <w:bCs w:val="1"/>
                <w:color w:val="auto"/>
              </w:rPr>
              <w:t>Cash &amp; cash equivalents,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35,125,320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5,400</w:t>
            </w:r>
          </w:p>
        </w:tc>
        <w:tc>
          <w:tcPr>
            <w:tcW w:w="100" w:type="dxa"/>
            <w:vAlign w:val="bottom"/>
          </w:tcPr>
          <w:p>
            <w:pPr>
              <w:spacing w:after="0"/>
              <w:rPr>
                <w:sz w:val="18"/>
                <w:szCs w:val="18"/>
                <w:color w:val="auto"/>
              </w:rPr>
            </w:pPr>
          </w:p>
        </w:tc>
      </w:tr>
      <w:tr>
        <w:trPr>
          <w:trHeight w:val="244"/>
        </w:trPr>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&amp; cash equivalents, end of period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29,820,936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61,055,847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9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and non-cash financing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8100" w:type="dxa"/>
            <w:vAlign w:val="bottom"/>
            <w:gridSpan w:val="2"/>
          </w:tcPr>
          <w:p>
            <w:pPr>
              <w:spacing w:after="0"/>
              <w:rPr>
                <w:sz w:val="20"/>
                <w:szCs w:val="20"/>
                <w:color w:val="auto"/>
              </w:rPr>
            </w:pPr>
            <w:r>
              <w:rPr>
                <w:rFonts w:ascii="Arial" w:cs="Arial" w:eastAsia="Arial" w:hAnsi="Arial"/>
                <w:sz w:val="17"/>
                <w:szCs w:val="17"/>
                <w:color w:val="auto"/>
              </w:rPr>
              <w:t>Reinvestment of dividend distributions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gridSpan w:val="4"/>
          </w:tcPr>
          <w:p>
            <w:pPr>
              <w:jc w:val="center"/>
              <w:ind w:left="635"/>
              <w:spacing w:after="0"/>
              <w:rPr>
                <w:sz w:val="20"/>
                <w:szCs w:val="20"/>
                <w:color w:val="auto"/>
              </w:rPr>
            </w:pPr>
            <w:r>
              <w:rPr>
                <w:rFonts w:ascii="Arial" w:cs="Arial" w:eastAsia="Arial" w:hAnsi="Arial"/>
                <w:sz w:val="17"/>
                <w:szCs w:val="17"/>
                <w:b w:val="1"/>
                <w:bCs w:val="1"/>
                <w:color w:val="auto"/>
                <w:w w:val="99"/>
              </w:rPr>
              <w:t>SILVER SPIKE INVESTMENT CORP.</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7"/>
              </w:rPr>
              <w:t>Schedule of Investments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September 30, 2023</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00" w:type="dxa"/>
            <w:vAlign w:val="bottom"/>
            <w:gridSpan w:val="2"/>
          </w:tcPr>
          <w:p>
            <w:pPr>
              <w:jc w:val="center"/>
              <w:ind w:right="776"/>
              <w:spacing w:after="0"/>
              <w:rPr>
                <w:sz w:val="20"/>
                <w:szCs w:val="20"/>
                <w:color w:val="auto"/>
              </w:rPr>
            </w:pPr>
            <w:r>
              <w:rPr>
                <w:rFonts w:ascii="Arial" w:cs="Arial" w:eastAsia="Arial" w:hAnsi="Arial"/>
                <w:sz w:val="17"/>
                <w:szCs w:val="17"/>
                <w:b w:val="1"/>
                <w:bCs w:val="1"/>
                <w:color w:val="auto"/>
                <w:w w:val="93"/>
              </w:rPr>
              <w:t>(Unaudited)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00" w:type="dxa"/>
            <w:vAlign w:val="bottom"/>
            <w:gridSpan w:val="2"/>
          </w:tcPr>
          <w:p>
            <w:pPr>
              <w:jc w:val="center"/>
              <w:ind w:right="776"/>
              <w:spacing w:after="0"/>
              <w:rPr>
                <w:sz w:val="20"/>
                <w:szCs w:val="20"/>
                <w:color w:val="auto"/>
              </w:rPr>
            </w:pPr>
            <w:r>
              <w:rPr>
                <w:rFonts w:ascii="Arial" w:cs="Arial" w:eastAsia="Arial" w:hAnsi="Arial"/>
                <w:sz w:val="17"/>
                <w:szCs w:val="17"/>
                <w:b w:val="1"/>
                <w:bCs w:val="1"/>
                <w:color w:val="auto"/>
                <w:w w:val="88"/>
              </w:rPr>
              <w:t>(in thousands)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ind w:left="240"/>
              <w:spacing w:after="0"/>
              <w:rPr>
                <w:sz w:val="20"/>
                <w:szCs w:val="20"/>
                <w:color w:val="auto"/>
              </w:rPr>
            </w:pPr>
            <w:r>
              <w:rPr>
                <w:rFonts w:ascii="Arial" w:cs="Arial" w:eastAsia="Arial" w:hAnsi="Arial"/>
                <w:sz w:val="17"/>
                <w:szCs w:val="17"/>
                <w:b w:val="1"/>
                <w:bCs w:val="1"/>
                <w:color w:val="auto"/>
              </w:rPr>
              <w:t>Type of</w:t>
            </w:r>
          </w:p>
        </w:tc>
        <w:tc>
          <w:tcPr>
            <w:tcW w:w="160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Investment Maturity</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Interest</w:t>
            </w: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Fair Value</w:t>
            </w:r>
          </w:p>
        </w:tc>
        <w:tc>
          <w:tcPr>
            <w:tcW w:w="2060" w:type="dxa"/>
            <w:vAlign w:val="bottom"/>
            <w:gridSpan w:val="2"/>
          </w:tcPr>
          <w:p>
            <w:pPr>
              <w:ind w:left="20"/>
              <w:spacing w:after="0"/>
              <w:rPr>
                <w:sz w:val="20"/>
                <w:szCs w:val="20"/>
                <w:color w:val="auto"/>
              </w:rPr>
            </w:pPr>
            <w:r>
              <w:rPr>
                <w:rFonts w:ascii="Arial" w:cs="Arial" w:eastAsia="Arial" w:hAnsi="Arial"/>
                <w:sz w:val="17"/>
                <w:szCs w:val="17"/>
                <w:b w:val="1"/>
                <w:bCs w:val="1"/>
                <w:color w:val="auto"/>
                <w:w w:val="93"/>
              </w:rPr>
              <w:t>GeographicNon-Qualifying</w:t>
            </w:r>
          </w:p>
        </w:tc>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auto"/>
              </w:rPr>
              <w:t>Principal</w:t>
            </w:r>
          </w:p>
        </w:tc>
        <w:tc>
          <w:tcPr>
            <w:tcW w:w="860" w:type="dxa"/>
            <w:vAlign w:val="bottom"/>
            <w:gridSpan w:val="2"/>
          </w:tcPr>
          <w:p>
            <w:pPr>
              <w:spacing w:after="0"/>
              <w:rPr>
                <w:sz w:val="20"/>
                <w:szCs w:val="20"/>
                <w:color w:val="auto"/>
              </w:rPr>
            </w:pPr>
            <w:r>
              <w:rPr>
                <w:rFonts w:ascii="Arial" w:cs="Arial" w:eastAsia="Arial" w:hAnsi="Arial"/>
                <w:sz w:val="17"/>
                <w:szCs w:val="17"/>
                <w:b w:val="1"/>
                <w:bCs w:val="1"/>
                <w:color w:val="auto"/>
                <w:w w:val="98"/>
              </w:rPr>
              <w:t>Amortized</w:t>
            </w:r>
          </w:p>
        </w:tc>
        <w:tc>
          <w:tcPr>
            <w:tcW w:w="1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7"/>
                <w:szCs w:val="17"/>
                <w:b w:val="1"/>
                <w:bCs w:val="1"/>
                <w:color w:val="auto"/>
              </w:rPr>
              <w:t>Fair</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4"/>
              </w:rPr>
              <w:t>% of Net</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gridSpan w:val="4"/>
          </w:tcPr>
          <w:p>
            <w:pPr>
              <w:spacing w:after="0" w:line="231" w:lineRule="exact"/>
              <w:rPr>
                <w:sz w:val="20"/>
                <w:szCs w:val="20"/>
                <w:color w:val="auto"/>
              </w:rPr>
            </w:pPr>
            <w:r>
              <w:rPr>
                <w:rFonts w:ascii="Arial" w:cs="Arial" w:eastAsia="Arial" w:hAnsi="Arial"/>
                <w:sz w:val="16"/>
                <w:szCs w:val="16"/>
                <w:b w:val="1"/>
                <w:bCs w:val="1"/>
                <w:color w:val="auto"/>
                <w:w w:val="93"/>
              </w:rPr>
              <w:t xml:space="preserve">Portfolio Company </w:t>
            </w:r>
            <w:r>
              <w:rPr>
                <w:rFonts w:ascii="Arial" w:cs="Arial" w:eastAsia="Arial" w:hAnsi="Arial"/>
                <w:sz w:val="26"/>
                <w:szCs w:val="26"/>
                <w:b w:val="1"/>
                <w:bCs w:val="1"/>
                <w:color w:val="auto"/>
                <w:w w:val="93"/>
                <w:vertAlign w:val="superscript"/>
              </w:rPr>
              <w:t>(1)</w:t>
            </w:r>
            <w:r>
              <w:rPr>
                <w:rFonts w:ascii="Arial" w:cs="Arial" w:eastAsia="Arial" w:hAnsi="Arial"/>
                <w:sz w:val="16"/>
                <w:szCs w:val="16"/>
                <w:b w:val="1"/>
                <w:bCs w:val="1"/>
                <w:color w:val="auto"/>
                <w:w w:val="93"/>
              </w:rPr>
              <w:t xml:space="preserve">Investment </w:t>
            </w:r>
            <w:r>
              <w:rPr>
                <w:rFonts w:ascii="Arial" w:cs="Arial" w:eastAsia="Arial" w:hAnsi="Arial"/>
                <w:sz w:val="26"/>
                <w:szCs w:val="26"/>
                <w:b w:val="1"/>
                <w:bCs w:val="1"/>
                <w:color w:val="auto"/>
                <w:w w:val="93"/>
                <w:vertAlign w:val="superscript"/>
              </w:rPr>
              <w:t>(2)</w:t>
            </w:r>
          </w:p>
        </w:tc>
        <w:tc>
          <w:tcPr>
            <w:tcW w:w="820" w:type="dxa"/>
            <w:vAlign w:val="bottom"/>
            <w:tcBorders>
              <w:bottom w:val="single" w:sz="8" w:color="auto"/>
            </w:tcBorders>
          </w:tcPr>
          <w:p>
            <w:pPr>
              <w:ind w:left="140"/>
              <w:spacing w:after="0" w:line="231" w:lineRule="exact"/>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6"/>
                <w:szCs w:val="26"/>
                <w:b w:val="1"/>
                <w:bCs w:val="1"/>
                <w:color w:val="auto"/>
                <w:vertAlign w:val="superscript"/>
              </w:rPr>
              <w:t>(3)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78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6"/>
                <w:szCs w:val="16"/>
                <w:b w:val="1"/>
                <w:bCs w:val="1"/>
                <w:color w:val="auto"/>
                <w:w w:val="92"/>
              </w:rPr>
              <w:t xml:space="preserve">Rate </w:t>
            </w:r>
            <w:r>
              <w:rPr>
                <w:rFonts w:ascii="Arial" w:cs="Arial" w:eastAsia="Arial" w:hAnsi="Arial"/>
                <w:sz w:val="26"/>
                <w:szCs w:val="26"/>
                <w:b w:val="1"/>
                <w:bCs w:val="1"/>
                <w:color w:val="auto"/>
                <w:w w:val="92"/>
                <w:vertAlign w:val="superscript"/>
              </w:rPr>
              <w:t>(4)</w:t>
            </w:r>
          </w:p>
        </w:tc>
        <w:tc>
          <w:tcPr>
            <w:tcW w:w="98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6"/>
                <w:szCs w:val="16"/>
                <w:b w:val="1"/>
                <w:bCs w:val="1"/>
                <w:color w:val="auto"/>
                <w:w w:val="94"/>
              </w:rPr>
              <w:t xml:space="preserve">Hierarchy </w:t>
            </w:r>
            <w:r>
              <w:rPr>
                <w:rFonts w:ascii="Arial" w:cs="Arial" w:eastAsia="Arial" w:hAnsi="Arial"/>
                <w:sz w:val="26"/>
                <w:szCs w:val="26"/>
                <w:b w:val="1"/>
                <w:bCs w:val="1"/>
                <w:color w:val="auto"/>
                <w:w w:val="94"/>
                <w:vertAlign w:val="superscript"/>
              </w:rPr>
              <w:t>(5)</w:t>
            </w:r>
          </w:p>
        </w:tc>
        <w:tc>
          <w:tcPr>
            <w:tcW w:w="1120" w:type="dxa"/>
            <w:vAlign w:val="bottom"/>
            <w:tcBorders>
              <w:bottom w:val="single" w:sz="8" w:color="auto"/>
            </w:tcBorders>
          </w:tcPr>
          <w:p>
            <w:pPr>
              <w:jc w:val="center"/>
              <w:ind w:right="116"/>
              <w:spacing w:after="0" w:line="231" w:lineRule="exact"/>
              <w:rPr>
                <w:sz w:val="20"/>
                <w:szCs w:val="20"/>
                <w:color w:val="auto"/>
              </w:rPr>
            </w:pPr>
            <w:r>
              <w:rPr>
                <w:rFonts w:ascii="Arial" w:cs="Arial" w:eastAsia="Arial" w:hAnsi="Arial"/>
                <w:sz w:val="16"/>
                <w:szCs w:val="16"/>
                <w:b w:val="1"/>
                <w:bCs w:val="1"/>
                <w:color w:val="auto"/>
                <w:w w:val="90"/>
              </w:rPr>
              <w:t xml:space="preserve">Region </w:t>
            </w:r>
            <w:r>
              <w:rPr>
                <w:rFonts w:ascii="Arial" w:cs="Arial" w:eastAsia="Arial" w:hAnsi="Arial"/>
                <w:sz w:val="26"/>
                <w:szCs w:val="26"/>
                <w:b w:val="1"/>
                <w:bCs w:val="1"/>
                <w:color w:val="auto"/>
                <w:w w:val="90"/>
                <w:vertAlign w:val="superscript"/>
              </w:rPr>
              <w:t>(6)</w:t>
            </w:r>
          </w:p>
        </w:tc>
        <w:tc>
          <w:tcPr>
            <w:tcW w:w="940" w:type="dxa"/>
            <w:vAlign w:val="bottom"/>
            <w:tcBorders>
              <w:bottom w:val="single" w:sz="8" w:color="auto"/>
            </w:tcBorders>
          </w:tcPr>
          <w:p>
            <w:pPr>
              <w:jc w:val="center"/>
              <w:ind w:right="196"/>
              <w:spacing w:after="0" w:line="231" w:lineRule="exact"/>
              <w:rPr>
                <w:sz w:val="20"/>
                <w:szCs w:val="20"/>
                <w:color w:val="auto"/>
              </w:rPr>
            </w:pPr>
            <w:r>
              <w:rPr>
                <w:rFonts w:ascii="Arial" w:cs="Arial" w:eastAsia="Arial" w:hAnsi="Arial"/>
                <w:sz w:val="16"/>
                <w:szCs w:val="16"/>
                <w:b w:val="1"/>
                <w:bCs w:val="1"/>
                <w:color w:val="auto"/>
                <w:w w:val="83"/>
              </w:rPr>
              <w:t xml:space="preserve">Asset </w:t>
            </w:r>
            <w:r>
              <w:rPr>
                <w:rFonts w:ascii="Arial" w:cs="Arial" w:eastAsia="Arial" w:hAnsi="Arial"/>
                <w:sz w:val="26"/>
                <w:szCs w:val="26"/>
                <w:b w:val="1"/>
                <w:bCs w:val="1"/>
                <w:color w:val="auto"/>
                <w:w w:val="83"/>
                <w:vertAlign w:val="superscript"/>
              </w:rPr>
              <w:t>(7)</w:t>
            </w:r>
          </w:p>
        </w:tc>
        <w:tc>
          <w:tcPr>
            <w:tcW w:w="900" w:type="dxa"/>
            <w:vAlign w:val="bottom"/>
            <w:tcBorders>
              <w:bottom w:val="single" w:sz="8" w:color="auto"/>
            </w:tcBorders>
            <w:gridSpan w:val="3"/>
          </w:tcPr>
          <w:p>
            <w:pPr>
              <w:spacing w:after="0" w:line="231" w:lineRule="exact"/>
              <w:rPr>
                <w:sz w:val="20"/>
                <w:szCs w:val="20"/>
                <w:color w:val="auto"/>
              </w:rPr>
            </w:pPr>
            <w:r>
              <w:rPr>
                <w:rFonts w:ascii="Arial" w:cs="Arial" w:eastAsia="Arial" w:hAnsi="Arial"/>
                <w:sz w:val="16"/>
                <w:szCs w:val="16"/>
                <w:b w:val="1"/>
                <w:bCs w:val="1"/>
                <w:color w:val="auto"/>
              </w:rPr>
              <w:t xml:space="preserve">Amount </w:t>
            </w:r>
            <w:r>
              <w:rPr>
                <w:rFonts w:ascii="Arial" w:cs="Arial" w:eastAsia="Arial" w:hAnsi="Arial"/>
                <w:sz w:val="26"/>
                <w:szCs w:val="26"/>
                <w:b w:val="1"/>
                <w:bCs w:val="1"/>
                <w:color w:val="auto"/>
                <w:vertAlign w:val="superscript"/>
              </w:rPr>
              <w:t>(8)</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Cost</w:t>
            </w:r>
          </w:p>
        </w:tc>
        <w:tc>
          <w:tcPr>
            <w:tcW w:w="720" w:type="dxa"/>
            <w:vAlign w:val="bottom"/>
            <w:tcBorders>
              <w:bottom w:val="single" w:sz="8" w:color="auto"/>
            </w:tcBorders>
            <w:gridSpan w:val="3"/>
          </w:tcPr>
          <w:p>
            <w:pPr>
              <w:spacing w:after="0" w:line="231" w:lineRule="exact"/>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26"/>
                <w:szCs w:val="26"/>
                <w:b w:val="1"/>
                <w:bCs w:val="1"/>
                <w:color w:val="auto"/>
                <w:vertAlign w:val="superscript"/>
              </w:rPr>
              <w:t>(9)</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96"/>
              </w:rPr>
              <w:t>Assets</w:t>
            </w:r>
          </w:p>
        </w:tc>
        <w:tc>
          <w:tcPr>
            <w:tcW w:w="0" w:type="dxa"/>
            <w:vAlign w:val="bottom"/>
          </w:tcPr>
          <w:p>
            <w:pPr>
              <w:spacing w:after="0"/>
              <w:rPr>
                <w:sz w:val="1"/>
                <w:szCs w:val="1"/>
                <w:color w:val="auto"/>
              </w:rPr>
            </w:pPr>
          </w:p>
        </w:tc>
      </w:tr>
      <w:tr>
        <w:trPr>
          <w:trHeight w:val="188"/>
        </w:trPr>
        <w:tc>
          <w:tcPr>
            <w:tcW w:w="15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Debt Securities -</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60" w:type="dxa"/>
            <w:vAlign w:val="bottom"/>
            <w:gridSpan w:val="2"/>
          </w:tcPr>
          <w:p>
            <w:pPr>
              <w:ind w:left="160"/>
              <w:spacing w:after="0" w:line="193" w:lineRule="exact"/>
              <w:rPr>
                <w:sz w:val="20"/>
                <w:szCs w:val="20"/>
                <w:color w:val="auto"/>
              </w:rPr>
            </w:pPr>
            <w:r>
              <w:rPr>
                <w:rFonts w:ascii="Arial" w:cs="Arial" w:eastAsia="Arial" w:hAnsi="Arial"/>
                <w:sz w:val="17"/>
                <w:szCs w:val="17"/>
                <w:b w:val="1"/>
                <w:bCs w:val="1"/>
                <w:color w:val="auto"/>
              </w:rPr>
              <w:t>United States</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tcBorders>
            <w:gridSpan w:val="2"/>
          </w:tcPr>
          <w:p>
            <w:pPr>
              <w:spacing w:after="0" w:line="231" w:lineRule="exact"/>
              <w:rPr>
                <w:sz w:val="20"/>
                <w:szCs w:val="20"/>
                <w:color w:val="auto"/>
              </w:rPr>
            </w:pPr>
            <w:r>
              <w:rPr>
                <w:rFonts w:ascii="Arial" w:cs="Arial" w:eastAsia="Arial" w:hAnsi="Arial"/>
                <w:sz w:val="16"/>
                <w:szCs w:val="16"/>
                <w:b w:val="1"/>
                <w:bCs w:val="1"/>
                <w:color w:val="auto"/>
                <w:w w:val="94"/>
              </w:rPr>
              <w:t xml:space="preserve">Wholesale Trade </w:t>
            </w:r>
            <w:r>
              <w:rPr>
                <w:rFonts w:ascii="Arial" w:cs="Arial" w:eastAsia="Arial" w:hAnsi="Arial"/>
                <w:sz w:val="26"/>
                <w:szCs w:val="26"/>
                <w:b w:val="1"/>
                <w:bCs w:val="1"/>
                <w:color w:val="auto"/>
                <w:w w:val="94"/>
                <w:vertAlign w:val="superscript"/>
              </w:rPr>
              <w:t>(10)</w:t>
            </w:r>
          </w:p>
        </w:tc>
        <w:tc>
          <w:tcPr>
            <w:tcW w:w="4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6"/>
              </w:rPr>
              <w:t>Fixed</w:t>
            </w: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8"/>
              </w:rPr>
              <w:t>Curaleaf Holdings,</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Inc.</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6"/>
              </w:rPr>
              <w:t>Secured Note</w:t>
            </w:r>
          </w:p>
        </w:tc>
        <w:tc>
          <w:tcPr>
            <w:tcW w:w="23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w w:val="91"/>
              </w:rPr>
              <w:t>10/11/2022 12/15/2026 rate 8.0%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89"/>
              </w:rPr>
              <w:t>Northeast</w:t>
            </w:r>
          </w:p>
        </w:tc>
        <w:tc>
          <w:tcPr>
            <w:tcW w:w="940" w:type="dxa"/>
            <w:vAlign w:val="bottom"/>
            <w:shd w:val="clear" w:color="auto" w:fill="CCEEFF"/>
          </w:tcPr>
          <w:p>
            <w:pPr>
              <w:jc w:val="center"/>
              <w:ind w:right="196"/>
              <w:spacing w:after="0"/>
              <w:rPr>
                <w:sz w:val="20"/>
                <w:szCs w:val="20"/>
                <w:color w:val="auto"/>
              </w:rPr>
            </w:pPr>
            <w:r>
              <w:rPr>
                <w:rFonts w:ascii="Arial" w:cs="Arial" w:eastAsia="Arial" w:hAnsi="Arial"/>
                <w:sz w:val="17"/>
                <w:szCs w:val="17"/>
                <w:color w:val="auto"/>
                <w:w w:val="88"/>
              </w:rPr>
              <w:t>Yes</w:t>
            </w:r>
          </w:p>
        </w:tc>
        <w:tc>
          <w:tcPr>
            <w:tcW w:w="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3,954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1"/>
              </w:rPr>
              <w:t>rate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center"/>
              <w:spacing w:after="0" w:line="227" w:lineRule="exact"/>
              <w:rPr>
                <w:sz w:val="20"/>
                <w:szCs w:val="20"/>
                <w:color w:val="auto"/>
              </w:rPr>
            </w:pPr>
            <w:r>
              <w:rPr>
                <w:rFonts w:ascii="Arial" w:cs="Arial" w:eastAsia="Arial" w:hAnsi="Arial"/>
                <w:sz w:val="16"/>
                <w:szCs w:val="16"/>
                <w:color w:val="auto"/>
                <w:w w:val="93"/>
              </w:rPr>
              <w:t>PRIME</w:t>
            </w:r>
            <w:r>
              <w:rPr>
                <w:rFonts w:ascii="Arial" w:cs="Arial" w:eastAsia="Arial" w:hAnsi="Arial"/>
                <w:sz w:val="26"/>
                <w:szCs w:val="26"/>
                <w:color w:val="auto"/>
                <w:w w:val="93"/>
                <w:vertAlign w:val="superscript"/>
              </w:rPr>
              <w:t>(11)</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vMerge w:val="restart"/>
          </w:tcPr>
          <w:p>
            <w:pPr>
              <w:jc w:val="center"/>
              <w:spacing w:after="0" w:line="179" w:lineRule="exact"/>
              <w:rPr>
                <w:sz w:val="20"/>
                <w:szCs w:val="20"/>
                <w:color w:val="auto"/>
              </w:rPr>
            </w:pPr>
            <w:r>
              <w:rPr>
                <w:rFonts w:ascii="Arial" w:cs="Arial" w:eastAsia="Arial" w:hAnsi="Arial"/>
                <w:sz w:val="17"/>
                <w:szCs w:val="17"/>
                <w:color w:val="auto"/>
                <w:w w:val="92"/>
              </w:rPr>
              <w:t>+ 8.75%</w:t>
            </w: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color w:val="auto"/>
                <w:w w:val="98"/>
              </w:rPr>
              <w:t>Secured First</w:t>
            </w: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jc w:val="center"/>
              <w:spacing w:after="0" w:line="179" w:lineRule="exact"/>
              <w:rPr>
                <w:sz w:val="20"/>
                <w:szCs w:val="20"/>
                <w:color w:val="auto"/>
              </w:rPr>
            </w:pPr>
            <w:r>
              <w:rPr>
                <w:rFonts w:ascii="Arial" w:cs="Arial" w:eastAsia="Arial" w:hAnsi="Arial"/>
                <w:sz w:val="17"/>
                <w:szCs w:val="17"/>
                <w:color w:val="auto"/>
                <w:w w:val="89"/>
              </w:rPr>
              <w:t>(7.5%</w:t>
            </w: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620" w:type="dxa"/>
            <w:vAlign w:val="bottom"/>
            <w:gridSpan w:val="4"/>
            <w:vMerge w:val="restart"/>
          </w:tcPr>
          <w:p>
            <w:pPr>
              <w:ind w:left="160"/>
              <w:spacing w:after="0"/>
              <w:rPr>
                <w:sz w:val="20"/>
                <w:szCs w:val="20"/>
                <w:color w:val="auto"/>
              </w:rPr>
            </w:pPr>
            <w:r>
              <w:rPr>
                <w:rFonts w:ascii="Arial" w:cs="Arial" w:eastAsia="Arial" w:hAnsi="Arial"/>
                <w:sz w:val="17"/>
                <w:szCs w:val="17"/>
                <w:color w:val="auto"/>
              </w:rPr>
              <w:t>Dreamfields Brands, Lien Term</w:t>
            </w: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2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center"/>
              <w:spacing w:after="0" w:line="166" w:lineRule="exact"/>
              <w:rPr>
                <w:sz w:val="20"/>
                <w:szCs w:val="20"/>
                <w:color w:val="auto"/>
              </w:rPr>
            </w:pPr>
            <w:r>
              <w:rPr>
                <w:rFonts w:ascii="Arial" w:cs="Arial" w:eastAsia="Arial" w:hAnsi="Arial"/>
                <w:sz w:val="17"/>
                <w:szCs w:val="17"/>
                <w:color w:val="auto"/>
                <w:w w:val="96"/>
              </w:rPr>
              <w:t>PRIME</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00"/>
              <w:spacing w:after="0"/>
              <w:rPr>
                <w:sz w:val="20"/>
                <w:szCs w:val="20"/>
                <w:color w:val="auto"/>
              </w:rPr>
            </w:pPr>
            <w:r>
              <w:rPr>
                <w:rFonts w:ascii="Arial" w:cs="Arial" w:eastAsia="Arial" w:hAnsi="Arial"/>
                <w:sz w:val="17"/>
                <w:szCs w:val="17"/>
                <w:color w:val="auto"/>
                <w:w w:val="93"/>
              </w:rPr>
              <w:t>Inc. (d/b/a Jeeter)</w:t>
            </w:r>
          </w:p>
        </w:tc>
        <w:tc>
          <w:tcPr>
            <w:tcW w:w="1060" w:type="dxa"/>
            <w:vAlign w:val="bottom"/>
            <w:gridSpan w:val="2"/>
          </w:tcPr>
          <w:p>
            <w:pPr>
              <w:ind w:left="40"/>
              <w:spacing w:after="0"/>
              <w:rPr>
                <w:sz w:val="20"/>
                <w:szCs w:val="20"/>
                <w:color w:val="auto"/>
              </w:rPr>
            </w:pPr>
            <w:r>
              <w:rPr>
                <w:rFonts w:ascii="Arial" w:cs="Arial" w:eastAsia="Arial" w:hAnsi="Arial"/>
                <w:sz w:val="17"/>
                <w:szCs w:val="17"/>
                <w:color w:val="auto"/>
              </w:rPr>
              <w:t>Loan</w:t>
            </w: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5/3/2023</w:t>
            </w:r>
          </w:p>
        </w:tc>
        <w:tc>
          <w:tcPr>
            <w:tcW w:w="780" w:type="dxa"/>
            <w:vAlign w:val="bottom"/>
          </w:tcPr>
          <w:p>
            <w:pPr>
              <w:jc w:val="right"/>
              <w:spacing w:after="0"/>
              <w:rPr>
                <w:sz w:val="20"/>
                <w:szCs w:val="20"/>
                <w:color w:val="auto"/>
              </w:rPr>
            </w:pPr>
            <w:r>
              <w:rPr>
                <w:rFonts w:ascii="Arial" w:cs="Arial" w:eastAsia="Arial" w:hAnsi="Arial"/>
                <w:sz w:val="17"/>
                <w:szCs w:val="17"/>
                <w:color w:val="auto"/>
              </w:rPr>
              <w:t>5/3/2026</w:t>
            </w:r>
          </w:p>
        </w:tc>
        <w:tc>
          <w:tcPr>
            <w:tcW w:w="780" w:type="dxa"/>
            <w:vAlign w:val="bottom"/>
          </w:tcPr>
          <w:p>
            <w:pPr>
              <w:jc w:val="center"/>
              <w:spacing w:after="0"/>
              <w:rPr>
                <w:sz w:val="20"/>
                <w:szCs w:val="20"/>
                <w:color w:val="auto"/>
              </w:rPr>
            </w:pPr>
            <w:r>
              <w:rPr>
                <w:rFonts w:ascii="Arial" w:cs="Arial" w:eastAsia="Arial" w:hAnsi="Arial"/>
                <w:sz w:val="17"/>
                <w:szCs w:val="17"/>
                <w:color w:val="auto"/>
                <w:w w:val="99"/>
              </w:rPr>
              <w:t>Floor)</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120" w:type="dxa"/>
            <w:vAlign w:val="bottom"/>
          </w:tcPr>
          <w:p>
            <w:pPr>
              <w:jc w:val="center"/>
              <w:ind w:right="136"/>
              <w:spacing w:after="0"/>
              <w:rPr>
                <w:sz w:val="20"/>
                <w:szCs w:val="20"/>
                <w:color w:val="auto"/>
              </w:rPr>
            </w:pPr>
            <w:r>
              <w:rPr>
                <w:rFonts w:ascii="Arial" w:cs="Arial" w:eastAsia="Arial" w:hAnsi="Arial"/>
                <w:sz w:val="17"/>
                <w:szCs w:val="17"/>
                <w:color w:val="auto"/>
                <w:w w:val="87"/>
              </w:rPr>
              <w:t>West</w:t>
            </w:r>
          </w:p>
        </w:tc>
        <w:tc>
          <w:tcPr>
            <w:tcW w:w="940" w:type="dxa"/>
            <w:vAlign w:val="bottom"/>
          </w:tcPr>
          <w:p>
            <w:pPr>
              <w:jc w:val="center"/>
              <w:ind w:right="196"/>
              <w:spacing w:after="0"/>
              <w:rPr>
                <w:sz w:val="20"/>
                <w:szCs w:val="20"/>
                <w:color w:val="auto"/>
              </w:rPr>
            </w:pPr>
            <w:r>
              <w:rPr>
                <w:rFonts w:ascii="Arial" w:cs="Arial" w:eastAsia="Arial" w:hAnsi="Arial"/>
                <w:sz w:val="17"/>
                <w:szCs w:val="17"/>
                <w:color w:val="auto"/>
              </w:rPr>
              <w:t>No</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4,223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4,191</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192"/>
        </w:trPr>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rate</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line="240" w:lineRule="exact"/>
              <w:rPr>
                <w:sz w:val="20"/>
                <w:szCs w:val="20"/>
                <w:color w:val="auto"/>
              </w:rPr>
            </w:pPr>
            <w:r>
              <w:rPr>
                <w:rFonts w:ascii="Arial" w:cs="Arial" w:eastAsia="Arial" w:hAnsi="Arial"/>
                <w:sz w:val="16"/>
                <w:szCs w:val="16"/>
                <w:color w:val="auto"/>
                <w:w w:val="91"/>
              </w:rPr>
              <w:t>PRIME</w:t>
            </w:r>
            <w:r>
              <w:rPr>
                <w:rFonts w:ascii="Arial" w:cs="Arial" w:eastAsia="Arial" w:hAnsi="Arial"/>
                <w:sz w:val="27"/>
                <w:szCs w:val="27"/>
                <w:color w:val="auto"/>
                <w:w w:val="91"/>
                <w:vertAlign w:val="superscript"/>
              </w:rPr>
              <w:t>(11)</w:t>
            </w: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+ 5.75%</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Cash</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(6.25%</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PRIME</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8"/>
              </w:rPr>
              <w:t>Secured First</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Floor)</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 Term</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1.40%</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MariMed Inc.</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Loan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1/24/2023</w:t>
            </w:r>
          </w:p>
        </w:tc>
        <w:tc>
          <w:tcPr>
            <w:tcW w:w="7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1/24/2026</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PIK</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89"/>
              </w:rPr>
              <w:t>Northeast</w:t>
            </w:r>
          </w:p>
        </w:tc>
        <w:tc>
          <w:tcPr>
            <w:tcW w:w="940" w:type="dxa"/>
            <w:vAlign w:val="bottom"/>
            <w:shd w:val="clear" w:color="auto" w:fill="CCEEFF"/>
          </w:tcPr>
          <w:p>
            <w:pPr>
              <w:jc w:val="center"/>
              <w:ind w:right="196"/>
              <w:spacing w:after="0"/>
              <w:rPr>
                <w:sz w:val="20"/>
                <w:szCs w:val="20"/>
                <w:color w:val="auto"/>
              </w:rPr>
            </w:pPr>
            <w:r>
              <w:rPr>
                <w:rFonts w:ascii="Arial" w:cs="Arial" w:eastAsia="Arial" w:hAnsi="Arial"/>
                <w:sz w:val="17"/>
                <w:szCs w:val="17"/>
                <w:color w:val="auto"/>
              </w:rPr>
              <w:t>No</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4,121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96"/>
              </w:rPr>
              <w:t>Fixed</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160"/>
              <w:spacing w:after="0"/>
              <w:rPr>
                <w:sz w:val="20"/>
                <w:szCs w:val="20"/>
                <w:color w:val="auto"/>
              </w:rPr>
            </w:pPr>
            <w:r>
              <w:rPr>
                <w:rFonts w:ascii="Arial" w:cs="Arial" w:eastAsia="Arial" w:hAnsi="Arial"/>
                <w:sz w:val="17"/>
                <w:szCs w:val="17"/>
                <w:color w:val="auto"/>
              </w:rPr>
              <w:t>PharmaCann, Inc.</w:t>
            </w:r>
          </w:p>
        </w:tc>
        <w:tc>
          <w:tcPr>
            <w:tcW w:w="1060" w:type="dxa"/>
            <w:vAlign w:val="bottom"/>
            <w:gridSpan w:val="2"/>
          </w:tcPr>
          <w:p>
            <w:pPr>
              <w:ind w:left="40"/>
              <w:spacing w:after="0"/>
              <w:rPr>
                <w:sz w:val="20"/>
                <w:szCs w:val="20"/>
                <w:color w:val="auto"/>
              </w:rPr>
            </w:pPr>
            <w:r>
              <w:rPr>
                <w:rFonts w:ascii="Arial" w:cs="Arial" w:eastAsia="Arial" w:hAnsi="Arial"/>
                <w:sz w:val="17"/>
                <w:szCs w:val="17"/>
                <w:color w:val="auto"/>
                <w:w w:val="96"/>
              </w:rPr>
              <w:t>Secured Note</w:t>
            </w: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6/30/2022</w:t>
            </w:r>
          </w:p>
        </w:tc>
        <w:tc>
          <w:tcPr>
            <w:tcW w:w="1560" w:type="dxa"/>
            <w:vAlign w:val="bottom"/>
            <w:gridSpan w:val="2"/>
          </w:tcPr>
          <w:p>
            <w:pPr>
              <w:ind w:left="40"/>
              <w:spacing w:after="0"/>
              <w:rPr>
                <w:sz w:val="20"/>
                <w:szCs w:val="20"/>
                <w:color w:val="auto"/>
              </w:rPr>
            </w:pPr>
            <w:r>
              <w:rPr>
                <w:rFonts w:ascii="Arial" w:cs="Arial" w:eastAsia="Arial" w:hAnsi="Arial"/>
                <w:sz w:val="17"/>
                <w:szCs w:val="17"/>
                <w:color w:val="auto"/>
                <w:w w:val="92"/>
              </w:rPr>
              <w:t>6/30/2025 rate 12.0%</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120" w:type="dxa"/>
            <w:vAlign w:val="bottom"/>
          </w:tcPr>
          <w:p>
            <w:pPr>
              <w:jc w:val="center"/>
              <w:ind w:right="116"/>
              <w:spacing w:after="0"/>
              <w:rPr>
                <w:sz w:val="20"/>
                <w:szCs w:val="20"/>
                <w:color w:val="auto"/>
              </w:rPr>
            </w:pPr>
            <w:r>
              <w:rPr>
                <w:rFonts w:ascii="Arial" w:cs="Arial" w:eastAsia="Arial" w:hAnsi="Arial"/>
                <w:sz w:val="17"/>
                <w:szCs w:val="17"/>
                <w:color w:val="auto"/>
                <w:w w:val="96"/>
              </w:rPr>
              <w:t>Midwest</w:t>
            </w:r>
          </w:p>
        </w:tc>
        <w:tc>
          <w:tcPr>
            <w:tcW w:w="940" w:type="dxa"/>
            <w:vAlign w:val="bottom"/>
          </w:tcPr>
          <w:p>
            <w:pPr>
              <w:jc w:val="center"/>
              <w:ind w:right="196"/>
              <w:spacing w:after="0"/>
              <w:rPr>
                <w:sz w:val="20"/>
                <w:szCs w:val="20"/>
                <w:color w:val="auto"/>
              </w:rPr>
            </w:pPr>
            <w:r>
              <w:rPr>
                <w:rFonts w:ascii="Arial" w:cs="Arial" w:eastAsia="Arial" w:hAnsi="Arial"/>
                <w:sz w:val="17"/>
                <w:szCs w:val="17"/>
                <w:color w:val="auto"/>
              </w:rPr>
              <w:t>No</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4,089</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3,868</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192"/>
        </w:trPr>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1"/>
              </w:rPr>
              <w:t>rate</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line="240" w:lineRule="exact"/>
              <w:rPr>
                <w:sz w:val="20"/>
                <w:szCs w:val="20"/>
                <w:color w:val="auto"/>
              </w:rPr>
            </w:pPr>
            <w:r>
              <w:rPr>
                <w:rFonts w:ascii="Arial" w:cs="Arial" w:eastAsia="Arial" w:hAnsi="Arial"/>
                <w:sz w:val="16"/>
                <w:szCs w:val="16"/>
                <w:color w:val="auto"/>
                <w:w w:val="91"/>
              </w:rPr>
              <w:t>PRIME</w:t>
            </w:r>
            <w:r>
              <w:rPr>
                <w:rFonts w:ascii="Arial" w:cs="Arial" w:eastAsia="Arial" w:hAnsi="Arial"/>
                <w:sz w:val="27"/>
                <w:szCs w:val="27"/>
                <w:color w:val="auto"/>
                <w:w w:val="91"/>
                <w:vertAlign w:val="superscript"/>
              </w:rPr>
              <w:t>(11)</w:t>
            </w: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+ 8.5%</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(4.0%</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STIIIZY, Inc. (f/k/a</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8"/>
              </w:rPr>
              <w:t>Secured First</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PRIME</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Shryne Group</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 Term</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Floor)</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Inc.)</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Loan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5/26/2022</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9"/>
              </w:rPr>
              <w:t>5/26/2026 1.0% PIK</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87"/>
              </w:rPr>
              <w:t>West</w:t>
            </w:r>
          </w:p>
        </w:tc>
        <w:tc>
          <w:tcPr>
            <w:tcW w:w="940" w:type="dxa"/>
            <w:vAlign w:val="bottom"/>
            <w:shd w:val="clear" w:color="auto" w:fill="CCEEFF"/>
          </w:tcPr>
          <w:p>
            <w:pPr>
              <w:jc w:val="center"/>
              <w:ind w:right="196"/>
              <w:spacing w:after="0"/>
              <w:rPr>
                <w:sz w:val="20"/>
                <w:szCs w:val="20"/>
                <w:color w:val="auto"/>
              </w:rPr>
            </w:pPr>
            <w:r>
              <w:rPr>
                <w:rFonts w:ascii="Arial" w:cs="Arial" w:eastAsia="Arial" w:hAnsi="Arial"/>
                <w:sz w:val="17"/>
                <w:szCs w:val="17"/>
                <w:color w:val="auto"/>
              </w:rPr>
              <w:t>No</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20,613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interest</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1"/>
              </w:rPr>
              <w:t>rate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jc w:val="center"/>
              <w:spacing w:after="0" w:line="240" w:lineRule="exact"/>
              <w:rPr>
                <w:sz w:val="20"/>
                <w:szCs w:val="20"/>
                <w:color w:val="auto"/>
              </w:rPr>
            </w:pPr>
            <w:r>
              <w:rPr>
                <w:rFonts w:ascii="Arial" w:cs="Arial" w:eastAsia="Arial" w:hAnsi="Arial"/>
                <w:sz w:val="16"/>
                <w:szCs w:val="16"/>
                <w:color w:val="auto"/>
                <w:w w:val="91"/>
              </w:rPr>
              <w:t>PRIME</w:t>
            </w:r>
            <w:r>
              <w:rPr>
                <w:rFonts w:ascii="Arial" w:cs="Arial" w:eastAsia="Arial" w:hAnsi="Arial"/>
                <w:sz w:val="27"/>
                <w:szCs w:val="27"/>
                <w:color w:val="auto"/>
                <w:w w:val="91"/>
                <w:vertAlign w:val="superscript"/>
              </w:rPr>
              <w:t>(11)</w:t>
            </w: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color w:val="auto"/>
              </w:rPr>
              <w:t>Senior</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+ 6.5%</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color w:val="auto"/>
                <w:w w:val="98"/>
              </w:rPr>
              <w:t>Secured First</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(6.25%</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ind w:left="160"/>
              <w:spacing w:after="0"/>
              <w:rPr>
                <w:sz w:val="20"/>
                <w:szCs w:val="20"/>
                <w:color w:val="auto"/>
              </w:rPr>
            </w:pPr>
            <w:r>
              <w:rPr>
                <w:rFonts w:ascii="Arial" w:cs="Arial" w:eastAsia="Arial" w:hAnsi="Arial"/>
                <w:sz w:val="17"/>
                <w:szCs w:val="17"/>
                <w:color w:val="auto"/>
              </w:rPr>
              <w:t>Verano Holdings</w:t>
            </w:r>
          </w:p>
        </w:tc>
        <w:tc>
          <w:tcPr>
            <w:tcW w:w="1060" w:type="dxa"/>
            <w:vAlign w:val="bottom"/>
            <w:gridSpan w:val="2"/>
          </w:tcPr>
          <w:p>
            <w:pPr>
              <w:ind w:left="40"/>
              <w:spacing w:after="0"/>
              <w:rPr>
                <w:sz w:val="20"/>
                <w:szCs w:val="20"/>
                <w:color w:val="auto"/>
              </w:rPr>
            </w:pPr>
            <w:r>
              <w:rPr>
                <w:rFonts w:ascii="Arial" w:cs="Arial" w:eastAsia="Arial" w:hAnsi="Arial"/>
                <w:sz w:val="17"/>
                <w:szCs w:val="17"/>
                <w:color w:val="auto"/>
              </w:rPr>
              <w:t>Lien Term</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6"/>
              </w:rPr>
              <w:t>PRIME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300"/>
              <w:spacing w:after="0"/>
              <w:rPr>
                <w:sz w:val="20"/>
                <w:szCs w:val="20"/>
                <w:color w:val="auto"/>
              </w:rPr>
            </w:pPr>
            <w:r>
              <w:rPr>
                <w:rFonts w:ascii="Arial" w:cs="Arial" w:eastAsia="Arial" w:hAnsi="Arial"/>
                <w:sz w:val="17"/>
                <w:szCs w:val="17"/>
                <w:color w:val="auto"/>
              </w:rPr>
              <w:t>Corp.</w:t>
            </w:r>
          </w:p>
        </w:tc>
        <w:tc>
          <w:tcPr>
            <w:tcW w:w="1060" w:type="dxa"/>
            <w:vAlign w:val="bottom"/>
            <w:gridSpan w:val="2"/>
          </w:tcPr>
          <w:p>
            <w:pPr>
              <w:ind w:left="40"/>
              <w:spacing w:after="0"/>
              <w:rPr>
                <w:sz w:val="20"/>
                <w:szCs w:val="20"/>
                <w:color w:val="auto"/>
              </w:rPr>
            </w:pPr>
            <w:r>
              <w:rPr>
                <w:rFonts w:ascii="Arial" w:cs="Arial" w:eastAsia="Arial" w:hAnsi="Arial"/>
                <w:sz w:val="17"/>
                <w:szCs w:val="17"/>
                <w:color w:val="auto"/>
              </w:rPr>
              <w:t>Loan</w:t>
            </w:r>
          </w:p>
        </w:tc>
        <w:tc>
          <w:tcPr>
            <w:tcW w:w="1600" w:type="dxa"/>
            <w:vAlign w:val="bottom"/>
            <w:gridSpan w:val="2"/>
          </w:tcPr>
          <w:p>
            <w:pPr>
              <w:ind w:left="20"/>
              <w:spacing w:after="0"/>
              <w:rPr>
                <w:sz w:val="20"/>
                <w:szCs w:val="20"/>
                <w:color w:val="auto"/>
              </w:rPr>
            </w:pPr>
            <w:r>
              <w:rPr>
                <w:rFonts w:ascii="Arial" w:cs="Arial" w:eastAsia="Arial" w:hAnsi="Arial"/>
                <w:sz w:val="17"/>
                <w:szCs w:val="17"/>
                <w:color w:val="auto"/>
                <w:w w:val="89"/>
              </w:rPr>
              <w:t>10/27/2022 10/30/2026</w:t>
            </w:r>
          </w:p>
        </w:tc>
        <w:tc>
          <w:tcPr>
            <w:tcW w:w="780" w:type="dxa"/>
            <w:vAlign w:val="bottom"/>
          </w:tcPr>
          <w:p>
            <w:pPr>
              <w:jc w:val="center"/>
              <w:spacing w:after="0"/>
              <w:rPr>
                <w:sz w:val="20"/>
                <w:szCs w:val="20"/>
                <w:color w:val="auto"/>
              </w:rPr>
            </w:pPr>
            <w:r>
              <w:rPr>
                <w:rFonts w:ascii="Arial" w:cs="Arial" w:eastAsia="Arial" w:hAnsi="Arial"/>
                <w:sz w:val="17"/>
                <w:szCs w:val="17"/>
                <w:color w:val="auto"/>
                <w:w w:val="99"/>
              </w:rPr>
              <w:t>Floor)</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120" w:type="dxa"/>
            <w:vAlign w:val="bottom"/>
          </w:tcPr>
          <w:p>
            <w:pPr>
              <w:jc w:val="center"/>
              <w:ind w:right="116"/>
              <w:spacing w:after="0"/>
              <w:rPr>
                <w:sz w:val="20"/>
                <w:szCs w:val="20"/>
                <w:color w:val="auto"/>
              </w:rPr>
            </w:pPr>
            <w:r>
              <w:rPr>
                <w:rFonts w:ascii="Arial" w:cs="Arial" w:eastAsia="Arial" w:hAnsi="Arial"/>
                <w:sz w:val="17"/>
                <w:szCs w:val="17"/>
                <w:color w:val="auto"/>
                <w:w w:val="96"/>
              </w:rPr>
              <w:t>Midwest</w:t>
            </w:r>
          </w:p>
        </w:tc>
        <w:tc>
          <w:tcPr>
            <w:tcW w:w="940" w:type="dxa"/>
            <w:vAlign w:val="bottom"/>
          </w:tcPr>
          <w:p>
            <w:pPr>
              <w:jc w:val="center"/>
              <w:ind w:right="196"/>
              <w:spacing w:after="0"/>
              <w:rPr>
                <w:sz w:val="20"/>
                <w:szCs w:val="20"/>
                <w:color w:val="auto"/>
              </w:rPr>
            </w:pPr>
            <w:r>
              <w:rPr>
                <w:rFonts w:ascii="Arial" w:cs="Arial" w:eastAsia="Arial" w:hAnsi="Arial"/>
                <w:sz w:val="17"/>
                <w:szCs w:val="17"/>
                <w:color w:val="auto"/>
                <w:w w:val="88"/>
              </w:rPr>
              <w:t>Yes</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20,489</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20,579</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09"/>
        </w:trPr>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57,488</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57,381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b w:val="1"/>
                <w:bCs w:val="1"/>
                <w:color w:val="auto"/>
                <w:w w:val="91"/>
              </w:rPr>
              <w:t>Total: Debt Securities -United States (65.66%):</w:t>
            </w: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57,488</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57,381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16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Total: Debt Securities (65.66%):</w:t>
            </w: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57,488</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57,381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Total Investment in Securities (65.66%):</w:t>
            </w: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57,488</w:t>
            </w: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57,381</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65.66%</w:t>
            </w:r>
          </w:p>
        </w:tc>
        <w:tc>
          <w:tcPr>
            <w:tcW w:w="0" w:type="dxa"/>
            <w:vAlign w:val="bottom"/>
          </w:tcPr>
          <w:p>
            <w:pPr>
              <w:spacing w:after="0"/>
              <w:rPr>
                <w:sz w:val="1"/>
                <w:szCs w:val="1"/>
                <w:color w:val="auto"/>
              </w:rPr>
            </w:pPr>
          </w:p>
        </w:tc>
      </w:tr>
      <w:tr>
        <w:trPr>
          <w:trHeight w:val="195"/>
        </w:trPr>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equivalents</w:t>
            </w: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20" w:type="dxa"/>
            <w:vAlign w:val="bottom"/>
            <w:gridSpan w:val="6"/>
          </w:tcPr>
          <w:p>
            <w:pPr>
              <w:ind w:left="160"/>
              <w:spacing w:after="0" w:line="180" w:lineRule="exact"/>
              <w:rPr>
                <w:sz w:val="20"/>
                <w:szCs w:val="20"/>
                <w:color w:val="auto"/>
              </w:rPr>
            </w:pPr>
            <w:r>
              <w:rPr>
                <w:rFonts w:ascii="Arial" w:cs="Arial" w:eastAsia="Arial" w:hAnsi="Arial"/>
                <w:sz w:val="17"/>
                <w:szCs w:val="17"/>
                <w:color w:val="auto"/>
                <w:w w:val="94"/>
              </w:rPr>
              <w:t>State Street Institutional U.S. Government Money Market</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560" w:type="dxa"/>
            <w:vAlign w:val="bottom"/>
            <w:gridSpan w:val="2"/>
          </w:tcPr>
          <w:p>
            <w:pPr>
              <w:ind w:left="300"/>
              <w:spacing w:after="0" w:line="227" w:lineRule="exact"/>
              <w:rPr>
                <w:sz w:val="20"/>
                <w:szCs w:val="20"/>
                <w:color w:val="auto"/>
              </w:rPr>
            </w:pPr>
            <w:r>
              <w:rPr>
                <w:rFonts w:ascii="Arial" w:cs="Arial" w:eastAsia="Arial" w:hAnsi="Arial"/>
                <w:sz w:val="16"/>
                <w:szCs w:val="16"/>
                <w:color w:val="auto"/>
              </w:rPr>
              <w:t xml:space="preserve">Fund </w:t>
            </w:r>
            <w:r>
              <w:rPr>
                <w:rFonts w:ascii="Arial" w:cs="Arial" w:eastAsia="Arial" w:hAnsi="Arial"/>
                <w:sz w:val="26"/>
                <w:szCs w:val="26"/>
                <w:color w:val="auto"/>
                <w:vertAlign w:val="superscript"/>
              </w:rPr>
              <w:t>(12)</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29,821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29,821</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34.12%</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Cash equivalents (34.12%):</w:t>
            </w: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29,821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32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20" w:type="dxa"/>
            <w:vAlign w:val="bottom"/>
            <w:gridSpan w:val="6"/>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Total Portfolio Investments and Cash equivalents</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(99.78%):</w:t>
            </w: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87,309</w:t>
            </w: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87,202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99.78%</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920" w:hanging="536"/>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portfolio companies are located in the United States, as determined by the location of the portfolio company’s headquarters.</w:t>
      </w:r>
    </w:p>
    <w:p>
      <w:pPr>
        <w:spacing w:after="0" w:line="19" w:lineRule="exact"/>
        <w:rPr>
          <w:rFonts w:ascii="Arial" w:cs="Arial" w:eastAsia="Arial" w:hAnsi="Arial"/>
          <w:sz w:val="17"/>
          <w:szCs w:val="17"/>
          <w:color w:val="auto"/>
        </w:rPr>
      </w:pPr>
    </w:p>
    <w:p>
      <w:pPr>
        <w:ind w:left="920" w:hanging="536"/>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debt investment is non-income producing as of September 30, 2023.</w:t>
      </w:r>
    </w:p>
    <w:p>
      <w:pPr>
        <w:spacing w:after="0" w:line="8" w:lineRule="exact"/>
        <w:rPr>
          <w:rFonts w:ascii="Arial" w:cs="Arial" w:eastAsia="Arial" w:hAnsi="Arial"/>
          <w:sz w:val="17"/>
          <w:szCs w:val="17"/>
          <w:color w:val="auto"/>
        </w:rPr>
      </w:pPr>
    </w:p>
    <w:p>
      <w:pPr>
        <w:ind w:left="920" w:hanging="536"/>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 date represents the date of initial investment, at which date interest began accruing.</w:t>
      </w:r>
    </w:p>
    <w:p>
      <w:pPr>
        <w:spacing w:after="0" w:line="8" w:lineRule="exact"/>
        <w:rPr>
          <w:rFonts w:ascii="Arial" w:cs="Arial" w:eastAsia="Arial" w:hAnsi="Arial"/>
          <w:sz w:val="17"/>
          <w:szCs w:val="17"/>
          <w:color w:val="auto"/>
        </w:rPr>
      </w:pPr>
    </w:p>
    <w:p>
      <w:pPr>
        <w:ind w:left="920" w:hanging="536"/>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rate is the fixed or variable rate of the debt investments.</w:t>
      </w:r>
    </w:p>
    <w:p>
      <w:pPr>
        <w:spacing w:after="0" w:line="8" w:lineRule="exact"/>
        <w:rPr>
          <w:rFonts w:ascii="Arial" w:cs="Arial" w:eastAsia="Arial" w:hAnsi="Arial"/>
          <w:sz w:val="17"/>
          <w:szCs w:val="17"/>
          <w:color w:val="auto"/>
        </w:rPr>
      </w:pPr>
    </w:p>
    <w:p>
      <w:pPr>
        <w:ind w:left="920" w:hanging="536"/>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See Note 2 – Significant Accounting Policies and Note 4 — Fair Value of Financial Instruments in the accompanying notes to the financial statements.</w:t>
      </w:r>
    </w:p>
    <w:p>
      <w:pPr>
        <w:spacing w:after="0" w:line="31" w:lineRule="exact"/>
        <w:rPr>
          <w:rFonts w:ascii="Arial" w:cs="Arial" w:eastAsia="Arial" w:hAnsi="Arial"/>
          <w:sz w:val="15"/>
          <w:szCs w:val="15"/>
          <w:color w:val="auto"/>
        </w:rPr>
      </w:pPr>
    </w:p>
    <w:p>
      <w:pPr>
        <w:ind w:left="920" w:hanging="536"/>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Geographic regions are determined by the respective portfolio company’s headquarters’ location.</w:t>
      </w:r>
    </w:p>
    <w:p>
      <w:pPr>
        <w:spacing w:after="0" w:line="8" w:lineRule="exact"/>
        <w:rPr>
          <w:rFonts w:ascii="Arial" w:cs="Arial" w:eastAsia="Arial" w:hAnsi="Arial"/>
          <w:sz w:val="17"/>
          <w:szCs w:val="17"/>
          <w:color w:val="auto"/>
        </w:rPr>
      </w:pPr>
    </w:p>
    <w:p>
      <w:pPr>
        <w:ind w:left="920" w:hanging="536"/>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the Investment Company Act of 1940, as amended (the “1940 Act”), a business development company (“BDC”) may not acquire any “non-</w:t>
      </w:r>
    </w:p>
    <w:p>
      <w:pPr>
        <w:sectPr>
          <w:pgSz w:w="11900" w:h="16838" w:orient="portrait"/>
          <w:cols w:equalWidth="0" w:num="1">
            <w:col w:w="11340"/>
          </w:cols>
          <w:pgMar w:left="320" w:top="106" w:right="239" w:bottom="0" w:gutter="0" w:footer="0" w:header="0"/>
        </w:sectPr>
      </w:pPr>
    </w:p>
    <w:bookmarkStart w:id="9" w:name="page10"/>
    <w:bookmarkEnd w:id="9"/>
    <w:p>
      <w:pPr>
        <w:jc w:val="both"/>
        <w:ind w:left="540"/>
        <w:spacing w:after="0" w:line="255" w:lineRule="auto"/>
        <w:rPr>
          <w:sz w:val="20"/>
          <w:szCs w:val="20"/>
          <w:color w:val="auto"/>
        </w:rPr>
      </w:pPr>
      <w:r>
        <w:rPr>
          <w:rFonts w:ascii="Arial" w:cs="Arial" w:eastAsia="Arial" w:hAnsi="Arial"/>
          <w:sz w:val="17"/>
          <w:szCs w:val="17"/>
          <w:color w:val="auto"/>
        </w:rPr>
        <w:t>qualifying asset” (i.e., an asset other than assets of the type listed in Section 55(a) of the 1940 Act, which are referred to as “qualifying assets”), unless, at the time the acquisition is made, qualifying assets represent at least 70% of the BDC’s total assets. As of September 30, 2023 the aggregate fair value of non-qualifying assets is $24,596 or 27.6% of the Company’s total assets.</w:t>
      </w:r>
    </w:p>
    <w:p>
      <w:pPr>
        <w:ind w:left="540" w:hanging="53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Principal is net of repayments, if any, as per the terms of the debt instrument’s contract.</w:t>
      </w:r>
    </w:p>
    <w:p>
      <w:pPr>
        <w:spacing w:after="0" w:line="8" w:lineRule="exact"/>
        <w:rPr>
          <w:rFonts w:ascii="Arial" w:cs="Arial" w:eastAsia="Arial" w:hAnsi="Arial"/>
          <w:sz w:val="17"/>
          <w:szCs w:val="17"/>
          <w:color w:val="auto"/>
        </w:rPr>
      </w:pPr>
    </w:p>
    <w:p>
      <w:pPr>
        <w:ind w:left="540" w:hanging="53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investments were valued at fair value. See Note 4 — Fair Value of Financial Instruments in the accompanying notes to the financial statements.</w:t>
      </w:r>
    </w:p>
    <w:p>
      <w:pPr>
        <w:spacing w:after="0" w:line="31" w:lineRule="exact"/>
        <w:rPr>
          <w:rFonts w:ascii="Arial" w:cs="Arial" w:eastAsia="Arial" w:hAnsi="Arial"/>
          <w:sz w:val="15"/>
          <w:szCs w:val="15"/>
          <w:color w:val="auto"/>
        </w:rPr>
      </w:pPr>
    </w:p>
    <w:p>
      <w:pPr>
        <w:ind w:left="540" w:right="740" w:hanging="536"/>
        <w:spacing w:after="0" w:line="250"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uses the North American Industry Classification System (“NAICS”) code for classifying the industry grouping of its portfolio companies.</w:t>
      </w:r>
    </w:p>
    <w:p>
      <w:pPr>
        <w:ind w:left="540" w:hanging="53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September 30, 2023 PRIME is 8.50%.</w:t>
      </w:r>
    </w:p>
    <w:p>
      <w:pPr>
        <w:spacing w:after="0" w:line="8" w:lineRule="exact"/>
        <w:rPr>
          <w:rFonts w:ascii="Arial" w:cs="Arial" w:eastAsia="Arial" w:hAnsi="Arial"/>
          <w:sz w:val="17"/>
          <w:szCs w:val="17"/>
          <w:color w:val="auto"/>
        </w:rPr>
      </w:pPr>
    </w:p>
    <w:p>
      <w:pPr>
        <w:ind w:left="540" w:hanging="53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annualized seven-day yield as of September 30, 2023 is 5.29%.</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See notes to financial statements.</w:t>
      </w:r>
    </w:p>
    <w:p>
      <w:pPr>
        <w:spacing w:after="0" w:line="385"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31115</wp:posOffset>
            </wp:positionV>
            <wp:extent cx="71399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840"/>
          </w:cols>
          <w:pgMar w:left="700" w:top="127"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61"/>
        </w:trPr>
        <w:tc>
          <w:tcPr>
            <w:tcW w:w="9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gridSpan w:val="4"/>
          </w:tcPr>
          <w:p>
            <w:pPr>
              <w:jc w:val="center"/>
              <w:ind w:left="575"/>
              <w:spacing w:after="0"/>
              <w:rPr>
                <w:sz w:val="20"/>
                <w:szCs w:val="20"/>
                <w:color w:val="auto"/>
              </w:rPr>
            </w:pPr>
            <w:r>
              <w:rPr>
                <w:rFonts w:ascii="Arial" w:cs="Arial" w:eastAsia="Arial" w:hAnsi="Arial"/>
                <w:sz w:val="17"/>
                <w:szCs w:val="17"/>
                <w:b w:val="1"/>
                <w:bCs w:val="1"/>
                <w:color w:val="auto"/>
                <w:w w:val="99"/>
              </w:rPr>
              <w:t>SILVER SPIKE INVESTMENT CORP.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3"/>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gridSpan w:val="3"/>
          </w:tcPr>
          <w:p>
            <w:pPr>
              <w:jc w:val="center"/>
              <w:ind w:right="55"/>
              <w:spacing w:after="0"/>
              <w:rPr>
                <w:sz w:val="20"/>
                <w:szCs w:val="20"/>
                <w:color w:val="auto"/>
              </w:rPr>
            </w:pPr>
            <w:r>
              <w:rPr>
                <w:rFonts w:ascii="Arial" w:cs="Arial" w:eastAsia="Arial" w:hAnsi="Arial"/>
                <w:sz w:val="17"/>
                <w:szCs w:val="17"/>
                <w:b w:val="1"/>
                <w:bCs w:val="1"/>
                <w:color w:val="auto"/>
                <w:w w:val="87"/>
              </w:rPr>
              <w:t>Schedule of Investments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80" w:type="dxa"/>
            <w:vAlign w:val="bottom"/>
            <w:gridSpan w:val="3"/>
          </w:tcPr>
          <w:p>
            <w:pPr>
              <w:jc w:val="center"/>
              <w:ind w:right="35"/>
              <w:spacing w:after="0"/>
              <w:rPr>
                <w:sz w:val="20"/>
                <w:szCs w:val="20"/>
                <w:color w:val="auto"/>
              </w:rPr>
            </w:pPr>
            <w:r>
              <w:rPr>
                <w:rFonts w:ascii="Arial" w:cs="Arial" w:eastAsia="Arial" w:hAnsi="Arial"/>
                <w:sz w:val="17"/>
                <w:szCs w:val="17"/>
                <w:b w:val="1"/>
                <w:bCs w:val="1"/>
                <w:color w:val="auto"/>
                <w:w w:val="90"/>
              </w:rPr>
              <w:t>December 31, 2022</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0" w:type="dxa"/>
            <w:vAlign w:val="bottom"/>
            <w:gridSpan w:val="2"/>
          </w:tcPr>
          <w:p>
            <w:pPr>
              <w:jc w:val="center"/>
              <w:ind w:right="795"/>
              <w:spacing w:after="0"/>
              <w:rPr>
                <w:sz w:val="20"/>
                <w:szCs w:val="20"/>
                <w:color w:val="auto"/>
              </w:rPr>
            </w:pPr>
            <w:r>
              <w:rPr>
                <w:rFonts w:ascii="Arial" w:cs="Arial" w:eastAsia="Arial" w:hAnsi="Arial"/>
                <w:sz w:val="17"/>
                <w:szCs w:val="17"/>
                <w:b w:val="1"/>
                <w:bCs w:val="1"/>
                <w:color w:val="auto"/>
                <w:w w:val="88"/>
              </w:rPr>
              <w:t>(in thousands)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3"/>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jc w:val="center"/>
              <w:ind w:right="15"/>
              <w:spacing w:after="0"/>
              <w:rPr>
                <w:sz w:val="20"/>
                <w:szCs w:val="20"/>
                <w:color w:val="auto"/>
              </w:rPr>
            </w:pPr>
            <w:r>
              <w:rPr>
                <w:rFonts w:ascii="Arial" w:cs="Arial" w:eastAsia="Arial" w:hAnsi="Arial"/>
                <w:sz w:val="17"/>
                <w:szCs w:val="17"/>
                <w:b w:val="1"/>
                <w:bCs w:val="1"/>
                <w:color w:val="auto"/>
                <w:w w:val="87"/>
              </w:rPr>
              <w:t>Non-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7"/>
                <w:szCs w:val="17"/>
                <w:b w:val="1"/>
                <w:bCs w:val="1"/>
                <w:color w:val="auto"/>
              </w:rPr>
              <w:t>Type of</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w w:val="98"/>
              </w:rPr>
              <w:t>Investment Maturity</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Interest</w:t>
            </w:r>
          </w:p>
        </w:tc>
        <w:tc>
          <w:tcPr>
            <w:tcW w:w="1040" w:type="dxa"/>
            <w:vAlign w:val="bottom"/>
          </w:tcPr>
          <w:p>
            <w:pPr>
              <w:ind w:left="140"/>
              <w:spacing w:after="0"/>
              <w:rPr>
                <w:sz w:val="20"/>
                <w:szCs w:val="20"/>
                <w:color w:val="auto"/>
              </w:rPr>
            </w:pPr>
            <w:r>
              <w:rPr>
                <w:rFonts w:ascii="Arial" w:cs="Arial" w:eastAsia="Arial" w:hAnsi="Arial"/>
                <w:sz w:val="17"/>
                <w:szCs w:val="17"/>
                <w:b w:val="1"/>
                <w:bCs w:val="1"/>
                <w:color w:val="auto"/>
              </w:rPr>
              <w:t>Fair Value</w:t>
            </w:r>
          </w:p>
        </w:tc>
        <w:tc>
          <w:tcPr>
            <w:tcW w:w="1680" w:type="dxa"/>
            <w:vAlign w:val="bottom"/>
            <w:gridSpan w:val="2"/>
          </w:tcPr>
          <w:p>
            <w:pPr>
              <w:ind w:left="20"/>
              <w:spacing w:after="0"/>
              <w:rPr>
                <w:sz w:val="20"/>
                <w:szCs w:val="20"/>
                <w:color w:val="auto"/>
              </w:rPr>
            </w:pPr>
            <w:r>
              <w:rPr>
                <w:rFonts w:ascii="Arial" w:cs="Arial" w:eastAsia="Arial" w:hAnsi="Arial"/>
                <w:sz w:val="17"/>
                <w:szCs w:val="17"/>
                <w:b w:val="1"/>
                <w:bCs w:val="1"/>
                <w:color w:val="auto"/>
                <w:w w:val="92"/>
              </w:rPr>
              <w:t>GeographicQualifying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7"/>
                <w:szCs w:val="17"/>
                <w:b w:val="1"/>
                <w:bCs w:val="1"/>
                <w:color w:val="auto"/>
              </w:rPr>
              <w:t>Principal</w:t>
            </w:r>
          </w:p>
        </w:tc>
        <w:tc>
          <w:tcPr>
            <w:tcW w:w="860" w:type="dxa"/>
            <w:vAlign w:val="bottom"/>
            <w:gridSpan w:val="3"/>
          </w:tcPr>
          <w:p>
            <w:pPr>
              <w:spacing w:after="0"/>
              <w:rPr>
                <w:sz w:val="20"/>
                <w:szCs w:val="20"/>
                <w:color w:val="auto"/>
              </w:rPr>
            </w:pPr>
            <w:r>
              <w:rPr>
                <w:rFonts w:ascii="Arial" w:cs="Arial" w:eastAsia="Arial" w:hAnsi="Arial"/>
                <w:sz w:val="17"/>
                <w:szCs w:val="17"/>
                <w:b w:val="1"/>
                <w:bCs w:val="1"/>
                <w:color w:val="auto"/>
              </w:rPr>
              <w:t>Amortized</w:t>
            </w:r>
          </w:p>
        </w:tc>
        <w:tc>
          <w:tcPr>
            <w:tcW w:w="12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7"/>
                <w:szCs w:val="17"/>
                <w:b w:val="1"/>
                <w:bCs w:val="1"/>
                <w:color w:val="auto"/>
              </w:rPr>
              <w:t>Fair</w:t>
            </w:r>
          </w:p>
        </w:tc>
        <w:tc>
          <w:tcPr>
            <w:tcW w:w="9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 of</w:t>
            </w:r>
          </w:p>
        </w:tc>
      </w:tr>
      <w:tr>
        <w:trPr>
          <w:trHeight w:val="226"/>
        </w:trPr>
        <w:tc>
          <w:tcPr>
            <w:tcW w:w="27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1"/>
              </w:rPr>
              <w:t>Portfolio Company (1)Investment (2)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 (3)</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 (4)</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6"/>
              </w:rPr>
              <w:t>Hierarchy (5)</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Region (6)</w:t>
            </w: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6"/>
              </w:rPr>
              <w:t>Asset (7)</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Amount (8)</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Cost</w:t>
            </w: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Value (9)</w:t>
            </w: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w w:val="81"/>
              </w:rPr>
              <w:t>Net Assets</w:t>
            </w:r>
          </w:p>
        </w:tc>
      </w:tr>
      <w:tr>
        <w:trPr>
          <w:trHeight w:val="188"/>
        </w:trPr>
        <w:tc>
          <w:tcPr>
            <w:tcW w:w="16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Debt Securities -</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4"/>
        </w:trPr>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United States</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6"/>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5"/>
              </w:rPr>
              <w:t>Wholesale Trade (10)</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2"/>
        </w:trPr>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1"/>
              </w:rPr>
              <w:t>Fixed</w:t>
            </w: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w w:val="88"/>
              </w:rPr>
              <w:t>Senior Secured</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AYR Wellness, Inc.</w:t>
            </w: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Note</w:t>
            </w:r>
          </w:p>
        </w:tc>
        <w:tc>
          <w:tcPr>
            <w:tcW w:w="23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1"/>
              </w:rPr>
              <w:t>10/11/2022 12/10/2024rate 12.5%</w:t>
            </w:r>
          </w:p>
        </w:tc>
        <w:tc>
          <w:tcPr>
            <w:tcW w:w="20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3 Southeast</w:t>
            </w:r>
          </w:p>
        </w:tc>
        <w:tc>
          <w:tcPr>
            <w:tcW w:w="72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rPr>
              <w:t>No</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w:t>
            </w:r>
          </w:p>
        </w:tc>
      </w:tr>
      <w:tr>
        <w:trPr>
          <w:trHeight w:val="192"/>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91"/>
              </w:rPr>
              <w:t>Fixed</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4"/>
        </w:trPr>
        <w:tc>
          <w:tcPr>
            <w:tcW w:w="1640" w:type="dxa"/>
            <w:vAlign w:val="bottom"/>
            <w:gridSpan w:val="2"/>
          </w:tcPr>
          <w:p>
            <w:pPr>
              <w:ind w:left="160"/>
              <w:spacing w:after="0"/>
              <w:rPr>
                <w:sz w:val="20"/>
                <w:szCs w:val="20"/>
                <w:color w:val="auto"/>
              </w:rPr>
            </w:pPr>
            <w:r>
              <w:rPr>
                <w:rFonts w:ascii="Arial" w:cs="Arial" w:eastAsia="Arial" w:hAnsi="Arial"/>
                <w:sz w:val="17"/>
                <w:szCs w:val="17"/>
                <w:color w:val="auto"/>
              </w:rPr>
              <w:t>Curaleaf Holdings,</w:t>
            </w:r>
          </w:p>
        </w:tc>
        <w:tc>
          <w:tcPr>
            <w:tcW w:w="1060" w:type="dxa"/>
            <w:vAlign w:val="bottom"/>
          </w:tcPr>
          <w:p>
            <w:pPr>
              <w:spacing w:after="0"/>
              <w:rPr>
                <w:sz w:val="20"/>
                <w:szCs w:val="20"/>
                <w:color w:val="auto"/>
              </w:rPr>
            </w:pPr>
            <w:r>
              <w:rPr>
                <w:rFonts w:ascii="Arial" w:cs="Arial" w:eastAsia="Arial" w:hAnsi="Arial"/>
                <w:sz w:val="17"/>
                <w:szCs w:val="17"/>
                <w:color w:val="auto"/>
                <w:w w:val="88"/>
              </w:rPr>
              <w:t>Senior Secured</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interest</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640" w:type="dxa"/>
            <w:vAlign w:val="bottom"/>
            <w:gridSpan w:val="2"/>
          </w:tcPr>
          <w:p>
            <w:pPr>
              <w:ind w:left="300"/>
              <w:spacing w:after="0"/>
              <w:rPr>
                <w:sz w:val="20"/>
                <w:szCs w:val="20"/>
                <w:color w:val="auto"/>
              </w:rPr>
            </w:pPr>
            <w:r>
              <w:rPr>
                <w:rFonts w:ascii="Arial" w:cs="Arial" w:eastAsia="Arial" w:hAnsi="Arial"/>
                <w:sz w:val="17"/>
                <w:szCs w:val="17"/>
                <w:color w:val="auto"/>
              </w:rPr>
              <w:t>Inc.</w:t>
            </w:r>
          </w:p>
        </w:tc>
        <w:tc>
          <w:tcPr>
            <w:tcW w:w="1060" w:type="dxa"/>
            <w:vAlign w:val="bottom"/>
          </w:tcPr>
          <w:p>
            <w:pPr>
              <w:spacing w:after="0"/>
              <w:rPr>
                <w:sz w:val="20"/>
                <w:szCs w:val="20"/>
                <w:color w:val="auto"/>
              </w:rPr>
            </w:pPr>
            <w:r>
              <w:rPr>
                <w:rFonts w:ascii="Arial" w:cs="Arial" w:eastAsia="Arial" w:hAnsi="Arial"/>
                <w:sz w:val="17"/>
                <w:szCs w:val="17"/>
                <w:color w:val="auto"/>
              </w:rPr>
              <w:t>Note</w:t>
            </w:r>
          </w:p>
        </w:tc>
        <w:tc>
          <w:tcPr>
            <w:tcW w:w="2380" w:type="dxa"/>
            <w:vAlign w:val="bottom"/>
            <w:gridSpan w:val="3"/>
          </w:tcPr>
          <w:p>
            <w:pPr>
              <w:ind w:left="20"/>
              <w:spacing w:after="0"/>
              <w:rPr>
                <w:sz w:val="20"/>
                <w:szCs w:val="20"/>
                <w:color w:val="auto"/>
              </w:rPr>
            </w:pPr>
            <w:r>
              <w:rPr>
                <w:rFonts w:ascii="Arial" w:cs="Arial" w:eastAsia="Arial" w:hAnsi="Arial"/>
                <w:sz w:val="17"/>
                <w:szCs w:val="17"/>
                <w:color w:val="auto"/>
                <w:w w:val="92"/>
              </w:rPr>
              <w:t>10/11/2022 12/15/2026 rate 8.0%</w:t>
            </w:r>
          </w:p>
        </w:tc>
        <w:tc>
          <w:tcPr>
            <w:tcW w:w="2000" w:type="dxa"/>
            <w:vAlign w:val="bottom"/>
            <w:gridSpan w:val="2"/>
          </w:tcPr>
          <w:p>
            <w:pPr>
              <w:ind w:left="940"/>
              <w:spacing w:after="0"/>
              <w:rPr>
                <w:sz w:val="20"/>
                <w:szCs w:val="20"/>
                <w:color w:val="auto"/>
              </w:rPr>
            </w:pPr>
            <w:r>
              <w:rPr>
                <w:rFonts w:ascii="Arial" w:cs="Arial" w:eastAsia="Arial" w:hAnsi="Arial"/>
                <w:sz w:val="17"/>
                <w:szCs w:val="17"/>
                <w:color w:val="auto"/>
              </w:rPr>
              <w:t>3 Northeast</w:t>
            </w:r>
          </w:p>
        </w:tc>
        <w:tc>
          <w:tcPr>
            <w:tcW w:w="720" w:type="dxa"/>
            <w:vAlign w:val="bottom"/>
          </w:tcPr>
          <w:p>
            <w:pPr>
              <w:jc w:val="center"/>
              <w:ind w:right="15"/>
              <w:spacing w:after="0"/>
              <w:rPr>
                <w:sz w:val="20"/>
                <w:szCs w:val="20"/>
                <w:color w:val="auto"/>
              </w:rPr>
            </w:pPr>
            <w:r>
              <w:rPr>
                <w:rFonts w:ascii="Arial" w:cs="Arial" w:eastAsia="Arial" w:hAnsi="Arial"/>
                <w:sz w:val="17"/>
                <w:szCs w:val="17"/>
                <w:color w:val="auto"/>
              </w:rPr>
              <w:t>No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4,500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3,854</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4.46</w:t>
            </w:r>
          </w:p>
        </w:tc>
      </w:tr>
      <w:tr>
        <w:trPr>
          <w:trHeight w:val="192"/>
        </w:trPr>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1"/>
              </w:rPr>
              <w:t>Fixed</w:t>
            </w: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w w:val="88"/>
              </w:rPr>
              <w:t>Senior Secured</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PharmaCann, Inc.</w:t>
            </w: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Note</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6/30/2022</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2"/>
              </w:rPr>
              <w:t>6/30/2025 rate 12.0%</w:t>
            </w:r>
          </w:p>
        </w:tc>
        <w:tc>
          <w:tcPr>
            <w:tcW w:w="20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3 Midwest</w:t>
            </w:r>
          </w:p>
        </w:tc>
        <w:tc>
          <w:tcPr>
            <w:tcW w:w="72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rPr>
              <w:t>No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4.59</w:t>
            </w:r>
          </w:p>
        </w:tc>
      </w:tr>
      <w:tr>
        <w:trPr>
          <w:trHeight w:val="192"/>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9"/>
              </w:rPr>
              <w:t>interest</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rate</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0"/>
        </w:trPr>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jc w:val="center"/>
              <w:spacing w:after="0" w:line="240" w:lineRule="exact"/>
              <w:rPr>
                <w:sz w:val="20"/>
                <w:szCs w:val="20"/>
                <w:color w:val="auto"/>
              </w:rPr>
            </w:pPr>
            <w:r>
              <w:rPr>
                <w:rFonts w:ascii="Arial" w:cs="Arial" w:eastAsia="Arial" w:hAnsi="Arial"/>
                <w:sz w:val="16"/>
                <w:szCs w:val="16"/>
                <w:color w:val="auto"/>
                <w:w w:val="89"/>
              </w:rPr>
              <w:t>PRIME</w:t>
            </w:r>
            <w:r>
              <w:rPr>
                <w:rFonts w:ascii="Arial" w:cs="Arial" w:eastAsia="Arial" w:hAnsi="Arial"/>
                <w:sz w:val="27"/>
                <w:szCs w:val="27"/>
                <w:color w:val="auto"/>
                <w:w w:val="89"/>
                <w:vertAlign w:val="superscript"/>
              </w:rPr>
              <w:t>(11)</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+ 8.5%</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w w:val="88"/>
              </w:rPr>
              <w:t>Senior Secured</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First Lien</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6"/>
              </w:rPr>
              <w:t>PRIME</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640" w:type="dxa"/>
            <w:vAlign w:val="bottom"/>
            <w:gridSpan w:val="2"/>
          </w:tcPr>
          <w:p>
            <w:pPr>
              <w:ind w:left="160"/>
              <w:spacing w:after="0"/>
              <w:rPr>
                <w:sz w:val="20"/>
                <w:szCs w:val="20"/>
                <w:color w:val="auto"/>
              </w:rPr>
            </w:pPr>
            <w:r>
              <w:rPr>
                <w:rFonts w:ascii="Arial" w:cs="Arial" w:eastAsia="Arial" w:hAnsi="Arial"/>
                <w:sz w:val="17"/>
                <w:szCs w:val="17"/>
                <w:color w:val="auto"/>
              </w:rPr>
              <w:t>Shryne Group, Inc.</w:t>
            </w:r>
          </w:p>
        </w:tc>
        <w:tc>
          <w:tcPr>
            <w:tcW w:w="1060" w:type="dxa"/>
            <w:vAlign w:val="bottom"/>
          </w:tcPr>
          <w:p>
            <w:pPr>
              <w:spacing w:after="0"/>
              <w:rPr>
                <w:sz w:val="20"/>
                <w:szCs w:val="20"/>
                <w:color w:val="auto"/>
              </w:rPr>
            </w:pPr>
            <w:r>
              <w:rPr>
                <w:rFonts w:ascii="Arial" w:cs="Arial" w:eastAsia="Arial" w:hAnsi="Arial"/>
                <w:sz w:val="17"/>
                <w:szCs w:val="17"/>
                <w:color w:val="auto"/>
              </w:rPr>
              <w:t>Term Loan</w:t>
            </w: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5/26/2022</w:t>
            </w:r>
          </w:p>
        </w:tc>
        <w:tc>
          <w:tcPr>
            <w:tcW w:w="780" w:type="dxa"/>
            <w:vAlign w:val="bottom"/>
          </w:tcPr>
          <w:p>
            <w:pPr>
              <w:ind w:left="40"/>
              <w:spacing w:after="0"/>
              <w:rPr>
                <w:sz w:val="20"/>
                <w:szCs w:val="20"/>
                <w:color w:val="auto"/>
              </w:rPr>
            </w:pPr>
            <w:r>
              <w:rPr>
                <w:rFonts w:ascii="Arial" w:cs="Arial" w:eastAsia="Arial" w:hAnsi="Arial"/>
                <w:sz w:val="17"/>
                <w:szCs w:val="17"/>
                <w:color w:val="auto"/>
                <w:w w:val="95"/>
              </w:rPr>
              <w:t>5/26/2026</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Floor)</w:t>
            </w:r>
          </w:p>
        </w:tc>
        <w:tc>
          <w:tcPr>
            <w:tcW w:w="2000" w:type="dxa"/>
            <w:vAlign w:val="bottom"/>
            <w:gridSpan w:val="2"/>
          </w:tcPr>
          <w:p>
            <w:pPr>
              <w:ind w:left="940"/>
              <w:spacing w:after="0"/>
              <w:rPr>
                <w:sz w:val="20"/>
                <w:szCs w:val="20"/>
                <w:color w:val="auto"/>
              </w:rPr>
            </w:pPr>
            <w:r>
              <w:rPr>
                <w:rFonts w:ascii="Arial" w:cs="Arial" w:eastAsia="Arial" w:hAnsi="Arial"/>
                <w:sz w:val="17"/>
                <w:szCs w:val="17"/>
                <w:color w:val="auto"/>
              </w:rPr>
              <w:t>3 West</w:t>
            </w:r>
          </w:p>
        </w:tc>
        <w:tc>
          <w:tcPr>
            <w:tcW w:w="720" w:type="dxa"/>
            <w:vAlign w:val="bottom"/>
          </w:tcPr>
          <w:p>
            <w:pPr>
              <w:jc w:val="center"/>
              <w:ind w:right="15"/>
              <w:spacing w:after="0"/>
              <w:rPr>
                <w:sz w:val="20"/>
                <w:szCs w:val="20"/>
                <w:color w:val="auto"/>
              </w:rPr>
            </w:pPr>
            <w:r>
              <w:rPr>
                <w:rFonts w:ascii="Arial" w:cs="Arial" w:eastAsia="Arial" w:hAnsi="Arial"/>
                <w:sz w:val="17"/>
                <w:szCs w:val="17"/>
                <w:color w:val="auto"/>
              </w:rPr>
              <w:t>No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21,000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20,269</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23.44</w:t>
            </w:r>
          </w:p>
        </w:tc>
      </w:tr>
      <w:tr>
        <w:trPr>
          <w:trHeight w:val="192"/>
        </w:trPr>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Variable</w:t>
            </w: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6"/>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rate</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40"/>
        </w:trPr>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line="240" w:lineRule="exact"/>
              <w:rPr>
                <w:sz w:val="20"/>
                <w:szCs w:val="20"/>
                <w:color w:val="auto"/>
              </w:rPr>
            </w:pPr>
            <w:r>
              <w:rPr>
                <w:rFonts w:ascii="Arial" w:cs="Arial" w:eastAsia="Arial" w:hAnsi="Arial"/>
                <w:sz w:val="16"/>
                <w:szCs w:val="16"/>
                <w:color w:val="auto"/>
                <w:w w:val="89"/>
              </w:rPr>
              <w:t>PRIME</w:t>
            </w:r>
            <w:r>
              <w:rPr>
                <w:rFonts w:ascii="Arial" w:cs="Arial" w:eastAsia="Arial" w:hAnsi="Arial"/>
                <w:sz w:val="27"/>
                <w:szCs w:val="27"/>
                <w:color w:val="auto"/>
                <w:w w:val="89"/>
                <w:vertAlign w:val="superscript"/>
              </w:rPr>
              <w:t>(11)</w:t>
            </w:r>
          </w:p>
        </w:tc>
        <w:tc>
          <w:tcPr>
            <w:tcW w:w="10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4"/>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+ 6.5%</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w w:val="88"/>
              </w:rPr>
              <w:t>Senior Secured</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(6.25%</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Verano Holdings</w:t>
            </w: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First Lien</w:t>
            </w: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PRIME</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2"/>
        </w:trPr>
        <w:tc>
          <w:tcPr>
            <w:tcW w:w="1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Corp.</w:t>
            </w: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Term Loan</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9"/>
              </w:rPr>
              <w:t>10/27/2022 10/30/2026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Floor)</w:t>
            </w:r>
          </w:p>
        </w:tc>
        <w:tc>
          <w:tcPr>
            <w:tcW w:w="20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7"/>
                <w:szCs w:val="17"/>
                <w:color w:val="auto"/>
              </w:rPr>
              <w:t>3 Midwest</w:t>
            </w:r>
          </w:p>
        </w:tc>
        <w:tc>
          <w:tcPr>
            <w:tcW w:w="720" w:type="dxa"/>
            <w:vAlign w:val="bottom"/>
            <w:tcBorders>
              <w:bottom w:val="single" w:sz="8" w:color="CCEEFF"/>
            </w:tcBorders>
            <w:shd w:val="clear" w:color="auto" w:fill="CCEEFF"/>
          </w:tcPr>
          <w:p>
            <w:pPr>
              <w:jc w:val="center"/>
              <w:ind w:right="15"/>
              <w:spacing w:after="0"/>
              <w:rPr>
                <w:sz w:val="20"/>
                <w:szCs w:val="20"/>
                <w:color w:val="auto"/>
              </w:rPr>
            </w:pPr>
            <w:r>
              <w:rPr>
                <w:rFonts w:ascii="Arial" w:cs="Arial" w:eastAsia="Arial" w:hAnsi="Arial"/>
                <w:sz w:val="17"/>
                <w:szCs w:val="17"/>
                <w:color w:val="auto"/>
              </w:rPr>
              <w:t>No</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20,392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09"/>
        </w:trPr>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50,255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58.12</w:t>
            </w:r>
          </w:p>
        </w:tc>
        <w:tc>
          <w:tcPr>
            <w:tcW w:w="180" w:type="dxa"/>
            <w:vAlign w:val="bottom"/>
          </w:tcPr>
          <w:p>
            <w:pPr>
              <w:spacing w:after="0"/>
              <w:rPr>
                <w:sz w:val="18"/>
                <w:szCs w:val="18"/>
                <w:color w:val="auto"/>
              </w:rPr>
            </w:pPr>
          </w:p>
        </w:tc>
      </w:tr>
      <w:tr>
        <w:trPr>
          <w:trHeight w:val="209"/>
        </w:trPr>
        <w:tc>
          <w:tcPr>
            <w:tcW w:w="96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CCEEFF"/>
            </w:tcBorders>
            <w:gridSpan w:val="3"/>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3520" w:type="dxa"/>
            <w:vAlign w:val="bottom"/>
            <w:gridSpan w:val="4"/>
          </w:tcPr>
          <w:p>
            <w:pPr>
              <w:spacing w:after="0"/>
              <w:rPr>
                <w:sz w:val="20"/>
                <w:szCs w:val="20"/>
                <w:color w:val="auto"/>
              </w:rPr>
            </w:pPr>
            <w:r>
              <w:rPr>
                <w:rFonts w:ascii="Arial" w:cs="Arial" w:eastAsia="Arial" w:hAnsi="Arial"/>
                <w:sz w:val="17"/>
                <w:szCs w:val="17"/>
                <w:b w:val="1"/>
                <w:bCs w:val="1"/>
                <w:color w:val="auto"/>
                <w:w w:val="92"/>
              </w:rPr>
              <w:t>Total: Debt Securities - United States (58.12%):</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50,255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58.12</w:t>
            </w:r>
          </w:p>
        </w:tc>
        <w:tc>
          <w:tcPr>
            <w:tcW w:w="180" w:type="dxa"/>
            <w:vAlign w:val="bottom"/>
          </w:tcPr>
          <w:p>
            <w:pPr>
              <w:spacing w:after="0"/>
              <w:rPr>
                <w:sz w:val="18"/>
                <w:szCs w:val="18"/>
                <w:color w:val="auto"/>
              </w:rPr>
            </w:pPr>
          </w:p>
        </w:tc>
      </w:tr>
      <w:tr>
        <w:trPr>
          <w:trHeight w:val="209"/>
        </w:trPr>
        <w:tc>
          <w:tcPr>
            <w:tcW w:w="9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2700" w:type="dxa"/>
            <w:vAlign w:val="bottom"/>
            <w:gridSpan w:val="3"/>
          </w:tcPr>
          <w:p>
            <w:pPr>
              <w:spacing w:after="0"/>
              <w:rPr>
                <w:sz w:val="20"/>
                <w:szCs w:val="20"/>
                <w:color w:val="auto"/>
              </w:rPr>
            </w:pPr>
            <w:r>
              <w:rPr>
                <w:rFonts w:ascii="Arial" w:cs="Arial" w:eastAsia="Arial" w:hAnsi="Arial"/>
                <w:sz w:val="17"/>
                <w:szCs w:val="17"/>
                <w:b w:val="1"/>
                <w:bCs w:val="1"/>
                <w:color w:val="auto"/>
              </w:rPr>
              <w:t>Total: Debt Securities (58.12%):</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50,255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58.12</w:t>
            </w:r>
          </w:p>
        </w:tc>
        <w:tc>
          <w:tcPr>
            <w:tcW w:w="180" w:type="dxa"/>
            <w:vAlign w:val="bottom"/>
          </w:tcPr>
          <w:p>
            <w:pPr>
              <w:spacing w:after="0"/>
              <w:rPr>
                <w:sz w:val="18"/>
                <w:szCs w:val="18"/>
                <w:color w:val="auto"/>
              </w:rPr>
            </w:pPr>
          </w:p>
        </w:tc>
      </w:tr>
      <w:tr>
        <w:trPr>
          <w:trHeight w:val="204"/>
        </w:trPr>
        <w:tc>
          <w:tcPr>
            <w:tcW w:w="960" w:type="dxa"/>
            <w:vAlign w:val="bottom"/>
            <w:shd w:val="clear" w:color="auto" w:fill="CCEEFF"/>
          </w:tcPr>
          <w:p>
            <w:pPr>
              <w:spacing w:after="0"/>
              <w:rPr>
                <w:sz w:val="17"/>
                <w:szCs w:val="17"/>
                <w:color w:val="auto"/>
              </w:rPr>
            </w:pPr>
          </w:p>
        </w:tc>
        <w:tc>
          <w:tcPr>
            <w:tcW w:w="2560" w:type="dxa"/>
            <w:vAlign w:val="bottom"/>
            <w:gridSpan w:val="3"/>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r>
      <w:tr>
        <w:trPr>
          <w:trHeight w:val="204"/>
        </w:trPr>
        <w:tc>
          <w:tcPr>
            <w:tcW w:w="3520" w:type="dxa"/>
            <w:vAlign w:val="bottom"/>
            <w:gridSpan w:val="4"/>
          </w:tcPr>
          <w:p>
            <w:pPr>
              <w:spacing w:after="0"/>
              <w:rPr>
                <w:sz w:val="20"/>
                <w:szCs w:val="20"/>
                <w:color w:val="auto"/>
              </w:rPr>
            </w:pPr>
            <w:r>
              <w:rPr>
                <w:rFonts w:ascii="Arial" w:cs="Arial" w:eastAsia="Arial" w:hAnsi="Arial"/>
                <w:sz w:val="17"/>
                <w:szCs w:val="17"/>
                <w:b w:val="1"/>
                <w:bCs w:val="1"/>
                <w:color w:val="auto"/>
              </w:rPr>
              <w:t>Total Investment in Securities (58.12%):</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50,528</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6"/>
              </w:rPr>
              <w:t>50,255</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58.12%</w:t>
            </w: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Cash equivalents</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2"/>
        </w:trPr>
        <w:tc>
          <w:tcPr>
            <w:tcW w:w="4300" w:type="dxa"/>
            <w:vAlign w:val="bottom"/>
            <w:gridSpan w:val="5"/>
            <w:shd w:val="clear" w:color="auto" w:fill="CCEEFF"/>
          </w:tcPr>
          <w:p>
            <w:pPr>
              <w:ind w:left="160"/>
              <w:spacing w:after="0" w:line="192" w:lineRule="exact"/>
              <w:rPr>
                <w:sz w:val="20"/>
                <w:szCs w:val="20"/>
                <w:color w:val="auto"/>
              </w:rPr>
            </w:pPr>
            <w:r>
              <w:rPr>
                <w:rFonts w:ascii="Arial" w:cs="Arial" w:eastAsia="Arial" w:hAnsi="Arial"/>
                <w:sz w:val="17"/>
                <w:szCs w:val="17"/>
                <w:color w:val="auto"/>
                <w:w w:val="96"/>
              </w:rPr>
              <w:t>State Street Institutional U.S. Government Money Market</w:t>
            </w:r>
          </w:p>
        </w:tc>
        <w:tc>
          <w:tcPr>
            <w:tcW w:w="7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2"/>
        </w:trPr>
        <w:tc>
          <w:tcPr>
            <w:tcW w:w="1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Fund (12)</w:t>
            </w:r>
          </w:p>
        </w:tc>
        <w:tc>
          <w:tcPr>
            <w:tcW w:w="10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ind w:left="940"/>
              <w:spacing w:after="0"/>
              <w:rPr>
                <w:sz w:val="20"/>
                <w:szCs w:val="20"/>
                <w:color w:val="auto"/>
              </w:rPr>
            </w:pPr>
            <w:r>
              <w:rPr>
                <w:rFonts w:ascii="Arial" w:cs="Arial" w:eastAsia="Arial" w:hAnsi="Arial"/>
                <w:sz w:val="17"/>
                <w:szCs w:val="17"/>
                <w:color w:val="auto"/>
                <w:w w:val="84"/>
              </w:rPr>
              <w:t>1</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35,125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40.62%</w:t>
            </w:r>
          </w:p>
        </w:tc>
      </w:tr>
      <w:tr>
        <w:trPr>
          <w:trHeight w:val="209"/>
        </w:trPr>
        <w:tc>
          <w:tcPr>
            <w:tcW w:w="2700" w:type="dxa"/>
            <w:vAlign w:val="bottom"/>
            <w:tcBorders>
              <w:top w:val="single" w:sz="8" w:color="CCEEFF"/>
            </w:tcBorders>
            <w:gridSpan w:val="3"/>
          </w:tcPr>
          <w:p>
            <w:pPr>
              <w:spacing w:after="0"/>
              <w:rPr>
                <w:sz w:val="20"/>
                <w:szCs w:val="20"/>
                <w:color w:val="auto"/>
              </w:rPr>
            </w:pPr>
            <w:r>
              <w:rPr>
                <w:rFonts w:ascii="Arial" w:cs="Arial" w:eastAsia="Arial" w:hAnsi="Arial"/>
                <w:sz w:val="17"/>
                <w:szCs w:val="17"/>
                <w:b w:val="1"/>
                <w:bCs w:val="1"/>
                <w:color w:val="auto"/>
              </w:rPr>
              <w:t>Cash equivalents (40.62%):</w:t>
            </w: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35,125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35,125</w:t>
            </w: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40.62</w:t>
            </w:r>
          </w:p>
        </w:tc>
        <w:tc>
          <w:tcPr>
            <w:tcW w:w="180" w:type="dxa"/>
            <w:vAlign w:val="bottom"/>
            <w:tcBorders>
              <w:top w:val="single" w:sz="8" w:color="CCEEFF"/>
            </w:tcBorders>
          </w:tcPr>
          <w:p>
            <w:pPr>
              <w:spacing w:after="0"/>
              <w:rPr>
                <w:sz w:val="18"/>
                <w:szCs w:val="18"/>
                <w:color w:val="auto"/>
              </w:rPr>
            </w:pPr>
          </w:p>
        </w:tc>
      </w:tr>
      <w:tr>
        <w:trPr>
          <w:trHeight w:val="204"/>
        </w:trPr>
        <w:tc>
          <w:tcPr>
            <w:tcW w:w="960" w:type="dxa"/>
            <w:vAlign w:val="bottom"/>
            <w:shd w:val="clear" w:color="auto" w:fill="CCEEFF"/>
          </w:tcPr>
          <w:p>
            <w:pPr>
              <w:spacing w:after="0"/>
              <w:rPr>
                <w:sz w:val="17"/>
                <w:szCs w:val="17"/>
                <w:color w:val="auto"/>
              </w:rPr>
            </w:pPr>
          </w:p>
        </w:tc>
        <w:tc>
          <w:tcPr>
            <w:tcW w:w="3340" w:type="dxa"/>
            <w:vAlign w:val="bottom"/>
            <w:gridSpan w:val="4"/>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8"/>
        </w:trPr>
        <w:tc>
          <w:tcPr>
            <w:tcW w:w="4300" w:type="dxa"/>
            <w:vAlign w:val="bottom"/>
            <w:gridSpan w:val="5"/>
          </w:tcPr>
          <w:p>
            <w:pPr>
              <w:spacing w:after="0" w:line="188" w:lineRule="exact"/>
              <w:rPr>
                <w:sz w:val="20"/>
                <w:szCs w:val="20"/>
                <w:color w:val="auto"/>
              </w:rPr>
            </w:pPr>
            <w:r>
              <w:rPr>
                <w:rFonts w:ascii="Arial" w:cs="Arial" w:eastAsia="Arial" w:hAnsi="Arial"/>
                <w:sz w:val="17"/>
                <w:szCs w:val="17"/>
                <w:b w:val="1"/>
                <w:bCs w:val="1"/>
                <w:color w:val="auto"/>
              </w:rPr>
              <w:t>Total Portfolio Investments and Cash equivalents</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0"/>
        </w:trPr>
        <w:tc>
          <w:tcPr>
            <w:tcW w:w="960" w:type="dxa"/>
            <w:vAlign w:val="bottom"/>
          </w:tcPr>
          <w:p>
            <w:pPr>
              <w:ind w:left="160"/>
              <w:spacing w:after="0"/>
              <w:rPr>
                <w:sz w:val="20"/>
                <w:szCs w:val="20"/>
                <w:color w:val="auto"/>
              </w:rPr>
            </w:pPr>
            <w:r>
              <w:rPr>
                <w:rFonts w:ascii="Arial" w:cs="Arial" w:eastAsia="Arial" w:hAnsi="Arial"/>
                <w:sz w:val="17"/>
                <w:szCs w:val="17"/>
                <w:b w:val="1"/>
                <w:bCs w:val="1"/>
                <w:color w:val="auto"/>
              </w:rPr>
              <w:t>(98.74%):</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85,653</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6"/>
              </w:rPr>
              <w:t>85,380</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98.74%</w:t>
            </w: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portfolio companies are located in the United States.</w:t>
      </w:r>
    </w:p>
    <w:p>
      <w:pPr>
        <w:spacing w:after="0" w:line="19"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debt investment is non-income producing as of December 31, 2022.</w:t>
      </w:r>
    </w:p>
    <w:p>
      <w:pPr>
        <w:spacing w:after="0" w:line="8"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 date represents the date of initial investment, at which date interest began accruing.</w:t>
      </w:r>
    </w:p>
    <w:p>
      <w:pPr>
        <w:spacing w:after="0" w:line="8"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rate is the fixed or variable rate of the debt investments.</w:t>
      </w:r>
    </w:p>
    <w:p>
      <w:pPr>
        <w:spacing w:after="0" w:line="8"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See Note 2 – Significant Accounting Policies and Note 4 — Fair Value of Financial Instruments in the accompanying notes to the financial statements.</w:t>
      </w:r>
    </w:p>
    <w:p>
      <w:pPr>
        <w:spacing w:after="0" w:line="31" w:lineRule="exact"/>
        <w:rPr>
          <w:rFonts w:ascii="Arial" w:cs="Arial" w:eastAsia="Arial" w:hAnsi="Arial"/>
          <w:sz w:val="15"/>
          <w:szCs w:val="15"/>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Geographic regions are determined by the respective portfolio company’s headquarters’ location.</w:t>
      </w:r>
    </w:p>
    <w:p>
      <w:pPr>
        <w:spacing w:after="0" w:line="8" w:lineRule="exact"/>
        <w:rPr>
          <w:rFonts w:ascii="Arial" w:cs="Arial" w:eastAsia="Arial" w:hAnsi="Arial"/>
          <w:sz w:val="17"/>
          <w:szCs w:val="17"/>
          <w:color w:val="auto"/>
        </w:rPr>
      </w:pPr>
    </w:p>
    <w:p>
      <w:pPr>
        <w:ind w:left="760" w:right="100" w:hanging="529"/>
        <w:spacing w:after="0" w:line="25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w:t>
      </w:r>
    </w:p>
    <w:p>
      <w:pPr>
        <w:spacing w:after="0" w:line="1"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Principal is net of repayments, if any, as per the terms of the debt instrument’s contract.</w:t>
      </w:r>
    </w:p>
    <w:p>
      <w:pPr>
        <w:spacing w:after="0" w:line="8"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investments were valued at fair value. See Note 4 — Fair Value of Financial Instruments in the accompanying notes to the financial statements.</w:t>
      </w:r>
    </w:p>
    <w:p>
      <w:pPr>
        <w:spacing w:after="0" w:line="19" w:lineRule="exact"/>
        <w:rPr>
          <w:rFonts w:ascii="Arial" w:cs="Arial" w:eastAsia="Arial" w:hAnsi="Arial"/>
          <w:sz w:val="16"/>
          <w:szCs w:val="16"/>
          <w:color w:val="auto"/>
        </w:rPr>
      </w:pPr>
    </w:p>
    <w:p>
      <w:pPr>
        <w:ind w:left="760" w:hanging="52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uses the North American Industry Classification System (“NAICS”) code for classifying the industry grouping of its portfolio companies.</w:t>
      </w:r>
    </w:p>
    <w:p>
      <w:pPr>
        <w:spacing w:after="0" w:line="19" w:lineRule="exact"/>
        <w:rPr>
          <w:rFonts w:ascii="Arial" w:cs="Arial" w:eastAsia="Arial" w:hAnsi="Arial"/>
          <w:sz w:val="16"/>
          <w:szCs w:val="16"/>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December 31, 2022 PRIME is 7.50%.</w:t>
      </w:r>
    </w:p>
    <w:p>
      <w:pPr>
        <w:spacing w:after="0" w:line="8" w:lineRule="exact"/>
        <w:rPr>
          <w:rFonts w:ascii="Arial" w:cs="Arial" w:eastAsia="Arial" w:hAnsi="Arial"/>
          <w:sz w:val="17"/>
          <w:szCs w:val="17"/>
          <w:color w:val="auto"/>
        </w:rPr>
      </w:pPr>
    </w:p>
    <w:p>
      <w:pPr>
        <w:ind w:left="760" w:hanging="52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annualized seven-day yield as of December 31, 2022 is 4.12%.</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See notes to financial statements.</w:t>
      </w:r>
    </w:p>
    <w:p>
      <w:pPr>
        <w:sectPr>
          <w:pgSz w:w="11900" w:h="16838" w:orient="portrait"/>
          <w:cols w:equalWidth="0" w:num="1">
            <w:col w:w="11300"/>
          </w:cols>
          <w:pgMar w:left="320" w:top="106" w:right="279" w:bottom="818" w:gutter="0" w:footer="0" w:header="0"/>
        </w:sect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300"/>
          </w:cols>
          <w:pgMar w:left="320" w:top="106" w:right="279" w:bottom="818"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2022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4, 2022, the Company’s common stock began trading on the Nasdaq Global Market under the ticker symbol “SSIC,” and we completed our initial public offering of 6,214,286 shares of our common stock, par value $0.01, inclusive of an over-allotment option that was exercised on March 1, 2022 (“IPO”), for approximately $87 million.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November 8, 2022, the Board of Directors (“Board”) of the Company approved a change in its fiscal year end from March 31 to December 31. Certain prior period information has been reclassified to conform to the current period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(“U.S. GAAP”), including the requirements under ASC 946, Financial Services—Investment Companies and Articles 6 and 12 of Regulation S-X. In the opinion of management, all adjustments of a normal recurring nature considered necessary for the fair presentation of the financial statements have been made. The current period’s results of operations are not necessarily indicative of results that may be achieved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Valuation</w:t>
      </w:r>
    </w:p>
    <w:p>
      <w:pPr>
        <w:spacing w:after="0" w:line="2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Adviser undertakes a multi-step valuation process, which includes, among other procedures, the following:</w:t>
      </w:r>
    </w:p>
    <w:p>
      <w:pPr>
        <w:spacing w:after="0" w:line="212" w:lineRule="exact"/>
        <w:rPr>
          <w:sz w:val="20"/>
          <w:szCs w:val="20"/>
          <w:color w:val="auto"/>
        </w:rPr>
      </w:pPr>
    </w:p>
    <w:p>
      <w:pPr>
        <w:ind w:left="300" w:hanging="298"/>
        <w:spacing w:after="0" w:line="274"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respect to investments for which market quotations are readily available, those investments will typically be valued at the bid price of those market quotations;</w:t>
      </w:r>
    </w:p>
    <w:p>
      <w:pPr>
        <w:spacing w:after="0" w:line="165" w:lineRule="exact"/>
        <w:rPr>
          <w:rFonts w:ascii="Arial" w:cs="Arial" w:eastAsia="Arial" w:hAnsi="Arial"/>
          <w:sz w:val="17"/>
          <w:szCs w:val="17"/>
          <w:color w:val="auto"/>
        </w:rPr>
      </w:pPr>
    </w:p>
    <w:p>
      <w:pPr>
        <w:ind w:left="300" w:hanging="298"/>
        <w:spacing w:after="0" w:line="343" w:lineRule="auto"/>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18" w:lineRule="exact"/>
        <w:rPr>
          <w:rFonts w:ascii="Arial" w:cs="Arial" w:eastAsia="Arial" w:hAnsi="Arial"/>
          <w:sz w:val="15"/>
          <w:szCs w:val="15"/>
          <w:color w:val="auto"/>
        </w:rPr>
      </w:pPr>
    </w:p>
    <w:p>
      <w:pPr>
        <w:ind w:left="300" w:hanging="298"/>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Preliminary valuations are documented and discussed by the Adviser’s valuation committee and, where appropriate, the independent valuation firm(s); and</w:t>
      </w:r>
    </w:p>
    <w:p>
      <w:pPr>
        <w:spacing w:after="0" w:line="223" w:lineRule="exact"/>
        <w:rPr>
          <w:rFonts w:ascii="Arial" w:cs="Arial" w:eastAsia="Arial" w:hAnsi="Arial"/>
          <w:sz w:val="16"/>
          <w:szCs w:val="16"/>
          <w:color w:val="auto"/>
        </w:rPr>
      </w:pPr>
    </w:p>
    <w:p>
      <w:pPr>
        <w:ind w:left="300" w:hanging="298"/>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Adviser determines the fair value of each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conduct this valuation process on a quarterly basis.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84" w:lineRule="exact"/>
        <w:rPr>
          <w:sz w:val="20"/>
          <w:szCs w:val="20"/>
          <w:color w:val="auto"/>
        </w:rPr>
      </w:pPr>
    </w:p>
    <w:p>
      <w:pPr>
        <w:ind w:left="300" w:hanging="298"/>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 Valuations based on quoted prices in active markets for identical assets or liabilities that we have the ability to access at the measurement date;</w:t>
      </w:r>
    </w:p>
    <w:p>
      <w:pPr>
        <w:spacing w:after="0" w:line="223" w:lineRule="exact"/>
        <w:rPr>
          <w:rFonts w:ascii="Arial" w:cs="Arial" w:eastAsia="Arial" w:hAnsi="Arial"/>
          <w:sz w:val="16"/>
          <w:szCs w:val="16"/>
          <w:color w:val="auto"/>
        </w:rPr>
      </w:pPr>
    </w:p>
    <w:p>
      <w:pPr>
        <w:ind w:left="300" w:hanging="298"/>
        <w:spacing w:after="0" w:line="274" w:lineRule="auto"/>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amounts are held. As of September 30, 2023 and December 31, 2022, cash and cash equivalents consisted of $29.82 million and $35.13 million, respectively, of which $29.82 million and $35.13 million, respectively, was held in the State Street Institutional U.S. Government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w:t>
      </w:r>
    </w:p>
    <w:p>
      <w:pPr>
        <w:spacing w:after="0" w:line="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 (depreciation) on investments on the Statements of Operations. The net change in unrealized appreciation (depreciation) primarily reflects the change in investment fair values as of the last business day of the reporting period, including the reversal of previously recorded unrealized gains or losses with respect to investments realized during the period.</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Investments traded but not yet settled, if any, are reported in payable for investments purchased and receivable for investments sold on the Statement of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Dividend Income</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 in the current period.</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September 30, 2023 and December 31, 2022, there were no loan investments in the portfolio placed on non-accrual status.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typically receive debt investment origination or closing fees in connection with investments. Such debt investment origination and closing fees are capitalized as unearned income and offset against investment cost basis on our Statements of Assets and Liabilities and accreted into interest income using the effective yield method over the term of the investment. Upon the prepayment of a debt investment, any unaccreted debt investment origination and closing fees are accelerated into interest income.</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Interest income earned, excluding accretion of discounts and amortization of premiums, was $2,756,231 and $7,674,961 for the three and nine months ended September 30, 2023. Interest income earned, excluding accretion of discounts and amortization of premiums, was $1,140,058 and $1,540,214 for the three and nine months ended September 30, 2022. As of September 30, 2023 and December 31, 2022, $1,829,675 and $1,559,081, respectively were recorded as interest receivable.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 Income</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All transaction fees earned in connection with our investments are recognized as fee income and are generally non-recurring. Such fees typically include fees for services, including administrative, structuring and advisory services, provided to portfolio companies. We recognize income from fees for providing such structuring and advisory services when the services are rendered or the transactions are completed.</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three and nine months ended September 30, 2023, the Company earned $31,250 and $162,500, respectively, in fee income. For the three and nine months ended September 30, 2022, the Company earned $0 and $410,000, respectively, in fee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As of September 30, 2023 and December 31, 2022, $0 and $80,566 of accrued excise taxes remained payable.</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on the analysis of the Company’s tax position, the Company has no uncertain tax positions that met the recognition or measurement criteria as of September 30, 2023 and December 31, 2022. The Company does not anticipate any significant increase or decrease in unrecognized tax benefits for the next twelve months. All of the Company’s tax returns remain subject to examination by U.S. federal and state tax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Distributions to common stockholders are recorded on the record date. The amount of taxable income to be paid out as a distribution is determined by our Board of Directors each quarter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 Expenses and Offering Costs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Organizational expenses</w:t>
      </w:r>
    </w:p>
    <w:p>
      <w:pPr>
        <w:spacing w:after="0" w:line="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Costs associated with the organization of the Company are expensed as incurred. These expenses consist primarily of legal fees and other costs of organizing the Company.</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three and nine months ended September 30, 2023, the Company did not incur organizational expenses. For the three and nine months ended September 30, 2022, the Company incurred organizational expenses of $0 and $34,168, respectively. As of September 30, 2023 and December 31, 2022, there were no unpaid organizational expenses.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Offering costs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costs consist primarily of legal fees and other costs incurred in connection with the Company’s share offerings, the preparation of the Company’s registration statement, and registration fees.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Costs associated with the offering of common shares of the Company are capitalized as deferred offering and, if any, are included in deferred offering costs on the Statements of Assets and Liabilities. Costs of approximately $0 and $1,690,184 were charged to capital upon the completion of the Company’s public offering during the three and nine months ended September 30, 2022. For the three and nine months ended September 30, 2023, no offering costs were charged to capital. As of September 30, 2023 and December 31, 2022, there were no unpaid offering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Management does not believe any recently issued, but not yet effective, accounting standards, if currently adopted, would have a material effect on the accompanying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INVESTMENTS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seeks to invest in portfolio companies primarily in the form of loans (secured and unsecured), but may include equity warrants and direct equity investments. The loans typically pay interest with some amortization of principal. As of September 30, 2023, 86.0% of the portfolio (based on amortized cost) pays interest on a floating rate basis with a PRIME floor, and 14.0% of the portfolio (based on amortized cost) pays fixed interest. As of December 31, 2022, 80.9% of the portfolio (based on amortized cost) pays interest on a floating rate basis with a PRIME floor, and 19.1% of the portfolio (based on amortized cost) pays fixed interest.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expect that our loans will typically have final maturities of three to six years. However, we expect that our portfolio companies often may repay these loans early, generally within three years from the date of initial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Portfolio Composition</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portfolio investments are in companies conducting business in or supporting the cannabis industries. The following tables summarize the composition of the Company’s portfolio investments by industry at amortized cost and fair value and as a percentage of the total portfolio as of September 30, 2023 and December 31,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center"/>
              <w:ind w:right="1080"/>
              <w:spacing w:after="0"/>
              <w:rPr>
                <w:sz w:val="20"/>
                <w:szCs w:val="20"/>
                <w:color w:val="auto"/>
              </w:rPr>
            </w:pPr>
            <w:r>
              <w:rPr>
                <w:rFonts w:ascii="Arial" w:cs="Arial" w:eastAsia="Arial" w:hAnsi="Arial"/>
                <w:sz w:val="17"/>
                <w:szCs w:val="17"/>
                <w:b w:val="1"/>
                <w:bCs w:val="1"/>
                <w:color w:val="auto"/>
                <w:w w:val="89"/>
              </w:rPr>
              <w:t>September 30, 2023</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620"/>
              <w:spacing w:after="0"/>
              <w:rPr>
                <w:sz w:val="20"/>
                <w:szCs w:val="20"/>
                <w:color w:val="auto"/>
              </w:rPr>
            </w:pPr>
            <w:r>
              <w:rPr>
                <w:rFonts w:ascii="Arial" w:cs="Arial" w:eastAsia="Arial" w:hAnsi="Arial"/>
                <w:sz w:val="17"/>
                <w:szCs w:val="17"/>
                <w:b w:val="1"/>
                <w:bCs w:val="1"/>
                <w:color w:val="auto"/>
              </w:rPr>
              <w:t>Industry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Wholesale Trade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57,488,336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57,381,000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5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5860" w:type="dxa"/>
            <w:vAlign w:val="bottom"/>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57,488,336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57,381,000</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1080"/>
              <w:spacing w:after="0"/>
              <w:rPr>
                <w:sz w:val="20"/>
                <w:szCs w:val="20"/>
                <w:color w:val="auto"/>
              </w:rPr>
            </w:pPr>
            <w:r>
              <w:rPr>
                <w:rFonts w:ascii="Arial" w:cs="Arial" w:eastAsia="Arial" w:hAnsi="Arial"/>
                <w:sz w:val="17"/>
                <w:szCs w:val="17"/>
                <w:b w:val="1"/>
                <w:bCs w:val="1"/>
                <w:color w:val="auto"/>
                <w:w w:val="90"/>
              </w:rPr>
              <w:t>December 31, 2022</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620"/>
              <w:spacing w:after="0"/>
              <w:rPr>
                <w:sz w:val="20"/>
                <w:szCs w:val="20"/>
                <w:color w:val="auto"/>
              </w:rPr>
            </w:pPr>
            <w:r>
              <w:rPr>
                <w:rFonts w:ascii="Arial" w:cs="Arial" w:eastAsia="Arial" w:hAnsi="Arial"/>
                <w:sz w:val="17"/>
                <w:szCs w:val="17"/>
                <w:b w:val="1"/>
                <w:bCs w:val="1"/>
                <w:color w:val="auto"/>
              </w:rPr>
              <w:t>Industry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Wholesale Trade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50,527,898</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5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5860" w:type="dxa"/>
            <w:vAlign w:val="bottom"/>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50,527,898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50,254,550</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geographic composition is determined by the location of headquarters of the portfolio company. The following tables summarize the composition of the Company’s portfolio investments by geographic region of the United States at amortized cost and fair value and as a percentage of the total portfolio as of September 30, 2023 and December 31, 2022.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ind w:left="40"/>
              <w:spacing w:after="0"/>
              <w:rPr>
                <w:sz w:val="20"/>
                <w:szCs w:val="20"/>
                <w:color w:val="auto"/>
              </w:rPr>
            </w:pPr>
            <w:r>
              <w:rPr>
                <w:rFonts w:ascii="Arial" w:cs="Arial" w:eastAsia="Arial" w:hAnsi="Arial"/>
                <w:sz w:val="17"/>
                <w:szCs w:val="17"/>
                <w:b w:val="1"/>
                <w:bCs w:val="1"/>
                <w:color w:val="auto"/>
              </w:rPr>
              <w:t>September 30, 2023</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160"/>
              <w:spacing w:after="0"/>
              <w:rPr>
                <w:sz w:val="20"/>
                <w:szCs w:val="20"/>
                <w:color w:val="auto"/>
              </w:rPr>
            </w:pPr>
            <w:r>
              <w:rPr>
                <w:rFonts w:ascii="Arial" w:cs="Arial" w:eastAsia="Arial" w:hAnsi="Arial"/>
                <w:sz w:val="17"/>
                <w:szCs w:val="17"/>
                <w:b w:val="1"/>
                <w:bCs w:val="1"/>
                <w:color w:val="auto"/>
              </w:rPr>
              <w:t>Geographic Location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West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24,834,972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24,804,000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Midwest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24,578,030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24,447,500</w:t>
            </w:r>
          </w:p>
        </w:tc>
        <w:tc>
          <w:tcPr>
            <w:tcW w:w="3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42.6</w:t>
            </w: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Northeast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8,075,334</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8,129,500</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4"/>
        </w:trPr>
        <w:tc>
          <w:tcPr>
            <w:tcW w:w="5860" w:type="dxa"/>
            <w:vAlign w:val="bottom"/>
          </w:tcPr>
          <w:p>
            <w:pPr>
              <w:ind w:left="16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57,488,336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22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57,381,000</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rPr>
              <w:t>December 31, 2022</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160"/>
              <w:spacing w:after="0"/>
              <w:rPr>
                <w:sz w:val="20"/>
                <w:szCs w:val="20"/>
                <w:color w:val="auto"/>
              </w:rPr>
            </w:pPr>
            <w:r>
              <w:rPr>
                <w:rFonts w:ascii="Arial" w:cs="Arial" w:eastAsia="Arial" w:hAnsi="Arial"/>
                <w:sz w:val="17"/>
                <w:szCs w:val="17"/>
                <w:b w:val="1"/>
                <w:bCs w:val="1"/>
                <w:color w:val="auto"/>
              </w:rPr>
              <w:t>Geographic Location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24,420,752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24,358,686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48.5%</w:t>
            </w: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West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20,479,987</w:t>
            </w:r>
          </w:p>
        </w:tc>
        <w:tc>
          <w:tcPr>
            <w:tcW w:w="4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40.5</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20,268,705</w:t>
            </w:r>
          </w:p>
        </w:tc>
        <w:tc>
          <w:tcPr>
            <w:tcW w:w="3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40.3</w:t>
            </w: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3,854,475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3,854,475</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17"/>
                <w:szCs w:val="17"/>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Southeast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1,772,684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1,772,684</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r>
      <w:tr>
        <w:trPr>
          <w:trHeight w:val="224"/>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50,527,898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tables summarize the composition of the Company’s portfolio investments by investment type at amortized cost and fair value and as a percentage of the total portfolio as of September 30, 2023 and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September 30, 2023</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520"/>
              <w:spacing w:after="0"/>
              <w:rPr>
                <w:sz w:val="20"/>
                <w:szCs w:val="20"/>
                <w:color w:val="auto"/>
              </w:rPr>
            </w:pPr>
            <w:r>
              <w:rPr>
                <w:rFonts w:ascii="Arial" w:cs="Arial" w:eastAsia="Arial" w:hAnsi="Arial"/>
                <w:sz w:val="17"/>
                <w:szCs w:val="17"/>
                <w:b w:val="1"/>
                <w:bCs w:val="1"/>
                <w:color w:val="auto"/>
              </w:rPr>
              <w:t>Investment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49,445,187</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49,497,000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Senior Secured Notes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8,043,149</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7,884,000</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8"/>
                <w:szCs w:val="18"/>
                <w:color w:val="auto"/>
              </w:rPr>
            </w:pPr>
          </w:p>
        </w:tc>
      </w:tr>
      <w:tr>
        <w:trPr>
          <w:trHeight w:val="224"/>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57,488,336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57,381,000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rPr>
              <w:t>December 31, 2022</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w w:val="90"/>
              </w:rPr>
              <w:t>Amortized Cost</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5860" w:type="dxa"/>
            <w:vAlign w:val="bottom"/>
            <w:tcBorders>
              <w:bottom w:val="single" w:sz="8" w:color="auto"/>
            </w:tcBorders>
          </w:tcPr>
          <w:p>
            <w:pPr>
              <w:ind w:left="2520"/>
              <w:spacing w:after="0"/>
              <w:rPr>
                <w:sz w:val="20"/>
                <w:szCs w:val="20"/>
                <w:color w:val="auto"/>
              </w:rPr>
            </w:pPr>
            <w:r>
              <w:rPr>
                <w:rFonts w:ascii="Arial" w:cs="Arial" w:eastAsia="Arial" w:hAnsi="Arial"/>
                <w:sz w:val="17"/>
                <w:szCs w:val="17"/>
                <w:b w:val="1"/>
                <w:bCs w:val="1"/>
                <w:color w:val="auto"/>
              </w:rPr>
              <w:t>Investment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w w:val="92"/>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04"/>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40,871,914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40,660,633</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w:t>
            </w: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Senior Secured Notes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9,655,984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9,593,917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18"/>
                <w:szCs w:val="18"/>
                <w:color w:val="auto"/>
              </w:rPr>
            </w:pPr>
          </w:p>
        </w:tc>
      </w:tr>
      <w:tr>
        <w:trPr>
          <w:trHeight w:val="224"/>
        </w:trPr>
        <w:tc>
          <w:tcPr>
            <w:tcW w:w="5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50,527,898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Risk Factors</w:t>
      </w:r>
    </w:p>
    <w:p>
      <w:pPr>
        <w:spacing w:after="0" w:line="2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ordinary course of business, the Company manages a variety of risks including market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ectPr>
          <w:pgSz w:w="11900" w:h="16838" w:orient="portrait"/>
          <w:cols w:equalWidth="0" w:num="1">
            <w:col w:w="11240"/>
          </w:cols>
          <w:pgMar w:left="320" w:top="120"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Interest rate risk refers to the change in earnings that may result from changes in the level of interest rates. To the extent that the Company borrows money to make investments, including under any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FAIR VALUE OF FINANCIAL INSTRUMENTS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September 30, 2023 and December 31, 2022, the Company’s portfolio investments consisted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ASC 820, the Company has categorized its investments based on the priority of the inputs to the valuation technique into a three-level fair value hierarchy. The fair value hierarchy gives the highest priority to quoted prices in active markets for identical investments (Level 1) and the lowest priority to unobservable inputs (Level 3).</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the fair value related to such investments categorized within the Level 3 tables below may include components of the fair value that are attributable to both observable inputs (Levels 1 and 2) and unobservable inputs (Level 3). The fair value determination of each portfolio investment categorized as Level 3 required one or more unobservable inputs.</w:t>
      </w:r>
    </w:p>
    <w:p>
      <w:pPr>
        <w:spacing w:after="0" w:line="16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The use of significant unobservable inputs creates uncertainty in the measurement of fair value as of the reporting date. The significant unobservable inputs used in the fair value measurement of the Company’s investments may vary and may include debt investments’ yield (i.e. discount rate) and volatility assumptions.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measured at fair value by investment type on a recurring basis as of September 30,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11"/>
          </w:tcPr>
          <w:p>
            <w:pPr>
              <w:ind w:left="480"/>
              <w:spacing w:after="0"/>
              <w:rPr>
                <w:sz w:val="20"/>
                <w:szCs w:val="20"/>
                <w:color w:val="auto"/>
              </w:rPr>
            </w:pPr>
            <w:r>
              <w:rPr>
                <w:rFonts w:ascii="Arial" w:cs="Arial" w:eastAsia="Arial" w:hAnsi="Arial"/>
                <w:sz w:val="17"/>
                <w:szCs w:val="17"/>
                <w:b w:val="1"/>
                <w:bCs w:val="1"/>
                <w:color w:val="auto"/>
              </w:rPr>
              <w:t>Fair Value Measurements at September 30, 2023 Using</w:t>
            </w:r>
          </w:p>
        </w:tc>
      </w:tr>
      <w:tr>
        <w:trPr>
          <w:trHeight w:val="188"/>
        </w:trPr>
        <w:tc>
          <w:tcPr>
            <w:tcW w:w="4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gridSpan w:val="2"/>
          </w:tcPr>
          <w:p>
            <w:pPr>
              <w:jc w:val="center"/>
              <w:spacing w:after="0" w:line="188" w:lineRule="exact"/>
              <w:rPr>
                <w:sz w:val="20"/>
                <w:szCs w:val="20"/>
                <w:color w:val="auto"/>
              </w:rPr>
            </w:pPr>
            <w:r>
              <w:rPr>
                <w:rFonts w:ascii="Arial" w:cs="Arial" w:eastAsia="Arial" w:hAnsi="Arial"/>
                <w:sz w:val="17"/>
                <w:szCs w:val="17"/>
                <w:b w:val="1"/>
                <w:bCs w:val="1"/>
                <w:color w:val="auto"/>
                <w:w w:val="88"/>
              </w:rPr>
              <w:t>Quoted Prices</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in Active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Significant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Markets for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Significant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Identical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8"/>
              </w:rPr>
              <w:t>Unobservable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(Level 1)</w:t>
            </w:r>
          </w:p>
        </w:tc>
        <w:tc>
          <w:tcPr>
            <w:tcW w:w="156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Inputs (Level 2)</w:t>
            </w: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Inputs (Level 3)</w:t>
            </w:r>
          </w:p>
        </w:tc>
        <w:tc>
          <w:tcPr>
            <w:tcW w:w="2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r>
      <w:tr>
        <w:trPr>
          <w:trHeight w:val="204"/>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49,497,000</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49,497,000</w:t>
            </w:r>
          </w:p>
        </w:tc>
        <w:tc>
          <w:tcPr>
            <w:tcW w:w="100" w:type="dxa"/>
            <w:vAlign w:val="bottom"/>
            <w:shd w:val="clear" w:color="auto" w:fill="CCEEFF"/>
          </w:tcPr>
          <w:p>
            <w:pPr>
              <w:spacing w:after="0"/>
              <w:rPr>
                <w:sz w:val="17"/>
                <w:szCs w:val="17"/>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7"/>
                <w:szCs w:val="17"/>
                <w:color w:val="auto"/>
              </w:rPr>
              <w:t>Senior Secured Notes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7,884,000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7,884,000</w:t>
            </w:r>
          </w:p>
        </w:tc>
        <w:tc>
          <w:tcPr>
            <w:tcW w:w="100" w:type="dxa"/>
            <w:vAlign w:val="bottom"/>
          </w:tcPr>
          <w:p>
            <w:pPr>
              <w:spacing w:after="0"/>
              <w:rPr>
                <w:sz w:val="18"/>
                <w:szCs w:val="18"/>
                <w:color w:val="auto"/>
              </w:rPr>
            </w:pPr>
          </w:p>
        </w:tc>
      </w:tr>
      <w:tr>
        <w:trPr>
          <w:trHeight w:val="244"/>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9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57,381,000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57,381,000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28"/>
        </w:trPr>
        <w:tc>
          <w:tcPr>
            <w:tcW w:w="4040" w:type="dxa"/>
            <w:vAlign w:val="bottom"/>
          </w:tcPr>
          <w:p>
            <w:pPr>
              <w:spacing w:after="0"/>
              <w:rPr>
                <w:sz w:val="24"/>
                <w:szCs w:val="24"/>
                <w:color w:val="auto"/>
              </w:rPr>
            </w:pPr>
          </w:p>
        </w:tc>
        <w:tc>
          <w:tcPr>
            <w:tcW w:w="1820" w:type="dxa"/>
            <w:vAlign w:val="bottom"/>
          </w:tcPr>
          <w:p>
            <w:pPr>
              <w:jc w:val="right"/>
              <w:ind w:right="9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40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measured at fair value by investment type on a recurring basis as of December 31,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gridSpan w:val="11"/>
          </w:tcPr>
          <w:p>
            <w:pPr>
              <w:ind w:left="520"/>
              <w:spacing w:after="0"/>
              <w:rPr>
                <w:sz w:val="20"/>
                <w:szCs w:val="20"/>
                <w:color w:val="auto"/>
              </w:rPr>
            </w:pPr>
            <w:r>
              <w:rPr>
                <w:rFonts w:ascii="Arial" w:cs="Arial" w:eastAsia="Arial" w:hAnsi="Arial"/>
                <w:sz w:val="17"/>
                <w:szCs w:val="17"/>
                <w:b w:val="1"/>
                <w:bCs w:val="1"/>
                <w:color w:val="auto"/>
              </w:rPr>
              <w:t>Fair Value Measurements at December 31, 2022 Using</w:t>
            </w:r>
          </w:p>
        </w:tc>
      </w:tr>
      <w:tr>
        <w:trPr>
          <w:trHeight w:val="188"/>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gridSpan w:val="2"/>
          </w:tcPr>
          <w:p>
            <w:pPr>
              <w:jc w:val="center"/>
              <w:spacing w:after="0" w:line="188" w:lineRule="exact"/>
              <w:rPr>
                <w:sz w:val="20"/>
                <w:szCs w:val="20"/>
                <w:color w:val="auto"/>
              </w:rPr>
            </w:pPr>
            <w:r>
              <w:rPr>
                <w:rFonts w:ascii="Arial" w:cs="Arial" w:eastAsia="Arial" w:hAnsi="Arial"/>
                <w:sz w:val="17"/>
                <w:szCs w:val="17"/>
                <w:b w:val="1"/>
                <w:bCs w:val="1"/>
                <w:color w:val="auto"/>
                <w:w w:val="88"/>
              </w:rPr>
              <w:t>Quoted Prices</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in Active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Significant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Markets for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Significant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Identical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8"/>
              </w:rPr>
              <w:t>Unobservable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(Level 1)</w:t>
            </w:r>
          </w:p>
        </w:tc>
        <w:tc>
          <w:tcPr>
            <w:tcW w:w="156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Inputs (Level 2)</w:t>
            </w: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Inputs (Level 3)</w:t>
            </w:r>
          </w:p>
        </w:tc>
        <w:tc>
          <w:tcPr>
            <w:tcW w:w="2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r>
      <w:tr>
        <w:trPr>
          <w:trHeight w:val="204"/>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40,660,633</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40,660,633</w:t>
            </w:r>
          </w:p>
        </w:tc>
        <w:tc>
          <w:tcPr>
            <w:tcW w:w="100" w:type="dxa"/>
            <w:vAlign w:val="bottom"/>
            <w:shd w:val="clear" w:color="auto" w:fill="CCEEFF"/>
          </w:tcPr>
          <w:p>
            <w:pPr>
              <w:spacing w:after="0"/>
              <w:rPr>
                <w:sz w:val="17"/>
                <w:szCs w:val="17"/>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Senior Secured Notes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9,593,917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9,593,917</w:t>
            </w:r>
          </w:p>
        </w:tc>
        <w:tc>
          <w:tcPr>
            <w:tcW w:w="100" w:type="dxa"/>
            <w:vAlign w:val="bottom"/>
          </w:tcPr>
          <w:p>
            <w:pPr>
              <w:spacing w:after="0"/>
              <w:rPr>
                <w:sz w:val="18"/>
                <w:szCs w:val="18"/>
                <w:color w:val="auto"/>
              </w:rPr>
            </w:pPr>
          </w:p>
        </w:tc>
      </w:tr>
      <w:tr>
        <w:trPr>
          <w:trHeight w:val="24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following tables provide a summary of the significant unobservable inputs used to fair value the Level 3 portfolio investments as of September 30, 2023 and December 31, 2022. The methodology for the determination of the fair value of the Company’s investments is discussed in “Note 2 – Significant Accounting Policies”. Discount Rate ranges are shown as spread over PRIME and Treasuries, respectively, for Senior Secured First Lien Term Loans, as of September 30, 2023 and December 31, 2022.</w:t>
      </w:r>
    </w:p>
    <w:p>
      <w:pPr>
        <w:sectPr>
          <w:pgSz w:w="11900" w:h="16838" w:orient="portrait"/>
          <w:cols w:equalWidth="0" w:num="1">
            <w:col w:w="11240"/>
          </w:cols>
          <w:pgMar w:left="320" w:top="120" w:right="3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7"/>
                <w:szCs w:val="17"/>
                <w:b w:val="1"/>
                <w:bCs w:val="1"/>
                <w:color w:val="auto"/>
              </w:rPr>
              <w:t>Fair Value as of</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8"/>
              </w:rPr>
              <w:t>Valuation Techniques/</w:t>
            </w:r>
          </w:p>
        </w:tc>
      </w:tr>
      <w:tr>
        <w:trPr>
          <w:trHeight w:val="226"/>
        </w:trPr>
        <w:tc>
          <w:tcPr>
            <w:tcW w:w="2540" w:type="dxa"/>
            <w:vAlign w:val="bottom"/>
          </w:tcPr>
          <w:p>
            <w:pPr>
              <w:spacing w:after="0"/>
              <w:rPr>
                <w:sz w:val="20"/>
                <w:szCs w:val="20"/>
                <w:color w:val="auto"/>
              </w:rPr>
            </w:pPr>
            <w:r>
              <w:rPr>
                <w:rFonts w:ascii="Arial" w:cs="Arial" w:eastAsia="Arial" w:hAnsi="Arial"/>
                <w:sz w:val="17"/>
                <w:szCs w:val="17"/>
                <w:b w:val="1"/>
                <w:bCs w:val="1"/>
                <w:color w:val="auto"/>
              </w:rPr>
              <w:t>Investment Type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spacing w:after="0"/>
              <w:rPr>
                <w:sz w:val="20"/>
                <w:szCs w:val="20"/>
                <w:color w:val="auto"/>
              </w:rPr>
            </w:pPr>
            <w:r>
              <w:rPr>
                <w:rFonts w:ascii="Arial" w:cs="Arial" w:eastAsia="Arial" w:hAnsi="Arial"/>
                <w:sz w:val="17"/>
                <w:szCs w:val="17"/>
                <w:b w:val="1"/>
                <w:bCs w:val="1"/>
                <w:color w:val="auto"/>
                <w:w w:val="93"/>
              </w:rPr>
              <w:t>September 30, 2023</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8"/>
              </w:rPr>
              <w:t>Methodologies</w:t>
            </w:r>
          </w:p>
        </w:tc>
      </w:tr>
      <w:tr>
        <w:trPr>
          <w:trHeight w:val="192"/>
        </w:trPr>
        <w:tc>
          <w:tcPr>
            <w:tcW w:w="2540" w:type="dxa"/>
            <w:vAlign w:val="bottom"/>
            <w:tcBorders>
              <w:top w:val="single" w:sz="8" w:color="auto"/>
            </w:tcBorders>
          </w:tcPr>
          <w:p>
            <w:pPr>
              <w:spacing w:after="0" w:line="192" w:lineRule="exact"/>
              <w:rPr>
                <w:sz w:val="20"/>
                <w:szCs w:val="20"/>
                <w:color w:val="auto"/>
              </w:rPr>
            </w:pPr>
            <w:r>
              <w:rPr>
                <w:rFonts w:ascii="Arial" w:cs="Arial" w:eastAsia="Arial" w:hAnsi="Arial"/>
                <w:sz w:val="17"/>
                <w:szCs w:val="17"/>
                <w:color w:val="auto"/>
                <w:w w:val="90"/>
              </w:rPr>
              <w:t>Senior Secured First Lien Term Loan</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49,497,000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tcBorders>
              <w:top w:val="single" w:sz="8" w:color="auto"/>
            </w:tcBorders>
          </w:tcPr>
          <w:p>
            <w:pPr>
              <w:spacing w:after="0" w:line="192" w:lineRule="exact"/>
              <w:rPr>
                <w:sz w:val="20"/>
                <w:szCs w:val="20"/>
                <w:color w:val="auto"/>
              </w:rPr>
            </w:pPr>
            <w:r>
              <w:rPr>
                <w:rFonts w:ascii="Arial" w:cs="Arial" w:eastAsia="Arial" w:hAnsi="Arial"/>
                <w:sz w:val="17"/>
                <w:szCs w:val="17"/>
                <w:color w:val="auto"/>
              </w:rPr>
              <w:t>Discounted Cash Flow</w:t>
            </w: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Senior Secured Notes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7,884,000</w:t>
            </w:r>
          </w:p>
        </w:tc>
        <w:tc>
          <w:tcPr>
            <w:tcW w:w="6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Discounted Cash Flow</w:t>
            </w:r>
          </w:p>
        </w:tc>
      </w:tr>
      <w:tr>
        <w:trPr>
          <w:trHeight w:val="204"/>
        </w:trPr>
        <w:tc>
          <w:tcPr>
            <w:tcW w:w="254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57,381,000</w:t>
            </w: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-436245</wp:posOffset>
            </wp:positionV>
            <wp:extent cx="7139940" cy="12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-161290</wp:posOffset>
            </wp:positionV>
            <wp:extent cx="7139940"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6192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Fair Value as of</w:t>
            </w:r>
          </w:p>
        </w:tc>
        <w:tc>
          <w:tcPr>
            <w:tcW w:w="2040" w:type="dxa"/>
            <w:vAlign w:val="bottom"/>
          </w:tcPr>
          <w:p>
            <w:pPr>
              <w:jc w:val="right"/>
              <w:ind w:right="135"/>
              <w:spacing w:after="0"/>
              <w:rPr>
                <w:sz w:val="20"/>
                <w:szCs w:val="20"/>
                <w:color w:val="auto"/>
              </w:rPr>
            </w:pPr>
            <w:r>
              <w:rPr>
                <w:rFonts w:ascii="Arial" w:cs="Arial" w:eastAsia="Arial" w:hAnsi="Arial"/>
                <w:sz w:val="17"/>
                <w:szCs w:val="17"/>
                <w:b w:val="1"/>
                <w:bCs w:val="1"/>
                <w:color w:val="auto"/>
                <w:w w:val="99"/>
              </w:rPr>
              <w:t>Valuation Techniques/</w:t>
            </w:r>
          </w:p>
        </w:tc>
        <w:tc>
          <w:tcPr>
            <w:tcW w:w="100" w:type="dxa"/>
            <w:vAlign w:val="bottom"/>
          </w:tcPr>
          <w:p>
            <w:pPr>
              <w:spacing w:after="0"/>
              <w:rPr>
                <w:sz w:val="17"/>
                <w:szCs w:val="17"/>
                <w:color w:val="auto"/>
              </w:rPr>
            </w:pPr>
          </w:p>
        </w:tc>
      </w:tr>
      <w:tr>
        <w:trPr>
          <w:trHeight w:val="226"/>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 Type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December 31, 2022</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Methodologies</w:t>
            </w:r>
          </w:p>
        </w:tc>
        <w:tc>
          <w:tcPr>
            <w:tcW w:w="100" w:type="dxa"/>
            <w:vAlign w:val="bottom"/>
          </w:tcPr>
          <w:p>
            <w:pPr>
              <w:spacing w:after="0"/>
              <w:rPr>
                <w:sz w:val="19"/>
                <w:szCs w:val="19"/>
                <w:color w:val="auto"/>
              </w:rPr>
            </w:pPr>
          </w:p>
        </w:tc>
      </w:tr>
      <w:tr>
        <w:trPr>
          <w:trHeight w:val="408"/>
        </w:trPr>
        <w:tc>
          <w:tcPr>
            <w:tcW w:w="272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1"/>
              </w:rPr>
              <w:t xml:space="preserve">Senior Secured First Lien Term Loan </w:t>
            </w:r>
            <w:r>
              <w:rPr>
                <w:rFonts w:ascii="Arial" w:cs="Arial" w:eastAsia="Arial" w:hAnsi="Arial"/>
                <w:sz w:val="33"/>
                <w:szCs w:val="33"/>
                <w:color w:val="auto"/>
                <w:w w:val="91"/>
                <w:vertAlign w:val="subscript"/>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40,660,633</w:t>
            </w:r>
          </w:p>
        </w:tc>
        <w:tc>
          <w:tcPr>
            <w:tcW w:w="8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90"/>
              </w:rPr>
              <w:t>Discounted Cash Flow</w:t>
            </w:r>
          </w:p>
        </w:tc>
        <w:tc>
          <w:tcPr>
            <w:tcW w:w="100" w:type="dxa"/>
            <w:vAlign w:val="bottom"/>
            <w:shd w:val="clear" w:color="auto" w:fill="CCEEFF"/>
          </w:tcPr>
          <w:p>
            <w:pPr>
              <w:spacing w:after="0"/>
              <w:rPr>
                <w:sz w:val="24"/>
                <w:szCs w:val="24"/>
                <w:color w:val="auto"/>
              </w:rPr>
            </w:pPr>
          </w:p>
        </w:tc>
      </w:tr>
      <w:tr>
        <w:trPr>
          <w:trHeight w:val="413"/>
        </w:trPr>
        <w:tc>
          <w:tcPr>
            <w:tcW w:w="2540" w:type="dxa"/>
            <w:vAlign w:val="bottom"/>
          </w:tcPr>
          <w:p>
            <w:pPr>
              <w:spacing w:after="0"/>
              <w:rPr>
                <w:sz w:val="20"/>
                <w:szCs w:val="20"/>
                <w:color w:val="auto"/>
              </w:rPr>
            </w:pPr>
            <w:r>
              <w:rPr>
                <w:rFonts w:ascii="Arial" w:cs="Arial" w:eastAsia="Arial" w:hAnsi="Arial"/>
                <w:sz w:val="17"/>
                <w:szCs w:val="17"/>
                <w:color w:val="auto"/>
              </w:rPr>
              <w:t>Senior Secured Notes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9,593,917</w:t>
            </w:r>
          </w:p>
        </w:tc>
        <w:tc>
          <w:tcPr>
            <w:tcW w:w="80" w:type="dxa"/>
            <w:vAlign w:val="bottom"/>
          </w:tcPr>
          <w:p>
            <w:pPr>
              <w:spacing w:after="0"/>
              <w:rPr>
                <w:sz w:val="24"/>
                <w:szCs w:val="24"/>
                <w:color w:val="auto"/>
              </w:rPr>
            </w:pPr>
          </w:p>
        </w:tc>
        <w:tc>
          <w:tcPr>
            <w:tcW w:w="2040" w:type="dxa"/>
            <w:vAlign w:val="bottom"/>
          </w:tcPr>
          <w:p>
            <w:pPr>
              <w:jc w:val="right"/>
              <w:ind w:right="395"/>
              <w:spacing w:after="0"/>
              <w:rPr>
                <w:sz w:val="20"/>
                <w:szCs w:val="20"/>
                <w:color w:val="auto"/>
              </w:rPr>
            </w:pPr>
            <w:r>
              <w:rPr>
                <w:rFonts w:ascii="Arial" w:cs="Arial" w:eastAsia="Arial" w:hAnsi="Arial"/>
                <w:sz w:val="17"/>
                <w:szCs w:val="17"/>
                <w:color w:val="auto"/>
                <w:w w:val="90"/>
              </w:rPr>
              <w:t>Discounted Cash Flow</w:t>
            </w:r>
          </w:p>
        </w:tc>
        <w:tc>
          <w:tcPr>
            <w:tcW w:w="100" w:type="dxa"/>
            <w:vAlign w:val="bottom"/>
          </w:tcPr>
          <w:p>
            <w:pPr>
              <w:spacing w:after="0"/>
              <w:rPr>
                <w:sz w:val="24"/>
                <w:szCs w:val="24"/>
                <w:color w:val="auto"/>
              </w:rPr>
            </w:pPr>
          </w:p>
        </w:tc>
      </w:tr>
      <w:tr>
        <w:trPr>
          <w:trHeight w:val="204"/>
        </w:trPr>
        <w:tc>
          <w:tcPr>
            <w:tcW w:w="2540" w:type="dxa"/>
            <w:vAlign w:val="bottom"/>
          </w:tcPr>
          <w:p>
            <w:pPr>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50,254,550</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-161290</wp:posOffset>
            </wp:positionV>
            <wp:extent cx="7139940" cy="16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19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(1) The weighted average is calculated based on the fair value of each investment.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88"/>
              </w:rPr>
              <w:t>Unobservable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vMerge w:val="restart"/>
          </w:tcPr>
          <w:p>
            <w:pPr>
              <w:ind w:left="40"/>
              <w:spacing w:after="0"/>
              <w:rPr>
                <w:sz w:val="20"/>
                <w:szCs w:val="20"/>
                <w:color w:val="auto"/>
              </w:rPr>
            </w:pPr>
            <w:r>
              <w:rPr>
                <w:rFonts w:ascii="Arial" w:cs="Arial" w:eastAsia="Arial" w:hAnsi="Arial"/>
                <w:sz w:val="17"/>
                <w:szCs w:val="17"/>
                <w:b w:val="1"/>
                <w:bCs w:val="1"/>
                <w:color w:val="auto"/>
                <w:w w:val="88"/>
              </w:rPr>
              <w:t xml:space="preserve">Weighted Average </w:t>
            </w:r>
            <w:r>
              <w:rPr>
                <w:rFonts w:ascii="Arial" w:cs="Arial" w:eastAsia="Arial" w:hAnsi="Arial"/>
                <w:sz w:val="28"/>
                <w:szCs w:val="28"/>
                <w:b w:val="1"/>
                <w:bCs w:val="1"/>
                <w:color w:val="auto"/>
                <w:w w:val="88"/>
                <w:vertAlign w:val="superscript"/>
              </w:rPr>
              <w:t>(1)</w:t>
            </w: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Input</w:t>
            </w:r>
          </w:p>
        </w:tc>
        <w:tc>
          <w:tcPr>
            <w:tcW w:w="80" w:type="dxa"/>
            <w:vAlign w:val="bottom"/>
          </w:tcPr>
          <w:p>
            <w:pPr>
              <w:spacing w:after="0"/>
              <w:rPr>
                <w:sz w:val="19"/>
                <w:szCs w:val="19"/>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Range</w:t>
            </w:r>
          </w:p>
        </w:tc>
        <w:tc>
          <w:tcPr>
            <w:tcW w:w="26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60" w:type="dxa"/>
            <w:vAlign w:val="bottom"/>
          </w:tcPr>
          <w:p>
            <w:pPr>
              <w:jc w:val="center"/>
              <w:spacing w:after="0" w:line="192" w:lineRule="exact"/>
              <w:rPr>
                <w:sz w:val="20"/>
                <w:szCs w:val="20"/>
                <w:color w:val="auto"/>
              </w:rPr>
            </w:pPr>
            <w:r>
              <w:rPr>
                <w:rFonts w:ascii="Arial" w:cs="Arial" w:eastAsia="Arial" w:hAnsi="Arial"/>
                <w:sz w:val="17"/>
                <w:szCs w:val="17"/>
                <w:color w:val="auto"/>
                <w:w w:val="89"/>
              </w:rPr>
              <w:t>Discount Rate</w:t>
            </w:r>
          </w:p>
        </w:tc>
        <w:tc>
          <w:tcPr>
            <w:tcW w:w="8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Arial" w:cs="Arial" w:eastAsia="Arial" w:hAnsi="Arial"/>
                <w:sz w:val="17"/>
                <w:szCs w:val="17"/>
                <w:color w:val="auto"/>
              </w:rPr>
              <w:t>11.6%</w:t>
            </w:r>
          </w:p>
        </w:tc>
        <w:tc>
          <w:tcPr>
            <w:tcW w:w="68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w w:val="92"/>
              </w:rPr>
              <w:t>- 15.3%</w:t>
            </w:r>
          </w:p>
        </w:tc>
        <w:tc>
          <w:tcPr>
            <w:tcW w:w="178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89"/>
              </w:rPr>
              <w:t>Discount Rate</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- 14.2%</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88"/>
              </w:rPr>
              <w:t>Unobservable</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vMerge w:val="restart"/>
          </w:tcPr>
          <w:p>
            <w:pPr>
              <w:ind w:left="40"/>
              <w:spacing w:after="0"/>
              <w:rPr>
                <w:sz w:val="20"/>
                <w:szCs w:val="20"/>
                <w:color w:val="auto"/>
              </w:rPr>
            </w:pPr>
            <w:r>
              <w:rPr>
                <w:rFonts w:ascii="Arial" w:cs="Arial" w:eastAsia="Arial" w:hAnsi="Arial"/>
                <w:sz w:val="17"/>
                <w:szCs w:val="17"/>
                <w:b w:val="1"/>
                <w:bCs w:val="1"/>
                <w:color w:val="auto"/>
                <w:w w:val="88"/>
              </w:rPr>
              <w:t xml:space="preserve">Weighted Average </w:t>
            </w:r>
            <w:r>
              <w:rPr>
                <w:rFonts w:ascii="Arial" w:cs="Arial" w:eastAsia="Arial" w:hAnsi="Arial"/>
                <w:sz w:val="28"/>
                <w:szCs w:val="28"/>
                <w:b w:val="1"/>
                <w:bCs w:val="1"/>
                <w:color w:val="auto"/>
                <w:w w:val="88"/>
                <w:vertAlign w:val="superscript"/>
              </w:rPr>
              <w:t>(1)</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Input</w:t>
            </w:r>
          </w:p>
        </w:tc>
        <w:tc>
          <w:tcPr>
            <w:tcW w:w="80" w:type="dxa"/>
            <w:vAlign w:val="bottom"/>
          </w:tcPr>
          <w:p>
            <w:pPr>
              <w:spacing w:after="0"/>
              <w:rPr>
                <w:sz w:val="19"/>
                <w:szCs w:val="19"/>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Range</w:t>
            </w:r>
          </w:p>
        </w:tc>
        <w:tc>
          <w:tcPr>
            <w:tcW w:w="26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91"/>
              </w:rPr>
              <w:t>Discount Rate</w:t>
            </w:r>
          </w:p>
        </w:tc>
        <w:tc>
          <w:tcPr>
            <w:tcW w:w="80" w:type="dxa"/>
            <w:vAlign w:val="bottom"/>
          </w:tcPr>
          <w:p>
            <w:pPr>
              <w:spacing w:after="0"/>
              <w:rPr>
                <w:sz w:val="17"/>
                <w:szCs w:val="17"/>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7.2% - 9.6%</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Volatility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- 20.0%</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91"/>
              </w:rPr>
              <w:t>Discount Rate</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- 18.7%</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97"/>
              </w:rPr>
              <w:t>Volatility</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- 20.0%</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-532765</wp:posOffset>
            </wp:positionV>
            <wp:extent cx="3213735" cy="129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3735" cy="129540"/>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6280" w:space="0"/>
            <w:col w:w="4960"/>
          </w:cols>
          <w:pgMar w:left="320" w:top="120" w:right="339" w:bottom="1440" w:gutter="0" w:footer="0" w:header="0"/>
          <w:type w:val="continuous"/>
        </w:sectPr>
      </w:pPr>
    </w:p>
    <w:p>
      <w:pPr>
        <w:spacing w:after="0" w:line="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changes in the fair value of the Company’s Level 3 portfolio investments for the nine months ended September 30,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b w:val="1"/>
                <w:bCs w:val="1"/>
                <w:color w:val="auto"/>
              </w:rPr>
              <w:t>Senior Secured</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6"/>
              </w:rPr>
              <w:t>Senior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First Lien</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6"/>
              </w:rPr>
              <w:t>Secured</w:t>
            </w:r>
          </w:p>
        </w:tc>
        <w:tc>
          <w:tcPr>
            <w:tcW w:w="10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6"/>
              </w:rPr>
              <w:t>Term Loan</w:t>
            </w:r>
          </w:p>
        </w:tc>
        <w:tc>
          <w:tcPr>
            <w:tcW w:w="1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Notes</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6"/>
              </w:rPr>
              <w:t>Investments</w:t>
            </w: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December 31, 2022</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40,660,633</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9,593,917</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Purchases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8,442,000</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8,442,000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Accretion of discount and fees (amortization of premium),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233,119</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197,933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PIK interest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78,153</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78,153</w:t>
            </w: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investments and principal repayments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(180,000)</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(1,600,000)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(1,780,000)</w:t>
            </w:r>
          </w:p>
        </w:tc>
        <w:tc>
          <w:tcPr>
            <w:tcW w:w="0" w:type="dxa"/>
            <w:vAlign w:val="bottom"/>
          </w:tcPr>
          <w:p>
            <w:pPr>
              <w:spacing w:after="0"/>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Net realized gain (loss) on investments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(210,767)</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(210,767)</w:t>
            </w: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change in unrealized appreciation (depreciation) on investments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263,095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(97,083)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tcPr>
          <w:p>
            <w:pPr>
              <w:spacing w:after="0"/>
              <w:rPr>
                <w:sz w:val="20"/>
                <w:szCs w:val="20"/>
                <w:color w:val="auto"/>
              </w:rPr>
            </w:pPr>
            <w:r>
              <w:rPr>
                <w:rFonts w:ascii="Arial" w:cs="Arial" w:eastAsia="Arial" w:hAnsi="Arial"/>
                <w:sz w:val="17"/>
                <w:szCs w:val="17"/>
                <w:color w:val="auto"/>
              </w:rPr>
              <w:t>Balance as of September 30, 2023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49,497,000</w:t>
            </w:r>
          </w:p>
        </w:tc>
        <w:tc>
          <w:tcPr>
            <w:tcW w:w="2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7,884,000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57,381,000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line="192" w:lineRule="exact"/>
              <w:rPr>
                <w:sz w:val="20"/>
                <w:szCs w:val="20"/>
                <w:color w:val="auto"/>
              </w:rPr>
            </w:pPr>
            <w:r>
              <w:rPr>
                <w:rFonts w:ascii="Arial" w:cs="Arial" w:eastAsia="Arial" w:hAnsi="Arial"/>
                <w:sz w:val="17"/>
                <w:szCs w:val="17"/>
                <w:color w:val="auto"/>
                <w:w w:val="92"/>
              </w:rPr>
              <w:t>Net change in unrealized appreciation/depreciation on Level 3 investments still held as of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16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263,095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(97,083)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166,012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60"/>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changes in the fair value of the Company’s Level 3 portfolio investments for the nine months ended September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b w:val="1"/>
                <w:bCs w:val="1"/>
                <w:color w:val="auto"/>
              </w:rPr>
              <w:t>Senior Secured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First Lien</w:t>
            </w:r>
          </w:p>
        </w:tc>
        <w:tc>
          <w:tcPr>
            <w:tcW w:w="10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4"/>
              </w:rPr>
              <w:t>Term Loan</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6"/>
              </w:rPr>
              <w:t>Investments</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December 31, 2021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Purchases</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24,417,500</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24,417,500</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Accretion of discount and fees (amortization of premium),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49,966</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49,966</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PIK interest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investments and principal repayments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Net realized gain (loss) on investments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unrealized appreciation (depreciation) on investments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Balance as of September 30, 2022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24,467,466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24,467,466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Net change in unrealized appreciation/depreciation on Level 3 investments still held as of September 30, 2022</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b w:val="1"/>
                <w:bCs w:val="1"/>
                <w:color w:val="auto"/>
              </w:rPr>
              <w:t>NOTE 5 — RELATED PARTY TRANSACTIONS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SSC if the Company’s entire investment portfolio was liquidated at its fair value as of the balance sheet date even though SSC is not entitled to an Incentive Fee on Capital Gains with respect to unrealized capital appreciation unless and until such gains are actually realized.</w:t>
      </w:r>
    </w:p>
    <w:p>
      <w:pPr>
        <w:spacing w:after="0" w:line="1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management fee is payable quarterly in arrears. For the three and nine months ended September 30, 2023, the Company incurred management fee expenses of $264,565 and $760,473, respectively. For the three and nine months ended September 30, 2022, the Company incurred management fee expenses of $110,426 and $165,467, respectively. As of September 30, 2023 and December 31, 2022, $264,565 and $170,965, respectively, remained payable.</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three and nine months ended September 30, 2023, the Company incurred income-based incentive fee expenses of $405,247 and $1,051,741, respectively. For the three and nine months ended September 30, 2022, the Company did not incur any income-based incentive fee expenses. As of September 30, 2023 and December 31, 2022, $1,051,741 and $0, respectively, remained payable.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three and nine months ended September 30, 2023, the Company incurred capital gains incentive fee expenses of $(5,000) and $0, respectively. For the three and nine months ended September 30, 2022, the Company did not incur any capital gains incentive fee expenses. As of September 30, 2023 and December 31, 2022, no amount remained payable.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Pursuant to the administration agreement between the Company and SSC (the “Administration Agreement”), the Company is to reimburse the administrator,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three and nine months ended September 30, 2023 and 2022, the Adviser has waived any expense reimbursement, other than those associated with the delegation of its obligations to the sub-administrator.</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Due to affiliate in the accompanying Statements of Assets and Liabilities in the amount of $298 and $37 as of September 30, 2023 and December 31, 2022, respectively, is due to SSC for expenses paid on the Company’s behalf. For the three and nine months ended September 30, 2023, the Company paid $4,993 and $6,192, respectively, as reimbursement to SSC for expenses paid on the Company’s behalf. For the three and nine months ended September 30, 2022, the Company paid $1,075 and $388,559, respectively, for expenses on SSC’s behalf. As of September 30, 2023 and December 31, 2022 there were no amounts due from affiliates. For the three and nine months ended September 30, 2023, there were no amounts received by the Company that were due from affiliates.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SSC has agreed to absorb $2.07 million, the cost of the sales load (i.e., underwriting discounts and commissions) incurred by the Company in connection with the initial public offering of its common stock.</w:t>
      </w:r>
    </w:p>
    <w:p>
      <w:pPr>
        <w:spacing w:after="0" w:line="16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During the three and nine months ended September 30, 2023, SSC and certain related parties received quarterly and special dividend distributions from the Company relating to their shares held. Refer to “Note 7 – Common Stock” for further details on the Company’s dividend reinvestment plan and the distributions declared.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COMMITMENTS AND CONTINGENCIES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Commitments and contingencies have been reviewed and the Company has identified no commitments or contingencies as of September 30, 2023 and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COMMON STOCK</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its formation, the Company authorized 100,000,000 shares of its common stock with a par value of $0.01 per share. On June 15, 2021, the Company was initially capitalized by the issuance of 386 shares of its common stock for an aggregate purchase price of $5,400 to SSC.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4, 2022, the Company completed its initial public offering of 6,214,286 shares of common stock at a price of $14.00 per share, inclusive of the underwriters’ option to purchase additional shares, which was exercised on March 1, 2022, and raised capital of approximately $85 million (net of approximately $2 million of offering costs).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distributions declared and/or paid by the Company during the three and nine months ended September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Per Share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2480" w:type="dxa"/>
            <w:vAlign w:val="bottom"/>
          </w:tcPr>
          <w:p>
            <w:pPr>
              <w:jc w:val="center"/>
              <w:spacing w:after="0"/>
              <w:rPr>
                <w:sz w:val="20"/>
                <w:szCs w:val="20"/>
                <w:color w:val="auto"/>
              </w:rPr>
            </w:pPr>
            <w:r>
              <w:rPr>
                <w:rFonts w:ascii="Arial" w:cs="Arial" w:eastAsia="Arial" w:hAnsi="Arial"/>
                <w:sz w:val="17"/>
                <w:szCs w:val="17"/>
                <w:b w:val="1"/>
                <w:bCs w:val="1"/>
                <w:color w:val="auto"/>
                <w:w w:val="92"/>
              </w:rPr>
              <w:t>Declaration Date</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5"/>
              </w:rPr>
              <w:t>Type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9"/>
              </w:rPr>
              <w:t>Record Date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0"/>
              </w:rPr>
              <w:t>Payment Date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Amount</w:t>
            </w:r>
          </w:p>
        </w:tc>
        <w:tc>
          <w:tcPr>
            <w:tcW w:w="1100" w:type="dxa"/>
            <w:vAlign w:val="bottom"/>
            <w:gridSpan w:val="2"/>
          </w:tcPr>
          <w:p>
            <w:pPr>
              <w:spacing w:after="0"/>
              <w:rPr>
                <w:sz w:val="20"/>
                <w:szCs w:val="20"/>
                <w:color w:val="auto"/>
              </w:rPr>
            </w:pPr>
            <w:r>
              <w:rPr>
                <w:rFonts w:ascii="Arial" w:cs="Arial" w:eastAsia="Arial" w:hAnsi="Arial"/>
                <w:sz w:val="17"/>
                <w:szCs w:val="17"/>
                <w:b w:val="1"/>
                <w:bCs w:val="1"/>
                <w:color w:val="auto"/>
                <w:w w:val="88"/>
              </w:rPr>
              <w:t>Dividends Paid</w:t>
            </w:r>
          </w:p>
        </w:tc>
        <w:tc>
          <w:tcPr>
            <w:tcW w:w="100" w:type="dxa"/>
            <w:vAlign w:val="bottom"/>
          </w:tcPr>
          <w:p>
            <w:pPr>
              <w:spacing w:after="0"/>
              <w:rPr>
                <w:sz w:val="19"/>
                <w:szCs w:val="19"/>
                <w:color w:val="auto"/>
              </w:rPr>
            </w:pPr>
          </w:p>
        </w:tc>
      </w:tr>
      <w:tr>
        <w:trPr>
          <w:trHeight w:val="204"/>
        </w:trPr>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August 10, 2023</w:t>
            </w:r>
          </w:p>
        </w:tc>
        <w:tc>
          <w:tcPr>
            <w:tcW w:w="1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Quarterly</w:t>
            </w:r>
          </w:p>
        </w:tc>
        <w:tc>
          <w:tcPr>
            <w:tcW w:w="120" w:type="dxa"/>
            <w:vAlign w:val="bottom"/>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September 15, 2023</w:t>
            </w:r>
          </w:p>
        </w:tc>
        <w:tc>
          <w:tcPr>
            <w:tcW w:w="120" w:type="dxa"/>
            <w:vAlign w:val="bottom"/>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September 29, 2023</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1,429,374</w:t>
            </w:r>
          </w:p>
        </w:tc>
        <w:tc>
          <w:tcPr>
            <w:tcW w:w="100" w:type="dxa"/>
            <w:vAlign w:val="bottom"/>
            <w:shd w:val="clear" w:color="auto" w:fill="CCEEFF"/>
          </w:tcPr>
          <w:p>
            <w:pPr>
              <w:spacing w:after="0"/>
              <w:rPr>
                <w:sz w:val="17"/>
                <w:szCs w:val="17"/>
                <w:color w:val="auto"/>
              </w:rPr>
            </w:pPr>
          </w:p>
        </w:tc>
      </w:tr>
      <w:tr>
        <w:trPr>
          <w:trHeight w:val="215"/>
        </w:trPr>
        <w:tc>
          <w:tcPr>
            <w:tcW w:w="2480" w:type="dxa"/>
            <w:vAlign w:val="bottom"/>
          </w:tcPr>
          <w:p>
            <w:pPr>
              <w:jc w:val="center"/>
              <w:spacing w:after="0"/>
              <w:rPr>
                <w:sz w:val="20"/>
                <w:szCs w:val="20"/>
                <w:color w:val="auto"/>
              </w:rPr>
            </w:pPr>
            <w:r>
              <w:rPr>
                <w:rFonts w:ascii="Arial" w:cs="Arial" w:eastAsia="Arial" w:hAnsi="Arial"/>
                <w:sz w:val="17"/>
                <w:szCs w:val="17"/>
                <w:color w:val="auto"/>
                <w:w w:val="90"/>
              </w:rPr>
              <w:t>August 10, 2023</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89"/>
              </w:rPr>
              <w:t>Special</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8"/>
              </w:rPr>
              <w:t>September 15, 2023</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September 29, 2023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0.40</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2,485,869</w:t>
            </w:r>
          </w:p>
        </w:tc>
        <w:tc>
          <w:tcPr>
            <w:tcW w:w="100" w:type="dxa"/>
            <w:vAlign w:val="bottom"/>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the Company did not have any distributions.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Reinvestment Plan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DRIP is administered by its transfer agent on behalf of the Company’s record holders and participating brokerage firms. Brokerage firms and other financial intermediaries may decide not to participate in the Company’s DRIP but may provide a similar dividend reinvestment plan for their clients. During the three and nine months ended September 30, 2023, the Company issued the following shares of common stock under the DRIP: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Declaration Date</w:t>
            </w:r>
          </w:p>
        </w:tc>
        <w:tc>
          <w:tcPr>
            <w:tcW w:w="1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Type</w:t>
            </w:r>
          </w:p>
        </w:tc>
        <w:tc>
          <w:tcPr>
            <w:tcW w:w="1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Record Date</w:t>
            </w:r>
          </w:p>
        </w:tc>
        <w:tc>
          <w:tcPr>
            <w:tcW w:w="1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Payment Date</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Shares</w:t>
            </w:r>
          </w:p>
        </w:tc>
        <w:tc>
          <w:tcPr>
            <w:tcW w:w="40" w:type="dxa"/>
            <w:vAlign w:val="bottom"/>
          </w:tcPr>
          <w:p>
            <w:pPr>
              <w:spacing w:after="0"/>
              <w:rPr>
                <w:sz w:val="19"/>
                <w:szCs w:val="19"/>
                <w:color w:val="auto"/>
              </w:rPr>
            </w:pPr>
          </w:p>
        </w:tc>
      </w:tr>
      <w:tr>
        <w:trPr>
          <w:trHeight w:val="204"/>
        </w:trPr>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August 10, 2023</w:t>
            </w: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Quarterly</w:t>
            </w: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September 15, 2023</w:t>
            </w: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September 29, 2023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0" w:type="dxa"/>
            <w:vAlign w:val="bottom"/>
            <w:shd w:val="clear" w:color="auto" w:fill="CCEEFF"/>
          </w:tcPr>
          <w:p>
            <w:pPr>
              <w:spacing w:after="0"/>
              <w:rPr>
                <w:sz w:val="17"/>
                <w:szCs w:val="17"/>
                <w:color w:val="auto"/>
              </w:rPr>
            </w:pPr>
          </w:p>
        </w:tc>
      </w:tr>
      <w:tr>
        <w:trPr>
          <w:trHeight w:val="215"/>
        </w:trPr>
        <w:tc>
          <w:tcPr>
            <w:tcW w:w="2480" w:type="dxa"/>
            <w:vAlign w:val="bottom"/>
          </w:tcPr>
          <w:p>
            <w:pPr>
              <w:jc w:val="center"/>
              <w:spacing w:after="0"/>
              <w:rPr>
                <w:sz w:val="20"/>
                <w:szCs w:val="20"/>
                <w:color w:val="auto"/>
              </w:rPr>
            </w:pPr>
            <w:r>
              <w:rPr>
                <w:rFonts w:ascii="Arial" w:cs="Arial" w:eastAsia="Arial" w:hAnsi="Arial"/>
                <w:sz w:val="17"/>
                <w:szCs w:val="17"/>
                <w:color w:val="auto"/>
                <w:w w:val="90"/>
              </w:rPr>
              <w:t>August 10, 2023</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7"/>
                <w:szCs w:val="17"/>
                <w:color w:val="auto"/>
                <w:w w:val="89"/>
              </w:rPr>
              <w:t>Special</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7"/>
                <w:szCs w:val="17"/>
                <w:color w:val="auto"/>
                <w:w w:val="88"/>
              </w:rPr>
              <w:t>September 15, 2023</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7"/>
                <w:szCs w:val="17"/>
                <w:color w:val="auto"/>
                <w:w w:val="88"/>
              </w:rPr>
              <w:t>September 29, 2023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the Company issued no new shares of common stock under the DRIP.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INDEMNIFICATION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EARNINGS PER SHARE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sets forth the computation of the weighted average basic and diluted net increase (decrease) in net assets per share from operations for the three and nine months ended September 30,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720" w:type="dxa"/>
            <w:vAlign w:val="bottom"/>
            <w:gridSpan w:val="4"/>
          </w:tcPr>
          <w:p>
            <w:pPr>
              <w:ind w:left="80"/>
              <w:spacing w:after="0"/>
              <w:rPr>
                <w:sz w:val="20"/>
                <w:szCs w:val="20"/>
                <w:color w:val="auto"/>
              </w:rPr>
            </w:pPr>
            <w:r>
              <w:rPr>
                <w:rFonts w:ascii="Arial" w:cs="Arial" w:eastAsia="Arial" w:hAnsi="Arial"/>
                <w:sz w:val="17"/>
                <w:szCs w:val="17"/>
                <w:b w:val="1"/>
                <w:bCs w:val="1"/>
                <w:color w:val="auto"/>
                <w:w w:val="96"/>
              </w:rPr>
              <w:t>Three Months Ended</w:t>
            </w:r>
          </w:p>
        </w:tc>
        <w:tc>
          <w:tcPr>
            <w:tcW w:w="17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Three Months Ended</w:t>
            </w:r>
          </w:p>
        </w:tc>
        <w:tc>
          <w:tcPr>
            <w:tcW w:w="164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5"/>
              </w:rPr>
              <w:t>Nine Months Ended</w:t>
            </w:r>
          </w:p>
        </w:tc>
        <w:tc>
          <w:tcPr>
            <w:tcW w:w="1620" w:type="dxa"/>
            <w:vAlign w:val="bottom"/>
            <w:gridSpan w:val="4"/>
          </w:tcPr>
          <w:p>
            <w:pPr>
              <w:ind w:left="80"/>
              <w:spacing w:after="0"/>
              <w:rPr>
                <w:sz w:val="20"/>
                <w:szCs w:val="20"/>
                <w:color w:val="auto"/>
              </w:rPr>
            </w:pPr>
            <w:r>
              <w:rPr>
                <w:rFonts w:ascii="Arial" w:cs="Arial" w:eastAsia="Arial" w:hAnsi="Arial"/>
                <w:sz w:val="17"/>
                <w:szCs w:val="17"/>
                <w:b w:val="1"/>
                <w:bCs w:val="1"/>
                <w:color w:val="auto"/>
                <w:w w:val="95"/>
              </w:rPr>
              <w:t>Nine Months Ended</w:t>
            </w:r>
          </w:p>
        </w:tc>
      </w:tr>
      <w:tr>
        <w:trPr>
          <w:trHeight w:val="226"/>
        </w:trPr>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ind w:left="80"/>
              <w:spacing w:after="0"/>
              <w:rPr>
                <w:sz w:val="20"/>
                <w:szCs w:val="20"/>
                <w:color w:val="auto"/>
              </w:rPr>
            </w:pPr>
            <w:r>
              <w:rPr>
                <w:rFonts w:ascii="Arial" w:cs="Arial" w:eastAsia="Arial" w:hAnsi="Arial"/>
                <w:sz w:val="17"/>
                <w:szCs w:val="17"/>
                <w:b w:val="1"/>
                <w:bCs w:val="1"/>
                <w:color w:val="auto"/>
                <w:w w:val="96"/>
              </w:rPr>
              <w:t>September 30, 2023</w:t>
            </w:r>
          </w:p>
        </w:tc>
        <w:tc>
          <w:tcPr>
            <w:tcW w:w="100" w:type="dxa"/>
            <w:vAlign w:val="bottom"/>
          </w:tcPr>
          <w:p>
            <w:pPr>
              <w:spacing w:after="0"/>
              <w:rPr>
                <w:sz w:val="19"/>
                <w:szCs w:val="19"/>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September 30, 2022</w:t>
            </w:r>
          </w:p>
        </w:tc>
        <w:tc>
          <w:tcPr>
            <w:tcW w:w="10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88"/>
              </w:rPr>
              <w:t>September 30, 2023</w:t>
            </w:r>
          </w:p>
        </w:tc>
        <w:tc>
          <w:tcPr>
            <w:tcW w:w="8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September 30, 2022</w:t>
            </w: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w w:val="95"/>
              </w:rPr>
              <w:t>Net increase (decrease) in net assets resulting from operations</w:t>
            </w: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1,273,882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559,923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4,842,366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556,129</w:t>
            </w:r>
          </w:p>
        </w:tc>
        <w:tc>
          <w:tcPr>
            <w:tcW w:w="80" w:type="dxa"/>
            <w:vAlign w:val="bottom"/>
            <w:shd w:val="clear" w:color="auto" w:fill="CCEEFF"/>
          </w:tcPr>
          <w:p>
            <w:pPr>
              <w:spacing w:after="0"/>
              <w:rPr>
                <w:sz w:val="17"/>
                <w:szCs w:val="17"/>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color w:val="auto"/>
              </w:rPr>
              <w:t>Weighted Average Shares Outstanding - basic and diluted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6,214,673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6,214,672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6,214,672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5,338,691</w:t>
            </w:r>
          </w:p>
        </w:tc>
      </w:tr>
      <w:tr>
        <w:trPr>
          <w:trHeight w:val="192"/>
        </w:trPr>
        <w:tc>
          <w:tcPr>
            <w:tcW w:w="45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89"/>
              </w:rPr>
              <w:t>Net increase (decrease) in net assets resulting from operations per</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 - basic and diluted</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0.78</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INCOME TAXES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adopted a tax year end of March 31, with March 31, 2022 being the first tax period end for this elected tax year end. The Company elected to be treated as a regulated investment company (“RIC”) for U.S. federal income tax purposes under Subchapter M of the Code for the tax period January 1, 2022 through March 31, 2022, and intends to maintain such election in future taxable years.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Company’s Directors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ectPr>
          <w:pgSz w:w="11900" w:h="16838" w:orient="portrait"/>
          <w:cols w:equalWidth="0" w:num="1">
            <w:col w:w="11240"/>
          </w:cols>
          <w:pgMar w:left="320" w:top="120"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Company’s taxable income for each period is an estimate and will not be finally determined until the Company files its tax return for each tax year. Therefore, the final taxable income earned in each tax year and carried forward for distribution in the following tax year may be different than this estimate.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2023, the Company’s most recent tax year end, the Company had no capital loss carryforwards for federal income tax purposes.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income tax purposes, distributions paid to shareholders are reported as ordinary income, return of capital, long-term capital gains, or a combination thereof. For the six month period ending September 30, 2023, the Company had ordinary income distributions of $3,914,922, however the final determination of the tax character of distributions will not be made until we file our tax return for the tax year ending March 31, 2024. There were no distributions paid for the tax year ended March 31, 2023.</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 For the tax year ended March 31, 2022, the Company reclassified $295,235 from distributable earnings to additional paid-in-capital on the Statement of Assets and Liabilities arising from permanent book to tax differences primarily related to prior year post-financial statement updates and non-deductible excise tax.</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March 31, 2023, the components of distributable earnings on a tax basis detailed below differ from the amounts reflected in the Company’s Statements of Assets and Liabilities by temporary book or tax differences primarily arising from the tax treatment of organizational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w w:val="99"/>
              </w:rPr>
              <w:t>March 31, 2023</w:t>
            </w:r>
          </w:p>
        </w:tc>
      </w:tr>
      <w:tr>
        <w:trPr>
          <w:trHeight w:val="204"/>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Undistributed ordinary income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3,418,714</w:t>
            </w:r>
          </w:p>
        </w:tc>
        <w:tc>
          <w:tcPr>
            <w:tcW w:w="100" w:type="dxa"/>
            <w:vAlign w:val="bottom"/>
            <w:shd w:val="clear" w:color="auto" w:fill="CCEEFF"/>
          </w:tcPr>
          <w:p>
            <w:pPr>
              <w:spacing w:after="0"/>
              <w:rPr>
                <w:sz w:val="17"/>
                <w:szCs w:val="17"/>
                <w:color w:val="auto"/>
              </w:rPr>
            </w:pPr>
          </w:p>
        </w:tc>
      </w:tr>
      <w:tr>
        <w:trPr>
          <w:trHeight w:val="204"/>
        </w:trPr>
        <w:tc>
          <w:tcPr>
            <w:tcW w:w="10020" w:type="dxa"/>
            <w:vAlign w:val="bottom"/>
          </w:tcPr>
          <w:p>
            <w:pPr>
              <w:spacing w:after="0"/>
              <w:rPr>
                <w:sz w:val="20"/>
                <w:szCs w:val="20"/>
                <w:color w:val="auto"/>
              </w:rPr>
            </w:pPr>
            <w:r>
              <w:rPr>
                <w:rFonts w:ascii="Arial" w:cs="Arial" w:eastAsia="Arial" w:hAnsi="Arial"/>
                <w:sz w:val="17"/>
                <w:szCs w:val="17"/>
                <w:color w:val="auto"/>
              </w:rPr>
              <w:t>Net unrealized appreciation (depreciation) on investments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713,009</w:t>
            </w:r>
          </w:p>
        </w:tc>
        <w:tc>
          <w:tcPr>
            <w:tcW w:w="100" w:type="dxa"/>
            <w:vAlign w:val="bottom"/>
          </w:tcPr>
          <w:p>
            <w:pPr>
              <w:spacing w:after="0"/>
              <w:rPr>
                <w:sz w:val="17"/>
                <w:szCs w:val="17"/>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Other temporary differences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(399,948)</w:t>
            </w:r>
          </w:p>
        </w:tc>
      </w:tr>
      <w:tr>
        <w:trPr>
          <w:trHeight w:val="204"/>
        </w:trPr>
        <w:tc>
          <w:tcPr>
            <w:tcW w:w="100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3,731,775</w:t>
            </w:r>
          </w:p>
        </w:tc>
        <w:tc>
          <w:tcPr>
            <w:tcW w:w="100" w:type="dxa"/>
            <w:vAlign w:val="bottom"/>
            <w:tcBorders>
              <w:top w:val="single" w:sz="8" w:color="CCEEFF"/>
            </w:tcBorders>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The following table sets forth the tax cost basis and the estimated aggregate gross unrealized appreciation and depreciation from investments and cash equivalents for federal income tax purposes for the six months ended September 30, 2023, the tax year ended March 31, 2023, and the fiscal year ended December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20" w:type="dxa"/>
            <w:vAlign w:val="bottom"/>
            <w:gridSpan w:val="5"/>
          </w:tcPr>
          <w:p>
            <w:pPr>
              <w:spacing w:after="0"/>
              <w:rPr>
                <w:sz w:val="20"/>
                <w:szCs w:val="20"/>
                <w:color w:val="auto"/>
              </w:rPr>
            </w:pPr>
            <w:r>
              <w:rPr>
                <w:rFonts w:ascii="Arial" w:cs="Arial" w:eastAsia="Arial" w:hAnsi="Arial"/>
                <w:sz w:val="17"/>
                <w:szCs w:val="17"/>
                <w:b w:val="1"/>
                <w:bCs w:val="1"/>
                <w:color w:val="auto"/>
              </w:rPr>
              <w:t>September 30, 2023</w:t>
            </w:r>
          </w:p>
        </w:tc>
        <w:tc>
          <w:tcPr>
            <w:tcW w:w="1320" w:type="dxa"/>
            <w:vAlign w:val="bottom"/>
            <w:gridSpan w:val="3"/>
          </w:tcPr>
          <w:p>
            <w:pPr>
              <w:spacing w:after="0"/>
              <w:rPr>
                <w:sz w:val="20"/>
                <w:szCs w:val="20"/>
                <w:color w:val="auto"/>
              </w:rPr>
            </w:pPr>
            <w:r>
              <w:rPr>
                <w:rFonts w:ascii="Arial" w:cs="Arial" w:eastAsia="Arial" w:hAnsi="Arial"/>
                <w:sz w:val="17"/>
                <w:szCs w:val="17"/>
                <w:b w:val="1"/>
                <w:bCs w:val="1"/>
                <w:color w:val="auto"/>
              </w:rPr>
              <w:t>March 31, 2023</w:t>
            </w:r>
          </w:p>
        </w:tc>
        <w:tc>
          <w:tcPr>
            <w:tcW w:w="14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 2022</w:t>
            </w:r>
          </w:p>
        </w:tc>
      </w:tr>
      <w:tr>
        <w:trPr>
          <w:trHeight w:val="204"/>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Tax cost of investments and cash equivalents</w:t>
            </w:r>
          </w:p>
        </w:tc>
        <w:tc>
          <w:tcPr>
            <w:tcW w:w="1280" w:type="dxa"/>
            <w:vAlign w:val="bottom"/>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87,309,272</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87,454,317</w:t>
            </w: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85,653,218</w:t>
            </w:r>
          </w:p>
        </w:tc>
        <w:tc>
          <w:tcPr>
            <w:tcW w:w="100" w:type="dxa"/>
            <w:vAlign w:val="bottom"/>
            <w:shd w:val="clear" w:color="auto" w:fill="CCEEFF"/>
          </w:tcPr>
          <w:p>
            <w:pPr>
              <w:spacing w:after="0"/>
              <w:rPr>
                <w:sz w:val="17"/>
                <w:szCs w:val="17"/>
                <w:color w:val="auto"/>
              </w:rPr>
            </w:pPr>
          </w:p>
        </w:tc>
      </w:tr>
      <w:tr>
        <w:trPr>
          <w:trHeight w:val="204"/>
        </w:trPr>
        <w:tc>
          <w:tcPr>
            <w:tcW w:w="556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Unrealized appreciation</w:t>
            </w:r>
          </w:p>
        </w:tc>
        <w:tc>
          <w:tcPr>
            <w:tcW w:w="1640" w:type="dxa"/>
            <w:vAlign w:val="bottom"/>
            <w:gridSpan w:val="3"/>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154,529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713,009</w:t>
            </w: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7"/>
                <w:szCs w:val="17"/>
                <w:color w:val="auto"/>
              </w:rPr>
              <w:t>Unrealized depreciation</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(261,865)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(273,348)</w:t>
            </w: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0"/>
              </w:rPr>
              <w:t>Net unrealized appreciation (depreciation) from investments and cash equivalents</w:t>
            </w:r>
          </w:p>
        </w:tc>
        <w:tc>
          <w:tcPr>
            <w:tcW w:w="13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(107,336)</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713,009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(273,348)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28"/>
        </w:trPr>
        <w:tc>
          <w:tcPr>
            <w:tcW w:w="5560" w:type="dxa"/>
            <w:vAlign w:val="bottom"/>
          </w:tcPr>
          <w:p>
            <w:pPr>
              <w:spacing w:after="0"/>
              <w:rPr>
                <w:sz w:val="24"/>
                <w:szCs w:val="24"/>
                <w:color w:val="auto"/>
              </w:rPr>
            </w:pPr>
          </w:p>
        </w:tc>
        <w:tc>
          <w:tcPr>
            <w:tcW w:w="1280" w:type="dxa"/>
            <w:vAlign w:val="bottom"/>
          </w:tcPr>
          <w:p>
            <w:pPr>
              <w:jc w:val="right"/>
              <w:ind w:right="1064"/>
              <w:spacing w:after="0"/>
              <w:rPr>
                <w:sz w:val="20"/>
                <w:szCs w:val="20"/>
                <w:color w:val="auto"/>
              </w:rPr>
            </w:pPr>
            <w:r>
              <w:rPr>
                <w:rFonts w:ascii="Arial" w:cs="Arial" w:eastAsia="Arial" w:hAnsi="Arial"/>
                <w:sz w:val="14"/>
                <w:szCs w:val="14"/>
                <w:color w:val="auto"/>
                <w:w w:val="76"/>
              </w:rPr>
              <w:t>22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55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FINANCIAL HIGHLIGHTS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was formed on January 25, 2021 and the effective date of our registration statement was February 3, 2022. Prior to February 3, 2022, the Company had no operations, except for matters relating to our formation and organization as a BDC. The following presents financial highlights for the nine months ended September 30, 2023 and the period from February 3, 2022 to September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Period from</w:t>
            </w:r>
          </w:p>
        </w:tc>
      </w:tr>
      <w:tr>
        <w:trPr>
          <w:trHeight w:val="204"/>
        </w:trPr>
        <w:tc>
          <w:tcPr>
            <w:tcW w:w="778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7"/>
                <w:szCs w:val="17"/>
                <w:b w:val="1"/>
                <w:bCs w:val="1"/>
                <w:color w:val="auto"/>
              </w:rPr>
              <w:t>Nine Months Ended</w:t>
            </w:r>
          </w:p>
        </w:tc>
        <w:tc>
          <w:tcPr>
            <w:tcW w:w="17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2"/>
              </w:rPr>
              <w:t>February 3, 2022 to</w:t>
            </w:r>
          </w:p>
        </w:tc>
      </w:tr>
      <w:tr>
        <w:trPr>
          <w:trHeight w:val="226"/>
        </w:trPr>
        <w:tc>
          <w:tcPr>
            <w:tcW w:w="7780" w:type="dxa"/>
            <w:vAlign w:val="bottom"/>
          </w:tcPr>
          <w:p>
            <w:pPr>
              <w:spacing w:after="0"/>
              <w:rPr>
                <w:sz w:val="19"/>
                <w:szCs w:val="19"/>
                <w:color w:val="auto"/>
              </w:rPr>
            </w:pPr>
          </w:p>
        </w:tc>
        <w:tc>
          <w:tcPr>
            <w:tcW w:w="176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2023</w:t>
            </w:r>
          </w:p>
        </w:tc>
        <w:tc>
          <w:tcPr>
            <w:tcW w:w="1700" w:type="dxa"/>
            <w:vAlign w:val="bottom"/>
            <w:gridSpan w:val="3"/>
          </w:tcPr>
          <w:p>
            <w:pPr>
              <w:spacing w:after="0"/>
              <w:rPr>
                <w:sz w:val="20"/>
                <w:szCs w:val="20"/>
                <w:color w:val="auto"/>
              </w:rPr>
            </w:pPr>
            <w:r>
              <w:rPr>
                <w:rFonts w:ascii="Arial" w:cs="Arial" w:eastAsia="Arial" w:hAnsi="Arial"/>
                <w:sz w:val="17"/>
                <w:szCs w:val="17"/>
                <w:b w:val="1"/>
                <w:bCs w:val="1"/>
                <w:color w:val="auto"/>
              </w:rPr>
              <w:t>September 30, 2022*</w:t>
            </w:r>
          </w:p>
        </w:tc>
      </w:tr>
      <w:tr>
        <w:trPr>
          <w:trHeight w:val="203"/>
        </w:trPr>
        <w:tc>
          <w:tcPr>
            <w:tcW w:w="7780" w:type="dxa"/>
            <w:vAlign w:val="bottom"/>
          </w:tcPr>
          <w:p>
            <w:pPr>
              <w:spacing w:after="0"/>
              <w:rPr>
                <w:sz w:val="20"/>
                <w:szCs w:val="20"/>
                <w:color w:val="auto"/>
              </w:rPr>
            </w:pPr>
            <w:r>
              <w:rPr>
                <w:rFonts w:ascii="Arial" w:cs="Arial" w:eastAsia="Arial" w:hAnsi="Arial"/>
                <w:sz w:val="17"/>
                <w:szCs w:val="17"/>
                <w:b w:val="1"/>
                <w:bCs w:val="1"/>
                <w:color w:val="auto"/>
              </w:rPr>
              <w:t>Per share data:</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Net asset value at beginning of period</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14.00</w:t>
            </w:r>
          </w:p>
        </w:tc>
      </w:tr>
      <w:tr>
        <w:trPr>
          <w:trHeight w:val="204"/>
        </w:trPr>
        <w:tc>
          <w:tcPr>
            <w:tcW w:w="7780" w:type="dxa"/>
            <w:vAlign w:val="bottom"/>
          </w:tcPr>
          <w:p>
            <w:pPr>
              <w:spacing w:after="0" w:line="204" w:lineRule="exact"/>
              <w:rPr>
                <w:sz w:val="20"/>
                <w:szCs w:val="20"/>
                <w:color w:val="auto"/>
              </w:rPr>
            </w:pPr>
            <w:r>
              <w:rPr>
                <w:rFonts w:ascii="Arial" w:cs="Arial" w:eastAsia="Arial" w:hAnsi="Arial"/>
                <w:sz w:val="14"/>
                <w:szCs w:val="14"/>
                <w:color w:val="auto"/>
              </w:rPr>
              <w:t xml:space="preserve">Net investment income (loss)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7"/>
                <w:szCs w:val="17"/>
                <w:color w:val="auto"/>
              </w:rPr>
              <w:t>0.79</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0.05</w:t>
            </w:r>
          </w:p>
        </w:tc>
      </w:tr>
      <w:tr>
        <w:trPr>
          <w:trHeight w:val="204"/>
        </w:trPr>
        <w:tc>
          <w:tcPr>
            <w:tcW w:w="778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Net realized and unrealized gains/(losses) on investments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r>
      <w:tr>
        <w:trPr>
          <w:trHeight w:val="25"/>
        </w:trPr>
        <w:tc>
          <w:tcPr>
            <w:tcW w:w="77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7"/>
                <w:szCs w:val="17"/>
                <w:color w:val="auto"/>
              </w:rPr>
              <w:t>Net increase/(decrease) in net assets resulting from operations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0.78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0.05</w:t>
            </w:r>
          </w:p>
        </w:tc>
      </w:tr>
      <w:tr>
        <w:trPr>
          <w:trHeight w:val="204"/>
        </w:trPr>
        <w:tc>
          <w:tcPr>
            <w:tcW w:w="778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 xml:space="preserve">Offering costs </w:t>
            </w:r>
            <w:r>
              <w:rPr>
                <w:rFonts w:ascii="Arial" w:cs="Arial" w:eastAsia="Arial" w:hAnsi="Arial"/>
                <w:sz w:val="23"/>
                <w:szCs w:val="23"/>
                <w:color w:val="auto"/>
                <w:vertAlign w:val="superscript"/>
              </w:rPr>
              <w:t>(2)</w:t>
            </w: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200" w:type="dxa"/>
            <w:vAlign w:val="bottom"/>
            <w:shd w:val="clear" w:color="auto" w:fill="CCEEFF"/>
          </w:tcPr>
          <w:p>
            <w:pPr>
              <w:spacing w:after="0"/>
              <w:rPr>
                <w:sz w:val="17"/>
                <w:szCs w:val="17"/>
                <w:color w:val="auto"/>
              </w:rPr>
            </w:pPr>
          </w:p>
        </w:tc>
      </w:tr>
      <w:tr>
        <w:trPr>
          <w:trHeight w:val="242"/>
        </w:trPr>
        <w:tc>
          <w:tcPr>
            <w:tcW w:w="7780" w:type="dxa"/>
            <w:vAlign w:val="bottom"/>
          </w:tcPr>
          <w:p>
            <w:pPr>
              <w:spacing w:after="0" w:line="242" w:lineRule="exact"/>
              <w:rPr>
                <w:sz w:val="20"/>
                <w:szCs w:val="20"/>
                <w:color w:val="auto"/>
              </w:rPr>
            </w:pPr>
            <w:r>
              <w:rPr>
                <w:rFonts w:ascii="Arial" w:cs="Arial" w:eastAsia="Arial" w:hAnsi="Arial"/>
                <w:sz w:val="17"/>
                <w:szCs w:val="17"/>
                <w:color w:val="auto"/>
              </w:rPr>
              <w:t xml:space="preserve">Permanent tax adjustments </w:t>
            </w:r>
            <w:r>
              <w:rPr>
                <w:rFonts w:ascii="Arial" w:cs="Arial" w:eastAsia="Arial" w:hAnsi="Arial"/>
                <w:sz w:val="28"/>
                <w:szCs w:val="28"/>
                <w:color w:val="auto"/>
                <w:vertAlign w:val="superscript"/>
              </w:rPr>
              <w:t>(2)</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(0.05)</w:t>
            </w: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Less distributions from net investment income (loss)</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r>
      <w:tr>
        <w:trPr>
          <w:trHeight w:val="25"/>
        </w:trPr>
        <w:tc>
          <w:tcPr>
            <w:tcW w:w="77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7"/>
                <w:szCs w:val="17"/>
                <w:color w:val="auto"/>
              </w:rPr>
              <w:t>Net asset value at end of period</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14.06</w:t>
            </w:r>
          </w:p>
        </w:tc>
        <w:tc>
          <w:tcPr>
            <w:tcW w:w="3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13.73</w:t>
            </w:r>
          </w:p>
        </w:tc>
      </w:tr>
      <w:tr>
        <w:trPr>
          <w:trHeight w:val="20"/>
        </w:trPr>
        <w:tc>
          <w:tcPr>
            <w:tcW w:w="7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Net assets at end of period</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87,402,852</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85,323,750</w:t>
            </w:r>
          </w:p>
        </w:tc>
        <w:tc>
          <w:tcPr>
            <w:tcW w:w="200" w:type="dxa"/>
            <w:vAlign w:val="bottom"/>
            <w:shd w:val="clear" w:color="auto" w:fill="CCEEFF"/>
          </w:tcPr>
          <w:p>
            <w:pPr>
              <w:spacing w:after="0"/>
              <w:rPr>
                <w:sz w:val="16"/>
                <w:szCs w:val="16"/>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7"/>
                <w:szCs w:val="17"/>
                <w:color w:val="auto"/>
              </w:rPr>
              <w:t>Shares outstanding at end of period</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6,214,705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6,214,672</w:t>
            </w:r>
          </w:p>
        </w:tc>
        <w:tc>
          <w:tcPr>
            <w:tcW w:w="200" w:type="dxa"/>
            <w:vAlign w:val="bottom"/>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net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88,458,750</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84,331,724</w:t>
            </w:r>
          </w:p>
        </w:tc>
      </w:tr>
      <w:tr>
        <w:trPr>
          <w:trHeight w:val="204"/>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Per share market value at end of period</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9.68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r>
      <w:tr>
        <w:trPr>
          <w:trHeight w:val="204"/>
        </w:trPr>
        <w:tc>
          <w:tcPr>
            <w:tcW w:w="7780" w:type="dxa"/>
            <w:vAlign w:val="bottom"/>
          </w:tcPr>
          <w:p>
            <w:pPr>
              <w:spacing w:after="0" w:line="204" w:lineRule="exact"/>
              <w:rPr>
                <w:sz w:val="20"/>
                <w:szCs w:val="20"/>
                <w:color w:val="auto"/>
              </w:rPr>
            </w:pPr>
            <w:r>
              <w:rPr>
                <w:rFonts w:ascii="Arial" w:cs="Arial" w:eastAsia="Arial" w:hAnsi="Arial"/>
                <w:sz w:val="14"/>
                <w:szCs w:val="14"/>
                <w:color w:val="auto"/>
              </w:rPr>
              <w:t xml:space="preserve">Total return based on market value </w:t>
            </w:r>
            <w:r>
              <w:rPr>
                <w:rFonts w:ascii="Arial" w:cs="Arial" w:eastAsia="Arial" w:hAnsi="Arial"/>
                <w:sz w:val="23"/>
                <w:szCs w:val="23"/>
                <w:color w:val="auto"/>
                <w:vertAlign w:val="superscript"/>
              </w:rPr>
              <w:t>(3)</w:t>
            </w: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(28.57)%</w:t>
            </w:r>
          </w:p>
        </w:tc>
      </w:tr>
      <w:tr>
        <w:trPr>
          <w:trHeight w:val="204"/>
        </w:trPr>
        <w:tc>
          <w:tcPr>
            <w:tcW w:w="778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 xml:space="preserve">Total return based on net asset value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7.66%</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04"/>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4"/>
        </w:trPr>
        <w:tc>
          <w:tcPr>
            <w:tcW w:w="7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Ratio/Supplemental data:</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4"/>
        </w:trPr>
        <w:tc>
          <w:tcPr>
            <w:tcW w:w="7780" w:type="dxa"/>
            <w:vAlign w:val="bottom"/>
          </w:tcPr>
          <w:p>
            <w:pPr>
              <w:spacing w:after="0" w:line="204" w:lineRule="exact"/>
              <w:rPr>
                <w:sz w:val="20"/>
                <w:szCs w:val="20"/>
                <w:color w:val="auto"/>
              </w:rPr>
            </w:pPr>
            <w:r>
              <w:rPr>
                <w:rFonts w:ascii="Arial" w:cs="Arial" w:eastAsia="Arial" w:hAnsi="Arial"/>
                <w:sz w:val="14"/>
                <w:szCs w:val="14"/>
                <w:color w:val="auto"/>
              </w:rPr>
              <w:t>Ratio of expenses to average net assets</w:t>
            </w:r>
            <w:r>
              <w:rPr>
                <w:rFonts w:ascii="Arial" w:cs="Arial" w:eastAsia="Arial" w:hAnsi="Arial"/>
                <w:sz w:val="23"/>
                <w:szCs w:val="23"/>
                <w:color w:val="auto"/>
                <w:vertAlign w:val="superscript"/>
              </w:rPr>
              <w:t>(4)</w:t>
            </w:r>
          </w:p>
        </w:tc>
        <w:tc>
          <w:tcPr>
            <w:tcW w:w="3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3.82%</w:t>
            </w:r>
          </w:p>
        </w:tc>
        <w:tc>
          <w:tcPr>
            <w:tcW w:w="20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1.68%</w:t>
            </w:r>
          </w:p>
        </w:tc>
      </w:tr>
      <w:tr>
        <w:trPr>
          <w:trHeight w:val="204"/>
        </w:trPr>
        <w:tc>
          <w:tcPr>
            <w:tcW w:w="778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Ratio of net investment income (loss) to average net assets</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5.52%</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r>
      <w:tr>
        <w:trPr>
          <w:trHeight w:val="369"/>
        </w:trPr>
        <w:tc>
          <w:tcPr>
            <w:tcW w:w="7780" w:type="dxa"/>
            <w:vAlign w:val="bottom"/>
          </w:tcPr>
          <w:p>
            <w:pPr>
              <w:spacing w:after="0"/>
              <w:rPr>
                <w:sz w:val="20"/>
                <w:szCs w:val="20"/>
                <w:color w:val="auto"/>
              </w:rPr>
            </w:pPr>
            <w:r>
              <w:rPr>
                <w:rFonts w:ascii="Arial" w:cs="Arial" w:eastAsia="Arial" w:hAnsi="Arial"/>
                <w:sz w:val="17"/>
                <w:szCs w:val="17"/>
                <w:color w:val="auto"/>
              </w:rPr>
              <w:t xml:space="preserve">Portfolio turnover </w:t>
            </w:r>
            <w:r>
              <w:rPr>
                <w:rFonts w:ascii="Arial" w:cs="Arial" w:eastAsia="Arial" w:hAnsi="Arial"/>
                <w:sz w:val="28"/>
                <w:szCs w:val="28"/>
                <w:color w:val="auto"/>
                <w:vertAlign w:val="superscript"/>
              </w:rPr>
              <w:t>(4)</w:t>
            </w:r>
          </w:p>
        </w:tc>
        <w:tc>
          <w:tcPr>
            <w:tcW w:w="3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r>
    </w:tbl>
    <w:p>
      <w:pPr>
        <w:ind w:left="200" w:hanging="198"/>
        <w:spacing w:after="0" w:line="200" w:lineRule="auto"/>
        <w:tabs>
          <w:tab w:leader="none" w:pos="20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The Company was formed on January 25, 2021 and the effective date of the registration statement was February 3, 2022.</w:t>
      </w:r>
    </w:p>
    <w:p>
      <w:pPr>
        <w:spacing w:after="0" w:line="1" w:lineRule="exact"/>
        <w:rPr>
          <w:sz w:val="20"/>
          <w:szCs w:val="20"/>
          <w:color w:val="auto"/>
        </w:rPr>
      </w:pPr>
    </w:p>
    <w:p>
      <w:pPr>
        <w:ind w:left="200" w:right="200" w:hanging="198"/>
        <w:spacing w:after="0"/>
        <w:tabs>
          <w:tab w:leader="none" w:pos="2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per share data was derived by using the weighted average shares outstanding during the nine months ended September 30, 2023. For the period from February 3, 2022 to September 30, 2022, the per share data was derived by adding (deducting) the increase (decrease) per share in undistributed net investment income (loss) during the period presented to (from) dividends from net investment income (loss) per share.</w:t>
      </w:r>
    </w:p>
    <w:p>
      <w:pPr>
        <w:spacing w:after="0" w:line="1" w:lineRule="exact"/>
        <w:rPr>
          <w:rFonts w:ascii="Arial" w:cs="Arial" w:eastAsia="Arial" w:hAnsi="Arial"/>
          <w:sz w:val="24"/>
          <w:szCs w:val="24"/>
          <w:color w:val="auto"/>
          <w:vertAlign w:val="superscript"/>
        </w:rPr>
      </w:pPr>
    </w:p>
    <w:p>
      <w:pPr>
        <w:ind w:left="200" w:right="60" w:hanging="198"/>
        <w:spacing w:after="0" w:line="218" w:lineRule="auto"/>
        <w:tabs>
          <w:tab w:leader="none" w:pos="2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per share data was derived by using the shares outstanding during the period from February 3, 2022 to September 30, 2022. SSC has absorbed the cost of the sales load (i.e, underwriting discounts and commissions) incurred by the Company in connection with the initial public offering of its common stock.</w:t>
      </w:r>
    </w:p>
    <w:p>
      <w:pPr>
        <w:ind w:left="200" w:right="80" w:hanging="198"/>
        <w:spacing w:after="0" w:line="246" w:lineRule="auto"/>
        <w:tabs>
          <w:tab w:leader="none" w:pos="2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spacing w:after="0" w:line="2" w:lineRule="exact"/>
        <w:rPr>
          <w:rFonts w:ascii="Arial" w:cs="Arial" w:eastAsia="Arial" w:hAnsi="Arial"/>
          <w:sz w:val="24"/>
          <w:szCs w:val="24"/>
          <w:color w:val="auto"/>
          <w:vertAlign w:val="superscript"/>
        </w:rPr>
      </w:pPr>
    </w:p>
    <w:p>
      <w:pPr>
        <w:ind w:left="200" w:hanging="198"/>
        <w:spacing w:after="0" w:line="185"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Ratio is not annualized.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SUBSEQUENT EVENTS</w:t>
      </w:r>
    </w:p>
    <w:p>
      <w:pPr>
        <w:spacing w:after="0" w:line="216"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On November 8, 2023, the Company’s Board approved a special dividend of $0.45/share and a regular dividend of $0.25/share. The dividends are payable on December 29, 2023 to stockholders of record on December 20, 2023.</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ind w:left="4180"/>
        <w:spacing w:after="0"/>
        <w:rPr>
          <w:sz w:val="20"/>
          <w:szCs w:val="20"/>
          <w:color w:val="auto"/>
        </w:rPr>
      </w:pPr>
      <w:r>
        <w:rPr>
          <w:rFonts w:ascii="Arial" w:cs="Arial" w:eastAsia="Arial" w:hAnsi="Arial"/>
          <w:sz w:val="17"/>
          <w:szCs w:val="17"/>
          <w:b w:val="1"/>
          <w:bCs w:val="1"/>
          <w:color w:val="auto"/>
        </w:rPr>
        <w:t>SILVER SPIKE INVESTMENT CORP.</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transition report on Form 10-K for the transition period from April 1, 2022 to December 31, 2022 and elsewhere in this quarterly report on Form 10-Q. Please also see the section entitled “Special Note Regarding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in the health and wellness sector.</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over $449 million of potential investments in varying stages of underwriting.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None of our investment policies are fundamental, and thus may be changed without stockholder approval.</w:t>
      </w:r>
    </w:p>
    <w:p>
      <w:pPr>
        <w:spacing w:after="0" w:line="212"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investment portfolio consists of fixed and floating rate loans, and our credit facilities, if any, will bear interest at floating rates. Macro trends in base interest rates like PRIME may affect our net investment income (loss) over the long term.</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Loan origination fees, OID, closing fees and market discount or premium are capitalized, and we accrete or amortize such amounts as interest income and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Dividend income on equity investments, if applicable, will be recorded on the record date for private portfolio companies or on the ex-dividend date for publicly traded companies.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 —Investment Advisory Agreement.”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81"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our organization and offerings;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calculating our NAV, including the cost of any third-party valuation services;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effecting sales and repurchases of shares of our common stock and other securities;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fees and expenses payable under any underwriting agreements, if any;</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debt service and other costs of borrowings or other financing arrangements;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of hedging;</w:t>
      </w:r>
    </w:p>
    <w:p>
      <w:pPr>
        <w:spacing w:after="0" w:line="212"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and incentive fees payable pursuant to the Investment Advisory Agreement;</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fees payable to third-parties relating to, or associated with, making investments and valuing investments (including third-party valuation firms);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including legal fees, associated with compliance under cannabis laws;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 agent and custodial fees;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fees and expenses associated with marketing efforts (including attendance at industry and investor conferences and similar events);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federal and state registration fees;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exchange listing fees and fees payable to rating agencies;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federal, state and local taxes;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independent directors’ fees and expenses, including travel expenses;</w:t>
      </w:r>
    </w:p>
    <w:p>
      <w:pPr>
        <w:spacing w:after="0" w:line="212"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65"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brokerage commissions and other compensation payable to brokers or dealers;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research and market data;</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fidelity bond, directors’ and officers’ errors and omissions liability insurance and other insurance premiums;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direct costs and expenses of administration, including printing, mailing and staff;</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fees and expenses associated with independent audits, and outside legal and consulting costs;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of winding up;</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incurred in connection with the formation or maintenance of entities or vehicles to hold our assets for tax or other purposes;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extraordinary expenses (such as litigation or indemnification); and</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associated with reporting and compliance obligations under the 1940 Act and applicable federal and state securities laws.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expect, but cannot assure, that our general and administrative expenses will increase in dollar terms during periods of asset growth, but will decline as a percentage of total assets during such periods.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Hedging</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Portfolio Composition and Investment Activity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Portfolio Composition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September 30, 2023, our investment portfolio had an aggregate fair value of approximately $57.4 million and was comprised of approximately $49.5 million in first lien, senior secured loans, and approximately $7.9 million in senior secured notes across six portfolio companies. As of December 31, 2022, our investment portfolio had an aggregate fair value of approximately $50.3 million and was comprised of approximately $40.7 million in first lien, senior secured loans, and approximately $9.6 million in senior secured notes across five portfolio companies.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summary of the composition of our investment portfolio at amortized cost and fair value as a percentage of total investments are shown in the following tables as of September 30, 2023 and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80" w:type="dxa"/>
            <w:vAlign w:val="bottom"/>
          </w:tcPr>
          <w:p>
            <w:pPr>
              <w:spacing w:after="0"/>
              <w:rPr>
                <w:sz w:val="19"/>
                <w:szCs w:val="19"/>
                <w:color w:val="auto"/>
              </w:rPr>
            </w:pPr>
          </w:p>
        </w:tc>
        <w:tc>
          <w:tcPr>
            <w:tcW w:w="2660" w:type="dxa"/>
            <w:vAlign w:val="bottom"/>
            <w:gridSpan w:val="4"/>
          </w:tcPr>
          <w:p>
            <w:pPr>
              <w:jc w:val="right"/>
              <w:ind w:right="700"/>
              <w:spacing w:after="0"/>
              <w:rPr>
                <w:sz w:val="20"/>
                <w:szCs w:val="20"/>
                <w:color w:val="auto"/>
              </w:rPr>
            </w:pPr>
            <w:r>
              <w:rPr>
                <w:rFonts w:ascii="Arial" w:cs="Arial" w:eastAsia="Arial" w:hAnsi="Arial"/>
                <w:sz w:val="17"/>
                <w:szCs w:val="17"/>
                <w:b w:val="1"/>
                <w:bCs w:val="1"/>
                <w:color w:val="auto"/>
              </w:rPr>
              <w:t>September 30, 2023</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Type</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09"/>
        </w:trPr>
        <w:tc>
          <w:tcPr>
            <w:tcW w:w="8580" w:type="dxa"/>
            <w:vAlign w:val="bottom"/>
          </w:tcPr>
          <w:p>
            <w:pPr>
              <w:spacing w:after="0"/>
              <w:rPr>
                <w:sz w:val="20"/>
                <w:szCs w:val="20"/>
                <w:color w:val="auto"/>
              </w:rPr>
            </w:pPr>
            <w:r>
              <w:rPr>
                <w:rFonts w:ascii="Arial" w:cs="Arial" w:eastAsia="Arial" w:hAnsi="Arial"/>
                <w:sz w:val="17"/>
                <w:szCs w:val="17"/>
                <w:color w:val="auto"/>
              </w:rPr>
              <w:t>Senior Secured Notes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8"/>
                <w:szCs w:val="18"/>
                <w:color w:val="auto"/>
              </w:rPr>
            </w:pPr>
          </w:p>
        </w:tc>
      </w:tr>
      <w:tr>
        <w:trPr>
          <w:trHeight w:val="224"/>
        </w:trPr>
        <w:tc>
          <w:tcPr>
            <w:tcW w:w="8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80" w:type="dxa"/>
            <w:vAlign w:val="bottom"/>
          </w:tcPr>
          <w:p>
            <w:pPr>
              <w:spacing w:after="0"/>
              <w:rPr>
                <w:sz w:val="19"/>
                <w:szCs w:val="19"/>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rPr>
              <w:t>December 31, 2022</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Type</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Senior Secured First Lien Term Loan</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w:t>
            </w:r>
          </w:p>
        </w:tc>
      </w:tr>
      <w:tr>
        <w:trPr>
          <w:trHeight w:val="209"/>
        </w:trPr>
        <w:tc>
          <w:tcPr>
            <w:tcW w:w="8580" w:type="dxa"/>
            <w:vAlign w:val="bottom"/>
          </w:tcPr>
          <w:p>
            <w:pPr>
              <w:spacing w:after="0"/>
              <w:rPr>
                <w:sz w:val="20"/>
                <w:szCs w:val="20"/>
                <w:color w:val="auto"/>
              </w:rPr>
            </w:pPr>
            <w:r>
              <w:rPr>
                <w:rFonts w:ascii="Arial" w:cs="Arial" w:eastAsia="Arial" w:hAnsi="Arial"/>
                <w:sz w:val="17"/>
                <w:szCs w:val="17"/>
                <w:color w:val="auto"/>
              </w:rPr>
              <w:t>Senior Secured Notes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18"/>
                <w:szCs w:val="18"/>
                <w:color w:val="auto"/>
              </w:rPr>
            </w:pPr>
          </w:p>
        </w:tc>
      </w:tr>
      <w:tr>
        <w:trPr>
          <w:trHeight w:val="224"/>
        </w:trPr>
        <w:tc>
          <w:tcPr>
            <w:tcW w:w="8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tables show the composition of our investment portfolio by geographic region of the United States at amortized cost and fair value as a percentage of total investments as of September 30, 2023 and December 31, 2022. The geographic composition is determined by the location of the headquarters of the portfolio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80" w:type="dxa"/>
            <w:vAlign w:val="bottom"/>
          </w:tcPr>
          <w:p>
            <w:pPr>
              <w:spacing w:after="0"/>
              <w:rPr>
                <w:sz w:val="19"/>
                <w:szCs w:val="19"/>
                <w:color w:val="auto"/>
              </w:rPr>
            </w:pPr>
          </w:p>
        </w:tc>
        <w:tc>
          <w:tcPr>
            <w:tcW w:w="2660" w:type="dxa"/>
            <w:vAlign w:val="bottom"/>
            <w:gridSpan w:val="4"/>
          </w:tcPr>
          <w:p>
            <w:pPr>
              <w:jc w:val="right"/>
              <w:ind w:right="700"/>
              <w:spacing w:after="0"/>
              <w:rPr>
                <w:sz w:val="20"/>
                <w:szCs w:val="20"/>
                <w:color w:val="auto"/>
              </w:rPr>
            </w:pPr>
            <w:r>
              <w:rPr>
                <w:rFonts w:ascii="Arial" w:cs="Arial" w:eastAsia="Arial" w:hAnsi="Arial"/>
                <w:sz w:val="17"/>
                <w:szCs w:val="17"/>
                <w:b w:val="1"/>
                <w:bCs w:val="1"/>
                <w:color w:val="auto"/>
              </w:rPr>
              <w:t>September 30, 2023</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Geographic Region</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West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04"/>
        </w:trPr>
        <w:tc>
          <w:tcPr>
            <w:tcW w:w="8580" w:type="dxa"/>
            <w:vAlign w:val="bottom"/>
          </w:tcPr>
          <w:p>
            <w:pPr>
              <w:spacing w:after="0"/>
              <w:rPr>
                <w:sz w:val="20"/>
                <w:szCs w:val="20"/>
                <w:color w:val="auto"/>
              </w:rPr>
            </w:pPr>
            <w:r>
              <w:rPr>
                <w:rFonts w:ascii="Arial" w:cs="Arial" w:eastAsia="Arial" w:hAnsi="Arial"/>
                <w:sz w:val="17"/>
                <w:szCs w:val="17"/>
                <w:color w:val="auto"/>
              </w:rPr>
              <w:t>Midwest</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42.8</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42.6</w:t>
            </w: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w:t>
            </w:r>
          </w:p>
        </w:tc>
      </w:tr>
      <w:tr>
        <w:trPr>
          <w:trHeight w:val="25"/>
        </w:trPr>
        <w:tc>
          <w:tcPr>
            <w:tcW w:w="85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8580" w:type="dxa"/>
            <w:vAlign w:val="bottom"/>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80" w:type="dxa"/>
            <w:vAlign w:val="bottom"/>
          </w:tcPr>
          <w:p>
            <w:pPr>
              <w:spacing w:after="0"/>
              <w:rPr>
                <w:sz w:val="19"/>
                <w:szCs w:val="19"/>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rPr>
              <w:t>December 31, 2022</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Geographic Region</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Midwest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48.5%</w:t>
            </w:r>
          </w:p>
        </w:tc>
      </w:tr>
      <w:tr>
        <w:trPr>
          <w:trHeight w:val="204"/>
        </w:trPr>
        <w:tc>
          <w:tcPr>
            <w:tcW w:w="8580" w:type="dxa"/>
            <w:vAlign w:val="bottom"/>
          </w:tcPr>
          <w:p>
            <w:pPr>
              <w:spacing w:after="0"/>
              <w:rPr>
                <w:sz w:val="20"/>
                <w:szCs w:val="20"/>
                <w:color w:val="auto"/>
              </w:rPr>
            </w:pPr>
            <w:r>
              <w:rPr>
                <w:rFonts w:ascii="Arial" w:cs="Arial" w:eastAsia="Arial" w:hAnsi="Arial"/>
                <w:sz w:val="17"/>
                <w:szCs w:val="17"/>
                <w:color w:val="auto"/>
              </w:rPr>
              <w:t>West</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40.5</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40.3</w:t>
            </w: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Northeast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17"/>
                <w:szCs w:val="17"/>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7"/>
                <w:szCs w:val="17"/>
                <w:color w:val="auto"/>
              </w:rPr>
              <w:t>Southeast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r>
      <w:tr>
        <w:trPr>
          <w:trHeight w:val="224"/>
        </w:trPr>
        <w:tc>
          <w:tcPr>
            <w:tcW w:w="8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Set forth below are tables showing the industry composition of our investment portfolio at amortized cost and fair value as a percentage of total investments as of September 30, 2023 and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80" w:type="dxa"/>
            <w:vAlign w:val="bottom"/>
          </w:tcPr>
          <w:p>
            <w:pPr>
              <w:spacing w:after="0"/>
              <w:rPr>
                <w:sz w:val="19"/>
                <w:szCs w:val="19"/>
                <w:color w:val="auto"/>
              </w:rPr>
            </w:pPr>
          </w:p>
        </w:tc>
        <w:tc>
          <w:tcPr>
            <w:tcW w:w="2660" w:type="dxa"/>
            <w:vAlign w:val="bottom"/>
            <w:gridSpan w:val="4"/>
          </w:tcPr>
          <w:p>
            <w:pPr>
              <w:jc w:val="right"/>
              <w:ind w:right="700"/>
              <w:spacing w:after="0"/>
              <w:rPr>
                <w:sz w:val="20"/>
                <w:szCs w:val="20"/>
                <w:color w:val="auto"/>
              </w:rPr>
            </w:pPr>
            <w:r>
              <w:rPr>
                <w:rFonts w:ascii="Arial" w:cs="Arial" w:eastAsia="Arial" w:hAnsi="Arial"/>
                <w:sz w:val="17"/>
                <w:szCs w:val="17"/>
                <w:b w:val="1"/>
                <w:bCs w:val="1"/>
                <w:color w:val="auto"/>
              </w:rPr>
              <w:t>September 30, 2023</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Industry</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Wholesale Trade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85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8580" w:type="dxa"/>
            <w:vAlign w:val="bottom"/>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8580" w:type="dxa"/>
            <w:vAlign w:val="bottom"/>
          </w:tcPr>
          <w:p>
            <w:pPr>
              <w:spacing w:after="0"/>
              <w:rPr>
                <w:sz w:val="24"/>
                <w:szCs w:val="24"/>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rPr>
              <w:t>December 31, 2022</w:t>
            </w:r>
          </w:p>
        </w:tc>
      </w:tr>
      <w:tr>
        <w:trPr>
          <w:trHeight w:val="204"/>
        </w:trPr>
        <w:tc>
          <w:tcPr>
            <w:tcW w:w="8580" w:type="dxa"/>
            <w:vAlign w:val="bottom"/>
          </w:tcPr>
          <w:p>
            <w:pPr>
              <w:spacing w:after="0"/>
              <w:rPr>
                <w:sz w:val="20"/>
                <w:szCs w:val="20"/>
                <w:color w:val="auto"/>
              </w:rPr>
            </w:pPr>
            <w:r>
              <w:rPr>
                <w:rFonts w:ascii="Arial" w:cs="Arial" w:eastAsia="Arial" w:hAnsi="Arial"/>
                <w:sz w:val="17"/>
                <w:szCs w:val="17"/>
                <w:b w:val="1"/>
                <w:bCs w:val="1"/>
                <w:color w:val="auto"/>
              </w:rPr>
              <w:t>Industry</w:t>
            </w:r>
          </w:p>
        </w:tc>
        <w:tc>
          <w:tcPr>
            <w:tcW w:w="1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Amortized Cost</w:t>
            </w:r>
          </w:p>
        </w:tc>
        <w:tc>
          <w:tcPr>
            <w:tcW w:w="112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7"/>
                <w:szCs w:val="17"/>
                <w:color w:val="auto"/>
              </w:rPr>
            </w:pPr>
          </w:p>
        </w:tc>
      </w:tr>
      <w:tr>
        <w:trPr>
          <w:trHeight w:val="25"/>
        </w:trPr>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4"/>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Wholesale Trade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85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8580" w:type="dxa"/>
            <w:vAlign w:val="bottom"/>
          </w:tcPr>
          <w:p>
            <w:pPr>
              <w:ind w:left="160"/>
              <w:spacing w:after="0"/>
              <w:rPr>
                <w:sz w:val="20"/>
                <w:szCs w:val="20"/>
                <w:color w:val="auto"/>
              </w:rPr>
            </w:pPr>
            <w:r>
              <w:rPr>
                <w:rFonts w:ascii="Arial" w:cs="Arial" w:eastAsia="Arial" w:hAnsi="Arial"/>
                <w:sz w:val="17"/>
                <w:szCs w:val="17"/>
                <w:color w:val="auto"/>
              </w:rPr>
              <w:t>Total</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Concentrations of Credit Risk</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Credit risk is the risk of default or non-performance by portfolio companies, equivalent to the investment’s carrying amount. Industry and sector concentrations will vary from period to period based on portfolio activity.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September 30, 2023 and December 31, 2022, we had two portfolio companies that represented 71.8% and 80.9%, respectively, of the fair value of our portfolio. As of September 30, 2023 and December 31, 2022, our largest portfolio company represents 35.9% and 40.6%, respectively, of the total fair value of our investments in portfolio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Activity</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the three and nine months ended September 30, 2023, we made an aggregate of approximately $0.2 million and $9.0 million of investments in one and two portfolio companies, respectively, excluding fees and discounts. During the nine months ended September 30, 2022, we made an aggregate of approximately $25.25 million of investments in two portfolio companies, excluding fees and discounts. During the three months ended September 30, 2022, we made no investments. During the three and nine months ended September 30, 2023, there were $0.1 million and $1.8 million of repayments received or sales of investments. During the three and nine months ended September 30, 2022, there were no repayments received or sales of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changes in the investment portfolio for the nine months ended September 30,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4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Arial" w:cs="Arial" w:eastAsia="Arial" w:hAnsi="Arial"/>
                <w:sz w:val="17"/>
                <w:szCs w:val="17"/>
                <w:b w:val="1"/>
                <w:bCs w:val="1"/>
                <w:color w:val="auto"/>
              </w:rPr>
              <w:t>Nine Months Ended</w:t>
            </w: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Nine Months Ended</w:t>
            </w:r>
          </w:p>
        </w:tc>
      </w:tr>
      <w:tr>
        <w:trPr>
          <w:trHeight w:val="226"/>
        </w:trPr>
        <w:tc>
          <w:tcPr>
            <w:tcW w:w="804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2023</w:t>
            </w: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September 30, 2022</w:t>
            </w:r>
          </w:p>
        </w:tc>
      </w:tr>
      <w:tr>
        <w:trPr>
          <w:trHeight w:val="204"/>
        </w:trPr>
        <w:tc>
          <w:tcPr>
            <w:tcW w:w="8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Beginning Portfolio, at fair value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50,254,550</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040" w:type="dxa"/>
            <w:vAlign w:val="bottom"/>
          </w:tcPr>
          <w:p>
            <w:pPr>
              <w:spacing w:after="0"/>
              <w:rPr>
                <w:sz w:val="20"/>
                <w:szCs w:val="20"/>
                <w:color w:val="auto"/>
              </w:rPr>
            </w:pPr>
            <w:r>
              <w:rPr>
                <w:rFonts w:ascii="Arial" w:cs="Arial" w:eastAsia="Arial" w:hAnsi="Arial"/>
                <w:sz w:val="17"/>
                <w:szCs w:val="17"/>
                <w:color w:val="auto"/>
              </w:rPr>
              <w:t>Purchases</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8,442,000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24,417,500</w:t>
            </w:r>
          </w:p>
        </w:tc>
      </w:tr>
      <w:tr>
        <w:trPr>
          <w:trHeight w:val="204"/>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Accretion of discount and fees (amortization of premium), net</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431,052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49,966</w:t>
            </w:r>
          </w:p>
        </w:tc>
      </w:tr>
      <w:tr>
        <w:trPr>
          <w:trHeight w:val="204"/>
        </w:trPr>
        <w:tc>
          <w:tcPr>
            <w:tcW w:w="8040" w:type="dxa"/>
            <w:vAlign w:val="bottom"/>
          </w:tcPr>
          <w:p>
            <w:pPr>
              <w:spacing w:after="0"/>
              <w:rPr>
                <w:sz w:val="20"/>
                <w:szCs w:val="20"/>
                <w:color w:val="auto"/>
              </w:rPr>
            </w:pPr>
            <w:r>
              <w:rPr>
                <w:rFonts w:ascii="Arial" w:cs="Arial" w:eastAsia="Arial" w:hAnsi="Arial"/>
                <w:sz w:val="17"/>
                <w:szCs w:val="17"/>
                <w:color w:val="auto"/>
              </w:rPr>
              <w:t>PIK interest</w:t>
            </w:r>
          </w:p>
        </w:tc>
        <w:tc>
          <w:tcPr>
            <w:tcW w:w="3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78,153</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investments and principal repayments</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(1,780,000)</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8040" w:type="dxa"/>
            <w:vAlign w:val="bottom"/>
          </w:tcPr>
          <w:p>
            <w:pPr>
              <w:spacing w:after="0"/>
              <w:rPr>
                <w:sz w:val="20"/>
                <w:szCs w:val="20"/>
                <w:color w:val="auto"/>
              </w:rPr>
            </w:pPr>
            <w:r>
              <w:rPr>
                <w:rFonts w:ascii="Arial" w:cs="Arial" w:eastAsia="Arial" w:hAnsi="Arial"/>
                <w:sz w:val="17"/>
                <w:szCs w:val="17"/>
                <w:color w:val="auto"/>
              </w:rPr>
              <w:t>Net realized gain/(loss) on investments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(210,767)</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9"/>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unrealized appreciation/(depreciation) on investments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166,012</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8040" w:type="dxa"/>
            <w:vAlign w:val="bottom"/>
          </w:tcPr>
          <w:p>
            <w:pPr>
              <w:spacing w:after="0"/>
              <w:rPr>
                <w:sz w:val="20"/>
                <w:szCs w:val="20"/>
                <w:color w:val="auto"/>
              </w:rPr>
            </w:pPr>
            <w:r>
              <w:rPr>
                <w:rFonts w:ascii="Arial" w:cs="Arial" w:eastAsia="Arial" w:hAnsi="Arial"/>
                <w:sz w:val="17"/>
                <w:szCs w:val="17"/>
                <w:b w:val="1"/>
                <w:bCs w:val="1"/>
                <w:color w:val="auto"/>
              </w:rPr>
              <w:t>Ending Portfolio, at fair value</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57,381,000</w:t>
            </w:r>
          </w:p>
        </w:tc>
        <w:tc>
          <w:tcPr>
            <w:tcW w:w="22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24,467,466</w:t>
            </w:r>
          </w:p>
        </w:tc>
      </w:tr>
      <w:tr>
        <w:trPr>
          <w:trHeight w:val="20"/>
        </w:trPr>
        <w:tc>
          <w:tcPr>
            <w:tcW w:w="8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Portfolio Asset Quality</w:t>
      </w:r>
    </w:p>
    <w:p>
      <w:pPr>
        <w:spacing w:after="0" w:line="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gridSpan w:val="2"/>
          </w:tcPr>
          <w:p>
            <w:pPr>
              <w:spacing w:after="0"/>
              <w:rPr>
                <w:sz w:val="20"/>
                <w:szCs w:val="20"/>
                <w:color w:val="auto"/>
              </w:rPr>
            </w:pPr>
            <w:r>
              <w:rPr>
                <w:rFonts w:ascii="Arial" w:cs="Arial" w:eastAsia="Arial" w:hAnsi="Arial"/>
                <w:sz w:val="17"/>
                <w:szCs w:val="17"/>
                <w:color w:val="auto"/>
              </w:rPr>
              <w:t>Investment</w:t>
            </w:r>
          </w:p>
        </w:tc>
        <w:tc>
          <w:tcPr>
            <w:tcW w:w="9880" w:type="dxa"/>
            <w:vAlign w:val="bottom"/>
          </w:tcPr>
          <w:p>
            <w:pPr>
              <w:spacing w:after="0"/>
              <w:rPr>
                <w:sz w:val="17"/>
                <w:szCs w:val="17"/>
                <w:color w:val="auto"/>
              </w:rPr>
            </w:pPr>
          </w:p>
        </w:tc>
      </w:tr>
      <w:tr>
        <w:trPr>
          <w:trHeight w:val="204"/>
        </w:trPr>
        <w:tc>
          <w:tcPr>
            <w:tcW w:w="1360" w:type="dxa"/>
            <w:vAlign w:val="bottom"/>
            <w:gridSpan w:val="2"/>
          </w:tcPr>
          <w:p>
            <w:pPr>
              <w:spacing w:after="0"/>
              <w:rPr>
                <w:sz w:val="20"/>
                <w:szCs w:val="20"/>
                <w:color w:val="auto"/>
              </w:rPr>
            </w:pPr>
            <w:r>
              <w:rPr>
                <w:rFonts w:ascii="Arial" w:cs="Arial" w:eastAsia="Arial" w:hAnsi="Arial"/>
                <w:sz w:val="17"/>
                <w:szCs w:val="17"/>
                <w:color w:val="auto"/>
              </w:rPr>
              <w:t>Performance</w:t>
            </w:r>
          </w:p>
        </w:tc>
        <w:tc>
          <w:tcPr>
            <w:tcW w:w="9880" w:type="dxa"/>
            <w:vAlign w:val="bottom"/>
          </w:tcPr>
          <w:p>
            <w:pPr>
              <w:spacing w:after="0"/>
              <w:rPr>
                <w:sz w:val="17"/>
                <w:szCs w:val="17"/>
                <w:color w:val="auto"/>
              </w:rPr>
            </w:pPr>
          </w:p>
        </w:tc>
      </w:tr>
      <w:tr>
        <w:trPr>
          <w:trHeight w:val="222"/>
        </w:trPr>
        <w:tc>
          <w:tcPr>
            <w:tcW w:w="1360" w:type="dxa"/>
            <w:vAlign w:val="bottom"/>
            <w:gridSpan w:val="2"/>
          </w:tcPr>
          <w:p>
            <w:pPr>
              <w:spacing w:after="0"/>
              <w:rPr>
                <w:sz w:val="20"/>
                <w:szCs w:val="20"/>
                <w:color w:val="auto"/>
              </w:rPr>
            </w:pPr>
            <w:r>
              <w:rPr>
                <w:rFonts w:ascii="Arial" w:cs="Arial" w:eastAsia="Arial" w:hAnsi="Arial"/>
                <w:sz w:val="17"/>
                <w:szCs w:val="17"/>
                <w:color w:val="auto"/>
              </w:rPr>
              <w:t>Risk Rating</w:t>
            </w:r>
          </w:p>
        </w:tc>
        <w:tc>
          <w:tcPr>
            <w:tcW w:w="9880" w:type="dxa"/>
            <w:vAlign w:val="bottom"/>
          </w:tcPr>
          <w:p>
            <w:pPr>
              <w:spacing w:after="0"/>
              <w:rPr>
                <w:sz w:val="20"/>
                <w:szCs w:val="20"/>
                <w:color w:val="auto"/>
              </w:rPr>
            </w:pPr>
            <w:r>
              <w:rPr>
                <w:rFonts w:ascii="Arial" w:cs="Arial" w:eastAsia="Arial" w:hAnsi="Arial"/>
                <w:sz w:val="17"/>
                <w:szCs w:val="17"/>
                <w:color w:val="auto"/>
              </w:rPr>
              <w:t>Summary Description</w:t>
            </w:r>
          </w:p>
        </w:tc>
      </w:tr>
      <w:tr>
        <w:trPr>
          <w:trHeight w:val="192"/>
        </w:trPr>
        <w:tc>
          <w:tcPr>
            <w:tcW w:w="12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Grade 1</w:t>
            </w:r>
          </w:p>
        </w:tc>
        <w:tc>
          <w:tcPr>
            <w:tcW w:w="100" w:type="dxa"/>
            <w:vAlign w:val="bottom"/>
            <w:tcBorders>
              <w:top w:val="single" w:sz="8" w:color="CCEEFF"/>
            </w:tcBorders>
            <w:shd w:val="clear" w:color="auto" w:fill="CCEEFF"/>
          </w:tcPr>
          <w:p>
            <w:pPr>
              <w:spacing w:after="0"/>
              <w:rPr>
                <w:sz w:val="16"/>
                <w:szCs w:val="16"/>
                <w:color w:val="auto"/>
              </w:rPr>
            </w:pPr>
          </w:p>
        </w:tc>
        <w:tc>
          <w:tcPr>
            <w:tcW w:w="98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w w:val="91"/>
              </w:rPr>
              <w:t>Investments rated 1 involve the least amount of risk to our initial cost basis. The borrower is performing above expectations, and the trends and</w:t>
            </w:r>
          </w:p>
        </w:tc>
      </w:tr>
      <w:tr>
        <w:trPr>
          <w:trHeight w:val="204"/>
        </w:trPr>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3"/>
              </w:rPr>
              <w:t>risk factors for this investment since origination or acquisition are generally favorable. Full return of principal, interest and dividend income is</w:t>
            </w:r>
          </w:p>
        </w:tc>
      </w:tr>
      <w:tr>
        <w:trPr>
          <w:trHeight w:val="216"/>
        </w:trPr>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expected.</w:t>
            </w:r>
          </w:p>
        </w:tc>
      </w:tr>
      <w:tr>
        <w:trPr>
          <w:trHeight w:val="192"/>
        </w:trPr>
        <w:tc>
          <w:tcPr>
            <w:tcW w:w="1360" w:type="dxa"/>
            <w:vAlign w:val="bottom"/>
            <w:gridSpan w:val="2"/>
          </w:tcPr>
          <w:p>
            <w:pPr>
              <w:spacing w:after="0" w:line="192" w:lineRule="exact"/>
              <w:rPr>
                <w:sz w:val="20"/>
                <w:szCs w:val="20"/>
                <w:color w:val="auto"/>
              </w:rPr>
            </w:pPr>
            <w:r>
              <w:rPr>
                <w:rFonts w:ascii="Arial" w:cs="Arial" w:eastAsia="Arial" w:hAnsi="Arial"/>
                <w:sz w:val="17"/>
                <w:szCs w:val="17"/>
                <w:color w:val="auto"/>
              </w:rPr>
              <w:t>Grade 2</w:t>
            </w:r>
          </w:p>
        </w:tc>
        <w:tc>
          <w:tcPr>
            <w:tcW w:w="9880" w:type="dxa"/>
            <w:vAlign w:val="bottom"/>
          </w:tcPr>
          <w:p>
            <w:pPr>
              <w:spacing w:after="0" w:line="192" w:lineRule="exact"/>
              <w:rPr>
                <w:sz w:val="20"/>
                <w:szCs w:val="20"/>
                <w:color w:val="auto"/>
              </w:rPr>
            </w:pPr>
            <w:r>
              <w:rPr>
                <w:rFonts w:ascii="Arial" w:cs="Arial" w:eastAsia="Arial" w:hAnsi="Arial"/>
                <w:sz w:val="17"/>
                <w:szCs w:val="17"/>
                <w:color w:val="auto"/>
                <w:w w:val="91"/>
              </w:rPr>
              <w:t>Investment is performing in-line with expectations. Investments rated 2 involve an acceptable level of risk that is similar to the risk at the time of</w:t>
            </w:r>
          </w:p>
        </w:tc>
      </w:tr>
      <w:tr>
        <w:trPr>
          <w:trHeight w:val="204"/>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7"/>
                <w:szCs w:val="17"/>
                <w:color w:val="auto"/>
                <w:w w:val="93"/>
              </w:rPr>
              <w:t>origination or acquisition. Risk factors remain neutral or favorable compared with initial underwriting. All investments or acquired investments</w:t>
            </w:r>
          </w:p>
        </w:tc>
      </w:tr>
      <w:tr>
        <w:trPr>
          <w:trHeight w:val="216"/>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in new portfolio companies are initially assessed a rating of 2.</w:t>
            </w:r>
          </w:p>
        </w:tc>
      </w:tr>
      <w:tr>
        <w:trPr>
          <w:trHeight w:val="192"/>
        </w:trPr>
        <w:tc>
          <w:tcPr>
            <w:tcW w:w="136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Grade 3</w:t>
            </w:r>
          </w:p>
        </w:tc>
        <w:tc>
          <w:tcPr>
            <w:tcW w:w="98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7"/>
              </w:rPr>
              <w:t>Investments rated 3 involve a borrower performing below expectations and indicates that the loan’s risk has increased somewhat since</w:t>
            </w:r>
          </w:p>
        </w:tc>
      </w:tr>
      <w:tr>
        <w:trPr>
          <w:trHeight w:val="204"/>
        </w:trPr>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4"/>
              </w:rPr>
              <w:t>origination or acquisition. Capital impairment or payment delinquency is not anticipated. The investment may also be out of compliance with</w:t>
            </w:r>
          </w:p>
        </w:tc>
      </w:tr>
      <w:tr>
        <w:trPr>
          <w:trHeight w:val="216"/>
        </w:trPr>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certain financial covenants.</w:t>
            </w:r>
          </w:p>
        </w:tc>
      </w:tr>
      <w:tr>
        <w:trPr>
          <w:trHeight w:val="192"/>
        </w:trPr>
        <w:tc>
          <w:tcPr>
            <w:tcW w:w="1360" w:type="dxa"/>
            <w:vAlign w:val="bottom"/>
            <w:gridSpan w:val="2"/>
          </w:tcPr>
          <w:p>
            <w:pPr>
              <w:spacing w:after="0" w:line="192" w:lineRule="exact"/>
              <w:rPr>
                <w:sz w:val="20"/>
                <w:szCs w:val="20"/>
                <w:color w:val="auto"/>
              </w:rPr>
            </w:pPr>
            <w:r>
              <w:rPr>
                <w:rFonts w:ascii="Arial" w:cs="Arial" w:eastAsia="Arial" w:hAnsi="Arial"/>
                <w:sz w:val="17"/>
                <w:szCs w:val="17"/>
                <w:color w:val="auto"/>
              </w:rPr>
              <w:t>Grade 4</w:t>
            </w:r>
          </w:p>
        </w:tc>
        <w:tc>
          <w:tcPr>
            <w:tcW w:w="9880" w:type="dxa"/>
            <w:vAlign w:val="bottom"/>
          </w:tcPr>
          <w:p>
            <w:pPr>
              <w:spacing w:after="0" w:line="192" w:lineRule="exact"/>
              <w:rPr>
                <w:sz w:val="20"/>
                <w:szCs w:val="20"/>
                <w:color w:val="auto"/>
              </w:rPr>
            </w:pPr>
            <w:r>
              <w:rPr>
                <w:rFonts w:ascii="Arial" w:cs="Arial" w:eastAsia="Arial" w:hAnsi="Arial"/>
                <w:sz w:val="17"/>
                <w:szCs w:val="17"/>
                <w:color w:val="auto"/>
                <w:w w:val="90"/>
              </w:rPr>
              <w:t>Investments rated 4 involve a borrower performing materially below expectations and indicates that the loan’s risk has increased materially since</w:t>
            </w:r>
          </w:p>
        </w:tc>
      </w:tr>
      <w:tr>
        <w:trPr>
          <w:trHeight w:val="204"/>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7"/>
                <w:szCs w:val="17"/>
                <w:color w:val="auto"/>
                <w:w w:val="93"/>
              </w:rPr>
              <w:t>origination or acquisition. In addition to the borrower being generally out of compliance with debt covenants, loan payments may be past due</w:t>
            </w:r>
          </w:p>
        </w:tc>
      </w:tr>
      <w:tr>
        <w:trPr>
          <w:trHeight w:val="204"/>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7"/>
                <w:szCs w:val="17"/>
                <w:color w:val="auto"/>
                <w:w w:val="95"/>
              </w:rPr>
              <w:t>(but generally not more than 120 days past due). Delinquency of interest and / or dividend payments in anticipated. No loss of principal is</w:t>
            </w:r>
          </w:p>
        </w:tc>
      </w:tr>
      <w:tr>
        <w:trPr>
          <w:trHeight w:val="216"/>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anticipated.</w:t>
            </w:r>
          </w:p>
        </w:tc>
      </w:tr>
      <w:tr>
        <w:trPr>
          <w:trHeight w:val="192"/>
        </w:trPr>
        <w:tc>
          <w:tcPr>
            <w:tcW w:w="136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Grade 5</w:t>
            </w:r>
          </w:p>
        </w:tc>
        <w:tc>
          <w:tcPr>
            <w:tcW w:w="98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1"/>
              </w:rPr>
              <w:t>Investments rated 5 involve a borrower performing substantially below expectations and indicates that the loan’s risk has increased substantially</w:t>
            </w:r>
          </w:p>
        </w:tc>
      </w:tr>
      <w:tr>
        <w:trPr>
          <w:trHeight w:val="204"/>
        </w:trPr>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3"/>
              </w:rPr>
              <w:t>since origination or acquisition. It is anticipated that the Company will not recoup its initial cost and may realize a loss upon exit. Most or all of</w:t>
            </w:r>
          </w:p>
        </w:tc>
      </w:tr>
      <w:tr>
        <w:trPr>
          <w:trHeight w:val="204"/>
        </w:trPr>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w w:val="90"/>
              </w:rPr>
              <w:t>the debt covenants are out of compliance and payments are substantially delinquent. Loans rated 5 are not anticipated to be repaid in full and we</w:t>
            </w:r>
          </w:p>
        </w:tc>
      </w:tr>
      <w:tr>
        <w:trPr>
          <w:trHeight w:val="216"/>
        </w:trPr>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will reduce the fair market value of the loan to the amount we anticipate will be recovered.</w:t>
            </w:r>
          </w:p>
        </w:tc>
      </w:tr>
      <w:tr>
        <w:trPr>
          <w:trHeight w:val="537"/>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Pr>
          <w:p>
            <w:pPr>
              <w:ind w:left="4200"/>
              <w:spacing w:after="0"/>
              <w:rPr>
                <w:sz w:val="20"/>
                <w:szCs w:val="20"/>
                <w:color w:val="auto"/>
              </w:rPr>
            </w:pPr>
            <w:r>
              <w:rPr>
                <w:rFonts w:ascii="Arial" w:cs="Arial" w:eastAsia="Arial" w:hAnsi="Arial"/>
                <w:sz w:val="14"/>
                <w:szCs w:val="14"/>
                <w:color w:val="auto"/>
              </w:rPr>
              <w:t>28</w:t>
            </w:r>
          </w:p>
        </w:tc>
      </w:tr>
      <w:tr>
        <w:trPr>
          <w:trHeight w:val="42"/>
        </w:trPr>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tables show the distribution of our loan investments on the 1 to 5 investment risk rating scale at fair value as of September 30, 2023 and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4"/>
          </w:tcPr>
          <w:p>
            <w:pPr>
              <w:jc w:val="right"/>
              <w:ind w:right="815"/>
              <w:spacing w:after="0"/>
              <w:rPr>
                <w:sz w:val="20"/>
                <w:szCs w:val="20"/>
                <w:color w:val="auto"/>
              </w:rPr>
            </w:pPr>
            <w:r>
              <w:rPr>
                <w:rFonts w:ascii="Arial" w:cs="Arial" w:eastAsia="Arial" w:hAnsi="Arial"/>
                <w:sz w:val="17"/>
                <w:szCs w:val="17"/>
                <w:b w:val="1"/>
                <w:bCs w:val="1"/>
                <w:color w:val="auto"/>
              </w:rPr>
              <w:t>September 30, 2023</w:t>
            </w:r>
          </w:p>
        </w:tc>
      </w:tr>
      <w:tr>
        <w:trPr>
          <w:trHeight w:val="188"/>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top w:val="single" w:sz="8" w:color="auto"/>
            </w:tcBorders>
            <w:gridSpan w:val="3"/>
          </w:tcPr>
          <w:p>
            <w:pPr>
              <w:spacing w:after="0" w:line="188" w:lineRule="exact"/>
              <w:rPr>
                <w:sz w:val="20"/>
                <w:szCs w:val="20"/>
                <w:color w:val="auto"/>
              </w:rPr>
            </w:pPr>
            <w:r>
              <w:rPr>
                <w:rFonts w:ascii="Arial" w:cs="Arial" w:eastAsia="Arial" w:hAnsi="Arial"/>
                <w:sz w:val="17"/>
                <w:szCs w:val="17"/>
                <w:b w:val="1"/>
                <w:bCs w:val="1"/>
                <w:color w:val="auto"/>
                <w:w w:val="95"/>
              </w:rPr>
              <w:t>Investments at Fair</w:t>
            </w:r>
          </w:p>
        </w:tc>
        <w:tc>
          <w:tcPr>
            <w:tcW w:w="14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w w:val="87"/>
              </w:rPr>
              <w:t>Percentage of Total</w:t>
            </w:r>
          </w:p>
        </w:tc>
        <w:tc>
          <w:tcPr>
            <w:tcW w:w="140" w:type="dxa"/>
            <w:vAlign w:val="bottom"/>
          </w:tcPr>
          <w:p>
            <w:pPr>
              <w:spacing w:after="0"/>
              <w:rPr>
                <w:sz w:val="16"/>
                <w:szCs w:val="16"/>
                <w:color w:val="auto"/>
              </w:rPr>
            </w:pPr>
          </w:p>
        </w:tc>
      </w:tr>
      <w:tr>
        <w:trPr>
          <w:trHeight w:val="226"/>
        </w:trPr>
        <w:tc>
          <w:tcPr>
            <w:tcW w:w="8080" w:type="dxa"/>
            <w:vAlign w:val="bottom"/>
          </w:tcPr>
          <w:p>
            <w:pPr>
              <w:spacing w:after="0"/>
              <w:rPr>
                <w:sz w:val="20"/>
                <w:szCs w:val="20"/>
                <w:color w:val="auto"/>
              </w:rPr>
            </w:pPr>
            <w:r>
              <w:rPr>
                <w:rFonts w:ascii="Arial" w:cs="Arial" w:eastAsia="Arial" w:hAnsi="Arial"/>
                <w:sz w:val="17"/>
                <w:szCs w:val="17"/>
                <w:b w:val="1"/>
                <w:bCs w:val="1"/>
                <w:color w:val="auto"/>
              </w:rPr>
              <w:t>Investment Performance Risk Rating</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7"/>
                <w:szCs w:val="17"/>
                <w:b w:val="1"/>
                <w:bCs w:val="1"/>
                <w:color w:val="auto"/>
              </w:rPr>
              <w:t>Value</w:t>
            </w:r>
          </w:p>
        </w:tc>
        <w:tc>
          <w:tcPr>
            <w:tcW w:w="154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Investments</w:t>
            </w:r>
          </w:p>
        </w:tc>
      </w:tr>
      <w:tr>
        <w:trPr>
          <w:trHeight w:val="204"/>
        </w:trPr>
        <w:tc>
          <w:tcPr>
            <w:tcW w:w="8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4"/>
        </w:trPr>
        <w:tc>
          <w:tcPr>
            <w:tcW w:w="8080" w:type="dxa"/>
            <w:vAlign w:val="bottom"/>
          </w:tcPr>
          <w:p>
            <w:pP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57,381,000</w:t>
            </w:r>
          </w:p>
        </w:tc>
        <w:tc>
          <w:tcPr>
            <w:tcW w:w="120" w:type="dxa"/>
            <w:vAlign w:val="bottom"/>
          </w:tcPr>
          <w:p>
            <w:pPr>
              <w:spacing w:after="0"/>
              <w:rPr>
                <w:sz w:val="17"/>
                <w:szCs w:val="17"/>
                <w:color w:val="auto"/>
              </w:rPr>
            </w:pPr>
          </w:p>
        </w:tc>
        <w:tc>
          <w:tcPr>
            <w:tcW w:w="1540" w:type="dxa"/>
            <w:vAlign w:val="bottom"/>
            <w:gridSpan w:val="2"/>
          </w:tcPr>
          <w:p>
            <w:pPr>
              <w:jc w:val="right"/>
              <w:ind w:right="55"/>
              <w:spacing w:after="0"/>
              <w:rPr>
                <w:sz w:val="20"/>
                <w:szCs w:val="20"/>
                <w:color w:val="auto"/>
              </w:rPr>
            </w:pPr>
            <w:r>
              <w:rPr>
                <w:rFonts w:ascii="Arial" w:cs="Arial" w:eastAsia="Arial" w:hAnsi="Arial"/>
                <w:sz w:val="17"/>
                <w:szCs w:val="17"/>
                <w:color w:val="auto"/>
              </w:rPr>
              <w:t>100.00</w:t>
            </w:r>
          </w:p>
        </w:tc>
      </w:tr>
      <w:tr>
        <w:trPr>
          <w:trHeight w:val="204"/>
        </w:trPr>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9"/>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4"/>
        </w:trPr>
        <w:tc>
          <w:tcPr>
            <w:tcW w:w="8080" w:type="dxa"/>
            <w:vAlign w:val="bottom"/>
          </w:tcPr>
          <w:p>
            <w:pPr>
              <w:ind w:left="160"/>
              <w:spacing w:after="0" w:line="184" w:lineRule="exact"/>
              <w:rPr>
                <w:sz w:val="20"/>
                <w:szCs w:val="20"/>
                <w:color w:val="auto"/>
              </w:rPr>
            </w:pPr>
            <w:r>
              <w:rPr>
                <w:rFonts w:ascii="Arial" w:cs="Arial" w:eastAsia="Arial" w:hAnsi="Arial"/>
                <w:sz w:val="17"/>
                <w:szCs w:val="17"/>
                <w:color w:val="auto"/>
              </w:rPr>
              <w:t>Total</w:t>
            </w:r>
          </w:p>
        </w:tc>
        <w:tc>
          <w:tcPr>
            <w:tcW w:w="380" w:type="dxa"/>
            <w:vAlign w:val="bottom"/>
            <w:gridSpan w:val="3"/>
          </w:tcPr>
          <w:p>
            <w:pPr>
              <w:ind w:left="100"/>
              <w:spacing w:after="0" w:line="18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4" w:lineRule="exact"/>
              <w:rPr>
                <w:sz w:val="20"/>
                <w:szCs w:val="20"/>
                <w:color w:val="auto"/>
              </w:rPr>
            </w:pPr>
            <w:r>
              <w:rPr>
                <w:rFonts w:ascii="Arial" w:cs="Arial" w:eastAsia="Arial" w:hAnsi="Arial"/>
                <w:sz w:val="17"/>
                <w:szCs w:val="17"/>
                <w:color w:val="auto"/>
              </w:rPr>
              <w:t>57,381,000</w:t>
            </w:r>
          </w:p>
        </w:tc>
        <w:tc>
          <w:tcPr>
            <w:tcW w:w="120" w:type="dxa"/>
            <w:vAlign w:val="bottom"/>
          </w:tcPr>
          <w:p>
            <w:pPr>
              <w:spacing w:after="0"/>
              <w:rPr>
                <w:sz w:val="17"/>
                <w:szCs w:val="17"/>
                <w:color w:val="auto"/>
              </w:rPr>
            </w:pPr>
          </w:p>
        </w:tc>
        <w:tc>
          <w:tcPr>
            <w:tcW w:w="15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100.00%</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4"/>
          </w:tcPr>
          <w:p>
            <w:pPr>
              <w:jc w:val="right"/>
              <w:ind w:right="915"/>
              <w:spacing w:after="0"/>
              <w:rPr>
                <w:sz w:val="20"/>
                <w:szCs w:val="20"/>
                <w:color w:val="auto"/>
              </w:rPr>
            </w:pPr>
            <w:r>
              <w:rPr>
                <w:rFonts w:ascii="Arial" w:cs="Arial" w:eastAsia="Arial" w:hAnsi="Arial"/>
                <w:sz w:val="17"/>
                <w:szCs w:val="17"/>
                <w:b w:val="1"/>
                <w:bCs w:val="1"/>
                <w:color w:val="auto"/>
              </w:rPr>
              <w:t>December 31, 2022</w:t>
            </w:r>
          </w:p>
        </w:tc>
      </w:tr>
      <w:tr>
        <w:trPr>
          <w:trHeight w:val="188"/>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gridSpan w:val="3"/>
          </w:tcPr>
          <w:p>
            <w:pPr>
              <w:ind w:left="40"/>
              <w:spacing w:after="0" w:line="188" w:lineRule="exact"/>
              <w:rPr>
                <w:sz w:val="20"/>
                <w:szCs w:val="20"/>
                <w:color w:val="auto"/>
              </w:rPr>
            </w:pPr>
            <w:r>
              <w:rPr>
                <w:rFonts w:ascii="Arial" w:cs="Arial" w:eastAsia="Arial" w:hAnsi="Arial"/>
                <w:sz w:val="17"/>
                <w:szCs w:val="17"/>
                <w:b w:val="1"/>
                <w:bCs w:val="1"/>
                <w:color w:val="auto"/>
                <w:w w:val="95"/>
              </w:rPr>
              <w:t>Investments at Fair</w:t>
            </w:r>
          </w:p>
        </w:tc>
        <w:tc>
          <w:tcPr>
            <w:tcW w:w="14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w w:val="89"/>
              </w:rPr>
              <w:t>Percentage of Total</w:t>
            </w:r>
          </w:p>
        </w:tc>
        <w:tc>
          <w:tcPr>
            <w:tcW w:w="180" w:type="dxa"/>
            <w:vAlign w:val="bottom"/>
          </w:tcPr>
          <w:p>
            <w:pPr>
              <w:spacing w:after="0"/>
              <w:rPr>
                <w:sz w:val="16"/>
                <w:szCs w:val="16"/>
                <w:color w:val="auto"/>
              </w:rPr>
            </w:pPr>
          </w:p>
        </w:tc>
      </w:tr>
      <w:tr>
        <w:trPr>
          <w:trHeight w:val="226"/>
        </w:trPr>
        <w:tc>
          <w:tcPr>
            <w:tcW w:w="7960" w:type="dxa"/>
            <w:vAlign w:val="bottom"/>
          </w:tcPr>
          <w:p>
            <w:pPr>
              <w:spacing w:after="0"/>
              <w:rPr>
                <w:sz w:val="20"/>
                <w:szCs w:val="20"/>
                <w:color w:val="auto"/>
              </w:rPr>
            </w:pPr>
            <w:r>
              <w:rPr>
                <w:rFonts w:ascii="Arial" w:cs="Arial" w:eastAsia="Arial" w:hAnsi="Arial"/>
                <w:sz w:val="17"/>
                <w:szCs w:val="17"/>
                <w:b w:val="1"/>
                <w:bCs w:val="1"/>
                <w:color w:val="auto"/>
              </w:rPr>
              <w:t>Investment Performance Risk Rating</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7"/>
                <w:szCs w:val="17"/>
                <w:b w:val="1"/>
                <w:bCs w:val="1"/>
                <w:color w:val="auto"/>
              </w:rPr>
              <w:t>Value</w:t>
            </w:r>
          </w:p>
        </w:tc>
        <w:tc>
          <w:tcPr>
            <w:tcW w:w="162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Investments</w:t>
            </w:r>
          </w:p>
        </w:tc>
      </w:tr>
      <w:tr>
        <w:trPr>
          <w:trHeight w:val="204"/>
        </w:trPr>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4"/>
        </w:trPr>
        <w:tc>
          <w:tcPr>
            <w:tcW w:w="7960" w:type="dxa"/>
            <w:vAlign w:val="bottom"/>
          </w:tcPr>
          <w:p>
            <w:pP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50,254,550</w:t>
            </w:r>
          </w:p>
        </w:tc>
        <w:tc>
          <w:tcPr>
            <w:tcW w:w="100" w:type="dxa"/>
            <w:vAlign w:val="bottom"/>
          </w:tcPr>
          <w:p>
            <w:pPr>
              <w:spacing w:after="0"/>
              <w:rPr>
                <w:sz w:val="17"/>
                <w:szCs w:val="17"/>
                <w:color w:val="auto"/>
              </w:rPr>
            </w:pPr>
          </w:p>
        </w:tc>
        <w:tc>
          <w:tcPr>
            <w:tcW w:w="1620" w:type="dxa"/>
            <w:vAlign w:val="bottom"/>
            <w:gridSpan w:val="2"/>
          </w:tcPr>
          <w:p>
            <w:pPr>
              <w:jc w:val="right"/>
              <w:ind w:right="95"/>
              <w:spacing w:after="0"/>
              <w:rPr>
                <w:sz w:val="20"/>
                <w:szCs w:val="20"/>
                <w:color w:val="auto"/>
              </w:rPr>
            </w:pPr>
            <w:r>
              <w:rPr>
                <w:rFonts w:ascii="Arial" w:cs="Arial" w:eastAsia="Arial" w:hAnsi="Arial"/>
                <w:sz w:val="17"/>
                <w:szCs w:val="17"/>
                <w:color w:val="auto"/>
              </w:rPr>
              <w:t>100.00</w:t>
            </w:r>
          </w:p>
        </w:tc>
      </w:tr>
      <w:tr>
        <w:trPr>
          <w:trHeight w:val="204"/>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04"/>
        </w:trPr>
        <w:tc>
          <w:tcPr>
            <w:tcW w:w="7960" w:type="dxa"/>
            <w:vAlign w:val="bottom"/>
          </w:tcPr>
          <w:p>
            <w:pPr>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2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r>
      <w:tr>
        <w:trPr>
          <w:trHeight w:val="209"/>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4"/>
        </w:trPr>
        <w:tc>
          <w:tcPr>
            <w:tcW w:w="7960" w:type="dxa"/>
            <w:vAlign w:val="bottom"/>
          </w:tcPr>
          <w:p>
            <w:pPr>
              <w:ind w:left="160"/>
              <w:spacing w:after="0" w:line="184" w:lineRule="exact"/>
              <w:rPr>
                <w:sz w:val="20"/>
                <w:szCs w:val="20"/>
                <w:color w:val="auto"/>
              </w:rPr>
            </w:pPr>
            <w:r>
              <w:rPr>
                <w:rFonts w:ascii="Arial" w:cs="Arial" w:eastAsia="Arial" w:hAnsi="Arial"/>
                <w:sz w:val="17"/>
                <w:szCs w:val="17"/>
                <w:color w:val="auto"/>
              </w:rPr>
              <w:t>Total</w:t>
            </w:r>
          </w:p>
        </w:tc>
        <w:tc>
          <w:tcPr>
            <w:tcW w:w="42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4" w:lineRule="exact"/>
              <w:rPr>
                <w:sz w:val="20"/>
                <w:szCs w:val="20"/>
                <w:color w:val="auto"/>
              </w:rPr>
            </w:pPr>
            <w:r>
              <w:rPr>
                <w:rFonts w:ascii="Arial" w:cs="Arial" w:eastAsia="Arial" w:hAnsi="Arial"/>
                <w:sz w:val="17"/>
                <w:szCs w:val="17"/>
                <w:color w:val="auto"/>
              </w:rPr>
              <w:t>50,254,550</w:t>
            </w:r>
          </w:p>
        </w:tc>
        <w:tc>
          <w:tcPr>
            <w:tcW w:w="100" w:type="dxa"/>
            <w:vAlign w:val="bottom"/>
          </w:tcPr>
          <w:p>
            <w:pPr>
              <w:spacing w:after="0"/>
              <w:rPr>
                <w:sz w:val="17"/>
                <w:szCs w:val="17"/>
                <w:color w:val="auto"/>
              </w:rPr>
            </w:pPr>
          </w:p>
        </w:tc>
        <w:tc>
          <w:tcPr>
            <w:tcW w:w="162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100.00%</w:t>
            </w: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Investments on Non-Accrual Status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December 31, 2022, there were no loans in our portfolio placed on non-accrual status.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discussion and analysis of our results of operations encompasses our results for the three and nine months ended September 30, 2023 and 2022.</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investment income for the three and nine months ended September 30,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Arial" w:cs="Arial" w:eastAsia="Arial" w:hAnsi="Arial"/>
                <w:sz w:val="17"/>
                <w:szCs w:val="17"/>
                <w:b w:val="1"/>
                <w:bCs w:val="1"/>
                <w:color w:val="auto"/>
                <w:w w:val="96"/>
              </w:rPr>
              <w:t>Three Months Ended</w:t>
            </w:r>
          </w:p>
        </w:tc>
        <w:tc>
          <w:tcPr>
            <w:tcW w:w="17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Three Months Ended</w:t>
            </w:r>
          </w:p>
        </w:tc>
        <w:tc>
          <w:tcPr>
            <w:tcW w:w="164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5"/>
              </w:rPr>
              <w:t>Nine Months Ended</w:t>
            </w:r>
          </w:p>
        </w:tc>
        <w:tc>
          <w:tcPr>
            <w:tcW w:w="1620" w:type="dxa"/>
            <w:vAlign w:val="bottom"/>
            <w:gridSpan w:val="4"/>
          </w:tcPr>
          <w:p>
            <w:pPr>
              <w:ind w:left="80"/>
              <w:spacing w:after="0"/>
              <w:rPr>
                <w:sz w:val="20"/>
                <w:szCs w:val="20"/>
                <w:color w:val="auto"/>
              </w:rPr>
            </w:pPr>
            <w:r>
              <w:rPr>
                <w:rFonts w:ascii="Arial" w:cs="Arial" w:eastAsia="Arial" w:hAnsi="Arial"/>
                <w:sz w:val="17"/>
                <w:szCs w:val="17"/>
                <w:b w:val="1"/>
                <w:bCs w:val="1"/>
                <w:color w:val="auto"/>
                <w:w w:val="95"/>
              </w:rPr>
              <w:t>Nine Months Ended</w:t>
            </w:r>
          </w:p>
        </w:tc>
      </w:tr>
      <w:tr>
        <w:trPr>
          <w:trHeight w:val="226"/>
        </w:trPr>
        <w:tc>
          <w:tcPr>
            <w:tcW w:w="4620" w:type="dxa"/>
            <w:vAlign w:val="bottom"/>
          </w:tcPr>
          <w:p>
            <w:pPr>
              <w:spacing w:after="0"/>
              <w:rPr>
                <w:sz w:val="19"/>
                <w:szCs w:val="19"/>
                <w:color w:val="auto"/>
              </w:rPr>
            </w:pPr>
          </w:p>
        </w:tc>
        <w:tc>
          <w:tcPr>
            <w:tcW w:w="1640" w:type="dxa"/>
            <w:vAlign w:val="bottom"/>
            <w:gridSpan w:val="3"/>
          </w:tcPr>
          <w:p>
            <w:pPr>
              <w:ind w:left="80"/>
              <w:spacing w:after="0"/>
              <w:rPr>
                <w:sz w:val="20"/>
                <w:szCs w:val="20"/>
                <w:color w:val="auto"/>
              </w:rPr>
            </w:pPr>
            <w:r>
              <w:rPr>
                <w:rFonts w:ascii="Arial" w:cs="Arial" w:eastAsia="Arial" w:hAnsi="Arial"/>
                <w:sz w:val="17"/>
                <w:szCs w:val="17"/>
                <w:b w:val="1"/>
                <w:bCs w:val="1"/>
                <w:color w:val="auto"/>
                <w:w w:val="96"/>
              </w:rPr>
              <w:t>September 30, 2023</w:t>
            </w:r>
          </w:p>
        </w:tc>
        <w:tc>
          <w:tcPr>
            <w:tcW w:w="100" w:type="dxa"/>
            <w:vAlign w:val="bottom"/>
          </w:tcPr>
          <w:p>
            <w:pPr>
              <w:spacing w:after="0"/>
              <w:rPr>
                <w:sz w:val="19"/>
                <w:szCs w:val="19"/>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September 30, 2022</w:t>
            </w:r>
          </w:p>
        </w:tc>
        <w:tc>
          <w:tcPr>
            <w:tcW w:w="10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88"/>
              </w:rPr>
              <w:t>September 30, 2023</w:t>
            </w:r>
          </w:p>
        </w:tc>
        <w:tc>
          <w:tcPr>
            <w:tcW w:w="8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September 30, 2022</w:t>
            </w: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Stated interest income</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2,740,665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1,140,058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7,596,808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1,540,215</w:t>
            </w:r>
          </w:p>
        </w:tc>
        <w:tc>
          <w:tcPr>
            <w:tcW w:w="80" w:type="dxa"/>
            <w:vAlign w:val="bottom"/>
            <w:shd w:val="clear" w:color="auto" w:fill="CCEEFF"/>
          </w:tcPr>
          <w:p>
            <w:pPr>
              <w:spacing w:after="0"/>
              <w:rPr>
                <w:sz w:val="17"/>
                <w:szCs w:val="17"/>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Accretion of discount and fees (amortization of premium), net</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129,494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40,459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431,052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49,966</w:t>
            </w: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Payment in-kind interest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78,153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4"/>
        </w:trPr>
        <w:tc>
          <w:tcPr>
            <w:tcW w:w="4620" w:type="dxa"/>
            <w:vAlign w:val="bottom"/>
          </w:tcPr>
          <w:p>
            <w:pPr>
              <w:ind w:left="160"/>
              <w:spacing w:after="0"/>
              <w:rPr>
                <w:sz w:val="20"/>
                <w:szCs w:val="20"/>
                <w:color w:val="auto"/>
              </w:rPr>
            </w:pPr>
            <w:r>
              <w:rPr>
                <w:rFonts w:ascii="Arial" w:cs="Arial" w:eastAsia="Arial" w:hAnsi="Arial"/>
                <w:sz w:val="17"/>
                <w:szCs w:val="17"/>
                <w:color w:val="auto"/>
              </w:rPr>
              <w:t>Total interest income</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2,885,725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1,180,517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8,106,013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1,590,181</w:t>
            </w: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 fee income</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162,500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410,000</w:t>
            </w:r>
          </w:p>
        </w:tc>
      </w:tr>
      <w:tr>
        <w:trPr>
          <w:trHeight w:val="25"/>
        </w:trPr>
        <w:tc>
          <w:tcPr>
            <w:tcW w:w="46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4"/>
        </w:trPr>
        <w:tc>
          <w:tcPr>
            <w:tcW w:w="4620" w:type="dxa"/>
            <w:vAlign w:val="bottom"/>
          </w:tcPr>
          <w:p>
            <w:pPr>
              <w:ind w:left="160"/>
              <w:spacing w:after="0"/>
              <w:rPr>
                <w:sz w:val="20"/>
                <w:szCs w:val="20"/>
                <w:color w:val="auto"/>
              </w:rPr>
            </w:pPr>
            <w:r>
              <w:rPr>
                <w:rFonts w:ascii="Arial" w:cs="Arial" w:eastAsia="Arial" w:hAnsi="Arial"/>
                <w:sz w:val="17"/>
                <w:szCs w:val="17"/>
                <w:color w:val="auto"/>
              </w:rPr>
              <w:t>Total investment income</w:t>
            </w:r>
          </w:p>
        </w:tc>
        <w:tc>
          <w:tcPr>
            <w:tcW w:w="4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2,916,975</w:t>
            </w:r>
          </w:p>
        </w:tc>
        <w:tc>
          <w:tcPr>
            <w:tcW w:w="80" w:type="dxa"/>
            <w:vAlign w:val="bottom"/>
          </w:tcPr>
          <w:p>
            <w:pPr>
              <w:spacing w:after="0"/>
              <w:rPr>
                <w:sz w:val="17"/>
                <w:szCs w:val="17"/>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1,180,517</w:t>
            </w:r>
          </w:p>
        </w:tc>
        <w:tc>
          <w:tcPr>
            <w:tcW w:w="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8,268,513</w:t>
            </w:r>
          </w:p>
        </w:tc>
        <w:tc>
          <w:tcPr>
            <w:tcW w:w="5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2,000,181</w:t>
            </w:r>
          </w:p>
        </w:tc>
      </w:tr>
      <w:tr>
        <w:trPr>
          <w:trHeight w:val="20"/>
        </w:trPr>
        <w:tc>
          <w:tcPr>
            <w:tcW w:w="4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generate revenues primarily in the form of investment income from the investments we hold, generally in the form of interest income from our debt securities.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recognizes certain fees as one-time fee income, including, but not limited to, structuring fees.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increase in investment income during the three and nine months ended September 30, 2023 in comparison to the three and nine months ended September 30, 2022 is due to the increase in debt investments and the associated interest income increase. For the nine months ended September 30, 2023, there was approximately $6.5 million of additional investment income as compared to the nine months ended September 30, 2022. Of the $6.5 million increase in investment income, approximately $1.2 million in investment income relate to changes in rates and $3.8 in investment income relate to an increase in debt investments. The remaining variance in investment income relates to the timing of investments for the nine months ended September 30, 2022. Had the investments been made prior to January 1, 2022, there would have been an additional $1.5 million in income, and the additional investment income for the nine months ended September 30, 2023 as compared to the nine months ended September 30, 2022 would have been $5.0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expenses for the three and nine months ended September 30, 2023 are comprised primarily of professional fees for legal, administration, audit, valuation and directors, our management fees and incentive fees. Our operating expenses totaled approximately $1.3 million and $3.4 million for the three and nine months ended September 30, 2023, respectively. Our operating expenses for the three and nine months ended September 30, 2022 are comprised of professional fees for legal, administration, audit and directors, and our management fees. Our operating expenses totaled approximately $0.6 million and $1.4 million for the three and nine months ended September 30, 2022, respectively. The increase in expenses during the three and nine months ended September 30, 2023 in comparison to the three and nine months ended September 30, 2022 is due to incentive fees, which had not met the hurdle rate to be earned during the first year of operations, and management fees, which increased due to the increase in debt investments.</w:t>
      </w:r>
    </w:p>
    <w:p>
      <w:pPr>
        <w:sectPr>
          <w:pgSz w:w="11900" w:h="16838" w:orient="portrait"/>
          <w:cols w:equalWidth="0" w:num="1">
            <w:col w:w="11240"/>
          </w:cols>
          <w:pgMar w:left="320" w:top="120" w:right="3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Gains and Losses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 There was $0 and $210,767 net realized loss from the sale of an investment during the three and nine months ended September 30, 2023, respectively. There were $90,000 and $180,000 of repayments, and no exits of investments during the three and nine months ended September 30, 2023, respectively. There were no net realized gains (losses) from the sales, repayments, or exits of investments during the three and nine months ended September 30,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 (Depreciation) from Investments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change in unrealized appreciation/(depreciation)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on the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Net unrealized appreciation and depreciation on investments for the three and nine months ended September 30, 2023 and 2022 is comprised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740" w:type="dxa"/>
            <w:vAlign w:val="bottom"/>
            <w:gridSpan w:val="4"/>
          </w:tcPr>
          <w:p>
            <w:pPr>
              <w:ind w:left="80"/>
              <w:spacing w:after="0"/>
              <w:rPr>
                <w:sz w:val="20"/>
                <w:szCs w:val="20"/>
                <w:color w:val="auto"/>
              </w:rPr>
            </w:pPr>
            <w:r>
              <w:rPr>
                <w:rFonts w:ascii="Arial" w:cs="Arial" w:eastAsia="Arial" w:hAnsi="Arial"/>
                <w:sz w:val="17"/>
                <w:szCs w:val="17"/>
                <w:b w:val="1"/>
                <w:bCs w:val="1"/>
                <w:color w:val="auto"/>
                <w:w w:val="97"/>
              </w:rPr>
              <w:t>Three Months Ended</w:t>
            </w:r>
          </w:p>
        </w:tc>
        <w:tc>
          <w:tcPr>
            <w:tcW w:w="1700" w:type="dxa"/>
            <w:vAlign w:val="bottom"/>
            <w:gridSpan w:val="4"/>
          </w:tcPr>
          <w:p>
            <w:pPr>
              <w:ind w:left="80"/>
              <w:spacing w:after="0"/>
              <w:rPr>
                <w:sz w:val="20"/>
                <w:szCs w:val="20"/>
                <w:color w:val="auto"/>
              </w:rPr>
            </w:pPr>
            <w:r>
              <w:rPr>
                <w:rFonts w:ascii="Arial" w:cs="Arial" w:eastAsia="Arial" w:hAnsi="Arial"/>
                <w:sz w:val="17"/>
                <w:szCs w:val="17"/>
                <w:b w:val="1"/>
                <w:bCs w:val="1"/>
                <w:color w:val="auto"/>
                <w:w w:val="95"/>
              </w:rPr>
              <w:t>Three Months Ended</w:t>
            </w:r>
          </w:p>
        </w:tc>
        <w:tc>
          <w:tcPr>
            <w:tcW w:w="1660" w:type="dxa"/>
            <w:vAlign w:val="bottom"/>
            <w:gridSpan w:val="4"/>
          </w:tcPr>
          <w:p>
            <w:pPr>
              <w:ind w:left="100"/>
              <w:spacing w:after="0"/>
              <w:rPr>
                <w:sz w:val="20"/>
                <w:szCs w:val="20"/>
                <w:color w:val="auto"/>
              </w:rPr>
            </w:pPr>
            <w:r>
              <w:rPr>
                <w:rFonts w:ascii="Arial" w:cs="Arial" w:eastAsia="Arial" w:hAnsi="Arial"/>
                <w:sz w:val="17"/>
                <w:szCs w:val="17"/>
                <w:b w:val="1"/>
                <w:bCs w:val="1"/>
                <w:color w:val="auto"/>
                <w:w w:val="97"/>
              </w:rPr>
              <w:t>Nine Months Ended</w:t>
            </w:r>
          </w:p>
        </w:tc>
        <w:tc>
          <w:tcPr>
            <w:tcW w:w="1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w w:val="94"/>
              </w:rPr>
              <w:t>Nine Months Ended</w:t>
            </w:r>
          </w:p>
        </w:tc>
      </w:tr>
      <w:tr>
        <w:trPr>
          <w:trHeight w:val="226"/>
        </w:trPr>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ind w:left="80"/>
              <w:spacing w:after="0"/>
              <w:rPr>
                <w:sz w:val="20"/>
                <w:szCs w:val="20"/>
                <w:color w:val="auto"/>
              </w:rPr>
            </w:pPr>
            <w:r>
              <w:rPr>
                <w:rFonts w:ascii="Arial" w:cs="Arial" w:eastAsia="Arial" w:hAnsi="Arial"/>
                <w:sz w:val="17"/>
                <w:szCs w:val="17"/>
                <w:b w:val="1"/>
                <w:bCs w:val="1"/>
                <w:color w:val="auto"/>
                <w:w w:val="98"/>
              </w:rPr>
              <w:t>September 30, 2023</w:t>
            </w:r>
          </w:p>
        </w:tc>
        <w:tc>
          <w:tcPr>
            <w:tcW w:w="8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7"/>
                <w:szCs w:val="17"/>
                <w:b w:val="1"/>
                <w:bCs w:val="1"/>
                <w:color w:val="auto"/>
                <w:w w:val="96"/>
              </w:rPr>
              <w:t>September 30, 2022</w:t>
            </w:r>
          </w:p>
        </w:tc>
        <w:tc>
          <w:tcPr>
            <w:tcW w:w="10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w w:val="96"/>
              </w:rPr>
              <w:t>September 30, 2023</w:t>
            </w:r>
          </w:p>
        </w:tc>
        <w:tc>
          <w:tcPr>
            <w:tcW w:w="60" w:type="dxa"/>
            <w:vAlign w:val="bottom"/>
          </w:tcPr>
          <w:p>
            <w:pPr>
              <w:spacing w:after="0"/>
              <w:rPr>
                <w:sz w:val="19"/>
                <w:szCs w:val="19"/>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89"/>
              </w:rPr>
              <w:t>September 30, 2022</w:t>
            </w:r>
          </w:p>
        </w:tc>
      </w:tr>
      <w:tr>
        <w:trPr>
          <w:trHeight w:val="204"/>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Gross unrealized appreciation</w:t>
            </w:r>
          </w:p>
        </w:tc>
        <w:tc>
          <w:tcPr>
            <w:tcW w:w="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365,811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7"/>
                <w:szCs w:val="17"/>
                <w:color w:val="auto"/>
              </w:rPr>
              <w:t>Gross unrealized depreciation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(343,104)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(199,799)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1"/>
              </w:rPr>
              <w:t>Total net unrealized appreciation (depreciation) on investments</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(343,104)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166,012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net change in unrealized appreciation (depreciation) for our portfolio for the three and nine months ended September 30, 2023 and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1820" w:type="dxa"/>
            <w:vAlign w:val="bottom"/>
            <w:gridSpan w:val="4"/>
          </w:tcPr>
          <w:p>
            <w:pPr>
              <w:ind w:left="160"/>
              <w:spacing w:after="0"/>
              <w:rPr>
                <w:sz w:val="20"/>
                <w:szCs w:val="20"/>
                <w:color w:val="auto"/>
              </w:rPr>
            </w:pPr>
            <w:r>
              <w:rPr>
                <w:rFonts w:ascii="Arial" w:cs="Arial" w:eastAsia="Arial" w:hAnsi="Arial"/>
                <w:sz w:val="17"/>
                <w:szCs w:val="17"/>
                <w:b w:val="1"/>
                <w:bCs w:val="1"/>
                <w:color w:val="auto"/>
                <w:w w:val="97"/>
              </w:rPr>
              <w:t>Three Months Ended</w:t>
            </w:r>
          </w:p>
        </w:tc>
        <w:tc>
          <w:tcPr>
            <w:tcW w:w="17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Three Months Ended</w:t>
            </w:r>
          </w:p>
        </w:tc>
        <w:tc>
          <w:tcPr>
            <w:tcW w:w="172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w w:val="95"/>
              </w:rPr>
              <w:t>Nine Months Ended</w:t>
            </w:r>
          </w:p>
        </w:tc>
        <w:tc>
          <w:tcPr>
            <w:tcW w:w="154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0"/>
              </w:rPr>
              <w:t>Nine Months Ended</w:t>
            </w:r>
          </w:p>
        </w:tc>
      </w:tr>
      <w:tr>
        <w:trPr>
          <w:trHeight w:val="226"/>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3"/>
              </w:rPr>
              <w:t>September 30, 2023</w:t>
            </w:r>
          </w:p>
        </w:tc>
        <w:tc>
          <w:tcPr>
            <w:tcW w:w="80" w:type="dxa"/>
            <w:vAlign w:val="bottom"/>
          </w:tcPr>
          <w:p>
            <w:pPr>
              <w:spacing w:after="0"/>
              <w:rPr>
                <w:sz w:val="19"/>
                <w:szCs w:val="19"/>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September 30, 2022</w:t>
            </w:r>
          </w:p>
        </w:tc>
        <w:tc>
          <w:tcPr>
            <w:tcW w:w="100" w:type="dxa"/>
            <w:vAlign w:val="bottom"/>
          </w:tcPr>
          <w:p>
            <w:pPr>
              <w:spacing w:after="0"/>
              <w:rPr>
                <w:sz w:val="19"/>
                <w:szCs w:val="19"/>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8"/>
              </w:rPr>
              <w:t>September 30, 2023</w:t>
            </w:r>
          </w:p>
        </w:tc>
        <w:tc>
          <w:tcPr>
            <w:tcW w:w="15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89"/>
              </w:rPr>
              <w:t>September 30, 2022</w:t>
            </w:r>
          </w:p>
        </w:tc>
      </w:tr>
      <w:tr>
        <w:trPr>
          <w:trHeight w:val="204"/>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STIIIZY, Inc. (f/k/a Shryne Group Inc.)</w:t>
            </w: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212,530</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4460" w:type="dxa"/>
            <w:vAlign w:val="bottom"/>
          </w:tcPr>
          <w:p>
            <w:pPr>
              <w:spacing w:after="0"/>
              <w:rPr>
                <w:sz w:val="20"/>
                <w:szCs w:val="20"/>
                <w:color w:val="auto"/>
              </w:rPr>
            </w:pPr>
            <w:r>
              <w:rPr>
                <w:rFonts w:ascii="Arial" w:cs="Arial" w:eastAsia="Arial" w:hAnsi="Arial"/>
                <w:sz w:val="17"/>
                <w:szCs w:val="17"/>
                <w:color w:val="auto"/>
              </w:rPr>
              <w:t>Verano Holdings Corp.</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(33,861)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90,950</w:t>
            </w:r>
          </w:p>
        </w:tc>
        <w:tc>
          <w:tcPr>
            <w:tcW w:w="7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MariMed Inc.</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(39,029)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(8,165)</w:t>
            </w: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460" w:type="dxa"/>
            <w:vAlign w:val="bottom"/>
          </w:tcPr>
          <w:p>
            <w:pPr>
              <w:spacing w:after="0"/>
              <w:rPr>
                <w:sz w:val="20"/>
                <w:szCs w:val="20"/>
                <w:color w:val="auto"/>
              </w:rPr>
            </w:pPr>
            <w:r>
              <w:rPr>
                <w:rFonts w:ascii="Arial" w:cs="Arial" w:eastAsia="Arial" w:hAnsi="Arial"/>
                <w:sz w:val="17"/>
                <w:szCs w:val="17"/>
                <w:color w:val="auto"/>
              </w:rPr>
              <w:t>Dreamfields Brands, Inc. (d/b/a Jeeter)</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(32,298)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(32,220)</w:t>
            </w:r>
          </w:p>
        </w:tc>
        <w:tc>
          <w:tcPr>
            <w:tcW w:w="7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PharmaCann, Inc.</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(62,871)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(159,414)</w:t>
            </w: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9"/>
        </w:trPr>
        <w:tc>
          <w:tcPr>
            <w:tcW w:w="4460" w:type="dxa"/>
            <w:vAlign w:val="bottom"/>
          </w:tcPr>
          <w:p>
            <w:pPr>
              <w:spacing w:after="0"/>
              <w:rPr>
                <w:sz w:val="20"/>
                <w:szCs w:val="20"/>
                <w:color w:val="auto"/>
              </w:rPr>
            </w:pPr>
            <w:r>
              <w:rPr>
                <w:rFonts w:ascii="Arial" w:cs="Arial" w:eastAsia="Arial" w:hAnsi="Arial"/>
                <w:sz w:val="17"/>
                <w:szCs w:val="17"/>
                <w:color w:val="auto"/>
              </w:rPr>
              <w:t>Curaleaf Holdings, Inc.</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(45,744)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62,331</w:t>
            </w:r>
          </w:p>
        </w:tc>
        <w:tc>
          <w:tcPr>
            <w:tcW w:w="7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2"/>
        </w:trPr>
        <w:tc>
          <w:tcPr>
            <w:tcW w:w="446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w w:val="93"/>
              </w:rPr>
              <w:t>Total net change in unrealized appreciation (depreciation) on</w:t>
            </w: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6"/>
        </w:trPr>
        <w:tc>
          <w:tcPr>
            <w:tcW w:w="4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investments</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(343,104)</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166,012</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Liquidity and Capital Resources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generate cash primarily from the net proceeds of offerings of securities and cash flows from operations, including interest earned from the temporary investment of cash in U.S. government securities.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 We are currently targeting a debt-to-equity ratio of 0.50x (i.e., we aim to have one dollar of equity for each $0.50 of debt outstanding).</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primary use of funds will be investments in portfolio companies, dividend payments to holders of our common stock who opt out of the DRIP, and the payment of operating expenses. As of September 30, 2023 and December 31, 2022, we had cash resources of approximately $29.8 million and $35.1 million and no indebtedness,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Dividends may also be distributed in accordance with the Company’s dividend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Federal Income Taxes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policy follows.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Valuation</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Adviser undertakes a multi-step valuation process, which includes, among other procedures, the following:</w:t>
      </w:r>
    </w:p>
    <w:p>
      <w:pPr>
        <w:spacing w:after="0" w:line="212" w:lineRule="exact"/>
        <w:rPr>
          <w:sz w:val="20"/>
          <w:szCs w:val="20"/>
          <w:color w:val="auto"/>
        </w:rPr>
      </w:pPr>
    </w:p>
    <w:p>
      <w:pPr>
        <w:ind w:left="300" w:hanging="298"/>
        <w:spacing w:after="0" w:line="274"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investments for which market quotations are readily available, those investments will typically be valued at the bid price of those market quotations;</w:t>
      </w:r>
    </w:p>
    <w:p>
      <w:pPr>
        <w:spacing w:after="0" w:line="165" w:lineRule="exact"/>
        <w:rPr>
          <w:rFonts w:ascii="Arial" w:cs="Arial" w:eastAsia="Arial" w:hAnsi="Arial"/>
          <w:sz w:val="17"/>
          <w:szCs w:val="17"/>
          <w:color w:val="auto"/>
        </w:rPr>
      </w:pPr>
    </w:p>
    <w:p>
      <w:pPr>
        <w:ind w:left="300" w:hanging="298"/>
        <w:spacing w:after="0" w:line="343" w:lineRule="auto"/>
        <w:tabs>
          <w:tab w:leader="none" w:pos="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ind w:left="300" w:hanging="298"/>
        <w:spacing w:after="0"/>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Preliminary valuations are documented and discussed by the Adviser’s valuation committee and, where appropriate, the independent valuation firm(s); and</w:t>
      </w:r>
    </w:p>
    <w:p>
      <w:pPr>
        <w:spacing w:after="0" w:line="223" w:lineRule="exact"/>
        <w:rPr>
          <w:rFonts w:ascii="Arial" w:cs="Arial" w:eastAsia="Arial" w:hAnsi="Arial"/>
          <w:sz w:val="16"/>
          <w:szCs w:val="16"/>
          <w:color w:val="auto"/>
        </w:rPr>
      </w:pPr>
    </w:p>
    <w:p>
      <w:pPr>
        <w:ind w:left="300" w:hanging="298"/>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Adviser determines the fair value of each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conduct this valuation process on a quarterly basis.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84" w:lineRule="exact"/>
        <w:rPr>
          <w:sz w:val="20"/>
          <w:szCs w:val="20"/>
          <w:color w:val="auto"/>
        </w:rPr>
      </w:pPr>
    </w:p>
    <w:p>
      <w:pPr>
        <w:ind w:left="300" w:hanging="298"/>
        <w:spacing w:after="0"/>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1 – Valuations based on quoted prices in active markets for identical assets or liabilities that we have the ability to access at the measurement date;</w:t>
      </w:r>
    </w:p>
    <w:p>
      <w:pPr>
        <w:spacing w:after="0" w:line="223" w:lineRule="exact"/>
        <w:rPr>
          <w:rFonts w:ascii="Arial" w:cs="Arial" w:eastAsia="Arial" w:hAnsi="Arial"/>
          <w:sz w:val="16"/>
          <w:szCs w:val="16"/>
          <w:color w:val="auto"/>
        </w:rPr>
      </w:pPr>
    </w:p>
    <w:p>
      <w:pPr>
        <w:ind w:left="300" w:hanging="298"/>
        <w:spacing w:after="0" w:line="274"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of our investments as of September 30, 2023 and December 31, 2022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higher (lower) fair value assessment. Significant increases (decreases) in volatility in isolation would result in a significantly lower (higher) fair value assessment.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6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Assumptions, or unobservable inputs, fluctuate quarter over quarter based on both market and company specific factors. Please refer to “Note 4 – Fair Value of Financial Instruments” in the notes to the financial statements included with this quarterly report on Form 10-Q for specific unobservable inputs.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Contractual Obligations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w:t>
      </w:r>
    </w:p>
    <w:p>
      <w:pPr>
        <w:spacing w:after="0" w:line="1" w:lineRule="exact"/>
        <w:rPr>
          <w:sz w:val="20"/>
          <w:szCs w:val="20"/>
          <w:color w:val="auto"/>
        </w:rPr>
      </w:pPr>
    </w:p>
    <w:p>
      <w:pPr>
        <w:jc w:val="both"/>
        <w:ind w:firstLine="2"/>
        <w:spacing w:after="0" w:line="272" w:lineRule="auto"/>
        <w:tabs>
          <w:tab w:leader="none" w:pos="25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common stock began trading on the Nasdaq Global Market on February 4, 2022 under the symbol “SSIC” in connection with our IPO of shares of our common stock.</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November 6, 2023, the last reported closing sales price of our common stock on the Nasdaq Global Market was $9.68 per share, which represented a discount of approximately 31.2% to our net asset value per share of $14.06 as of September 30,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Price Range</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8"/>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Arial" w:cs="Arial" w:eastAsia="Arial" w:hAnsi="Arial"/>
                <w:sz w:val="17"/>
                <w:szCs w:val="17"/>
                <w:b w:val="1"/>
                <w:bCs w:val="1"/>
                <w:color w:val="auto"/>
                <w:w w:val="89"/>
              </w:rPr>
              <w:t>High Sales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Price</w:t>
            </w: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Low Sales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Premium</w:t>
            </w: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Price Premium</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(Discount) to</w:t>
            </w: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(Discount) to</w:t>
            </w: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Cash</w:t>
            </w:r>
          </w:p>
        </w:tc>
      </w:tr>
      <w:tr>
        <w:trPr>
          <w:trHeight w:val="193"/>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20"/>
              <w:spacing w:after="0" w:line="193" w:lineRule="exact"/>
              <w:rPr>
                <w:sz w:val="20"/>
                <w:szCs w:val="20"/>
                <w:color w:val="auto"/>
              </w:rPr>
            </w:pPr>
            <w:r>
              <w:rPr>
                <w:rFonts w:ascii="Arial" w:cs="Arial" w:eastAsia="Arial" w:hAnsi="Arial"/>
                <w:sz w:val="17"/>
                <w:szCs w:val="17"/>
                <w:b w:val="1"/>
                <w:bCs w:val="1"/>
                <w:color w:val="auto"/>
                <w:w w:val="91"/>
              </w:rPr>
              <w:t>Net Asset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80"/>
              <w:spacing w:after="0" w:line="193" w:lineRule="exact"/>
              <w:rPr>
                <w:sz w:val="20"/>
                <w:szCs w:val="20"/>
                <w:color w:val="auto"/>
              </w:rPr>
            </w:pPr>
            <w:r>
              <w:rPr>
                <w:rFonts w:ascii="Arial" w:cs="Arial" w:eastAsia="Arial" w:hAnsi="Arial"/>
                <w:sz w:val="17"/>
                <w:szCs w:val="17"/>
                <w:b w:val="1"/>
                <w:bCs w:val="1"/>
                <w:color w:val="auto"/>
                <w:w w:val="86"/>
              </w:rPr>
              <w:t>Net Asset</w:t>
            </w:r>
          </w:p>
        </w:tc>
        <w:tc>
          <w:tcPr>
            <w:tcW w:w="1360" w:type="dxa"/>
            <w:vAlign w:val="bottom"/>
            <w:gridSpan w:val="2"/>
          </w:tcPr>
          <w:p>
            <w:pPr>
              <w:jc w:val="center"/>
              <w:ind w:right="260"/>
              <w:spacing w:after="0" w:line="193" w:lineRule="exact"/>
              <w:rPr>
                <w:sz w:val="20"/>
                <w:szCs w:val="20"/>
                <w:color w:val="auto"/>
              </w:rPr>
            </w:pPr>
            <w:r>
              <w:rPr>
                <w:rFonts w:ascii="Arial" w:cs="Arial" w:eastAsia="Arial" w:hAnsi="Arial"/>
                <w:sz w:val="17"/>
                <w:szCs w:val="17"/>
                <w:b w:val="1"/>
                <w:bCs w:val="1"/>
                <w:color w:val="auto"/>
                <w:w w:val="89"/>
              </w:rPr>
              <w:t>Net Asset</w:t>
            </w:r>
          </w:p>
        </w:tc>
        <w:tc>
          <w:tcPr>
            <w:tcW w:w="1320" w:type="dxa"/>
            <w:vAlign w:val="bottom"/>
            <w:gridSpan w:val="2"/>
          </w:tcPr>
          <w:p>
            <w:pPr>
              <w:jc w:val="center"/>
              <w:ind w:right="200"/>
              <w:spacing w:after="0" w:line="193" w:lineRule="exact"/>
              <w:rPr>
                <w:sz w:val="20"/>
                <w:szCs w:val="20"/>
                <w:color w:val="auto"/>
              </w:rPr>
            </w:pPr>
            <w:r>
              <w:rPr>
                <w:rFonts w:ascii="Arial" w:cs="Arial" w:eastAsia="Arial" w:hAnsi="Arial"/>
                <w:sz w:val="17"/>
                <w:szCs w:val="17"/>
                <w:b w:val="1"/>
                <w:bCs w:val="1"/>
                <w:color w:val="auto"/>
                <w:w w:val="92"/>
              </w:rPr>
              <w:t>Dividend Per</w:t>
            </w:r>
          </w:p>
        </w:tc>
      </w:tr>
      <w:tr>
        <w:trPr>
          <w:trHeight w:val="237"/>
        </w:trPr>
        <w:tc>
          <w:tcPr>
            <w:tcW w:w="3160" w:type="dxa"/>
            <w:vAlign w:val="bottom"/>
          </w:tcPr>
          <w:p>
            <w:pPr>
              <w:spacing w:after="0"/>
              <w:rPr>
                <w:sz w:val="20"/>
                <w:szCs w:val="20"/>
                <w:color w:val="auto"/>
              </w:rPr>
            </w:pPr>
            <w:r>
              <w:rPr>
                <w:rFonts w:ascii="Arial" w:cs="Arial" w:eastAsia="Arial" w:hAnsi="Arial"/>
                <w:sz w:val="17"/>
                <w:szCs w:val="17"/>
                <w:b w:val="1"/>
                <w:bCs w:val="1"/>
                <w:color w:val="auto"/>
              </w:rPr>
              <w:t>Class and Period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60"/>
              <w:spacing w:after="0" w:line="231"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6"/>
                <w:szCs w:val="26"/>
                <w:b w:val="1"/>
                <w:bCs w:val="1"/>
                <w:color w:val="auto"/>
                <w:vertAlign w:val="superscript"/>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7"/>
                <w:szCs w:val="17"/>
                <w:b w:val="1"/>
                <w:bCs w:val="1"/>
                <w:color w:val="auto"/>
              </w:rPr>
              <w:t>High</w:t>
            </w:r>
          </w:p>
        </w:tc>
        <w:tc>
          <w:tcPr>
            <w:tcW w:w="360" w:type="dxa"/>
            <w:vAlign w:val="bottom"/>
          </w:tcPr>
          <w:p>
            <w:pPr>
              <w:spacing w:after="0"/>
              <w:rPr>
                <w:sz w:val="20"/>
                <w:szCs w:val="20"/>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w w:val="99"/>
              </w:rPr>
              <w:t>Low</w:t>
            </w:r>
          </w:p>
        </w:tc>
        <w:tc>
          <w:tcPr>
            <w:tcW w:w="1360" w:type="dxa"/>
            <w:vAlign w:val="bottom"/>
            <w:gridSpan w:val="2"/>
          </w:tcPr>
          <w:p>
            <w:pPr>
              <w:jc w:val="center"/>
              <w:ind w:right="260"/>
              <w:spacing w:after="0" w:line="231" w:lineRule="exact"/>
              <w:rPr>
                <w:sz w:val="20"/>
                <w:szCs w:val="20"/>
                <w:color w:val="auto"/>
              </w:rPr>
            </w:pPr>
            <w:r>
              <w:rPr>
                <w:rFonts w:ascii="Arial" w:cs="Arial" w:eastAsia="Arial" w:hAnsi="Arial"/>
                <w:sz w:val="16"/>
                <w:szCs w:val="16"/>
                <w:b w:val="1"/>
                <w:bCs w:val="1"/>
                <w:color w:val="auto"/>
                <w:w w:val="90"/>
              </w:rPr>
              <w:t>Value</w:t>
            </w:r>
            <w:r>
              <w:rPr>
                <w:rFonts w:ascii="Arial" w:cs="Arial" w:eastAsia="Arial" w:hAnsi="Arial"/>
                <w:sz w:val="26"/>
                <w:szCs w:val="26"/>
                <w:b w:val="1"/>
                <w:bCs w:val="1"/>
                <w:color w:val="auto"/>
                <w:w w:val="90"/>
                <w:vertAlign w:val="superscript"/>
              </w:rPr>
              <w:t>(2)</w:t>
            </w:r>
          </w:p>
        </w:tc>
        <w:tc>
          <w:tcPr>
            <w:tcW w:w="1360" w:type="dxa"/>
            <w:vAlign w:val="bottom"/>
            <w:gridSpan w:val="2"/>
          </w:tcPr>
          <w:p>
            <w:pPr>
              <w:jc w:val="center"/>
              <w:ind w:right="260"/>
              <w:spacing w:after="0" w:line="231" w:lineRule="exact"/>
              <w:rPr>
                <w:sz w:val="20"/>
                <w:szCs w:val="20"/>
                <w:color w:val="auto"/>
              </w:rPr>
            </w:pPr>
            <w:r>
              <w:rPr>
                <w:rFonts w:ascii="Arial" w:cs="Arial" w:eastAsia="Arial" w:hAnsi="Arial"/>
                <w:sz w:val="16"/>
                <w:szCs w:val="16"/>
                <w:b w:val="1"/>
                <w:bCs w:val="1"/>
                <w:color w:val="auto"/>
                <w:w w:val="90"/>
              </w:rPr>
              <w:t>Value</w:t>
            </w:r>
            <w:r>
              <w:rPr>
                <w:rFonts w:ascii="Arial" w:cs="Arial" w:eastAsia="Arial" w:hAnsi="Arial"/>
                <w:sz w:val="26"/>
                <w:szCs w:val="26"/>
                <w:b w:val="1"/>
                <w:bCs w:val="1"/>
                <w:color w:val="auto"/>
                <w:w w:val="90"/>
                <w:vertAlign w:val="superscript"/>
              </w:rPr>
              <w:t>(2)</w:t>
            </w:r>
          </w:p>
        </w:tc>
        <w:tc>
          <w:tcPr>
            <w:tcW w:w="1320" w:type="dxa"/>
            <w:vAlign w:val="bottom"/>
            <w:gridSpan w:val="2"/>
          </w:tcPr>
          <w:p>
            <w:pPr>
              <w:jc w:val="center"/>
              <w:ind w:right="220"/>
              <w:spacing w:after="0" w:line="231" w:lineRule="exact"/>
              <w:rPr>
                <w:sz w:val="20"/>
                <w:szCs w:val="20"/>
                <w:color w:val="auto"/>
              </w:rPr>
            </w:pPr>
            <w:r>
              <w:rPr>
                <w:rFonts w:ascii="Arial" w:cs="Arial" w:eastAsia="Arial" w:hAnsi="Arial"/>
                <w:sz w:val="16"/>
                <w:szCs w:val="16"/>
                <w:b w:val="1"/>
                <w:bCs w:val="1"/>
                <w:color w:val="auto"/>
                <w:w w:val="88"/>
              </w:rPr>
              <w:t>Share</w:t>
            </w:r>
            <w:r>
              <w:rPr>
                <w:rFonts w:ascii="Arial" w:cs="Arial" w:eastAsia="Arial" w:hAnsi="Arial"/>
                <w:sz w:val="26"/>
                <w:szCs w:val="26"/>
                <w:b w:val="1"/>
                <w:bCs w:val="1"/>
                <w:color w:val="auto"/>
                <w:w w:val="88"/>
                <w:vertAlign w:val="superscript"/>
              </w:rPr>
              <w:t>(3)</w:t>
            </w:r>
          </w:p>
        </w:tc>
      </w:tr>
      <w:tr>
        <w:trPr>
          <w:trHeight w:val="204"/>
        </w:trPr>
        <w:tc>
          <w:tcPr>
            <w:tcW w:w="3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Year Ended December 31, 2023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4"/>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w w:val="93"/>
              </w:rPr>
              <w:t>Fourth Quarter (Through November 6, 2023)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9.67</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tcPr>
          <w:p>
            <w:pPr>
              <w:spacing w:after="0"/>
              <w:rPr>
                <w:sz w:val="20"/>
                <w:szCs w:val="20"/>
                <w:color w:val="auto"/>
              </w:rPr>
            </w:pPr>
            <w:r>
              <w:rPr>
                <w:rFonts w:ascii="Arial" w:cs="Arial" w:eastAsia="Arial" w:hAnsi="Arial"/>
                <w:sz w:val="17"/>
                <w:szCs w:val="17"/>
                <w:color w:val="auto"/>
              </w:rPr>
              <w:t>Third Quarter</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14.06</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10.37</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7.65</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-26.3%</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-45.6%</w:t>
            </w:r>
          </w:p>
        </w:tc>
        <w:tc>
          <w:tcPr>
            <w:tcW w:w="1320" w:type="dxa"/>
            <w:vAlign w:val="bottom"/>
            <w:gridSpan w:val="2"/>
          </w:tcPr>
          <w:p>
            <w:pPr>
              <w:jc w:val="right"/>
              <w:ind w:right="40"/>
              <w:spacing w:after="0" w:line="204" w:lineRule="exact"/>
              <w:rPr>
                <w:sz w:val="20"/>
                <w:szCs w:val="20"/>
                <w:color w:val="auto"/>
              </w:rPr>
            </w:pPr>
            <w:r>
              <w:rPr>
                <w:rFonts w:ascii="Arial" w:cs="Arial" w:eastAsia="Arial" w:hAnsi="Arial"/>
                <w:sz w:val="14"/>
                <w:szCs w:val="14"/>
                <w:color w:val="auto"/>
              </w:rPr>
              <w:t>0.63</w:t>
            </w:r>
            <w:r>
              <w:rPr>
                <w:rFonts w:ascii="Arial" w:cs="Arial" w:eastAsia="Arial" w:hAnsi="Arial"/>
                <w:sz w:val="23"/>
                <w:szCs w:val="23"/>
                <w:color w:val="auto"/>
                <w:vertAlign w:val="superscript"/>
              </w:rPr>
              <w:t>(6)</w:t>
            </w:r>
          </w:p>
        </w:tc>
      </w:tr>
      <w:tr>
        <w:trPr>
          <w:trHeight w:val="204"/>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9.19</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tcPr>
          <w:p>
            <w:pPr>
              <w:spacing w:after="0"/>
              <w:rPr>
                <w:sz w:val="20"/>
                <w:szCs w:val="20"/>
                <w:color w:val="auto"/>
              </w:rPr>
            </w:pPr>
            <w:r>
              <w:rPr>
                <w:rFonts w:ascii="Arial" w:cs="Arial" w:eastAsia="Arial" w:hAnsi="Arial"/>
                <w:sz w:val="17"/>
                <w:szCs w:val="17"/>
                <w:color w:val="auto"/>
              </w:rPr>
              <w:t>First Quarter</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14.29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9.98</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8.25</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-30.2%</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-42.3%</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b w:val="1"/>
                <w:bCs w:val="1"/>
                <w:color w:val="auto"/>
              </w:rPr>
              <w:t>Year Ended December 31, 2022</w:t>
            </w:r>
            <w:r>
              <w:rPr>
                <w:rFonts w:ascii="Arial" w:cs="Arial" w:eastAsia="Arial" w:hAnsi="Arial"/>
                <w:sz w:val="23"/>
                <w:szCs w:val="23"/>
                <w:b w:val="1"/>
                <w:bCs w:val="1"/>
                <w:color w:val="auto"/>
                <w:vertAlign w:val="superscript"/>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4"/>
        </w:trPr>
        <w:tc>
          <w:tcPr>
            <w:tcW w:w="3160" w:type="dxa"/>
            <w:vAlign w:val="bottom"/>
          </w:tcPr>
          <w:p>
            <w:pPr>
              <w:spacing w:after="0"/>
              <w:rPr>
                <w:sz w:val="20"/>
                <w:szCs w:val="20"/>
                <w:color w:val="auto"/>
              </w:rPr>
            </w:pPr>
            <w:r>
              <w:rPr>
                <w:rFonts w:ascii="Arial" w:cs="Arial" w:eastAsia="Arial" w:hAnsi="Arial"/>
                <w:sz w:val="17"/>
                <w:szCs w:val="17"/>
                <w:color w:val="auto"/>
              </w:rPr>
              <w:t>Fourth Quarter</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13.91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10.55</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9.57</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-24.2%</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-31.2%</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10.74</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tcPr>
          <w:p>
            <w:pPr>
              <w:spacing w:after="0"/>
              <w:rPr>
                <w:sz w:val="20"/>
                <w:szCs w:val="20"/>
                <w:color w:val="auto"/>
              </w:rPr>
            </w:pPr>
            <w:r>
              <w:rPr>
                <w:rFonts w:ascii="Arial" w:cs="Arial" w:eastAsia="Arial" w:hAnsi="Arial"/>
                <w:sz w:val="17"/>
                <w:szCs w:val="17"/>
                <w:color w:val="auto"/>
              </w:rPr>
              <w:t>Second Quarter</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13.64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13.50</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7.80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-42.8%</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04"/>
        </w:trPr>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First Quarter</w:t>
            </w:r>
            <w:r>
              <w:rPr>
                <w:rFonts w:ascii="Arial" w:cs="Arial" w:eastAsia="Arial" w:hAnsi="Arial"/>
                <w:sz w:val="23"/>
                <w:szCs w:val="23"/>
                <w:color w:val="auto"/>
                <w:vertAlign w:val="superscript"/>
              </w:rPr>
              <w:t>(5)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14.41</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bl>
    <w:p>
      <w:pPr>
        <w:spacing w:after="0" w:line="192" w:lineRule="exact"/>
        <w:rPr>
          <w:sz w:val="20"/>
          <w:szCs w:val="20"/>
          <w:color w:val="auto"/>
        </w:rPr>
      </w:pPr>
    </w:p>
    <w:p>
      <w:pPr>
        <w:ind w:right="100" w:firstLine="2"/>
        <w:spacing w:after="0" w:line="257" w:lineRule="auto"/>
        <w:tabs>
          <w:tab w:leader="none" w:pos="2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240" w:hanging="238"/>
        <w:spacing w:after="0"/>
        <w:tabs>
          <w:tab w:leader="none" w:pos="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Calculated as the respective high or low closing sales price less net asset value, divided by net asset value (in each case, as of the end of the applicable quarter).</w:t>
      </w:r>
    </w:p>
    <w:p>
      <w:pPr>
        <w:spacing w:after="0" w:line="31" w:lineRule="exact"/>
        <w:rPr>
          <w:rFonts w:ascii="Arial" w:cs="Arial" w:eastAsia="Arial" w:hAnsi="Arial"/>
          <w:sz w:val="15"/>
          <w:szCs w:val="15"/>
          <w:color w:val="auto"/>
        </w:rPr>
      </w:pPr>
    </w:p>
    <w:p>
      <w:pPr>
        <w:ind w:left="240" w:hanging="238"/>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dividend or distribution declared in the relevant quarter.</w:t>
      </w:r>
    </w:p>
    <w:p>
      <w:pPr>
        <w:spacing w:after="0" w:line="8" w:lineRule="exact"/>
        <w:rPr>
          <w:rFonts w:ascii="Arial" w:cs="Arial" w:eastAsia="Arial" w:hAnsi="Arial"/>
          <w:sz w:val="17"/>
          <w:szCs w:val="17"/>
          <w:color w:val="auto"/>
        </w:rPr>
      </w:pPr>
    </w:p>
    <w:p>
      <w:pPr>
        <w:ind w:left="240" w:hanging="238"/>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November 8, 2022, our Board of Directors approved a change to our fiscal year end from March 31 to December 31.</w:t>
      </w:r>
    </w:p>
    <w:p>
      <w:pPr>
        <w:spacing w:after="0" w:line="8" w:lineRule="exact"/>
        <w:rPr>
          <w:rFonts w:ascii="Arial" w:cs="Arial" w:eastAsia="Arial" w:hAnsi="Arial"/>
          <w:sz w:val="17"/>
          <w:szCs w:val="17"/>
          <w:color w:val="auto"/>
        </w:rPr>
      </w:pPr>
    </w:p>
    <w:p>
      <w:pPr>
        <w:ind w:left="240" w:hanging="238"/>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of our common stock began trading on the Nasdaq Global Market on February 4, 2022 under the trading symbol “SSIC.”</w:t>
      </w:r>
    </w:p>
    <w:p>
      <w:pPr>
        <w:spacing w:after="0" w:line="8" w:lineRule="exact"/>
        <w:rPr>
          <w:rFonts w:ascii="Arial" w:cs="Arial" w:eastAsia="Arial" w:hAnsi="Arial"/>
          <w:sz w:val="17"/>
          <w:szCs w:val="17"/>
          <w:color w:val="auto"/>
        </w:rPr>
      </w:pPr>
    </w:p>
    <w:p>
      <w:pPr>
        <w:ind w:left="240" w:hanging="238"/>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a quarterly dividend and a special dividend.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Not determined at time of filing.</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November 6, 2023, there were approximately 2 holders of record of our common stock, which does not include stockholders for whom shares are held in “nominee” or “street name.”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7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ectPr>
          <w:pgSz w:w="11900" w:h="16838" w:orient="portrait"/>
          <w:cols w:equalWidth="0" w:num="1">
            <w:col w:w="11240"/>
          </w:cols>
          <w:pgMar w:left="320" w:top="120"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 Material U.S. Federal Income Tax Considerations.”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w:t>
      </w:r>
    </w:p>
    <w:p>
      <w:pPr>
        <w:spacing w:after="0" w:line="1" w:lineRule="exact"/>
        <w:rPr>
          <w:sz w:val="20"/>
          <w:szCs w:val="20"/>
          <w:color w:val="auto"/>
        </w:rPr>
      </w:pPr>
    </w:p>
    <w:p>
      <w:pPr>
        <w:jc w:val="both"/>
        <w:ind w:firstLine="2"/>
        <w:spacing w:after="0" w:line="253" w:lineRule="auto"/>
        <w:tabs>
          <w:tab w:leader="none" w:pos="2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distributions declared and/or paid by the Company since inception: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w w:val="90"/>
              </w:rPr>
              <w:t>Per Share</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6"/>
        </w:trPr>
        <w:tc>
          <w:tcPr>
            <w:tcW w:w="19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Declaration Date</w:t>
            </w:r>
          </w:p>
        </w:tc>
        <w:tc>
          <w:tcPr>
            <w:tcW w:w="1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Type</w:t>
            </w: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Record Date</w:t>
            </w:r>
          </w:p>
        </w:tc>
        <w:tc>
          <w:tcPr>
            <w:tcW w:w="19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Payment Date</w:t>
            </w:r>
          </w:p>
        </w:tc>
        <w:tc>
          <w:tcPr>
            <w:tcW w:w="520" w:type="dxa"/>
            <w:vAlign w:val="bottom"/>
          </w:tcPr>
          <w:p>
            <w:pPr>
              <w:spacing w:after="0"/>
              <w:rPr>
                <w:sz w:val="19"/>
                <w:szCs w:val="19"/>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90"/>
              </w:rPr>
              <w:t>Amount</w:t>
            </w:r>
          </w:p>
        </w:tc>
        <w:tc>
          <w:tcPr>
            <w:tcW w:w="18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Dividends Paid</w:t>
            </w:r>
          </w:p>
        </w:tc>
      </w:tr>
      <w:tr>
        <w:trPr>
          <w:trHeight w:val="204"/>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August 10, 2023</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Quarterly</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September 15, 2023</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September 29, 2023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0.23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1,429,374</w:t>
            </w:r>
          </w:p>
        </w:tc>
      </w:tr>
      <w:tr>
        <w:trPr>
          <w:trHeight w:val="215"/>
        </w:trPr>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August 10, 2023</w:t>
            </w:r>
          </w:p>
        </w:tc>
        <w:tc>
          <w:tcPr>
            <w:tcW w:w="18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Special</w:t>
            </w: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September 15, 2023</w:t>
            </w: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September 29, 2023</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75"/>
              <w:spacing w:after="0"/>
              <w:rPr>
                <w:sz w:val="20"/>
                <w:szCs w:val="20"/>
                <w:color w:val="auto"/>
              </w:rPr>
            </w:pPr>
            <w:r>
              <w:rPr>
                <w:rFonts w:ascii="Arial" w:cs="Arial" w:eastAsia="Arial" w:hAnsi="Arial"/>
                <w:sz w:val="17"/>
                <w:szCs w:val="17"/>
                <w:color w:val="auto"/>
              </w:rPr>
              <w:t>0.40</w:t>
            </w:r>
          </w:p>
        </w:tc>
        <w:tc>
          <w:tcPr>
            <w:tcW w:w="10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5"/>
              <w:spacing w:after="0"/>
              <w:rPr>
                <w:sz w:val="20"/>
                <w:szCs w:val="20"/>
                <w:color w:val="auto"/>
              </w:rPr>
            </w:pPr>
            <w:r>
              <w:rPr>
                <w:rFonts w:ascii="Arial" w:cs="Arial" w:eastAsia="Arial" w:hAnsi="Arial"/>
                <w:sz w:val="17"/>
                <w:szCs w:val="17"/>
                <w:color w:val="auto"/>
              </w:rPr>
              <w:t>2,485,869</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Reinvestment Plan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adopted an “opt out” dividend reinvestment plan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2023, the Company issued the following shares of common stock under the DRIP: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Declaration Date</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Type</w:t>
            </w:r>
          </w:p>
        </w:tc>
        <w:tc>
          <w:tcPr>
            <w:tcW w:w="2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Record Date</w:t>
            </w:r>
          </w:p>
        </w:tc>
        <w:tc>
          <w:tcPr>
            <w:tcW w:w="2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Payment Date</w:t>
            </w:r>
          </w:p>
        </w:tc>
        <w:tc>
          <w:tcPr>
            <w:tcW w:w="2140" w:type="dxa"/>
            <w:vAlign w:val="bottom"/>
          </w:tcPr>
          <w:p>
            <w:pPr>
              <w:jc w:val="right"/>
              <w:ind w:right="735"/>
              <w:spacing w:after="0"/>
              <w:rPr>
                <w:sz w:val="20"/>
                <w:szCs w:val="20"/>
                <w:color w:val="auto"/>
              </w:rPr>
            </w:pPr>
            <w:r>
              <w:rPr>
                <w:rFonts w:ascii="Arial" w:cs="Arial" w:eastAsia="Arial" w:hAnsi="Arial"/>
                <w:sz w:val="17"/>
                <w:szCs w:val="17"/>
                <w:b w:val="1"/>
                <w:bCs w:val="1"/>
                <w:color w:val="auto"/>
              </w:rPr>
              <w:t>Shares</w:t>
            </w:r>
          </w:p>
        </w:tc>
      </w:tr>
      <w:tr>
        <w:trPr>
          <w:trHeight w:val="204"/>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August 10, 2023</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Quarterly</w:t>
            </w:r>
          </w:p>
        </w:tc>
        <w:tc>
          <w:tcPr>
            <w:tcW w:w="1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September 15, 2023</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September 29, 2023</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color w:val="auto"/>
              </w:rPr>
              <w:t>12</w:t>
            </w:r>
          </w:p>
        </w:tc>
      </w:tr>
      <w:tr>
        <w:trPr>
          <w:trHeight w:val="215"/>
        </w:trPr>
        <w:tc>
          <w:tcPr>
            <w:tcW w:w="22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August 10, 2023</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Special</w:t>
            </w:r>
          </w:p>
        </w:tc>
        <w:tc>
          <w:tcPr>
            <w:tcW w:w="2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September 15, 2023</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September 29, 2023</w:t>
            </w:r>
          </w:p>
        </w:tc>
        <w:tc>
          <w:tcPr>
            <w:tcW w:w="2140" w:type="dxa"/>
            <w:vAlign w:val="bottom"/>
          </w:tcPr>
          <w:p>
            <w:pPr>
              <w:jc w:val="right"/>
              <w:ind w:right="455"/>
              <w:spacing w:after="0"/>
              <w:rPr>
                <w:sz w:val="20"/>
                <w:szCs w:val="20"/>
                <w:color w:val="auto"/>
              </w:rPr>
            </w:pPr>
            <w:r>
              <w:rPr>
                <w:rFonts w:ascii="Arial" w:cs="Arial" w:eastAsia="Arial" w:hAnsi="Arial"/>
                <w:sz w:val="17"/>
                <w:szCs w:val="17"/>
                <w:color w:val="auto"/>
              </w:rPr>
              <w:t>21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the Company issued no new shares of common stock under the DRIP.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three and nine months ended September 30, 2023 or the fiscal year ended December 31, 2022.</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Uncertainty with respect to the economic effects of the COVID-19 pandemic and political tensions in the United States and around the world (including the current conflict in Ukraine) have introduced significant volatility in the financial markets, and the effect of the volatility could materially impact our market risks, including those listed below. We are subject to financial market risks, including valuation risk and interest rate risk.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Risk</w:t>
      </w:r>
    </w:p>
    <w:p>
      <w:pPr>
        <w:spacing w:after="0" w:line="212"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r>
      <w:r>
        <w:rPr>
          <w:rFonts w:ascii="MS PGothic" w:cs="MS PGothic" w:eastAsia="MS PGothic" w:hAnsi="MS PGothic"/>
          <w:sz w:val="17"/>
          <w:szCs w:val="17"/>
          <w:color w:val="auto"/>
        </w:rPr>
        <w:t>‑</w:t>
      </w:r>
      <w:r>
        <w:rPr>
          <w:rFonts w:ascii="Arial" w:cs="Arial" w:eastAsia="Arial" w:hAnsi="Arial"/>
          <w:sz w:val="17"/>
          <w:szCs w:val="17"/>
          <w:color w:val="auto"/>
        </w:rPr>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Interest rate sensitivity and risk refer to the change in earnings that may result from changes in the level of interest rates. To the extent that we borrow money to make investments, including under any credit facility, our net investment income (loss) will be affected by the difference between the rate at which we borrow funds and the rate at which we invest these funds. In periods of rising interest rates, our cost of borrowing funds would increase, which may reduce our net investment income (loss). As a result, there can be no assurance that a significant change in market interest rates will not have a material adverse effect on our net investment income (loss).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2023, 85.3% of our debt investments based on outstanding principal balance represented floating-rate investments based on PRIME and approximately 14.7% of our debt investments based on outstanding principal balance represented fixed rate investments.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Based on our Statements of Operations for the nine months ended September 30, 2023, the following table shows the annualized impact on net income of hypothetical base rate changes in the PRIME rate on our debt investments (considering interest rate floors for floating rate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spacing w:after="0"/>
              <w:rPr>
                <w:sz w:val="20"/>
                <w:szCs w:val="20"/>
                <w:color w:val="auto"/>
              </w:rPr>
            </w:pPr>
            <w:r>
              <w:rPr>
                <w:rFonts w:ascii="Arial" w:cs="Arial" w:eastAsia="Arial" w:hAnsi="Arial"/>
                <w:sz w:val="17"/>
                <w:szCs w:val="17"/>
                <w:b w:val="1"/>
                <w:bCs w:val="1"/>
                <w:color w:val="auto"/>
              </w:rPr>
              <w:t>Change in Interest Rates</w:t>
            </w:r>
          </w:p>
        </w:tc>
        <w:tc>
          <w:tcPr>
            <w:tcW w:w="10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Interest Income</w:t>
            </w: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w w:val="99"/>
              </w:rPr>
              <w:t>Interest expense</w:t>
            </w: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w w:val="94"/>
              </w:rPr>
              <w:t>Net Income/(Loss)</w:t>
            </w:r>
          </w:p>
        </w:tc>
      </w:tr>
      <w:tr>
        <w:trPr>
          <w:trHeight w:val="204"/>
        </w:trPr>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Up 300 basis points</w:t>
            </w:r>
          </w:p>
        </w:tc>
        <w:tc>
          <w:tcPr>
            <w:tcW w:w="1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00" w:type="dxa"/>
            <w:vAlign w:val="bottom"/>
            <w:shd w:val="clear" w:color="auto" w:fill="CCEEFF"/>
          </w:tcPr>
          <w:p>
            <w:pPr>
              <w:spacing w:after="0"/>
              <w:rPr>
                <w:sz w:val="17"/>
                <w:szCs w:val="17"/>
                <w:color w:val="auto"/>
              </w:rPr>
            </w:pPr>
          </w:p>
        </w:tc>
      </w:tr>
      <w:tr>
        <w:trPr>
          <w:trHeight w:val="204"/>
        </w:trPr>
        <w:tc>
          <w:tcPr>
            <w:tcW w:w="7000" w:type="dxa"/>
            <w:vAlign w:val="bottom"/>
          </w:tcPr>
          <w:p>
            <w:pPr>
              <w:spacing w:after="0"/>
              <w:rPr>
                <w:sz w:val="20"/>
                <w:szCs w:val="20"/>
                <w:color w:val="auto"/>
              </w:rPr>
            </w:pPr>
            <w:r>
              <w:rPr>
                <w:rFonts w:ascii="Arial" w:cs="Arial" w:eastAsia="Arial" w:hAnsi="Arial"/>
                <w:sz w:val="17"/>
                <w:szCs w:val="17"/>
                <w:color w:val="auto"/>
              </w:rPr>
              <w:t>Up 200 basis points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1,015</w:t>
            </w:r>
          </w:p>
        </w:tc>
        <w:tc>
          <w:tcPr>
            <w:tcW w:w="5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7"/>
                <w:szCs w:val="17"/>
                <w:color w:val="auto"/>
              </w:rPr>
            </w:pPr>
          </w:p>
        </w:tc>
      </w:tr>
      <w:tr>
        <w:trPr>
          <w:trHeight w:val="204"/>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Up 100 basis points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508</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508</w:t>
            </w:r>
          </w:p>
        </w:tc>
      </w:tr>
      <w:tr>
        <w:trPr>
          <w:trHeight w:val="204"/>
        </w:trPr>
        <w:tc>
          <w:tcPr>
            <w:tcW w:w="7000" w:type="dxa"/>
            <w:vAlign w:val="bottom"/>
          </w:tcPr>
          <w:p>
            <w:pPr>
              <w:spacing w:after="0"/>
              <w:rPr>
                <w:sz w:val="20"/>
                <w:szCs w:val="20"/>
                <w:color w:val="auto"/>
              </w:rPr>
            </w:pPr>
            <w:r>
              <w:rPr>
                <w:rFonts w:ascii="Arial" w:cs="Arial" w:eastAsia="Arial" w:hAnsi="Arial"/>
                <w:sz w:val="17"/>
                <w:szCs w:val="17"/>
                <w:color w:val="auto"/>
              </w:rPr>
              <w:t>Down 100 basis points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(508)</w:t>
            </w:r>
          </w:p>
        </w:tc>
        <w:tc>
          <w:tcPr>
            <w:tcW w:w="5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(508)</w:t>
            </w:r>
          </w:p>
        </w:tc>
      </w:tr>
      <w:tr>
        <w:trPr>
          <w:trHeight w:val="204"/>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Down 200 basis points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(972)</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w:t>
            </w:r>
          </w:p>
        </w:tc>
      </w:tr>
      <w:tr>
        <w:trPr>
          <w:trHeight w:val="215"/>
        </w:trPr>
        <w:tc>
          <w:tcPr>
            <w:tcW w:w="7000" w:type="dxa"/>
            <w:vAlign w:val="bottom"/>
          </w:tcPr>
          <w:p>
            <w:pPr>
              <w:spacing w:after="0"/>
              <w:rPr>
                <w:sz w:val="20"/>
                <w:szCs w:val="20"/>
                <w:color w:val="auto"/>
              </w:rPr>
            </w:pPr>
            <w:r>
              <w:rPr>
                <w:rFonts w:ascii="Arial" w:cs="Arial" w:eastAsia="Arial" w:hAnsi="Arial"/>
                <w:sz w:val="17"/>
                <w:szCs w:val="17"/>
                <w:color w:val="auto"/>
              </w:rPr>
              <w:t>Down 300 basis points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(1,246)</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(1,246)</w:t>
            </w:r>
          </w:p>
        </w:tc>
      </w:tr>
    </w:tbl>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three months ended September 30, 2023 that have materially affected, or are reasonably likely to materially affect, our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jc w:val="center"/>
        <w:spacing w:after="0"/>
        <w:rPr>
          <w:sz w:val="20"/>
          <w:szCs w:val="20"/>
          <w:color w:val="auto"/>
        </w:rPr>
      </w:pPr>
      <w:r>
        <w:rPr>
          <w:rFonts w:ascii="Arial" w:cs="Arial" w:eastAsia="Arial" w:hAnsi="Arial"/>
          <w:sz w:val="17"/>
          <w:szCs w:val="17"/>
          <w:b w:val="1"/>
          <w:bCs w:val="1"/>
          <w:color w:val="auto"/>
        </w:rPr>
        <w:t>SILVER SPIKE INVESTMENT CORP.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have been no material changes during the nine months ended September 30, 2023 to the risk factors discussed in “Item 1A. Risk Factors” in our transition report on Form 10-K for the transition period from April 1, 2022 to December 31, 2022.</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Reinvestment Plan</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September 29, 2023, pursuant to its dividend reinvestment plan, the Company issued 33 shares of its common stock, at a price of $9.74 per share, to stockholders of record as of September 15, 2023 that did not opt out of the Company’s dividend reinvestment plan in order to satisfy the reinvestment portion of the Company’s dividends. This issuance was not subject to the registration requirements of the Securities Act. See “Item 1. Financial Statements – Note 7. Common Stock – Dividend Reinvestment Plan” for more information.</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During the three months ended September 30, 2023,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1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this quarterly report on Form 10-Q or hereby incorporated by reference to exhibits previously filed with the SEC: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0" w:type="dxa"/>
            <w:vAlign w:val="bottom"/>
            <w:gridSpan w:val="3"/>
          </w:tcPr>
          <w:p>
            <w:pPr>
              <w:spacing w:after="0"/>
              <w:rPr>
                <w:sz w:val="20"/>
                <w:szCs w:val="20"/>
                <w:color w:val="auto"/>
              </w:rPr>
            </w:pPr>
            <w:r>
              <w:rPr>
                <w:rFonts w:ascii="Arial" w:cs="Arial" w:eastAsia="Arial" w:hAnsi="Arial"/>
                <w:sz w:val="17"/>
                <w:szCs w:val="17"/>
                <w:b w:val="1"/>
                <w:bCs w:val="1"/>
                <w:color w:val="auto"/>
              </w:rPr>
              <w:t>Exhibit</w:t>
            </w:r>
          </w:p>
        </w:tc>
        <w:tc>
          <w:tcPr>
            <w:tcW w:w="10260" w:type="dxa"/>
            <w:vAlign w:val="bottom"/>
          </w:tcPr>
          <w:p>
            <w:pPr>
              <w:ind w:left="380"/>
              <w:spacing w:after="0"/>
              <w:rPr>
                <w:sz w:val="20"/>
                <w:szCs w:val="20"/>
                <w:color w:val="auto"/>
              </w:rPr>
            </w:pPr>
            <w:r>
              <w:rPr>
                <w:rFonts w:ascii="Arial" w:cs="Arial" w:eastAsia="Arial" w:hAnsi="Arial"/>
                <w:sz w:val="17"/>
                <w:szCs w:val="17"/>
                <w:b w:val="1"/>
                <w:bCs w:val="1"/>
                <w:color w:val="auto"/>
              </w:rPr>
              <w:t>Description of Exhibit</w:t>
            </w:r>
          </w:p>
        </w:tc>
      </w:tr>
      <w:tr>
        <w:trPr>
          <w:trHeight w:val="220"/>
        </w:trPr>
        <w:tc>
          <w:tcPr>
            <w:tcW w:w="980" w:type="dxa"/>
            <w:vAlign w:val="bottom"/>
            <w:gridSpan w:val="3"/>
          </w:tcPr>
          <w:p>
            <w:pPr>
              <w:spacing w:after="0"/>
              <w:rPr>
                <w:sz w:val="20"/>
                <w:szCs w:val="20"/>
                <w:color w:val="auto"/>
              </w:rPr>
            </w:pPr>
            <w:r>
              <w:rPr>
                <w:rFonts w:ascii="Arial" w:cs="Arial" w:eastAsia="Arial" w:hAnsi="Arial"/>
                <w:sz w:val="17"/>
                <w:szCs w:val="17"/>
                <w:b w:val="1"/>
                <w:bCs w:val="1"/>
                <w:color w:val="auto"/>
              </w:rPr>
              <w:t>Number</w:t>
            </w:r>
          </w:p>
        </w:tc>
        <w:tc>
          <w:tcPr>
            <w:tcW w:w="10260" w:type="dxa"/>
            <w:vAlign w:val="bottom"/>
          </w:tcPr>
          <w:p>
            <w:pPr>
              <w:spacing w:after="0"/>
              <w:rPr>
                <w:sz w:val="19"/>
                <w:szCs w:val="19"/>
                <w:color w:val="auto"/>
              </w:rPr>
            </w:pPr>
          </w:p>
        </w:tc>
      </w:tr>
      <w:tr>
        <w:trPr>
          <w:trHeight w:val="184"/>
        </w:trPr>
        <w:tc>
          <w:tcPr>
            <w:tcW w:w="220" w:type="dxa"/>
            <w:vAlign w:val="bottom"/>
            <w:tcBorders>
              <w:bottom w:val="single" w:sz="8" w:color="0000EE"/>
            </w:tcBorders>
            <w:shd w:val="clear" w:color="auto" w:fill="CCEEFF"/>
          </w:tcPr>
          <w:p>
            <w:pPr>
              <w:spacing w:after="0" w:line="167" w:lineRule="exact"/>
              <w:rPr>
                <w:rFonts w:ascii="Arial" w:cs="Arial" w:eastAsia="Arial" w:hAnsi="Arial"/>
                <w:sz w:val="17"/>
                <w:szCs w:val="17"/>
                <w:color w:val="0000EE"/>
                <w:w w:val="84"/>
              </w:rPr>
            </w:pPr>
            <w:hyperlink r:id="rId4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260" w:type="dxa"/>
            <w:vAlign w:val="bottom"/>
            <w:tcBorders>
              <w:bottom w:val="single" w:sz="8" w:color="CCEEFF"/>
            </w:tcBorders>
            <w:shd w:val="clear" w:color="auto" w:fill="CCEEFF"/>
          </w:tcPr>
          <w:p>
            <w:pPr>
              <w:ind w:left="380"/>
              <w:spacing w:after="0" w:line="166" w:lineRule="exact"/>
              <w:rPr>
                <w:sz w:val="20"/>
                <w:szCs w:val="20"/>
                <w:color w:val="auto"/>
              </w:rPr>
            </w:pPr>
            <w:r>
              <w:rPr>
                <w:rFonts w:ascii="Arial" w:cs="Arial" w:eastAsia="Arial" w:hAnsi="Arial"/>
                <w:sz w:val="12"/>
                <w:szCs w:val="12"/>
                <w:color w:val="auto"/>
              </w:rPr>
              <w:t>Articles of Amendment and Restatement of the Company</w:t>
            </w:r>
            <w:r>
              <w:rPr>
                <w:rFonts w:ascii="Arial" w:cs="Arial" w:eastAsia="Arial" w:hAnsi="Arial"/>
                <w:sz w:val="19"/>
                <w:szCs w:val="19"/>
                <w:color w:val="auto"/>
                <w:vertAlign w:val="superscript"/>
              </w:rPr>
              <w:t>(1)</w:t>
            </w:r>
          </w:p>
        </w:tc>
      </w:tr>
      <w:tr>
        <w:trPr>
          <w:trHeight w:val="175"/>
        </w:trPr>
        <w:tc>
          <w:tcPr>
            <w:tcW w:w="220" w:type="dxa"/>
            <w:vAlign w:val="bottom"/>
            <w:tcBorders>
              <w:bottom w:val="single" w:sz="8" w:color="0000EE"/>
            </w:tcBorders>
          </w:tcPr>
          <w:p>
            <w:pPr>
              <w:spacing w:after="0" w:line="166" w:lineRule="exact"/>
              <w:rPr>
                <w:rFonts w:ascii="Arial" w:cs="Arial" w:eastAsia="Arial" w:hAnsi="Arial"/>
                <w:sz w:val="17"/>
                <w:szCs w:val="17"/>
                <w:color w:val="0000EE"/>
                <w:w w:val="84"/>
              </w:rPr>
            </w:pPr>
            <w:hyperlink r:id="rId50">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60" w:type="dxa"/>
            <w:vAlign w:val="bottom"/>
          </w:tcPr>
          <w:p>
            <w:pPr>
              <w:ind w:left="380"/>
              <w:spacing w:after="0" w:line="166" w:lineRule="exact"/>
              <w:rPr>
                <w:sz w:val="20"/>
                <w:szCs w:val="20"/>
                <w:color w:val="auto"/>
              </w:rPr>
            </w:pPr>
            <w:r>
              <w:rPr>
                <w:rFonts w:ascii="Arial" w:cs="Arial" w:eastAsia="Arial" w:hAnsi="Arial"/>
                <w:sz w:val="12"/>
                <w:szCs w:val="12"/>
                <w:color w:val="auto"/>
              </w:rPr>
              <w:t>Amended and Restated Bylaws of the Company</w:t>
            </w:r>
            <w:r>
              <w:rPr>
                <w:rFonts w:ascii="Arial" w:cs="Arial" w:eastAsia="Arial" w:hAnsi="Arial"/>
                <w:sz w:val="19"/>
                <w:szCs w:val="19"/>
                <w:color w:val="auto"/>
                <w:vertAlign w:val="superscript"/>
              </w:rPr>
              <w:t>(1)</w:t>
            </w:r>
          </w:p>
        </w:tc>
      </w:tr>
      <w:tr>
        <w:trPr>
          <w:trHeight w:val="175"/>
        </w:trPr>
        <w:tc>
          <w:tcPr>
            <w:tcW w:w="980" w:type="dxa"/>
            <w:vAlign w:val="bottom"/>
            <w:gridSpan w:val="3"/>
            <w:shd w:val="clear" w:color="auto" w:fill="CCEEFF"/>
          </w:tcPr>
          <w:p>
            <w:pPr>
              <w:spacing w:after="0" w:line="175"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10260" w:type="dxa"/>
            <w:vAlign w:val="bottom"/>
            <w:shd w:val="clear" w:color="auto" w:fill="CCEEFF"/>
          </w:tcPr>
          <w:p>
            <w:pPr>
              <w:ind w:left="380"/>
              <w:spacing w:after="0" w:line="175" w:lineRule="exact"/>
              <w:rPr>
                <w:sz w:val="20"/>
                <w:szCs w:val="20"/>
                <w:color w:val="auto"/>
              </w:rPr>
            </w:pPr>
            <w:r>
              <w:rPr>
                <w:rFonts w:ascii="Arial" w:cs="Arial" w:eastAsia="Arial" w:hAnsi="Arial"/>
                <w:sz w:val="17"/>
                <w:szCs w:val="17"/>
                <w:color w:val="auto"/>
                <w:w w:val="92"/>
              </w:rPr>
              <w:t>Certification of Principal Executive Officer Pursuant to Rules 13a-14(a) and 15d-14(a) under the Securities Exchange Act of 1934, as Adopted</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166"/>
        </w:trPr>
        <w:tc>
          <w:tcPr>
            <w:tcW w:w="980" w:type="dxa"/>
            <w:vAlign w:val="bottom"/>
            <w:gridSpan w:val="3"/>
          </w:tcPr>
          <w:p>
            <w:pPr>
              <w:spacing w:after="0" w:line="166"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10260" w:type="dxa"/>
            <w:vAlign w:val="bottom"/>
          </w:tcPr>
          <w:p>
            <w:pPr>
              <w:ind w:left="380"/>
              <w:spacing w:after="0" w:line="166" w:lineRule="exact"/>
              <w:rPr>
                <w:sz w:val="20"/>
                <w:szCs w:val="20"/>
                <w:color w:val="auto"/>
              </w:rPr>
            </w:pPr>
            <w:r>
              <w:rPr>
                <w:rFonts w:ascii="Arial" w:cs="Arial" w:eastAsia="Arial" w:hAnsi="Arial"/>
                <w:sz w:val="17"/>
                <w:szCs w:val="17"/>
                <w:color w:val="auto"/>
                <w:w w:val="93"/>
              </w:rPr>
              <w:t>Certification of Principal Financial Officer Pursuant to Rules 13a-14(a) and 15d-14(a) under the Securities Exchange Act of 1934, as Adopted</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166"/>
        </w:trPr>
        <w:tc>
          <w:tcPr>
            <w:tcW w:w="98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10260" w:type="dxa"/>
            <w:vAlign w:val="bottom"/>
            <w:shd w:val="clear" w:color="auto" w:fill="CCEEFF"/>
          </w:tcPr>
          <w:p>
            <w:pPr>
              <w:ind w:left="380"/>
              <w:spacing w:after="0" w:line="167" w:lineRule="exact"/>
              <w:rPr>
                <w:sz w:val="20"/>
                <w:szCs w:val="20"/>
                <w:color w:val="auto"/>
              </w:rPr>
            </w:pPr>
            <w:r>
              <w:rPr>
                <w:rFonts w:ascii="Arial" w:cs="Arial" w:eastAsia="Arial" w:hAnsi="Arial"/>
                <w:sz w:val="17"/>
                <w:szCs w:val="17"/>
                <w:color w:val="auto"/>
                <w:w w:val="92"/>
              </w:rPr>
              <w:t>Certification of Principal Executive Officer Pursuant to 18 U.S.C. Section 1350, as Adopted Pursuant to Section 906 of the Sarbanes-Oxley Act</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2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of 2002*</w:t>
            </w:r>
          </w:p>
        </w:tc>
      </w:tr>
      <w:tr>
        <w:trPr>
          <w:trHeight w:val="166"/>
        </w:trPr>
        <w:tc>
          <w:tcPr>
            <w:tcW w:w="980" w:type="dxa"/>
            <w:vAlign w:val="bottom"/>
            <w:gridSpan w:val="3"/>
          </w:tcPr>
          <w:p>
            <w:pPr>
              <w:spacing w:after="0" w:line="166"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10260" w:type="dxa"/>
            <w:vAlign w:val="bottom"/>
          </w:tcPr>
          <w:p>
            <w:pPr>
              <w:ind w:left="380"/>
              <w:spacing w:after="0" w:line="166" w:lineRule="exact"/>
              <w:rPr>
                <w:sz w:val="20"/>
                <w:szCs w:val="20"/>
                <w:color w:val="auto"/>
              </w:rPr>
            </w:pPr>
            <w:r>
              <w:rPr>
                <w:rFonts w:ascii="Arial" w:cs="Arial" w:eastAsia="Arial" w:hAnsi="Arial"/>
                <w:sz w:val="17"/>
                <w:szCs w:val="17"/>
                <w:color w:val="auto"/>
                <w:w w:val="92"/>
              </w:rPr>
              <w:t>Certification of Principal Financial Officer Pursuant to 18 U.S.C. Section 1350, as Adopted Pursuant to Section 906 of the Sarbanes-Oxley Act</w:t>
            </w:r>
          </w:p>
        </w:tc>
      </w:tr>
      <w:tr>
        <w:trPr>
          <w:trHeight w:val="221"/>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7"/>
                <w:szCs w:val="17"/>
                <w:color w:val="auto"/>
              </w:rPr>
              <w:t>of 2002*</w:t>
            </w:r>
          </w:p>
        </w:tc>
      </w:tr>
    </w:tbl>
    <w:p>
      <w:pPr>
        <w:spacing w:after="0" w:line="193" w:lineRule="exact"/>
        <w:rPr>
          <w:sz w:val="20"/>
          <w:szCs w:val="20"/>
          <w:color w:val="auto"/>
        </w:rPr>
      </w:pPr>
    </w:p>
    <w:p>
      <w:pPr>
        <w:ind w:left="980" w:hanging="519"/>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12" w:lineRule="exact"/>
        <w:rPr>
          <w:sz w:val="20"/>
          <w:szCs w:val="20"/>
          <w:color w:val="auto"/>
        </w:rPr>
      </w:pPr>
    </w:p>
    <w:p>
      <w:pPr>
        <w:ind w:left="840" w:hanging="379"/>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Incorporated by reference to the Company’s annual report on Form 10-K/A, filed on June 30,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3994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ind w:left="4180"/>
        <w:spacing w:after="0"/>
        <w:rPr>
          <w:sz w:val="20"/>
          <w:szCs w:val="20"/>
          <w:color w:val="auto"/>
        </w:rPr>
      </w:pPr>
      <w:r>
        <w:rPr>
          <w:rFonts w:ascii="Arial" w:cs="Arial" w:eastAsia="Arial" w:hAnsi="Arial"/>
          <w:sz w:val="17"/>
          <w:szCs w:val="17"/>
          <w:b w:val="1"/>
          <w:bCs w:val="1"/>
          <w:color w:val="auto"/>
        </w:rPr>
        <w:t>SILVER SPIKE INVESTMENT CORP.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 on November 9, 2023.</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SILVER SPIKE INVESTMENT CORP.</w:t>
      </w:r>
    </w:p>
    <w:p>
      <w:pPr>
        <w:spacing w:after="0" w:line="216"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7"/>
          <w:szCs w:val="17"/>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299529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995295" cy="1587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Scott Gordon</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Chief Executive Officer (Principal Executive Officer)</w:t>
      </w:r>
    </w:p>
    <w:p>
      <w:pPr>
        <w:spacing w:after="0" w:line="201"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7"/>
          <w:szCs w:val="17"/>
          <w:color w:val="auto"/>
        </w:rPr>
        <w:t>By:</w:t>
        <w:tab/>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299529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95295" cy="1587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Umesh Mahajan</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Chief Financial Officer (Principal Financial and Accounting</w:t>
      </w:r>
    </w:p>
    <w:p>
      <w:pPr>
        <w:spacing w:after="0" w:line="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Officer)</w:t>
      </w:r>
    </w:p>
    <w:p>
      <w:pPr>
        <w:spacing w:after="0" w:line="39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3994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580"/>
          </w:cols>
          <w:pgMar w:left="320" w:top="120"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Scott Gordon, Chief Executive Officer of Silver Spike Investment Corp., certify that:</w:t>
      </w:r>
    </w:p>
    <w:p>
      <w:pPr>
        <w:spacing w:after="0" w:line="212" w:lineRule="exact"/>
        <w:rPr>
          <w:sz w:val="20"/>
          <w:szCs w:val="20"/>
          <w:color w:val="auto"/>
        </w:rPr>
      </w:pPr>
    </w:p>
    <w:p>
      <w:pPr>
        <w:ind w:left="180" w:hanging="178"/>
        <w:spacing w:after="0"/>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Silver Spike Investment Corp. (the “registrant”) for the quarter ended September 30, 2023;</w:t>
      </w:r>
    </w:p>
    <w:p>
      <w:pPr>
        <w:spacing w:after="0" w:line="212" w:lineRule="exact"/>
        <w:rPr>
          <w:rFonts w:ascii="Arial" w:cs="Arial" w:eastAsia="Arial" w:hAnsi="Arial"/>
          <w:sz w:val="17"/>
          <w:szCs w:val="17"/>
          <w:color w:val="auto"/>
        </w:rPr>
      </w:pPr>
    </w:p>
    <w:p>
      <w:pPr>
        <w:ind w:right="420" w:firstLine="2"/>
        <w:spacing w:after="0" w:line="343" w:lineRule="auto"/>
        <w:tabs>
          <w:tab w:leader="none" w:pos="17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8" w:lineRule="exact"/>
        <w:rPr>
          <w:rFonts w:ascii="Arial" w:cs="Arial" w:eastAsia="Arial" w:hAnsi="Arial"/>
          <w:sz w:val="15"/>
          <w:szCs w:val="15"/>
          <w:color w:val="auto"/>
        </w:rPr>
      </w:pPr>
    </w:p>
    <w:p>
      <w:pPr>
        <w:ind w:right="520" w:firstLine="2"/>
        <w:spacing w:after="0" w:line="307" w:lineRule="auto"/>
        <w:tabs>
          <w:tab w:leader="none" w:pos="1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41" w:lineRule="exact"/>
        <w:rPr>
          <w:rFonts w:ascii="Arial" w:cs="Arial" w:eastAsia="Arial" w:hAnsi="Arial"/>
          <w:sz w:val="16"/>
          <w:szCs w:val="16"/>
          <w:color w:val="auto"/>
        </w:rPr>
      </w:pPr>
    </w:p>
    <w:p>
      <w:pPr>
        <w:ind w:right="80" w:firstLine="2"/>
        <w:spacing w:after="0" w:line="343" w:lineRule="auto"/>
        <w:tabs>
          <w:tab w:leader="none" w:pos="17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sz w:val="20"/>
          <w:szCs w:val="20"/>
          <w:color w:val="auto"/>
        </w:rPr>
      </w:pPr>
    </w:p>
    <w:p>
      <w:pPr>
        <w:ind w:right="40" w:firstLine="2"/>
        <w:spacing w:after="0" w:line="262" w:lineRule="auto"/>
        <w:tabs>
          <w:tab w:leader="none" w:pos="18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Arial" w:cs="Arial" w:eastAsia="Arial" w:hAnsi="Arial"/>
          <w:sz w:val="17"/>
          <w:szCs w:val="17"/>
          <w:i w:val="1"/>
          <w:iCs w:val="1"/>
          <w:color w:val="auto"/>
        </w:rPr>
      </w:pPr>
    </w:p>
    <w:p>
      <w:pPr>
        <w:ind w:right="180" w:firstLine="2"/>
        <w:spacing w:after="0" w:line="262" w:lineRule="auto"/>
        <w:tabs>
          <w:tab w:leader="none" w:pos="18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i w:val="1"/>
          <w:iCs w:val="1"/>
          <w:color w:val="auto"/>
        </w:rPr>
      </w:pPr>
    </w:p>
    <w:p>
      <w:pPr>
        <w:ind w:right="540" w:firstLine="2"/>
        <w:spacing w:after="0" w:line="274" w:lineRule="auto"/>
        <w:tabs>
          <w:tab w:leader="none" w:pos="17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i w:val="1"/>
          <w:iCs w:val="1"/>
          <w:color w:val="auto"/>
        </w:rPr>
      </w:pPr>
    </w:p>
    <w:p>
      <w:pPr>
        <w:ind w:right="160" w:firstLine="2"/>
        <w:spacing w:after="0" w:line="262" w:lineRule="auto"/>
        <w:tabs>
          <w:tab w:leader="none" w:pos="18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80" w:firstLine="2"/>
        <w:spacing w:after="0" w:line="274" w:lineRule="auto"/>
        <w:tabs>
          <w:tab w:leader="none" w:pos="1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6" w:lineRule="exact"/>
        <w:rPr>
          <w:sz w:val="20"/>
          <w:szCs w:val="20"/>
          <w:color w:val="auto"/>
        </w:rPr>
      </w:pPr>
    </w:p>
    <w:p>
      <w:pPr>
        <w:ind w:right="20" w:firstLine="2"/>
        <w:spacing w:after="0" w:line="274" w:lineRule="auto"/>
        <w:tabs>
          <w:tab w:leader="none" w:pos="184"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i w:val="1"/>
          <w:iCs w:val="1"/>
          <w:color w:val="auto"/>
        </w:rPr>
      </w:pPr>
    </w:p>
    <w:p>
      <w:pPr>
        <w:ind w:right="260" w:firstLine="44"/>
        <w:spacing w:after="0" w:line="274" w:lineRule="auto"/>
        <w:tabs>
          <w:tab w:leader="none" w:pos="226" w:val="left"/>
        </w:tabs>
        <w:numPr>
          <w:ilvl w:val="1"/>
          <w:numId w:val="26"/>
        </w:numPr>
        <w:rPr>
          <w:rFonts w:ascii="Arial" w:cs="Arial" w:eastAsia="Arial" w:hAnsi="Arial"/>
          <w:sz w:val="17"/>
          <w:szCs w:val="17"/>
          <w:i w:val="1"/>
          <w:iCs w:val="1"/>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20" w:val="left"/>
          <w:tab w:leader="none" w:pos="804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335153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51530" cy="15875"/>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Scott Gordon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Chief Executive Officer</w:t>
      </w:r>
    </w:p>
    <w:p>
      <w:pPr>
        <w:spacing w:after="0" w:line="8"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713994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Umesh Mahajan, Chief Financial Officer of Silver Spike Investment Corp., certify that:</w:t>
      </w:r>
    </w:p>
    <w:p>
      <w:pPr>
        <w:spacing w:after="0" w:line="212" w:lineRule="exact"/>
        <w:rPr>
          <w:sz w:val="20"/>
          <w:szCs w:val="20"/>
          <w:color w:val="auto"/>
        </w:rPr>
      </w:pPr>
    </w:p>
    <w:p>
      <w:pPr>
        <w:ind w:left="180" w:hanging="178"/>
        <w:spacing w:after="0"/>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Silver Spike Investment Corp. (the “registrant”) for the quarter ended September 30, 2023;</w:t>
      </w:r>
    </w:p>
    <w:p>
      <w:pPr>
        <w:spacing w:after="0" w:line="212" w:lineRule="exact"/>
        <w:rPr>
          <w:rFonts w:ascii="Arial" w:cs="Arial" w:eastAsia="Arial" w:hAnsi="Arial"/>
          <w:sz w:val="17"/>
          <w:szCs w:val="17"/>
          <w:color w:val="auto"/>
        </w:rPr>
      </w:pPr>
    </w:p>
    <w:p>
      <w:pPr>
        <w:ind w:right="420" w:firstLine="2"/>
        <w:spacing w:after="0" w:line="343" w:lineRule="auto"/>
        <w:tabs>
          <w:tab w:leader="none" w:pos="17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8" w:lineRule="exact"/>
        <w:rPr>
          <w:rFonts w:ascii="Arial" w:cs="Arial" w:eastAsia="Arial" w:hAnsi="Arial"/>
          <w:sz w:val="15"/>
          <w:szCs w:val="15"/>
          <w:color w:val="auto"/>
        </w:rPr>
      </w:pPr>
    </w:p>
    <w:p>
      <w:pPr>
        <w:ind w:right="520" w:firstLine="2"/>
        <w:spacing w:after="0" w:line="307" w:lineRule="auto"/>
        <w:tabs>
          <w:tab w:leader="none" w:pos="17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41" w:lineRule="exact"/>
        <w:rPr>
          <w:rFonts w:ascii="Arial" w:cs="Arial" w:eastAsia="Arial" w:hAnsi="Arial"/>
          <w:sz w:val="16"/>
          <w:szCs w:val="16"/>
          <w:color w:val="auto"/>
        </w:rPr>
      </w:pPr>
    </w:p>
    <w:p>
      <w:pPr>
        <w:ind w:right="80" w:firstLine="2"/>
        <w:spacing w:after="0" w:line="343" w:lineRule="auto"/>
        <w:tabs>
          <w:tab w:leader="none" w:pos="17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sz w:val="20"/>
          <w:szCs w:val="20"/>
          <w:color w:val="auto"/>
        </w:rPr>
      </w:pPr>
    </w:p>
    <w:p>
      <w:pPr>
        <w:ind w:right="40" w:firstLine="2"/>
        <w:spacing w:after="0" w:line="262" w:lineRule="auto"/>
        <w:tabs>
          <w:tab w:leader="none" w:pos="18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5" w:lineRule="exact"/>
        <w:rPr>
          <w:rFonts w:ascii="Arial" w:cs="Arial" w:eastAsia="Arial" w:hAnsi="Arial"/>
          <w:sz w:val="17"/>
          <w:szCs w:val="17"/>
          <w:i w:val="1"/>
          <w:iCs w:val="1"/>
          <w:color w:val="auto"/>
        </w:rPr>
      </w:pPr>
    </w:p>
    <w:p>
      <w:pPr>
        <w:ind w:right="180" w:firstLine="2"/>
        <w:spacing w:after="0" w:line="262" w:lineRule="auto"/>
        <w:tabs>
          <w:tab w:leader="none" w:pos="18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i w:val="1"/>
          <w:iCs w:val="1"/>
          <w:color w:val="auto"/>
        </w:rPr>
      </w:pPr>
    </w:p>
    <w:p>
      <w:pPr>
        <w:ind w:right="540" w:firstLine="2"/>
        <w:spacing w:after="0" w:line="274" w:lineRule="auto"/>
        <w:tabs>
          <w:tab w:leader="none" w:pos="17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i w:val="1"/>
          <w:iCs w:val="1"/>
          <w:color w:val="auto"/>
        </w:rPr>
      </w:pPr>
    </w:p>
    <w:p>
      <w:pPr>
        <w:ind w:right="160" w:firstLine="2"/>
        <w:spacing w:after="0" w:line="262" w:lineRule="auto"/>
        <w:tabs>
          <w:tab w:leader="none" w:pos="18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80" w:firstLine="2"/>
        <w:spacing w:after="0" w:line="274" w:lineRule="auto"/>
        <w:tabs>
          <w:tab w:leader="none" w:pos="1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6" w:lineRule="exact"/>
        <w:rPr>
          <w:sz w:val="20"/>
          <w:szCs w:val="20"/>
          <w:color w:val="auto"/>
        </w:rPr>
      </w:pPr>
    </w:p>
    <w:p>
      <w:pPr>
        <w:ind w:right="20" w:firstLine="2"/>
        <w:spacing w:after="0" w:line="274" w:lineRule="auto"/>
        <w:tabs>
          <w:tab w:leader="none" w:pos="184"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i w:val="1"/>
          <w:iCs w:val="1"/>
          <w:color w:val="auto"/>
        </w:rPr>
      </w:pPr>
    </w:p>
    <w:p>
      <w:pPr>
        <w:ind w:right="300" w:firstLine="2"/>
        <w:spacing w:after="0" w:line="274" w:lineRule="auto"/>
        <w:tabs>
          <w:tab w:leader="none" w:pos="184"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335153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51530" cy="15875"/>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Umesh Mahajan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Chief Financial Officer</w:t>
      </w:r>
    </w:p>
    <w:p>
      <w:pPr>
        <w:spacing w:after="0" w:line="8"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13994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Pursuant to Section 1350, Chapter 63 of Title 18, United States Code, as adopted pursuant to Section 906 of the Sarbanes-Oxley Act of 2002, the undersigned, 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of Silver Spike Investment Corp. (the “Company”), does hereby certify that to the undersigned’s knowledge:</w:t>
      </w:r>
    </w:p>
    <w:p>
      <w:pPr>
        <w:spacing w:after="0" w:line="201" w:lineRule="exact"/>
        <w:rPr>
          <w:sz w:val="20"/>
          <w:szCs w:val="20"/>
          <w:color w:val="auto"/>
        </w:rPr>
      </w:pPr>
    </w:p>
    <w:p>
      <w:pPr>
        <w:ind w:right="20" w:firstLine="2"/>
        <w:spacing w:after="0" w:line="274" w:lineRule="auto"/>
        <w:tabs>
          <w:tab w:leader="none" w:pos="18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Company’s Form 10-Q for the quarter ended September 30, 2023 fully complies with the requirements of Section 13(a) or 15(d) as applicable of the Securities Exchange Act of 1934, as amended; and</w:t>
      </w:r>
    </w:p>
    <w:p>
      <w:pPr>
        <w:spacing w:after="0" w:line="165" w:lineRule="exact"/>
        <w:rPr>
          <w:rFonts w:ascii="Arial" w:cs="Arial" w:eastAsia="Arial" w:hAnsi="Arial"/>
          <w:sz w:val="17"/>
          <w:szCs w:val="17"/>
          <w:color w:val="auto"/>
        </w:rPr>
      </w:pPr>
    </w:p>
    <w:p>
      <w:pPr>
        <w:ind w:right="140" w:firstLine="2"/>
        <w:spacing w:after="0" w:line="274" w:lineRule="auto"/>
        <w:tabs>
          <w:tab w:leader="none" w:pos="18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Company’s Form 10-Q for the quarter ended September 30, 2023 fairly presents, in all material respects, the financial condition and results of operations of the Company.</w:t>
      </w:r>
    </w:p>
    <w:p>
      <w:pPr>
        <w:spacing w:after="0" w:line="166" w:lineRule="exact"/>
        <w:rPr>
          <w:sz w:val="20"/>
          <w:szCs w:val="20"/>
          <w:color w:val="auto"/>
        </w:rPr>
      </w:pPr>
    </w:p>
    <w:p>
      <w:pPr>
        <w:spacing w:after="0"/>
        <w:tabs>
          <w:tab w:leader="none" w:pos="5620" w:val="left"/>
          <w:tab w:leader="none" w:pos="804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335153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51530" cy="15875"/>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Scott Gordon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Chief Executive Officer</w:t>
      </w:r>
    </w:p>
    <w:p>
      <w:pPr>
        <w:spacing w:after="0" w:line="8"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713994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Pursuant to Section 1350, Chapter 63 of Title 18, United States Code, as adopted pursuant to Section 906 of the Sarbanes-Oxley Act of 2002, the undersigned, 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of Silver Spike Investment Corp. (the “Company”), does hereby certify that to the undersigned’s knowledge:</w:t>
      </w:r>
    </w:p>
    <w:p>
      <w:pPr>
        <w:spacing w:after="0" w:line="201" w:lineRule="exact"/>
        <w:rPr>
          <w:sz w:val="20"/>
          <w:szCs w:val="20"/>
          <w:color w:val="auto"/>
        </w:rPr>
      </w:pPr>
    </w:p>
    <w:p>
      <w:pPr>
        <w:ind w:right="20" w:firstLine="2"/>
        <w:spacing w:after="0" w:line="274" w:lineRule="auto"/>
        <w:tabs>
          <w:tab w:leader="none" w:pos="1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Form 10-Q for the quarter ended September 30, 2023 fully complies with the requirements of Section 13(a) or 15(d) as applicable of the Securities Exchange Act of 1934, as amended; and</w:t>
      </w:r>
    </w:p>
    <w:p>
      <w:pPr>
        <w:spacing w:after="0" w:line="165" w:lineRule="exact"/>
        <w:rPr>
          <w:rFonts w:ascii="Arial" w:cs="Arial" w:eastAsia="Arial" w:hAnsi="Arial"/>
          <w:sz w:val="17"/>
          <w:szCs w:val="17"/>
          <w:color w:val="auto"/>
        </w:rPr>
      </w:pPr>
    </w:p>
    <w:p>
      <w:pPr>
        <w:ind w:right="140" w:firstLine="2"/>
        <w:spacing w:after="0" w:line="274" w:lineRule="auto"/>
        <w:tabs>
          <w:tab w:leader="none" w:pos="18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Company’s Form 10-Q for the quarter ended September 30, 2023 fairly presents, in all material respects, the financial condition and results of operations of the Company.</w:t>
      </w:r>
    </w:p>
    <w:p>
      <w:pPr>
        <w:spacing w:after="0" w:line="166"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13335</wp:posOffset>
            </wp:positionV>
            <wp:extent cx="335153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51530" cy="15875"/>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Umesh Mahajan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Chief Financial Officer</w:t>
      </w:r>
    </w:p>
    <w:p>
      <w:pPr>
        <w:spacing w:after="0" w:line="8" w:lineRule="exact"/>
        <w:rPr>
          <w:sz w:val="20"/>
          <w:szCs w:val="20"/>
          <w:color w:val="auto"/>
        </w:rPr>
      </w:pPr>
    </w:p>
    <w:p>
      <w:pPr>
        <w:jc w:val="center"/>
        <w:ind w:left="5940"/>
        <w:spacing w:after="0"/>
        <w:rPr>
          <w:sz w:val="20"/>
          <w:szCs w:val="20"/>
          <w:color w:val="auto"/>
        </w:rPr>
      </w:pPr>
      <w:r>
        <w:rPr>
          <w:rFonts w:ascii="Arial" w:cs="Arial" w:eastAsia="Arial" w:hAnsi="Arial"/>
          <w:sz w:val="17"/>
          <w:szCs w:val="17"/>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313690</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sectPr>
      <w:pgSz w:w="11900" w:h="16838" w:orient="portrait"/>
      <w:cols w:equalWidth="0" w:num="1">
        <w:col w:w="11240"/>
      </w:cols>
      <w:pgMar w:left="320" w:top="2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90"/>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8"/>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lowerRoman"/>
      <w:start w:val="2"/>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lvl w:ilvl="1">
      <w:lvlJc w:val="left"/>
      <w:lvlText w:val="%2)"/>
      <w:numFmt w:val="lowerLetter"/>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49" Type="http://schemas.openxmlformats.org/officeDocument/2006/relationships/hyperlink" Target="https://www.sec.gov/Archives/edgar/data/1843162/000095010322011767/dp176400_ex0301.htm" TargetMode="External"/><Relationship Id="rId50" Type="http://schemas.openxmlformats.org/officeDocument/2006/relationships/hyperlink" Target="https://www.sec.gov/Archives/edgar/data/1843162/000095010322011767/dp176400_ex03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2023-11-09T16:17:08Z</dcterms:created>
  <dcterms:modified xsi:type="dcterms:W3CDTF">2023-11-09T16:17:08Z</dcterms:modified>
</cp:coreProperties>
</file>