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93345</wp:posOffset>
            </wp:positionV>
            <wp:extent cx="179451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25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29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(Mark One)</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ANNUAL REPORT PURSUANT TO SECTION 13 OR 15(d) OF THE SECURITIES EXCHANGE ACT OF 1934</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 the Fiscal Year Ended December 31, 2024</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OR</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TRANSITION REPORT PURSUANT TO SECTION 13 OR 15(d) OF THE SECURITIES EXCHANGE ACT OF 1934</w:t>
      </w:r>
    </w:p>
    <w:p>
      <w:pPr>
        <w:spacing w:after="0" w:line="150" w:lineRule="exact"/>
        <w:rPr>
          <w:sz w:val="24"/>
          <w:szCs w:val="24"/>
          <w:color w:val="auto"/>
        </w:rPr>
      </w:pPr>
    </w:p>
    <w:p>
      <w:pPr>
        <w:ind w:left="4508"/>
        <w:spacing w:after="0"/>
        <w:rPr>
          <w:sz w:val="20"/>
          <w:szCs w:val="20"/>
          <w:color w:val="auto"/>
        </w:rPr>
      </w:pPr>
      <w:r>
        <w:rPr>
          <w:rFonts w:ascii="Times New Roman" w:cs="Times New Roman" w:eastAsia="Times New Roman" w:hAnsi="Times New Roman"/>
          <w:sz w:val="12"/>
          <w:szCs w:val="12"/>
          <w:color w:val="auto"/>
        </w:rPr>
        <w:t>For the transition period from______ to______</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1434465</wp:posOffset>
            </wp:positionH>
            <wp:positionV relativeFrom="paragraph">
              <wp:posOffset>102235</wp:posOffset>
            </wp:positionV>
            <wp:extent cx="430911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11430"/>
                    </a:xfrm>
                    <a:prstGeom prst="rect">
                      <a:avLst/>
                    </a:prstGeom>
                    <a:noFill/>
                  </pic:spPr>
                </pic:pic>
              </a:graphicData>
            </a:graphic>
          </wp:anchor>
        </w:drawing>
      </w:r>
    </w:p>
    <w:p>
      <w:pPr>
        <w:spacing w:after="0" w:line="26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CHICAGO ATLANTIC BDC, INC.</w:t>
      </w:r>
    </w:p>
    <w:p>
      <w:pPr>
        <w:spacing w:after="0" w:line="34"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1434465</wp:posOffset>
            </wp:positionH>
            <wp:positionV relativeFrom="paragraph">
              <wp:posOffset>94615</wp:posOffset>
            </wp:positionV>
            <wp:extent cx="430911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9110" cy="11430"/>
                    </a:xfrm>
                    <a:prstGeom prst="rect">
                      <a:avLst/>
                    </a:prstGeom>
                    <a:noFill/>
                  </pic:spPr>
                </pic:pic>
              </a:graphicData>
            </a:graphic>
          </wp:anchor>
        </w:drawing>
      </w:r>
    </w:p>
    <w:p>
      <w:pPr>
        <w:spacing w:after="0" w:line="276" w:lineRule="exact"/>
        <w:rPr>
          <w:sz w:val="24"/>
          <w:szCs w:val="24"/>
          <w:color w:val="auto"/>
        </w:rPr>
      </w:pPr>
    </w:p>
    <w:tbl>
      <w:tblPr>
        <w:tblLayout w:type="fixed"/>
        <w:tblInd w:w="8" w:type="dxa"/>
        <w:tblCellMar>
          <w:top w:w="0" w:type="dxa"/>
          <w:left w:w="0" w:type="dxa"/>
          <w:bottom w:w="0" w:type="dxa"/>
          <w:right w:w="0" w:type="dxa"/>
        </w:tblCellMar>
      </w:tblPr>
      <w:tr>
        <w:trPr>
          <w:trHeight w:val="148"/>
        </w:trPr>
        <w:tc>
          <w:tcPr>
            <w:tcW w:w="4300" w:type="dxa"/>
            <w:vAlign w:val="bottom"/>
            <w:gridSpan w:val="3"/>
          </w:tcPr>
          <w:p>
            <w:pPr>
              <w:jc w:val="center"/>
              <w:ind w:left="1160"/>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4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86-2872887</w:t>
            </w:r>
          </w:p>
        </w:tc>
        <w:tc>
          <w:tcPr>
            <w:tcW w:w="0" w:type="dxa"/>
            <w:vAlign w:val="bottom"/>
          </w:tcPr>
          <w:p>
            <w:pPr>
              <w:spacing w:after="0"/>
              <w:rPr>
                <w:sz w:val="1"/>
                <w:szCs w:val="1"/>
                <w:color w:val="auto"/>
              </w:rPr>
            </w:pPr>
          </w:p>
        </w:tc>
      </w:tr>
      <w:tr>
        <w:trPr>
          <w:trHeight w:val="155"/>
        </w:trPr>
        <w:tc>
          <w:tcPr>
            <w:tcW w:w="4300" w:type="dxa"/>
            <w:vAlign w:val="bottom"/>
            <w:gridSpan w:val="3"/>
          </w:tcPr>
          <w:p>
            <w:pPr>
              <w:jc w:val="center"/>
              <w:ind w:left="1180"/>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1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60" w:type="dxa"/>
            <w:vAlign w:val="bottom"/>
          </w:tcPr>
          <w:p>
            <w:pPr>
              <w:jc w:val="center"/>
              <w:ind w:right="1820"/>
              <w:spacing w:after="0"/>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273"/>
        </w:trPr>
        <w:tc>
          <w:tcPr>
            <w:tcW w:w="4300" w:type="dxa"/>
            <w:vAlign w:val="bottom"/>
            <w:gridSpan w:val="3"/>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w w:val="99"/>
              </w:rPr>
              <w:t>600 Madison Avenue, Suite 1800</w:t>
            </w: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300" w:type="dxa"/>
            <w:vAlign w:val="bottom"/>
            <w:gridSpan w:val="3"/>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w w:val="97"/>
              </w:rPr>
              <w:t>New York, NY</w:t>
            </w: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4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10022</w:t>
            </w:r>
          </w:p>
        </w:tc>
        <w:tc>
          <w:tcPr>
            <w:tcW w:w="0" w:type="dxa"/>
            <w:vAlign w:val="bottom"/>
          </w:tcPr>
          <w:p>
            <w:pPr>
              <w:spacing w:after="0"/>
              <w:rPr>
                <w:sz w:val="1"/>
                <w:szCs w:val="1"/>
                <w:color w:val="auto"/>
              </w:rPr>
            </w:pPr>
          </w:p>
        </w:tc>
      </w:tr>
      <w:tr>
        <w:trPr>
          <w:trHeight w:val="155"/>
        </w:trPr>
        <w:tc>
          <w:tcPr>
            <w:tcW w:w="4300" w:type="dxa"/>
            <w:vAlign w:val="bottom"/>
            <w:gridSpan w:val="3"/>
          </w:tcPr>
          <w:p>
            <w:pPr>
              <w:jc w:val="center"/>
              <w:ind w:left="118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60" w:type="dxa"/>
            <w:vAlign w:val="bottom"/>
          </w:tcPr>
          <w:p>
            <w:pPr>
              <w:jc w:val="center"/>
              <w:ind w:right="1820"/>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277"/>
        </w:trPr>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gridSpan w:val="2"/>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rPr>
              <w:t>(212) 905-4923</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0" w:type="dxa"/>
            <w:vAlign w:val="bottom"/>
            <w:gridSpan w:val="5"/>
          </w:tcPr>
          <w:p>
            <w:pPr>
              <w:ind w:left="8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0" w:type="dxa"/>
            <w:vAlign w:val="bottom"/>
          </w:tcPr>
          <w:p>
            <w:pPr>
              <w:spacing w:after="0"/>
              <w:rPr>
                <w:sz w:val="1"/>
                <w:szCs w:val="1"/>
                <w:color w:val="auto"/>
              </w:rPr>
            </w:pPr>
          </w:p>
        </w:tc>
      </w:tr>
      <w:tr>
        <w:trPr>
          <w:trHeight w:val="288"/>
        </w:trPr>
        <w:tc>
          <w:tcPr>
            <w:tcW w:w="4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00" w:type="dxa"/>
            <w:vAlign w:val="bottom"/>
            <w:gridSpan w:val="3"/>
          </w:tcPr>
          <w:p>
            <w:pPr>
              <w:ind w:left="1360"/>
              <w:spacing w:after="0"/>
              <w:rPr>
                <w:sz w:val="20"/>
                <w:szCs w:val="20"/>
                <w:color w:val="auto"/>
              </w:rPr>
            </w:pPr>
            <w:r>
              <w:rPr>
                <w:rFonts w:ascii="Times New Roman" w:cs="Times New Roman" w:eastAsia="Times New Roman" w:hAnsi="Times New Roman"/>
                <w:sz w:val="12"/>
                <w:szCs w:val="12"/>
                <w:color w:val="auto"/>
              </w:rPr>
              <w:t>Title of Each Class</w:t>
            </w:r>
          </w:p>
        </w:tc>
        <w:tc>
          <w:tcPr>
            <w:tcW w:w="1960" w:type="dxa"/>
            <w:vAlign w:val="bottom"/>
            <w:gridSpan w:val="2"/>
          </w:tcPr>
          <w:p>
            <w:pPr>
              <w:jc w:val="center"/>
              <w:ind w:left="64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c>
          <w:tcPr>
            <w:tcW w:w="0" w:type="dxa"/>
            <w:vAlign w:val="bottom"/>
          </w:tcPr>
          <w:p>
            <w:pPr>
              <w:spacing w:after="0"/>
              <w:rPr>
                <w:sz w:val="1"/>
                <w:szCs w:val="1"/>
                <w:color w:val="auto"/>
              </w:rPr>
            </w:pPr>
          </w:p>
        </w:tc>
      </w:tr>
      <w:tr>
        <w:trPr>
          <w:trHeight w:val="153"/>
        </w:trPr>
        <w:tc>
          <w:tcPr>
            <w:tcW w:w="36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1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left="1060"/>
              <w:spacing w:after="0"/>
              <w:rPr>
                <w:sz w:val="20"/>
                <w:szCs w:val="20"/>
                <w:color w:val="auto"/>
              </w:rPr>
            </w:pPr>
            <w:r>
              <w:rPr>
                <w:rFonts w:ascii="Times New Roman" w:cs="Times New Roman" w:eastAsia="Times New Roman" w:hAnsi="Times New Roman"/>
                <w:sz w:val="12"/>
                <w:szCs w:val="12"/>
                <w:color w:val="auto"/>
              </w:rPr>
              <w:t>LIEN</w:t>
            </w:r>
          </w:p>
        </w:tc>
        <w:tc>
          <w:tcPr>
            <w:tcW w:w="4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c>
          <w:tcPr>
            <w:tcW w:w="0" w:type="dxa"/>
            <w:vAlign w:val="bottom"/>
          </w:tcPr>
          <w:p>
            <w:pPr>
              <w:spacing w:after="0"/>
              <w:rPr>
                <w:sz w:val="1"/>
                <w:szCs w:val="1"/>
                <w:color w:val="auto"/>
              </w:rPr>
            </w:pPr>
          </w:p>
        </w:tc>
      </w:tr>
      <w:tr>
        <w:trPr>
          <w:trHeight w:val="241"/>
        </w:trPr>
        <w:tc>
          <w:tcPr>
            <w:tcW w:w="4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40" w:type="dxa"/>
            <w:vAlign w:val="bottom"/>
            <w:gridSpan w:val="3"/>
            <w:vMerge w:val="restart"/>
          </w:tcPr>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01"/>
        </w:trPr>
        <w:tc>
          <w:tcPr>
            <w:tcW w:w="6260" w:type="dxa"/>
            <w:vAlign w:val="bottom"/>
            <w:gridSpan w:val="5"/>
          </w:tcPr>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p>
        </w:tc>
        <w:tc>
          <w:tcPr>
            <w:tcW w:w="5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5860" w:type="dxa"/>
            <w:vAlign w:val="bottom"/>
            <w:gridSpan w:val="4"/>
          </w:tcPr>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15(d) of the Act. Yes </w:t>
            </w:r>
            <w:r>
              <w:rPr>
                <w:rFonts w:ascii="MS PGothic" w:cs="MS PGothic" w:eastAsia="MS PGothic" w:hAnsi="MS PGothic"/>
                <w:sz w:val="12"/>
                <w:szCs w:val="12"/>
                <w:color w:val="auto"/>
              </w:rPr>
              <w:t>☐</w:t>
            </w:r>
          </w:p>
        </w:tc>
        <w:tc>
          <w:tcPr>
            <w:tcW w:w="400" w:type="dxa"/>
            <w:vAlign w:val="bottom"/>
          </w:tcPr>
          <w:p>
            <w:pPr>
              <w:ind w:left="100"/>
              <w:spacing w:after="0" w:line="138" w:lineRule="exact"/>
              <w:rPr>
                <w:sz w:val="20"/>
                <w:szCs w:val="20"/>
                <w:color w:val="auto"/>
              </w:rPr>
            </w:pPr>
            <w:r>
              <w:rPr>
                <w:rFonts w:ascii="Times New Roman" w:cs="Times New Roman" w:eastAsia="Times New Roman" w:hAnsi="Times New Roman"/>
                <w:sz w:val="12"/>
                <w:szCs w:val="12"/>
                <w:color w:val="auto"/>
                <w:w w:val="94"/>
              </w:rPr>
              <w:t xml:space="preserve">No </w:t>
            </w:r>
            <w:r>
              <w:rPr>
                <w:rFonts w:ascii="MS PGothic" w:cs="MS PGothic" w:eastAsia="MS PGothic" w:hAnsi="MS PGothic"/>
                <w:sz w:val="12"/>
                <w:szCs w:val="12"/>
                <w:color w:val="auto"/>
                <w:w w:val="94"/>
              </w:rPr>
              <w:t>☒</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3" w:lineRule="exact"/>
        <w:rPr>
          <w:sz w:val="24"/>
          <w:szCs w:val="24"/>
          <w:color w:val="auto"/>
        </w:rPr>
      </w:pPr>
    </w:p>
    <w:p>
      <w:pPr>
        <w:ind w:left="8"/>
        <w:spacing w:after="0" w:line="138" w:lineRule="exact"/>
        <w:tabs>
          <w:tab w:leader="none" w:pos="568"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78" w:lineRule="exact"/>
        <w:rPr>
          <w:sz w:val="24"/>
          <w:szCs w:val="24"/>
          <w:color w:val="auto"/>
        </w:rPr>
      </w:pPr>
    </w:p>
    <w:p>
      <w:pPr>
        <w:ind w:left="8" w:right="4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400" w:type="dxa"/>
            <w:vAlign w:val="bottom"/>
          </w:tcPr>
          <w:p>
            <w:pPr>
              <w:ind w:left="20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Accelerated filer</w:t>
            </w:r>
          </w:p>
        </w:tc>
        <w:tc>
          <w:tcPr>
            <w:tcW w:w="2080" w:type="dxa"/>
            <w:vAlign w:val="bottom"/>
          </w:tcPr>
          <w:p>
            <w:pPr>
              <w:ind w:left="1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4"/>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400" w:type="dxa"/>
            <w:vAlign w:val="bottom"/>
          </w:tcPr>
          <w:p>
            <w:pPr>
              <w:ind w:left="20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080" w:type="dxa"/>
            <w:vAlign w:val="bottom"/>
          </w:tcPr>
          <w:p>
            <w:pPr>
              <w:ind w:left="1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3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5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Emerging growth company</w:t>
            </w:r>
          </w:p>
        </w:tc>
        <w:tc>
          <w:tcPr>
            <w:tcW w:w="2080" w:type="dxa"/>
            <w:vAlign w:val="bottom"/>
          </w:tcPr>
          <w:p>
            <w:pPr>
              <w:ind w:left="1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2"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ind w:left="8" w:right="14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87"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90" w:lineRule="exact"/>
        <w:rPr>
          <w:sz w:val="24"/>
          <w:szCs w:val="24"/>
          <w:color w:val="auto"/>
        </w:rPr>
      </w:pPr>
    </w:p>
    <w:p>
      <w:pPr>
        <w:ind w:left="8" w:right="6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87" w:lineRule="exact"/>
        <w:rPr>
          <w:sz w:val="24"/>
          <w:szCs w:val="24"/>
          <w:color w:val="auto"/>
        </w:rPr>
      </w:pPr>
    </w:p>
    <w:p>
      <w:pPr>
        <w:ind w:left="8"/>
        <w:spacing w:after="0" w:line="138" w:lineRule="exact"/>
        <w:tabs>
          <w:tab w:leader="none" w:pos="5548"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78" w:lineRule="exact"/>
        <w:rPr>
          <w:sz w:val="24"/>
          <w:szCs w:val="24"/>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As of June 30, 2024, the aggregate market value of the common stock ($0.01 par value per share) of the registrant held by non-affiliates of the registrant was approximately $53,422,819, based on the closing sale price on the Nasdaq Global Market on that date of $11.82 per share.</w:t>
      </w:r>
    </w:p>
    <w:p>
      <w:pPr>
        <w:spacing w:after="0" w:line="1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As of March 28, 2025, the registrant had 22,820,386 shares of common stock ($0.01 par value per share) outstanding.</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DOCUMENTS INCORPORATED BY REFERENCE</w:t>
      </w:r>
    </w:p>
    <w:p>
      <w:pPr>
        <w:spacing w:after="0" w:line="17" w:lineRule="exact"/>
        <w:rPr>
          <w:sz w:val="24"/>
          <w:szCs w:val="24"/>
          <w:color w:val="auto"/>
        </w:rPr>
      </w:pPr>
    </w:p>
    <w:p>
      <w:pPr>
        <w:ind w:left="8" w:right="420" w:firstLine="30"/>
        <w:spacing w:after="0" w:line="260" w:lineRule="auto"/>
        <w:rPr>
          <w:sz w:val="20"/>
          <w:szCs w:val="20"/>
          <w:color w:val="auto"/>
        </w:rPr>
      </w:pPr>
      <w:r>
        <w:rPr>
          <w:rFonts w:ascii="Times New Roman" w:cs="Times New Roman" w:eastAsia="Times New Roman" w:hAnsi="Times New Roman"/>
          <w:sz w:val="12"/>
          <w:szCs w:val="12"/>
          <w:color w:val="auto"/>
        </w:rPr>
        <w:t>Portions of the registrant’s definitive Proxy Statement for its 2025 Annual Meeting of Stockholders, to be filed with the Securities and Exchange Commission within 120 days following the end of the registrant’s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80" w:type="dxa"/>
            <w:vAlign w:val="bottom"/>
            <w:gridSpan w:val="4"/>
          </w:tcPr>
          <w:p>
            <w:pPr>
              <w:jc w:val="center"/>
              <w:ind w:right="188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0" w:type="dxa"/>
            <w:vAlign w:val="bottom"/>
            <w:gridSpan w:val="3"/>
          </w:tcPr>
          <w:p>
            <w:pPr>
              <w:jc w:val="center"/>
              <w:ind w:right="2560"/>
              <w:spacing w:after="0"/>
              <w:rPr>
                <w:sz w:val="20"/>
                <w:szCs w:val="20"/>
                <w:color w:val="auto"/>
              </w:rPr>
            </w:pPr>
            <w:r>
              <w:rPr>
                <w:rFonts w:ascii="Times New Roman" w:cs="Times New Roman" w:eastAsia="Times New Roman" w:hAnsi="Times New Roman"/>
                <w:sz w:val="12"/>
                <w:szCs w:val="12"/>
                <w:b w:val="1"/>
                <w:bCs w:val="1"/>
                <w:color w:val="auto"/>
                <w:w w:val="98"/>
              </w:rPr>
              <w:t>FORM 10-K</w:t>
            </w: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jc w:val="center"/>
              <w:ind w:right="188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80" w:type="dxa"/>
            <w:vAlign w:val="bottom"/>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5"/>
              </w:rPr>
              <w:t>PAGE</w:t>
            </w:r>
          </w:p>
        </w:tc>
        <w:tc>
          <w:tcPr>
            <w:tcW w:w="0" w:type="dxa"/>
            <w:vAlign w:val="bottom"/>
          </w:tcPr>
          <w:p>
            <w:pPr>
              <w:spacing w:after="0"/>
              <w:rPr>
                <w:sz w:val="1"/>
                <w:szCs w:val="1"/>
                <w:color w:val="auto"/>
              </w:rPr>
            </w:pPr>
          </w:p>
        </w:tc>
      </w:tr>
      <w:tr>
        <w:trPr>
          <w:trHeight w:val="159"/>
        </w:trPr>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auto"/>
              </w:rPr>
              <w:t>PART I</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680" w:type="dxa"/>
            <w:vAlign w:val="bottom"/>
          </w:tcPr>
          <w:p>
            <w:pPr>
              <w:jc w:val="center"/>
              <w:ind w:left="1720"/>
              <w:spacing w:after="0"/>
              <w:rPr>
                <w:sz w:val="20"/>
                <w:szCs w:val="20"/>
                <w:color w:val="auto"/>
              </w:rPr>
            </w:pPr>
            <w:r>
              <w:rPr>
                <w:rFonts w:ascii="Times New Roman" w:cs="Times New Roman" w:eastAsia="Times New Roman" w:hAnsi="Times New Roman"/>
                <w:sz w:val="12"/>
                <w:szCs w:val="12"/>
                <w:b w:val="1"/>
                <w:bCs w:val="1"/>
                <w:color w:val="auto"/>
              </w:rPr>
              <w:t>NO.</w:t>
            </w:r>
          </w:p>
        </w:tc>
        <w:tc>
          <w:tcPr>
            <w:tcW w:w="0" w:type="dxa"/>
            <w:vAlign w:val="bottom"/>
          </w:tcPr>
          <w:p>
            <w:pPr>
              <w:spacing w:after="0"/>
              <w:rPr>
                <w:sz w:val="1"/>
                <w:szCs w:val="1"/>
                <w:color w:val="auto"/>
              </w:rPr>
            </w:pPr>
          </w:p>
        </w:tc>
      </w:tr>
      <w:tr>
        <w:trPr>
          <w:trHeight w:val="144"/>
        </w:trPr>
        <w:tc>
          <w:tcPr>
            <w:tcW w:w="90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Business</w:t>
            </w: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1A</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Risk Factors</w:t>
            </w:r>
          </w:p>
        </w:tc>
        <w:tc>
          <w:tcPr>
            <w:tcW w:w="2680" w:type="dxa"/>
            <w:vAlign w:val="bottom"/>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35</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1B</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Unresolved Staff Comments</w:t>
            </w:r>
          </w:p>
        </w:tc>
        <w:tc>
          <w:tcPr>
            <w:tcW w:w="2680" w:type="dxa"/>
            <w:vAlign w:val="bottom"/>
            <w:shd w:val="clear" w:color="auto" w:fill="CCEEFF"/>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78</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1C</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Cybersecurity</w:t>
            </w:r>
          </w:p>
        </w:tc>
        <w:tc>
          <w:tcPr>
            <w:tcW w:w="2680" w:type="dxa"/>
            <w:vAlign w:val="bottom"/>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78</w:t>
            </w:r>
          </w:p>
        </w:tc>
        <w:tc>
          <w:tcPr>
            <w:tcW w:w="0" w:type="dxa"/>
            <w:vAlign w:val="bottom"/>
          </w:tcPr>
          <w:p>
            <w:pPr>
              <w:spacing w:after="0"/>
              <w:rPr>
                <w:sz w:val="1"/>
                <w:szCs w:val="1"/>
                <w:color w:val="auto"/>
              </w:rPr>
            </w:pPr>
          </w:p>
        </w:tc>
      </w:tr>
      <w:tr>
        <w:trPr>
          <w:trHeight w:val="117"/>
        </w:trPr>
        <w:tc>
          <w:tcPr>
            <w:tcW w:w="380" w:type="dxa"/>
            <w:vAlign w:val="bottom"/>
            <w:tcBorders>
              <w:top w:val="single" w:sz="8" w:color="0000EE"/>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2</w:t>
            </w:r>
          </w:p>
        </w:tc>
        <w:tc>
          <w:tcPr>
            <w:tcW w:w="520" w:type="dxa"/>
            <w:vAlign w:val="bottom"/>
            <w:gridSpan w:val="2"/>
            <w:shd w:val="clear" w:color="auto" w:fill="CCEEFF"/>
          </w:tcPr>
          <w:p>
            <w:pPr>
              <w:spacing w:after="0"/>
              <w:rPr>
                <w:sz w:val="10"/>
                <w:szCs w:val="10"/>
                <w:color w:val="auto"/>
              </w:rPr>
            </w:pPr>
          </w:p>
        </w:tc>
        <w:tc>
          <w:tcPr>
            <w:tcW w:w="680" w:type="dxa"/>
            <w:vAlign w:val="bottom"/>
            <w:tcBorders>
              <w:top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Properties</w:t>
            </w:r>
          </w:p>
        </w:tc>
        <w:tc>
          <w:tcPr>
            <w:tcW w:w="7040" w:type="dxa"/>
            <w:vAlign w:val="bottom"/>
            <w:gridSpan w:val="15"/>
            <w:shd w:val="clear" w:color="auto" w:fill="CCEEFF"/>
          </w:tcPr>
          <w:p>
            <w:pPr>
              <w:spacing w:after="0"/>
              <w:rPr>
                <w:sz w:val="10"/>
                <w:szCs w:val="10"/>
                <w:color w:val="auto"/>
              </w:rPr>
            </w:pPr>
          </w:p>
        </w:tc>
        <w:tc>
          <w:tcPr>
            <w:tcW w:w="2680" w:type="dxa"/>
            <w:vAlign w:val="bottom"/>
            <w:shd w:val="clear" w:color="auto" w:fill="CCEEFF"/>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79</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3</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Legal Proceedings</w:t>
            </w:r>
          </w:p>
        </w:tc>
        <w:tc>
          <w:tcPr>
            <w:tcW w:w="2680" w:type="dxa"/>
            <w:vAlign w:val="bottom"/>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79</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4</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Mine Safety Disclosures</w:t>
            </w:r>
          </w:p>
        </w:tc>
        <w:tc>
          <w:tcPr>
            <w:tcW w:w="2680" w:type="dxa"/>
            <w:vAlign w:val="bottom"/>
            <w:shd w:val="clear" w:color="auto" w:fill="CCEEFF"/>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79</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9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PART II</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5</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Market for Registrant’s Common Equity, Related Stockholder Matters and Issuer Purchases of Equity Securities</w:t>
            </w:r>
          </w:p>
        </w:tc>
        <w:tc>
          <w:tcPr>
            <w:tcW w:w="2680" w:type="dxa"/>
            <w:vAlign w:val="bottom"/>
            <w:shd w:val="clear" w:color="auto" w:fill="CCEEFF"/>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79</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8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6</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[Reserved]</w:t>
            </w:r>
          </w:p>
        </w:tc>
        <w:tc>
          <w:tcPr>
            <w:tcW w:w="2680" w:type="dxa"/>
            <w:vAlign w:val="bottom"/>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83</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7</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2680" w:type="dxa"/>
            <w:vAlign w:val="bottom"/>
            <w:shd w:val="clear" w:color="auto" w:fill="CCEEFF"/>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83</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80" w:type="dxa"/>
            <w:vAlign w:val="bottom"/>
            <w:tcBorders>
              <w:right w:val="single" w:sz="8" w:color="CCEEFF"/>
            </w:tcBorders>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7A</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2680" w:type="dxa"/>
            <w:vAlign w:val="bottom"/>
          </w:tcPr>
          <w:p>
            <w:pPr>
              <w:jc w:val="center"/>
              <w:ind w:left="1700"/>
              <w:spacing w:after="0" w:line="117" w:lineRule="exact"/>
              <w:rPr>
                <w:sz w:val="20"/>
                <w:szCs w:val="20"/>
                <w:color w:val="auto"/>
              </w:rPr>
            </w:pPr>
            <w:r>
              <w:rPr>
                <w:rFonts w:ascii="Times New Roman" w:cs="Times New Roman" w:eastAsia="Times New Roman" w:hAnsi="Times New Roman"/>
                <w:sz w:val="12"/>
                <w:szCs w:val="12"/>
                <w:color w:val="auto"/>
                <w:w w:val="99"/>
              </w:rPr>
              <w:t>98</w:t>
            </w:r>
          </w:p>
        </w:tc>
        <w:tc>
          <w:tcPr>
            <w:tcW w:w="0" w:type="dxa"/>
            <w:vAlign w:val="bottom"/>
          </w:tcPr>
          <w:p>
            <w:pPr>
              <w:spacing w:after="0"/>
              <w:rPr>
                <w:sz w:val="1"/>
                <w:szCs w:val="1"/>
                <w:color w:val="auto"/>
              </w:rPr>
            </w:pPr>
          </w:p>
        </w:tc>
      </w:tr>
      <w:tr>
        <w:trPr>
          <w:trHeight w:val="117"/>
        </w:trPr>
        <w:tc>
          <w:tcPr>
            <w:tcW w:w="380" w:type="dxa"/>
            <w:vAlign w:val="bottom"/>
            <w:tcBorders>
              <w:top w:val="single" w:sz="8" w:color="0000EE"/>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8</w:t>
            </w:r>
          </w:p>
        </w:tc>
        <w:tc>
          <w:tcPr>
            <w:tcW w:w="520" w:type="dxa"/>
            <w:vAlign w:val="bottom"/>
            <w:gridSpan w:val="2"/>
            <w:shd w:val="clear" w:color="auto" w:fill="CCEEFF"/>
          </w:tcPr>
          <w:p>
            <w:pPr>
              <w:spacing w:after="0"/>
              <w:rPr>
                <w:sz w:val="10"/>
                <w:szCs w:val="10"/>
                <w:color w:val="auto"/>
              </w:rPr>
            </w:pPr>
          </w:p>
        </w:tc>
        <w:tc>
          <w:tcPr>
            <w:tcW w:w="2900" w:type="dxa"/>
            <w:vAlign w:val="bottom"/>
            <w:tcBorders>
              <w:top w:val="single" w:sz="8" w:color="0000EE"/>
            </w:tcBorders>
            <w:gridSpan w:val="1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Financial Statements and Supplementary Data</w:t>
            </w:r>
          </w:p>
        </w:tc>
        <w:tc>
          <w:tcPr>
            <w:tcW w:w="4820" w:type="dxa"/>
            <w:vAlign w:val="bottom"/>
            <w:gridSpan w:val="6"/>
            <w:shd w:val="clear" w:color="auto" w:fill="CCEEFF"/>
          </w:tcPr>
          <w:p>
            <w:pPr>
              <w:spacing w:after="0"/>
              <w:rPr>
                <w:sz w:val="10"/>
                <w:szCs w:val="10"/>
                <w:color w:val="auto"/>
              </w:rPr>
            </w:pP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9</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Changes in and Disagreements with Accountants on Accounting and Financial Disclosure</w:t>
            </w:r>
          </w:p>
        </w:tc>
        <w:tc>
          <w:tcPr>
            <w:tcW w:w="2680" w:type="dxa"/>
            <w:vAlign w:val="bottom"/>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131</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80" w:type="dxa"/>
            <w:vAlign w:val="bottom"/>
            <w:tcBorders>
              <w:right w:val="single" w:sz="8" w:color="0000EE"/>
            </w:tcBorders>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9A</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Controls and Procedures</w:t>
            </w: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131</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9B</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Other Information</w:t>
            </w:r>
          </w:p>
        </w:tc>
        <w:tc>
          <w:tcPr>
            <w:tcW w:w="2680" w:type="dxa"/>
            <w:vAlign w:val="bottom"/>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131</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9C</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Disclosure Regarding Foreign Jurisdictions that Prevent Inspections</w:t>
            </w: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131</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9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PART III</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10</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Directors, Executive Officers and Corporate Governance</w:t>
            </w: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132</w:t>
            </w:r>
          </w:p>
        </w:tc>
        <w:tc>
          <w:tcPr>
            <w:tcW w:w="0" w:type="dxa"/>
            <w:vAlign w:val="bottom"/>
          </w:tcPr>
          <w:p>
            <w:pPr>
              <w:spacing w:after="0"/>
              <w:rPr>
                <w:sz w:val="1"/>
                <w:szCs w:val="1"/>
                <w:color w:val="auto"/>
              </w:rPr>
            </w:pPr>
          </w:p>
        </w:tc>
      </w:tr>
      <w:tr>
        <w:trPr>
          <w:trHeight w:val="117"/>
        </w:trPr>
        <w:tc>
          <w:tcPr>
            <w:tcW w:w="300" w:type="dxa"/>
            <w:vAlign w:val="bottom"/>
            <w:tcBorders>
              <w:top w:val="single" w:sz="8" w:color="0000EE"/>
            </w:tcBorders>
          </w:tcPr>
          <w:p>
            <w:pPr>
              <w:spacing w:after="0" w:line="117" w:lineRule="exact"/>
              <w:rPr>
                <w:sz w:val="20"/>
                <w:szCs w:val="20"/>
                <w:color w:val="auto"/>
              </w:rPr>
            </w:pPr>
            <w:r>
              <w:rPr>
                <w:rFonts w:ascii="Times New Roman" w:cs="Times New Roman" w:eastAsia="Times New Roman" w:hAnsi="Times New Roman"/>
                <w:sz w:val="12"/>
                <w:szCs w:val="12"/>
                <w:color w:val="0000EE"/>
                <w:w w:val="70"/>
              </w:rPr>
              <w:t>Item 11</w:t>
            </w:r>
          </w:p>
        </w:tc>
        <w:tc>
          <w:tcPr>
            <w:tcW w:w="600" w:type="dxa"/>
            <w:vAlign w:val="bottom"/>
            <w:tcBorders>
              <w:top w:val="single" w:sz="8" w:color="CCEEFF"/>
            </w:tcBorders>
            <w:gridSpan w:val="3"/>
          </w:tcPr>
          <w:p>
            <w:pPr>
              <w:spacing w:after="0"/>
              <w:rPr>
                <w:sz w:val="10"/>
                <w:szCs w:val="10"/>
                <w:color w:val="auto"/>
              </w:rPr>
            </w:pPr>
          </w:p>
        </w:tc>
        <w:tc>
          <w:tcPr>
            <w:tcW w:w="2720" w:type="dxa"/>
            <w:vAlign w:val="bottom"/>
            <w:tcBorders>
              <w:top w:val="single" w:sz="8" w:color="0000EE"/>
            </w:tcBorders>
            <w:gridSpan w:val="11"/>
          </w:tcPr>
          <w:p>
            <w:pPr>
              <w:spacing w:after="0" w:line="117" w:lineRule="exact"/>
              <w:rPr>
                <w:sz w:val="20"/>
                <w:szCs w:val="20"/>
                <w:color w:val="auto"/>
              </w:rPr>
            </w:pPr>
            <w:r>
              <w:rPr>
                <w:rFonts w:ascii="Times New Roman" w:cs="Times New Roman" w:eastAsia="Times New Roman" w:hAnsi="Times New Roman"/>
                <w:sz w:val="12"/>
                <w:szCs w:val="12"/>
                <w:color w:val="0000EE"/>
              </w:rPr>
              <w:t>Executive Compensation</w:t>
            </w:r>
          </w:p>
        </w:tc>
        <w:tc>
          <w:tcPr>
            <w:tcW w:w="5000" w:type="dxa"/>
            <w:vAlign w:val="bottom"/>
            <w:tcBorders>
              <w:top w:val="single" w:sz="8" w:color="CCEEFF"/>
            </w:tcBorders>
            <w:gridSpan w:val="7"/>
          </w:tcPr>
          <w:p>
            <w:pPr>
              <w:spacing w:after="0"/>
              <w:rPr>
                <w:sz w:val="10"/>
                <w:szCs w:val="10"/>
                <w:color w:val="auto"/>
              </w:rPr>
            </w:pPr>
          </w:p>
        </w:tc>
        <w:tc>
          <w:tcPr>
            <w:tcW w:w="2680" w:type="dxa"/>
            <w:vAlign w:val="bottom"/>
            <w:tcBorders>
              <w:top w:val="single" w:sz="8" w:color="CCEEFF"/>
            </w:tcBorders>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132</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12</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Security Ownership of Certain Beneficial Owners and Management and Related Stockholder Matters</w:t>
            </w: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132</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8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13</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Certain Relationships and Related Transactions, and Director Independence</w:t>
            </w:r>
          </w:p>
        </w:tc>
        <w:tc>
          <w:tcPr>
            <w:tcW w:w="2680" w:type="dxa"/>
            <w:vAlign w:val="bottom"/>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132</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14</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Principal Accountant Fees and Services</w:t>
            </w: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132</w:t>
            </w:r>
          </w:p>
        </w:tc>
        <w:tc>
          <w:tcPr>
            <w:tcW w:w="0" w:type="dxa"/>
            <w:vAlign w:val="bottom"/>
          </w:tcPr>
          <w:p>
            <w:pPr>
              <w:spacing w:after="0"/>
              <w:rPr>
                <w:sz w:val="1"/>
                <w:szCs w:val="1"/>
                <w:color w:val="auto"/>
              </w:rPr>
            </w:pPr>
          </w:p>
        </w:tc>
      </w:tr>
      <w:tr>
        <w:trPr>
          <w:trHeight w:val="144"/>
        </w:trPr>
        <w:tc>
          <w:tcPr>
            <w:tcW w:w="3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w w:val="74"/>
              </w:rPr>
              <w:t>Part IV</w:t>
            </w:r>
          </w:p>
        </w:tc>
        <w:tc>
          <w:tcPr>
            <w:tcW w:w="600" w:type="dxa"/>
            <w:vAlign w:val="bottom"/>
            <w:tcBorders>
              <w:top w:val="single" w:sz="8" w:color="CCEEFF"/>
            </w:tcBorders>
            <w:gridSpan w:val="3"/>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2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15</w:t>
            </w:r>
          </w:p>
        </w:tc>
        <w:tc>
          <w:tcPr>
            <w:tcW w:w="7720" w:type="dxa"/>
            <w:vAlign w:val="bottom"/>
            <w:gridSpan w:val="1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Exhibits and Financial Statement Schedules</w:t>
            </w: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133</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0000EE"/>
              </w:rPr>
              <w:t>Item 16</w:t>
            </w:r>
          </w:p>
        </w:tc>
        <w:tc>
          <w:tcPr>
            <w:tcW w:w="7720" w:type="dxa"/>
            <w:vAlign w:val="bottom"/>
            <w:gridSpan w:val="18"/>
          </w:tcPr>
          <w:p>
            <w:pPr>
              <w:spacing w:after="0" w:line="117" w:lineRule="exact"/>
              <w:rPr>
                <w:sz w:val="20"/>
                <w:szCs w:val="20"/>
                <w:color w:val="auto"/>
              </w:rPr>
            </w:pPr>
            <w:r>
              <w:rPr>
                <w:rFonts w:ascii="Times New Roman" w:cs="Times New Roman" w:eastAsia="Times New Roman" w:hAnsi="Times New Roman"/>
                <w:sz w:val="12"/>
                <w:szCs w:val="12"/>
                <w:color w:val="0000EE"/>
              </w:rPr>
              <w:t>Form 10-K Summary</w:t>
            </w:r>
          </w:p>
        </w:tc>
        <w:tc>
          <w:tcPr>
            <w:tcW w:w="2680" w:type="dxa"/>
            <w:vAlign w:val="bottom"/>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133</w:t>
            </w:r>
          </w:p>
        </w:tc>
        <w:tc>
          <w:tcPr>
            <w:tcW w:w="0" w:type="dxa"/>
            <w:vAlign w:val="bottom"/>
          </w:tcPr>
          <w:p>
            <w:pPr>
              <w:spacing w:after="0"/>
              <w:rPr>
                <w:sz w:val="1"/>
                <w:szCs w:val="1"/>
                <w:color w:val="auto"/>
              </w:rPr>
            </w:pPr>
          </w:p>
        </w:tc>
      </w:tr>
      <w:tr>
        <w:trPr>
          <w:trHeight w:val="27"/>
        </w:trPr>
        <w:tc>
          <w:tcPr>
            <w:tcW w:w="3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SIGNATURES</w:t>
            </w: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2680" w:type="dxa"/>
            <w:vAlign w:val="bottom"/>
            <w:shd w:val="clear" w:color="auto" w:fill="CCEEFF"/>
          </w:tcPr>
          <w:p>
            <w:pPr>
              <w:jc w:val="center"/>
              <w:ind w:left="1720"/>
              <w:spacing w:after="0" w:line="117" w:lineRule="exact"/>
              <w:rPr>
                <w:sz w:val="20"/>
                <w:szCs w:val="20"/>
                <w:color w:val="auto"/>
              </w:rPr>
            </w:pPr>
            <w:r>
              <w:rPr>
                <w:rFonts w:ascii="Times New Roman" w:cs="Times New Roman" w:eastAsia="Times New Roman" w:hAnsi="Times New Roman"/>
                <w:sz w:val="12"/>
                <w:szCs w:val="12"/>
                <w:color w:val="auto"/>
                <w:w w:val="99"/>
              </w:rPr>
              <w:t>134</w:t>
            </w:r>
          </w:p>
        </w:tc>
        <w:tc>
          <w:tcPr>
            <w:tcW w:w="0" w:type="dxa"/>
            <w:vAlign w:val="bottom"/>
          </w:tcPr>
          <w:p>
            <w:pPr>
              <w:spacing w:after="0"/>
              <w:rPr>
                <w:sz w:val="1"/>
                <w:szCs w:val="1"/>
                <w:color w:val="auto"/>
              </w:rPr>
            </w:pPr>
          </w:p>
        </w:tc>
      </w:tr>
      <w:tr>
        <w:trPr>
          <w:trHeight w:val="370"/>
        </w:trPr>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860" w:type="dxa"/>
            <w:vAlign w:val="bottom"/>
            <w:tcBorders>
              <w:top w:val="single" w:sz="8" w:color="CCEEFF"/>
            </w:tcBorders>
            <w:gridSpan w:val="16"/>
          </w:tcPr>
          <w:p>
            <w:pPr>
              <w:jc w:val="center"/>
              <w:ind w:left="4561"/>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Some of the statements in this annual report on Form 10-K constitute forward-looking statements because they relate to future events or our future performance or financial condition. The forward-looking statements contained in this annual report on Form 10-K may include statements as to:</w:t>
      </w:r>
    </w:p>
    <w:p>
      <w:pPr>
        <w:spacing w:after="0" w:line="111" w:lineRule="exact"/>
        <w:rPr>
          <w:sz w:val="20"/>
          <w:szCs w:val="20"/>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operating results and distribution projections;</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Chicago Atlantic BDC Advisers, LLC (the “Adviser”) to attract and retain highly talented professionals;</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prospects and the prospects of our portfolio companies;</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interest and inflation rates on our business prospects and the prospects of our portfolio companies;</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investments that we expect to make;</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portfolio companies to achieve their objectives;</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expected financings and investments and the timing of our investments in our initial portfolio;</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regulation impacting the cannabis industry;</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of our cash resources and working capital;</w:t>
      </w:r>
    </w:p>
    <w:p>
      <w:pPr>
        <w:spacing w:after="0" w:line="150"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cash flows, if any, from the operations of our portfolio companies; and</w:t>
      </w:r>
    </w:p>
    <w:p>
      <w:pPr>
        <w:spacing w:after="0" w:line="150" w:lineRule="exact"/>
        <w:rPr>
          <w:rFonts w:ascii="Times New Roman" w:cs="Times New Roman" w:eastAsia="Times New Roman" w:hAnsi="Times New Roman"/>
          <w:sz w:val="12"/>
          <w:szCs w:val="12"/>
          <w:color w:val="auto"/>
        </w:rPr>
      </w:pPr>
    </w:p>
    <w:p>
      <w:pPr>
        <w:ind w:left="8" w:hanging="8"/>
        <w:spacing w:after="0" w:line="279" w:lineRule="auto"/>
        <w:tabs>
          <w:tab w:leader="none" w:pos="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realize benefits anticipated by the Loan Portfolio Acquisition (as defined below). See “Note 13 – Loan Portfolio Acquisition” in the notes to the financial statements included with this annual report on Form 10-K for further information regarding the Loan Portfolio Acquisition.</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addition, words such as “anticipate,” “believe,” “expect,” “seek,” “plan,” “should,” “estimate,” “project” and “intend” indicate forward-looking statements, although not all forward-looking statements include these words. The forward-looking statements contained in this annual report on Form 10-K involve risks and uncertainties. Our actual results could differ materially from those implied or expressed in the forward-looking statements for any reason, including the factors set forth in “Item 1A. Risk Factors” and elsewhere in this annual report on Form 10-K. Other factors that could cause actual results to differ materially include:</w:t>
      </w:r>
    </w:p>
    <w:p>
      <w:pPr>
        <w:spacing w:after="0" w:line="119" w:lineRule="exact"/>
        <w:rPr>
          <w:sz w:val="20"/>
          <w:szCs w:val="20"/>
          <w:color w:val="auto"/>
        </w:rPr>
      </w:pPr>
    </w:p>
    <w:p>
      <w:pPr>
        <w:ind w:left="68" w:hanging="68"/>
        <w:spacing w:after="0"/>
        <w:tabs>
          <w:tab w:leader="none" w:pos="6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or potential disruptions in our operations, the economy, financial markets or political environment;</w:t>
      </w:r>
    </w:p>
    <w:p>
      <w:pPr>
        <w:spacing w:after="0" w:line="150" w:lineRule="exact"/>
        <w:rPr>
          <w:rFonts w:ascii="Times New Roman" w:cs="Times New Roman" w:eastAsia="Times New Roman" w:hAnsi="Times New Roman"/>
          <w:sz w:val="12"/>
          <w:szCs w:val="12"/>
          <w:color w:val="auto"/>
        </w:rPr>
      </w:pPr>
    </w:p>
    <w:p>
      <w:pPr>
        <w:ind w:left="8" w:hanging="8"/>
        <w:spacing w:after="0" w:line="279" w:lineRule="auto"/>
        <w:tabs>
          <w:tab w:leader="none" w:pos="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w:t>
      </w:r>
    </w:p>
    <w:p>
      <w:pPr>
        <w:spacing w:after="0" w:line="111"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information technology system failures, data security breaches, data privacy compliance, network disruptions, and cybersecurity attacks;</w:t>
      </w:r>
    </w:p>
    <w:p>
      <w:pPr>
        <w:spacing w:after="0" w:line="150" w:lineRule="exact"/>
        <w:rPr>
          <w:rFonts w:ascii="Times New Roman" w:cs="Times New Roman" w:eastAsia="Times New Roman" w:hAnsi="Times New Roman"/>
          <w:sz w:val="12"/>
          <w:szCs w:val="12"/>
          <w:color w:val="auto"/>
        </w:rPr>
      </w:pPr>
    </w:p>
    <w:p>
      <w:pPr>
        <w:ind w:left="8" w:hanging="8"/>
        <w:spacing w:after="0" w:line="279" w:lineRule="auto"/>
        <w:tabs>
          <w:tab w:leader="none" w:pos="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111"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considerations that may be disclosed from time to time in our publicly disseminated documents and filings.</w:t>
      </w:r>
    </w:p>
    <w:p>
      <w:pPr>
        <w:spacing w:after="0" w:line="150"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We have based the forward-looking statements included in this annual report on Form 10-K on information available to us on the date of this annual report on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annual report on Form 10-K are excluded from the safe harbor protection provided by Section 21E of the Securities Exchange Act of 1934, as amended (the “Exchange Act”).</w:t>
      </w: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0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Organization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Chicago Atlantic BDC, Inc. (formerly, Silver Spike Investment Corp.), incorporated in Maryland on January 25, 2021, is structured as an externally managed, closed-end, non-diversified management investment company. We have elected to be treated as a business development company (“BDC”) under the Investment Company Act of 1940, as amended (“1940 Act”). In addition, for U.S. federal income tax purposes, we have elected to be treated, and intend to qualify annually to be treated, as a regulated investment company (“RIC”) under Subchapter M of the Internal Revenue Code of 1986, as amended (the “Code”), commencing with our taxable year ended March 31, 2022. See “— Material U.S. Federal Income Tax Considerations—Taxation as a Regulated Investment Company.” Also, we are an “emerging growth company,” as defined in the JOBS Act, and intend to take advantage of certain exemptions for emerging growth companies allowing us to temporarily forego the auditor attestation requirements of Section 404(b) of the Sarbanes-Oxley Act of 2002.</w:t>
      </w:r>
    </w:p>
    <w:p>
      <w:pPr>
        <w:spacing w:after="0" w:line="12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February 8, 2022, we completed our initial public offering (“IPO”) of 6,071,429 shares of our common stock, par value $0.01, at a price of $14.00 per share. We commenced operations on February 8, 2022, receiving approximately $83.3 million in total net proceeds from the offering, after deducting estimated organizational and offering expenses.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25, 2022, the underwriters of the IPO exercised their option to purchase an additional 142,857 shares of common stock from the Company. The partial exercise of the over-allotment option closed on March 1, 2022, resulting in additional gross proceeds to the Company of approximately $2 million, before deducting offering expenses payable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4, 2022, our common stock began trading on the Nasdaq Global Market. Since October 2, 2024, our common stock trades on the Nasdaq Global Market under the symbol “LIEN.”</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February 20, 2024, the Company announced that the Board of Directors of the Company (the “Board”) unanimously approved an expansion of the Company’s investment strategy to permit investments in companies outside of the cannabis and health and wellness sectors that otherwise meet the Company’s investment criteria. The investment strategy change became effective on April 22, 2024.</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See “Note 13 – Loan Portfolio Acquisition” in the notes to the financial statements included with this annual report on Form 10-K for further information regarding the Loan Portfolio Acquisition.</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 As the Joint Venture caused the automatic termination of the prior investment advisory agreement between the Company and the Adviser (the “Prior Investment Advisory Agreement”), a new investment advisory agreement between the Company and the Adviser (the “New Investment Advisory Agreement”), which was approved by the Board, upon the recommendation of its special committee, and the Company’s stockholders, took effect upon the closing of the Joint Venture. The New Investment Advisory Agreement has the same base management and incentive fee as, and otherwise does not materially differ from, the Prior Investment Advisory Agreement.</w:t>
      </w:r>
    </w:p>
    <w:p>
      <w:pPr>
        <w:spacing w:after="0" w:line="1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On October 1, 2024, in connection with the New Investment Advisory Agreement, the Company entered into a new license agreement (the “New License Agreement”) with the Adviser pursuant to which the Adviser has agreed to grant the Company a nonexclusive, royalty-free license to use the name “Chicago Atlantic.” Under the New License Agreement, the Company will have a right to use the “Chicago Atlantic” name, for so long as the Adviser or one of its affiliates remains the Company’s investment adviser. Other than with respect to this limited license, the Company will have no legal right to the “Chicago Atlantic” name. The New License Agreement does not materially differ from the prior license agreement between the Company and the Adviser, other than with respect to the licensed name.</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October 1, 2024, in connection with the New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September 30, 2025. 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connection with the Loan Portfolio Acquisition and the Joint Venture, the Board and the officers of the Company changed as follows: (i) Frederick C. Herbst (Independent Director), John Mazarakis (Partner at Chicago Atlantic), and Jason Papastavrou (Independent Director) joined the Board, to serve until the 2025, 2026, and 2027 annual meetings of stockholders, respectively, and until their respective successors are duly elected and qualified; (ii) Andreas Bodmeier (Partner at Chicago Atlantic) replaced Mr. Gordon as Chief Executive Officer of the Company; (iii) Mr. Gordon became Executive Chairman of the Board and Co-Chief Investment Officer of the Company; (iv) Umesh Mahajan became Co-Chief Investment Officer of the Company in addition to remaining Chief Financial Officer and Secretary of the Company; and (v) Dino Colonna (Partner at the Adviser) became the President of the Company. Each officer of the Company will serve until his successor has been duly elected and qualified, or until the earlier of his resignation or removal.</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See “Item 1A. Risk Factors— 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$644 million of potential investments in varying stages of underwriting.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describes the four primary current sub-strategies of our principal investment strategy. We are not required to have a minimum investment in any of these sub-strategies.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Cannabis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Adviser seeks to invest in cannabis companies that it believes have some or all of the following characteristics:</w:t>
      </w:r>
    </w:p>
    <w:p>
      <w:pPr>
        <w:spacing w:after="0" w:line="150"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Growth or EBITDA positive entities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require capital but do not want to dilute their equity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showing strong cash flow performance with low leverage profiles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that tend to be attractively priced and have better than normal covenants and amortization due to complexity of the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enterprise value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Growth &amp; Technology</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Adviser seeks to invest in growth and technology focused companies that it believes have some or all of the following characteristics:</w:t>
      </w:r>
    </w:p>
    <w:p>
      <w:pPr>
        <w:spacing w:after="0" w:line="150"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Industry leaders and disruptive companies experiencing strong growth</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have raised significant equity capital validating market value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Industry focus typically includes software, hardware, e-commerce, direct to consumer and other fast-growing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Liquidity covenants that ensure such company has adequate cash runway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enterprise value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Profitable or demonstrated path to near term profitability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Esoteric &amp; Asset-Based Lending</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Adviser seeks to invest in esoteric industries or companies in need of asset-based loans that it believes have some or all of the following characteristics:</w:t>
      </w:r>
    </w:p>
    <w:p>
      <w:pPr>
        <w:spacing w:after="0" w:line="15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showing strong cash flow performance with low leverage profiles, but the industries carry regulatory, reputational or other risks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with attractive assets, including, but not limited to, accounts receivable, equipment or real estate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that tend to be attractively priced and have better than normal covenants and amortization due to complexity of the industry or situation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asset value and/or enterprise value ratios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Liquidity Solutions</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Adviser seeks to invest in liquidity solutions opportunities that it believes have some or all of the following characteristics:</w:t>
      </w:r>
    </w:p>
    <w:p>
      <w:pPr>
        <w:spacing w:after="0" w:line="15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Financing is typically event driven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pursuing a merger, acquisition, refinancing, dividend recap, or other strategic liquidity need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showing strong cash flow performance with low leverage profiles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have multiple areas of value and liquidity in addition to the underlying business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enterprise value ratios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 of our investment policies are fundamental, and thus may be changed without stockholder approval.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Adviser and Administrator – Chicago Atlantic BDC Advisers, LLC</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Chicago Atlantic BDC Advisers, LLC serves as our investment adviser pursuant to an investment advisory agreement between us and the Adviser (the “Investment Advisory Agreement”). See “—Investment Advisory Agreement.” The Adviser also serves as our Administrator pursuant to an administration agreement (the “Administration Agreement”) between us and the Adviser. See “—Administration Agreement.” The Adviser is a Delaware limited liability company that is registered with the SEC as an investment adviser under the Investment Advisers Act of 1940, as amended (the “Advisers Act”). The Adviser is an affiliate of Chicago Atlantic and part of Chicago Atlantic’s credit platform, which focuses on direct lending.</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Adviser’s investment team (the “Investment Team”) is led by Andreas Bodmeier, Scott Gordon, Umesh Mahajan, John Mazarakis and Peter Sack, and is supported by certain members of the Adviser’s senior leadership team and Chicago Atlantic’s credit platform’s investment committees. The Investment Team sources investment opportunities, conducts research, performs due diligence on potential investments, structures the Company’s investments and monitors the Company’s portfolio companies on an ongoing basis. Subject to the overall supervision of our Board of Directors, the Adviser manages our day-to-day operations, and provides investment advisory and management services to us.</w:t>
      </w:r>
    </w:p>
    <w:p>
      <w:pPr>
        <w:spacing w:after="0" w:line="12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As of December 31, 2024, Chicago Atlantic managed $1.9 billion Capital Under Management (total committed investor capital, total available leverage including undrawn capital, and capital invested by co-investors and managed by the firm). Chicago Atlantic is an alternative investment manager focused on industries and companies where demand for capital exceeds traditional supply. Chicago Atlantic’s investment strategies include opportunistic private credit and equity with focuses on loans to esoteric industries, specialty asset-based loans, liquidity solutions and growth and technology finance. We refer to the Company, Chicago Atlantic Real Estate Finance, Inc. (NASDAQ: REFI)</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and the private funds and separately managed accounts managed by Chicago Atlantic as the “Chicago Atlantic Credit Clients.”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Chicago Atlantic Credit Clients may have overlapping objectives with us. The Adviser and its affiliates may face conflicts in the allocation of investment opportunities to us and others. In order to address these conflicts, Chicago Atlantic has put in place an investment allocation policy that addresses the allocation of investment opportunities as well as co-investment restrictions under the 1940 Act. See “—Material Conflicts of Interest.”</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addition, we rely on an order for exemptive relief (the “Order”) that has been granted to the Adviser and its affiliates by the SEC to co-invest with other funds managed by the Adviser or its affiliates in a manner consistent with our investment objective, positions, policies, strategies and restrictions as well as regulatory requirements and other pertinent factors. Pursuant to such exemptive relief, we generally are permitted to co-invest with certain of our affiliates if a “required majority” (as defined in Section 57(o) of the 1940 Act) of our directors who are not “interested persons,” as defined in Section 2(a)(19) of the 1940 Act (the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parties to the transaction), except to the extent permitted by the exemptive relief and applicable law, including the limitations set forth in Section 57(k) of the 1940 Act.</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Chicago Atlantic’s allocation policy incorporates the conditions of the Order. As a result of the Order, there could be significant overlap in our investment portfolio and the investment portfolio of the Chicago Atlantic Credit Clients that could avail themselves of the exemptive relief and that have an investment objective similar to ours. See “Item 1A. Risk Factors - Risks Relating to Conflicts of Interest – There are significant potential conflicts of interest that could adversely impact our investment returns.”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Adviser or its affiliates may engage in certain origination activities and receive attendant arrangement, structuring or similar fees from portfolio companies. See “Item 1A. Risk Factors - Risks Relating to Conflicts of Interest – Our Adviser and its affiliates may face conflicts of interest with respect to services performed for issuers in which we may invest.”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Cannabis Market Overview</w:t>
      </w:r>
    </w:p>
    <w:p>
      <w:pPr>
        <w:spacing w:after="0" w:line="15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The cannabis industry has experienced significant growth over the last several years. Canada legalized cannabis for adult use in 2018, and forty states and several territories, have legalized some form of whole-plant cannabis cultivation, sales and use for certain medical or recreational purposes. The cannabis industry is still in the early stages of its development and should continue to achieve significant growth both domestically and internationally over the coming years. 2024 estimated U.S. state-legal cannabis retail sales reached $32 billion, and is expected to reach approximately $58 billion by 2030.</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We believe continued legalization of cannabis and the normalization of cannabis and its many uses - therapeutic, recreational and general health and wellness, are creating an attractive opportunity to invest in related businesses. At the same time, the cannabis industry is highly fragmented and subject to a complex regulatory framework, creating significant barriers to entry.</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transition of the cannabis and derivative products to a regulated and legal marketplace has been happening at a rapid pace over recent years, with full legalization in Canada (2018) and legislative momentum continuing to expand the U.S. market. There have been hundreds of businesses launched across various sub-sectors of the cannabis industry, many of which have raised significant amounts of capital, mainly from retail and family office investors, in both public and private markets. In addition, large multinational alcohol and tobacco companies have made strategic investments into the Canadian cannabis sector to diversify their core business while protecting against potential market share loss to cannabis.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Broadly speaking, the cannabis industry is still in its early stages, and we believe that businesses with strong management teams, deep operational expertise and financial acumen will thrive in this large and growing market. As cannabis markets continue to grow, there will be increased demand for capital on behalf of cannabis industry operators and ancillary companies serving the industry.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cannabis capital markets, both credit and equity, are still currently dominated by small funds and family offices, which we believe lack the experience and capital to navigate such a dynamic and complex environment. Furthermore, the vast majority of banks and institutional investment funds are not lending to the cannabis industry, given the current regulatory environment, creating a void in the market for credit-based solutions.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Historically, cannabis firms have funded operations with equity, but as the industry matures and companies become more sensitive to equity dilution, we expect demand for credit-based solutions to increase. Market turbulence also added to the significant decrease in total capital raised for the cannabis industry in recent years and has driven debt capital to increase significantly as a percentage of total capital raised. The reliance on debt financing is something we expect to continue until significant reform is enacted at the federal level.</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cannabis industry entered 2024, as in past years, with optimism for partial federal reform driven by a legislative process, but these hopes quickly faded over the first few months of the year as progress seemed to stall among congressional leaders. There were also high hopes for rescheduling cannabis from Schedule I to Schedule III of the Controlled Substances Act, but progress stalled towards the end of the year as hearings were delayed and it seemed that the DEA may not have been fully supporting the initiative. Rescheduling cannabis to Schedule III would have provided significant tax relief to the industry, but the outlook for the process and the ultimate outcome remains murky at best.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Public and Private Cannabis Capital Raises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78040" cy="765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76581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40" w:type="dxa"/>
            <w:vAlign w:val="bottom"/>
            <w:gridSpan w:val="2"/>
          </w:tcPr>
          <w:p>
            <w:pPr>
              <w:ind w:left="1740"/>
              <w:spacing w:after="0"/>
              <w:rPr>
                <w:sz w:val="20"/>
                <w:szCs w:val="20"/>
                <w:color w:val="auto"/>
              </w:rPr>
            </w:pPr>
            <w:r>
              <w:rPr>
                <w:rFonts w:ascii="Times New Roman" w:cs="Times New Roman" w:eastAsia="Times New Roman" w:hAnsi="Times New Roman"/>
                <w:sz w:val="12"/>
                <w:szCs w:val="12"/>
                <w:b w:val="1"/>
                <w:bCs w:val="1"/>
                <w:color w:val="auto"/>
              </w:rPr>
              <w:t>Year</w:t>
            </w:r>
          </w:p>
        </w:tc>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Equity (in billions)</w:t>
            </w: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Debt (in billions)</w:t>
            </w:r>
          </w:p>
        </w:tc>
        <w:tc>
          <w:tcPr>
            <w:tcW w:w="20" w:type="dxa"/>
            <w:vAlign w:val="bottom"/>
          </w:tcPr>
          <w:p>
            <w:pPr>
              <w:spacing w:after="0"/>
              <w:rPr>
                <w:sz w:val="13"/>
                <w:szCs w:val="13"/>
                <w:color w:val="auto"/>
              </w:rPr>
            </w:pPr>
          </w:p>
        </w:tc>
      </w:tr>
      <w:tr>
        <w:trPr>
          <w:trHeight w:val="142"/>
        </w:trPr>
        <w:tc>
          <w:tcPr>
            <w:tcW w:w="372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tcBorders>
              <w:top w:val="single" w:sz="8" w:color="CCEEFF"/>
            </w:tcBorders>
            <w:shd w:val="clear" w:color="auto" w:fill="CCEEFF"/>
          </w:tcPr>
          <w:p>
            <w:pPr>
              <w:spacing w:after="0"/>
              <w:rPr>
                <w:sz w:val="12"/>
                <w:szCs w:val="12"/>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$1.1</w:t>
            </w:r>
          </w:p>
        </w:tc>
        <w:tc>
          <w:tcPr>
            <w:tcW w:w="20" w:type="dxa"/>
            <w:vAlign w:val="bottom"/>
            <w:tcBorders>
              <w:top w:val="single" w:sz="8" w:color="auto"/>
            </w:tcBorders>
          </w:tcPr>
          <w:p>
            <w:pPr>
              <w:spacing w:after="0"/>
              <w:rPr>
                <w:sz w:val="12"/>
                <w:szCs w:val="12"/>
                <w:color w:val="auto"/>
              </w:rPr>
            </w:pPr>
          </w:p>
        </w:tc>
      </w:tr>
      <w:tr>
        <w:trPr>
          <w:trHeight w:val="144"/>
        </w:trPr>
        <w:tc>
          <w:tcPr>
            <w:tcW w:w="372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$1.3</w:t>
            </w:r>
          </w:p>
        </w:tc>
        <w:tc>
          <w:tcPr>
            <w:tcW w:w="20" w:type="dxa"/>
            <w:vAlign w:val="bottom"/>
          </w:tcPr>
          <w:p>
            <w:pPr>
              <w:spacing w:after="0"/>
              <w:rPr>
                <w:sz w:val="12"/>
                <w:szCs w:val="12"/>
                <w:color w:val="auto"/>
              </w:rPr>
            </w:pPr>
          </w:p>
        </w:tc>
      </w:tr>
      <w:tr>
        <w:trPr>
          <w:trHeight w:val="144"/>
        </w:trPr>
        <w:tc>
          <w:tcPr>
            <w:tcW w:w="37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CEEFF"/>
          </w:tcPr>
          <w:p>
            <w:pPr>
              <w:spacing w:after="0"/>
              <w:rPr>
                <w:sz w:val="12"/>
                <w:szCs w:val="12"/>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$3.8</w:t>
            </w:r>
          </w:p>
        </w:tc>
        <w:tc>
          <w:tcPr>
            <w:tcW w:w="20" w:type="dxa"/>
            <w:vAlign w:val="bottom"/>
          </w:tcPr>
          <w:p>
            <w:pPr>
              <w:spacing w:after="0"/>
              <w:rPr>
                <w:sz w:val="12"/>
                <w:szCs w:val="12"/>
                <w:color w:val="auto"/>
              </w:rPr>
            </w:pPr>
          </w:p>
        </w:tc>
      </w:tr>
      <w:tr>
        <w:trPr>
          <w:trHeight w:val="144"/>
        </w:trPr>
        <w:tc>
          <w:tcPr>
            <w:tcW w:w="372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$2.0</w:t>
            </w:r>
          </w:p>
        </w:tc>
        <w:tc>
          <w:tcPr>
            <w:tcW w:w="20" w:type="dxa"/>
            <w:vAlign w:val="bottom"/>
          </w:tcPr>
          <w:p>
            <w:pPr>
              <w:spacing w:after="0"/>
              <w:rPr>
                <w:sz w:val="12"/>
                <w:szCs w:val="12"/>
                <w:color w:val="auto"/>
              </w:rPr>
            </w:pPr>
          </w:p>
        </w:tc>
      </w:tr>
      <w:tr>
        <w:trPr>
          <w:trHeight w:val="144"/>
        </w:trPr>
        <w:tc>
          <w:tcPr>
            <w:tcW w:w="37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EFF"/>
          </w:tcPr>
          <w:p>
            <w:pPr>
              <w:spacing w:after="0"/>
              <w:rPr>
                <w:sz w:val="12"/>
                <w:szCs w:val="12"/>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$0.6</w:t>
            </w:r>
          </w:p>
        </w:tc>
        <w:tc>
          <w:tcPr>
            <w:tcW w:w="20" w:type="dxa"/>
            <w:vAlign w:val="bottom"/>
          </w:tcPr>
          <w:p>
            <w:pPr>
              <w:spacing w:after="0"/>
              <w:rPr>
                <w:sz w:val="12"/>
                <w:szCs w:val="12"/>
                <w:color w:val="auto"/>
              </w:rPr>
            </w:pPr>
          </w:p>
        </w:tc>
      </w:tr>
      <w:tr>
        <w:trPr>
          <w:trHeight w:val="145"/>
        </w:trPr>
        <w:tc>
          <w:tcPr>
            <w:tcW w:w="372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$0.5</w:t>
            </w:r>
          </w:p>
        </w:tc>
        <w:tc>
          <w:tcPr>
            <w:tcW w:w="12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w:t>
            </w:r>
          </w:p>
        </w:tc>
        <w:tc>
          <w:tcPr>
            <w:tcW w:w="20" w:type="dxa"/>
            <w:vAlign w:val="bottom"/>
          </w:tcPr>
          <w:p>
            <w:pPr>
              <w:spacing w:after="0"/>
              <w:rPr>
                <w:sz w:val="12"/>
                <w:szCs w:val="12"/>
                <w:color w:val="auto"/>
              </w:rPr>
            </w:pPr>
          </w:p>
        </w:tc>
      </w:tr>
    </w:tbl>
    <w:p>
      <w:pPr>
        <w:ind w:left="20"/>
        <w:spacing w:after="0"/>
        <w:rPr>
          <w:sz w:val="20"/>
          <w:szCs w:val="20"/>
          <w:color w:val="auto"/>
        </w:rPr>
      </w:pPr>
      <w:r>
        <w:rPr>
          <w:rFonts w:ascii="Times New Roman" w:cs="Times New Roman" w:eastAsia="Times New Roman" w:hAnsi="Times New Roman"/>
          <w:sz w:val="12"/>
          <w:szCs w:val="12"/>
          <w:i w:val="1"/>
          <w:iCs w:val="1"/>
          <w:color w:val="auto"/>
        </w:rPr>
        <w:t>Source: Viridian Cannabis Deal Tracker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See MJBiz Factbook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Public and Private Cannabis Mergers and Acquisitions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78040" cy="765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76581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80" w:type="dxa"/>
            <w:vAlign w:val="bottom"/>
            <w:gridSpan w:val="2"/>
          </w:tcPr>
          <w:p>
            <w:pPr>
              <w:ind w:left="26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5400" w:type="dxa"/>
            <w:vAlign w:val="bottom"/>
          </w:tcPr>
          <w:p>
            <w:pPr>
              <w:ind w:left="2560"/>
              <w:spacing w:after="0"/>
              <w:rPr>
                <w:sz w:val="20"/>
                <w:szCs w:val="20"/>
                <w:color w:val="auto"/>
              </w:rPr>
            </w:pPr>
            <w:r>
              <w:rPr>
                <w:rFonts w:ascii="Times New Roman" w:cs="Times New Roman" w:eastAsia="Times New Roman" w:hAnsi="Times New Roman"/>
                <w:sz w:val="12"/>
                <w:szCs w:val="12"/>
                <w:b w:val="1"/>
                <w:bCs w:val="1"/>
                <w:color w:val="auto"/>
              </w:rPr>
              <w:t>Deals</w:t>
            </w:r>
          </w:p>
        </w:tc>
        <w:tc>
          <w:tcPr>
            <w:tcW w:w="20" w:type="dxa"/>
            <w:vAlign w:val="bottom"/>
          </w:tcPr>
          <w:p>
            <w:pPr>
              <w:spacing w:after="0"/>
              <w:rPr>
                <w:sz w:val="13"/>
                <w:szCs w:val="13"/>
                <w:color w:val="auto"/>
              </w:rPr>
            </w:pPr>
          </w:p>
        </w:tc>
      </w:tr>
      <w:tr>
        <w:trPr>
          <w:trHeight w:val="142"/>
        </w:trPr>
        <w:tc>
          <w:tcPr>
            <w:tcW w:w="5420" w:type="dxa"/>
            <w:vAlign w:val="bottom"/>
            <w:tcBorders>
              <w:top w:val="single" w:sz="8" w:color="auto"/>
            </w:tcBorders>
            <w:shd w:val="clear" w:color="auto" w:fill="CCEEFF"/>
          </w:tcPr>
          <w:p>
            <w:pPr>
              <w:ind w:left="2600"/>
              <w:spacing w:after="0"/>
              <w:rPr>
                <w:sz w:val="20"/>
                <w:szCs w:val="20"/>
                <w:color w:val="auto"/>
              </w:rPr>
            </w:pPr>
            <w:r>
              <w:rPr>
                <w:rFonts w:ascii="Times New Roman" w:cs="Times New Roman" w:eastAsia="Times New Roman" w:hAnsi="Times New Roman"/>
                <w:sz w:val="12"/>
                <w:szCs w:val="12"/>
                <w:color w:val="auto"/>
              </w:rPr>
              <w:t>2019</w:t>
            </w:r>
          </w:p>
        </w:tc>
        <w:tc>
          <w:tcPr>
            <w:tcW w:w="460" w:type="dxa"/>
            <w:vAlign w:val="bottom"/>
            <w:tcBorders>
              <w:top w:val="single" w:sz="8" w:color="CCEEFF"/>
            </w:tcBorders>
            <w:shd w:val="clear" w:color="auto" w:fill="CCEEFF"/>
          </w:tcPr>
          <w:p>
            <w:pPr>
              <w:spacing w:after="0"/>
              <w:rPr>
                <w:sz w:val="12"/>
                <w:szCs w:val="12"/>
                <w:color w:val="auto"/>
              </w:rPr>
            </w:pPr>
          </w:p>
        </w:tc>
        <w:tc>
          <w:tcPr>
            <w:tcW w:w="5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164</w:t>
            </w:r>
          </w:p>
        </w:tc>
        <w:tc>
          <w:tcPr>
            <w:tcW w:w="20" w:type="dxa"/>
            <w:vAlign w:val="bottom"/>
            <w:tcBorders>
              <w:top w:val="single" w:sz="8" w:color="auto"/>
            </w:tcBorders>
          </w:tcPr>
          <w:p>
            <w:pPr>
              <w:spacing w:after="0"/>
              <w:rPr>
                <w:sz w:val="12"/>
                <w:szCs w:val="12"/>
                <w:color w:val="auto"/>
              </w:rPr>
            </w:pPr>
          </w:p>
        </w:tc>
      </w:tr>
      <w:tr>
        <w:trPr>
          <w:trHeight w:val="144"/>
        </w:trPr>
        <w:tc>
          <w:tcPr>
            <w:tcW w:w="5420" w:type="dxa"/>
            <w:vAlign w:val="bottom"/>
          </w:tcPr>
          <w:p>
            <w:pPr>
              <w:ind w:left="2600"/>
              <w:spacing w:after="0"/>
              <w:rPr>
                <w:sz w:val="20"/>
                <w:szCs w:val="20"/>
                <w:color w:val="auto"/>
              </w:rPr>
            </w:pPr>
            <w:r>
              <w:rPr>
                <w:rFonts w:ascii="Times New Roman" w:cs="Times New Roman" w:eastAsia="Times New Roman" w:hAnsi="Times New Roman"/>
                <w:sz w:val="12"/>
                <w:szCs w:val="12"/>
                <w:color w:val="auto"/>
              </w:rPr>
              <w:t>2020</w:t>
            </w:r>
          </w:p>
        </w:tc>
        <w:tc>
          <w:tcPr>
            <w:tcW w:w="460" w:type="dxa"/>
            <w:vAlign w:val="bottom"/>
          </w:tcPr>
          <w:p>
            <w:pPr>
              <w:spacing w:after="0"/>
              <w:rPr>
                <w:sz w:val="12"/>
                <w:szCs w:val="12"/>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c>
          <w:tcPr>
            <w:tcW w:w="20" w:type="dxa"/>
            <w:vAlign w:val="bottom"/>
          </w:tcPr>
          <w:p>
            <w:pPr>
              <w:spacing w:after="0"/>
              <w:rPr>
                <w:sz w:val="12"/>
                <w:szCs w:val="12"/>
                <w:color w:val="auto"/>
              </w:rPr>
            </w:pPr>
          </w:p>
        </w:tc>
      </w:tr>
      <w:tr>
        <w:trPr>
          <w:trHeight w:val="144"/>
        </w:trPr>
        <w:tc>
          <w:tcPr>
            <w:tcW w:w="5420" w:type="dxa"/>
            <w:vAlign w:val="bottom"/>
            <w:shd w:val="clear" w:color="auto" w:fill="CCEEFF"/>
          </w:tcPr>
          <w:p>
            <w:pPr>
              <w:ind w:left="2600"/>
              <w:spacing w:after="0"/>
              <w:rPr>
                <w:sz w:val="20"/>
                <w:szCs w:val="20"/>
                <w:color w:val="auto"/>
              </w:rPr>
            </w:pPr>
            <w:r>
              <w:rPr>
                <w:rFonts w:ascii="Times New Roman" w:cs="Times New Roman" w:eastAsia="Times New Roman" w:hAnsi="Times New Roman"/>
                <w:sz w:val="12"/>
                <w:szCs w:val="12"/>
                <w:color w:val="auto"/>
              </w:rPr>
              <w:t>2021</w:t>
            </w:r>
          </w:p>
        </w:tc>
        <w:tc>
          <w:tcPr>
            <w:tcW w:w="460" w:type="dxa"/>
            <w:vAlign w:val="bottom"/>
            <w:shd w:val="clear" w:color="auto" w:fill="CCEEFF"/>
          </w:tcPr>
          <w:p>
            <w:pPr>
              <w:spacing w:after="0"/>
              <w:rPr>
                <w:sz w:val="12"/>
                <w:szCs w:val="12"/>
                <w:color w:val="auto"/>
              </w:rPr>
            </w:pPr>
          </w:p>
        </w:tc>
        <w:tc>
          <w:tcPr>
            <w:tcW w:w="5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220</w:t>
            </w:r>
          </w:p>
        </w:tc>
        <w:tc>
          <w:tcPr>
            <w:tcW w:w="20" w:type="dxa"/>
            <w:vAlign w:val="bottom"/>
          </w:tcPr>
          <w:p>
            <w:pPr>
              <w:spacing w:after="0"/>
              <w:rPr>
                <w:sz w:val="12"/>
                <w:szCs w:val="12"/>
                <w:color w:val="auto"/>
              </w:rPr>
            </w:pPr>
          </w:p>
        </w:tc>
      </w:tr>
      <w:tr>
        <w:trPr>
          <w:trHeight w:val="144"/>
        </w:trPr>
        <w:tc>
          <w:tcPr>
            <w:tcW w:w="5420" w:type="dxa"/>
            <w:vAlign w:val="bottom"/>
          </w:tcPr>
          <w:p>
            <w:pPr>
              <w:ind w:left="2600"/>
              <w:spacing w:after="0"/>
              <w:rPr>
                <w:sz w:val="20"/>
                <w:szCs w:val="20"/>
                <w:color w:val="auto"/>
              </w:rPr>
            </w:pPr>
            <w:r>
              <w:rPr>
                <w:rFonts w:ascii="Times New Roman" w:cs="Times New Roman" w:eastAsia="Times New Roman" w:hAnsi="Times New Roman"/>
                <w:sz w:val="12"/>
                <w:szCs w:val="12"/>
                <w:color w:val="auto"/>
              </w:rPr>
              <w:t>2022</w:t>
            </w:r>
          </w:p>
        </w:tc>
        <w:tc>
          <w:tcPr>
            <w:tcW w:w="460" w:type="dxa"/>
            <w:vAlign w:val="bottom"/>
          </w:tcPr>
          <w:p>
            <w:pPr>
              <w:spacing w:after="0"/>
              <w:rPr>
                <w:sz w:val="12"/>
                <w:szCs w:val="12"/>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109</w:t>
            </w:r>
          </w:p>
        </w:tc>
        <w:tc>
          <w:tcPr>
            <w:tcW w:w="20" w:type="dxa"/>
            <w:vAlign w:val="bottom"/>
          </w:tcPr>
          <w:p>
            <w:pPr>
              <w:spacing w:after="0"/>
              <w:rPr>
                <w:sz w:val="12"/>
                <w:szCs w:val="12"/>
                <w:color w:val="auto"/>
              </w:rPr>
            </w:pPr>
          </w:p>
        </w:tc>
      </w:tr>
      <w:tr>
        <w:trPr>
          <w:trHeight w:val="144"/>
        </w:trPr>
        <w:tc>
          <w:tcPr>
            <w:tcW w:w="5420" w:type="dxa"/>
            <w:vAlign w:val="bottom"/>
            <w:shd w:val="clear" w:color="auto" w:fill="CCEEFF"/>
          </w:tcPr>
          <w:p>
            <w:pPr>
              <w:ind w:left="2600"/>
              <w:spacing w:after="0"/>
              <w:rPr>
                <w:sz w:val="20"/>
                <w:szCs w:val="20"/>
                <w:color w:val="auto"/>
              </w:rPr>
            </w:pPr>
            <w:r>
              <w:rPr>
                <w:rFonts w:ascii="Times New Roman" w:cs="Times New Roman" w:eastAsia="Times New Roman" w:hAnsi="Times New Roman"/>
                <w:sz w:val="12"/>
                <w:szCs w:val="12"/>
                <w:color w:val="auto"/>
              </w:rPr>
              <w:t>2023</w:t>
            </w:r>
          </w:p>
        </w:tc>
        <w:tc>
          <w:tcPr>
            <w:tcW w:w="460" w:type="dxa"/>
            <w:vAlign w:val="bottom"/>
            <w:shd w:val="clear" w:color="auto" w:fill="CCEEFF"/>
          </w:tcPr>
          <w:p>
            <w:pPr>
              <w:spacing w:after="0"/>
              <w:rPr>
                <w:sz w:val="12"/>
                <w:szCs w:val="12"/>
                <w:color w:val="auto"/>
              </w:rPr>
            </w:pPr>
          </w:p>
        </w:tc>
        <w:tc>
          <w:tcPr>
            <w:tcW w:w="5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20" w:type="dxa"/>
            <w:vAlign w:val="bottom"/>
          </w:tcPr>
          <w:p>
            <w:pPr>
              <w:spacing w:after="0"/>
              <w:rPr>
                <w:sz w:val="12"/>
                <w:szCs w:val="12"/>
                <w:color w:val="auto"/>
              </w:rPr>
            </w:pPr>
          </w:p>
        </w:tc>
      </w:tr>
      <w:tr>
        <w:trPr>
          <w:trHeight w:val="145"/>
        </w:trPr>
        <w:tc>
          <w:tcPr>
            <w:tcW w:w="5420" w:type="dxa"/>
            <w:vAlign w:val="bottom"/>
          </w:tcPr>
          <w:p>
            <w:pPr>
              <w:ind w:left="2600"/>
              <w:spacing w:after="0"/>
              <w:rPr>
                <w:sz w:val="20"/>
                <w:szCs w:val="20"/>
                <w:color w:val="auto"/>
              </w:rPr>
            </w:pPr>
            <w:r>
              <w:rPr>
                <w:rFonts w:ascii="Times New Roman" w:cs="Times New Roman" w:eastAsia="Times New Roman" w:hAnsi="Times New Roman"/>
                <w:sz w:val="12"/>
                <w:szCs w:val="12"/>
                <w:color w:val="auto"/>
              </w:rPr>
              <w:t>2024</w:t>
            </w:r>
          </w:p>
        </w:tc>
        <w:tc>
          <w:tcPr>
            <w:tcW w:w="460" w:type="dxa"/>
            <w:vAlign w:val="bottom"/>
          </w:tcPr>
          <w:p>
            <w:pPr>
              <w:spacing w:after="0"/>
              <w:rPr>
                <w:sz w:val="12"/>
                <w:szCs w:val="12"/>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45</w:t>
            </w:r>
          </w:p>
        </w:tc>
        <w:tc>
          <w:tcPr>
            <w:tcW w:w="20" w:type="dxa"/>
            <w:vAlign w:val="bottom"/>
          </w:tcPr>
          <w:p>
            <w:pPr>
              <w:spacing w:after="0"/>
              <w:rPr>
                <w:sz w:val="12"/>
                <w:szCs w:val="12"/>
                <w:color w:val="auto"/>
              </w:rPr>
            </w:pPr>
          </w:p>
        </w:tc>
      </w:tr>
    </w:tbl>
    <w:p>
      <w:pPr>
        <w:ind w:left="20"/>
        <w:spacing w:after="0"/>
        <w:rPr>
          <w:sz w:val="20"/>
          <w:szCs w:val="20"/>
          <w:color w:val="auto"/>
        </w:rPr>
      </w:pPr>
      <w:r>
        <w:rPr>
          <w:rFonts w:ascii="Times New Roman" w:cs="Times New Roman" w:eastAsia="Times New Roman" w:hAnsi="Times New Roman"/>
          <w:sz w:val="12"/>
          <w:szCs w:val="12"/>
          <w:i w:val="1"/>
          <w:iCs w:val="1"/>
          <w:color w:val="auto"/>
        </w:rPr>
        <w:t>Source: Viridian Cannabis Deal Tracker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We expect overall capital markets activity to remain muted until the Drug Enforcement Agency and Health and Human Services restart the public hearing process required to potentially reschedule cannabis. This is hard to predict since part of the process is relying on the judicial process and part could be significantly influenced by the new presidential administration, if they choose to do so. While President Trump was supportive of Florida enacting recreational cannabis in late 2024, which ultimately failed, his administration has been quiet on cannabis since. Regardless of the outcome or ultimate stance the new administration takes, we continue to expect demand for credit-based solutions to increase, as companies continue to prefer less dilutive forms of growth capital and equity capital remains scarce. The lack of competition and financing options for cannabis businesses is as stark as we have seen in recent years and has created an opportune environment for us to make attractive growth capital investments from an advantageous position – the ability to drive terms and enhance structural protections while capturing above average risk-adjusted returns.</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Non-Cannabis Market Overview</w:t>
      </w:r>
    </w:p>
    <w:p>
      <w:pPr>
        <w:spacing w:after="0" w:line="154"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1"/>
          <w:szCs w:val="11"/>
          <w:color w:val="auto"/>
        </w:rPr>
        <w:t>Although we primarily focus on investments in the cannabis industry, we also invest and lend in market niches where others are retreating or in smaller deals often overlooked by large direct lenders. We focus on exploiting pricing opportunities in less crowded markets that remain underfollowed by large institutional capital and/or currently provide an attractive entry point advantage due to tightening financial market conditions. The companies and opportunities that we focus on are primarily in the lower middle-market, but can also include the middle-market, and have investment sizes that typically range from $2 million to $50 million. The capital raising environment for private credit broadly</w:t>
      </w:r>
    </w:p>
    <w:p>
      <w:pPr>
        <w:jc w:val="both"/>
        <w:ind w:left="8"/>
        <w:spacing w:after="0" w:line="218" w:lineRule="auto"/>
        <w:rPr>
          <w:sz w:val="20"/>
          <w:szCs w:val="20"/>
          <w:color w:val="auto"/>
        </w:rPr>
      </w:pPr>
      <w:r>
        <w:rPr>
          <w:rFonts w:ascii="Times New Roman" w:cs="Times New Roman" w:eastAsia="Times New Roman" w:hAnsi="Times New Roman"/>
          <w:sz w:val="12"/>
          <w:szCs w:val="12"/>
          <w:color w:val="auto"/>
        </w:rPr>
        <w:t>continued its strong momentum in 2024, finishing the year with $209 billion in final closes—a 5% increase over 2023, making it another blockbuster fundraising year for the asset class.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Despite this record-breaking capital raise, a growing trend is emerging: capital is increasingly concentrated in a handful of mega-funds. In 2024, five private credit funds each raised $10 billion or more, accounting for $89 billion combined—which represented two-thirds of all</w:t>
      </w:r>
    </w:p>
    <w:p>
      <w:pPr>
        <w:jc w:val="both"/>
        <w:ind w:left="8"/>
        <w:spacing w:after="0" w:line="212" w:lineRule="auto"/>
        <w:rPr>
          <w:sz w:val="20"/>
          <w:szCs w:val="20"/>
          <w:color w:val="auto"/>
        </w:rPr>
      </w:pPr>
      <w:r>
        <w:rPr>
          <w:rFonts w:ascii="Times New Roman" w:cs="Times New Roman" w:eastAsia="Times New Roman" w:hAnsi="Times New Roman"/>
          <w:sz w:val="12"/>
          <w:szCs w:val="12"/>
          <w:color w:val="auto"/>
        </w:rPr>
        <w:t xml:space="preserve">direct lending fundraising and over 40% of total private credit fundraising.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This capital concentration trend has created a barbell effect, where the largest funds continue to scale, competing for big-ticket, low-spread deals, while niche lenders like us continue to capitalize on the opportunity in smaller companies that enable us to maintain pricing power and stronger deal terms.</w:t>
      </w:r>
    </w:p>
    <w:p>
      <w:pPr>
        <w:spacing w:after="0" w:line="133"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These investments typically fall into three sub-strategies and include growth and technology companies, esoteric and asset-based lending opportunities, and liquidity solutions opportunities. Our growth and technology sub-strategy is focused on industry leaders and disruptive companies that are experiencing strong growth trajectories and typically need capital to support continued revenue growth or expansion of the business. The esoteric and asset-based lending sub-strategy is focused on established companies with strong cash flow profiles in industries that carry idiosyncratic or reputational risks, which limit access to traditional sources of capital. The liquidity solutions lending sub-strategy is typically focused on event-driven opportunities including, but not limited to, mergers, acquisitions, refinancings, dividend recapitalizations or other strategically driven liquidity needs to established businesses. Our extensive origination network enables us to source opportunities in these unique industries and companies that are not straightforward to underwrite, have a time sensitive capital need or complex circumstances, and are typically not sponsored by private equity firms.</w:t>
      </w:r>
    </w:p>
    <w:p>
      <w:pPr>
        <w:spacing w:after="0" w:line="125"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2"/>
          <w:szCs w:val="12"/>
          <w:color w:val="auto"/>
        </w:rPr>
        <w:t>We believe that the lower middle-market, and certain parts of the middle-market, will continue to offer better risk adjusted return potential, and stronger loan structures and covenants, in part due to the expertise required to underwrite companies in this part of the market, and in part due to reduced competition from banks and large funds.</w:t>
      </w:r>
    </w:p>
    <w:p>
      <w:pPr>
        <w:ind w:left="148" w:hanging="148"/>
        <w:spacing w:after="0" w:line="189" w:lineRule="auto"/>
        <w:tabs>
          <w:tab w:leader="none" w:pos="14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Sources: Preqin, PitchBook Data, Inc.</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Potential Market Trends</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We believe the lower middle-market and the middle-market lending environment provides opportunities for us to meet our goal of making investments that generate attractive risk-adjusted returns based on a combination of the following factors, which continue to remain true in the current environment.</w:t>
      </w:r>
    </w:p>
    <w:p>
      <w:pPr>
        <w:spacing w:after="0" w:line="10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Limited Availability of Capital for both Cannabis Companies and Non-Cannabis Lower Middle-Market Companies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believe that regulatory and structural changes in the market have generally reduced the amount of capital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available to U.S. lower middle-market and middle-market companies, and, specifically, to cannabis companies. We believe that many commercial and investment banks have, in recent years, de-emphasized their service and product offerings to lower middle-market businesses in favor of lending to large corporate clients and managing capital markets transactions. In addition, these lenders may be constrained in their ability to underwrite and hold bank loans and high-yield securities for lower middle-market issuers as they seek to meet existing and future regulatory capital requirements. We also believe that there is a lack of market participants that are willing to hold meaningful amounts of certain lower middle-market loans. As a result, we believe our ability to minimize syndication risk for a company seeking financing by being able to hold its loans without having to syndicate them, coupled with reduced capacity of traditional lenders to serve the lower middle-market, present an attractive opportunity to invest in lower middle-market companies.</w:t>
      </w:r>
    </w:p>
    <w:p>
      <w:pPr>
        <w:spacing w:after="0" w:line="121"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Robust Demand for Debt and Equity Capital</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believe U.S.-based cannabis companies and lower middle-market non-cannabis companies will continue to require access to debt capital to support growth, refinance existing debt,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finance acquisitions. We expect that private equity sponsors and entrepreneurs will continue to pursue acquisitions and leverage their equity investments with secured and unsecured loans provided by companies such as us.</w:t>
      </w:r>
    </w:p>
    <w:p>
      <w:pPr>
        <w:spacing w:after="0" w:line="2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Attractive Investment Dynamics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 imbalance between the supply of, and demand for, cannabis debt capital and lower middle-market loans creates attractive pricing dynamics. We believe the directly negotiated nature of direct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lending also generally provides more favorable terms to the lender, including stronger covenant and reporting packages, better call protection, and lender-protective change of control provisions. Additionally, we believe our expertise in credit selection and in investing in the cannabis industry and other niche lower middle-market companies provides a strong basis for success.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Conservative Capital Structures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Given the limited access to credit for the cannabis industry and businesses in the lower middle-market, such companies have typically been funded with equity capital from entrepreneurs, family offices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to a lesser extent, smaller private equity firms. The significant amount of equity invested in these companies should provide us with opportunities to lend to companies that have a larger percentage of equity as a percentage of their total capitalization than middle-market and upper middle-market companies. With more conservative capital structures, federally legal cannabis companies and other companies in the lower middle-market can have higher levels of cash flows available to service their debt. In addition, we generally expect borrowers we target to have simpler capital structures than larger borrowers, which facilitates a streamlined underwriting process and, when necessary, restructuring process.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Attractive Opportunities in Investments in Loans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invest in senior secured or unsecured loans, subordinated loans or mezzanine loans, equity and equity-related securities. We believe that opportunities in loans are significant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because of the floating rate structure of most senior secured debt issuances and because of the strong defensive characteristics of these types of investments. Given the current low interest rate environment, we believe that debt issued with floating interest rates and interest rate floors offer a superior return profile as compared with fixed-rate investments, since floating rate structures are generally less susceptible to declines in value experienced by fixed-rate securities in a volatile interest rate environment. Senior secured debt also provides strong defensive characteristics. Senior secured debt has priority in payment among an issuer’s security holders whereby holders are due to receive payment before junior creditors and equity holders. Further, these investments are secured by the issuer’s assets, which may provide protection in the event of a default.</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Attractive Opportunities in Equity Investments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believe that opportunities to invest in the equity of federally legal cannabis and non-cannabis businesses are significant. We expect that our ability to identify emerging businesses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provide credit to these businesses will provide us with proprietary equity investment opportunities. Our management team’s experience investing in and operating businesses in the federally legal cannabis industry and in the lower middle-market will help us identify high-quality businesses, and our management team’s expertise will be beneficial to our portfolio companies.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Strategy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investment objective is to maximize risk-adjusted returns on equity for our shareholders. We seek to capitalize on, among other things, what we believe to be nascent cannabis industry growth and a large opportunity set in the lower middle-market to drive return on equity by generating current income from our debt investments and capital appreciation from our equity and equity-related investments. We have adopted the following business strategy to achieve our investment objective.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However, there can be no assurances that we will be able to successfully implement our business strategy and, as a result, meet our investment objective.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business strategy is to identify investment opportunities in businesses in the cannabis industry and the lower middle-market. All of our investments in cannabis companies are designed to be compliant with all applicable laws and regulations within the jurisdictions in which they are made or to which we are otherwise subject, including U.S. federal laws. We believe that there is an opportunity to take advantage of a newly emerging industry, with a variety of established operators seeking access to capital and managerial expertise. We also believe that there is an opportunity to take advantage of opportunities we see in the lower middle-market that banks have retreated from in recent years and larger credit funds often ignore. We intend to leverage our team’s collective investing, operating, technical, regulatory and legal expertise to build a strong business with competitive advantages to emerge as a leading public company in our focus area.</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As the cannabis industry continues to transition to a new legislative and regulatory framework, and companies in the lower middle-market continue to find growth opportunities, we believe that many businesses will need a partner that can assist in providing a level of operational and financial expertise to support their growth. Our team includes a variety of investment, operational and healthcare professionals who will provide operating, technical, regulatory and legal expertise to evaluate investment opportunities. Our team includes Scott Gordon, John Mazarakis, Andreas Bodmeier, Umesh Mahajan, Dino Colonna and Peter Sack, all of whom have extensive expertise in cannabis-related and non-cannabis industries. Our team consists of professionals who have decades of experience in capital markets globally and have extensive scientific and medical knowledge of the plant and its many compounds, and includes entrepreneurs and founders of middle-market businesses.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plan is to leverage our management team’s networks of industry relationships, knowledge and experience to become the leading investor in the legal cannabis industry and in the lower middle-market. Over the course of their careers, the members of our management team have developed a broad network of contacts and corporate relationships that we believe will serve as a useful source of investment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investment opportunities.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Potential Competitive Advantages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believe that our Adviser is one of only a select group of specialty lenders that has its depth of knowledge, experience, and track record in lending to businesses in the cannabis industry and the lower middle-market. Our other potential competitive advantages include:</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Our Adviser has deep industry and operating expertise on its management team and advisory board. </w:t>
      </w:r>
      <w:r>
        <w:rPr>
          <w:rFonts w:ascii="Times New Roman" w:cs="Times New Roman" w:eastAsia="Times New Roman" w:hAnsi="Times New Roman"/>
          <w:sz w:val="12"/>
          <w:szCs w:val="12"/>
          <w:color w:val="auto"/>
        </w:rPr>
        <w:t>Our Adviser has the ability to tap into this expertise for each of our target investment opportunities. The expertise, knowledge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experience of these individuals allows them to understand and evaluate the business plans, products and financing needs of businesses in the cannabis industry and across the middle-market.</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Direct origination networks that benefit from relationships with entrepreneurs, business brokers and private equity firms. </w:t>
      </w:r>
      <w:r>
        <w:rPr>
          <w:rFonts w:ascii="Times New Roman" w:cs="Times New Roman" w:eastAsia="Times New Roman" w:hAnsi="Times New Roman"/>
          <w:sz w:val="12"/>
          <w:szCs w:val="12"/>
          <w:color w:val="auto"/>
        </w:rPr>
        <w:t>Our Adviser seeks to be the first contact for professionals focused on raising capital for businesses in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cannabis industry and the lower middle-market. Given the history of our Adviser’s management team and advisory board as investors in the cannabis industry and the lower middle-market, they have established relationships with the major investment banks and business brokers across various industries. Our Adviser also focuses on sourcing investment opportunities from private equity and venture capital firms that have been active in cannabis or the lower middle-market more broadly. Given our Adviser’s reputation in lending to these types of companies, it also receives referrals directly from executive officers of businesses across many industries.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A dedicated staff of professionals covering investment origination and underwriting, as well as portfolio management functions. </w:t>
      </w:r>
      <w:r>
        <w:rPr>
          <w:rFonts w:ascii="Times New Roman" w:cs="Times New Roman" w:eastAsia="Times New Roman" w:hAnsi="Times New Roman"/>
          <w:sz w:val="12"/>
          <w:szCs w:val="12"/>
          <w:color w:val="auto"/>
        </w:rPr>
        <w:t>Our Adviser has a broad team of professionals focused on every aspect of the industries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opportunities we focus on. Our Adviser has an investment team that manages and oversees our investment process from identification of investment opportunity through negotiations of final term sheet and investment in a portfolio company. The team members serving our investment management and oversight functions have significant industry and operating experience.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 Criteria</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Consistent with our business strategy, our Adviser has identified the following general, non-exclusive criteria and guidelines that we believe are important in evaluating prospective investment opportunities. We intend to focus on businesses that we believe:</w:t>
      </w:r>
    </w:p>
    <w:p>
      <w:pPr>
        <w:spacing w:after="0" w:line="107" w:lineRule="exact"/>
        <w:rPr>
          <w:sz w:val="20"/>
          <w:szCs w:val="20"/>
          <w:color w:val="auto"/>
        </w:rPr>
      </w:pPr>
    </w:p>
    <w:p>
      <w:pPr>
        <w:ind w:left="420" w:hanging="104"/>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exhibit institutional-level operations and financial controls</w:t>
      </w:r>
      <w:r>
        <w:rPr>
          <w:rFonts w:ascii="Times New Roman" w:cs="Times New Roman" w:eastAsia="Times New Roman" w:hAnsi="Times New Roman"/>
          <w:sz w:val="12"/>
          <w:szCs w:val="12"/>
          <w:color w:val="auto"/>
        </w:rPr>
        <w:t>. We intend to identify businesses that have leading relying infrastructure and operations to survive and excel in their respective industries;</w:t>
      </w:r>
    </w:p>
    <w:p>
      <w:pPr>
        <w:spacing w:after="0" w:line="150" w:lineRule="exact"/>
        <w:rPr>
          <w:rFonts w:ascii="Times New Roman" w:cs="Times New Roman" w:eastAsia="Times New Roman" w:hAnsi="Times New Roman"/>
          <w:sz w:val="12"/>
          <w:szCs w:val="12"/>
          <w:color w:val="auto"/>
        </w:rPr>
      </w:pPr>
    </w:p>
    <w:p>
      <w:pPr>
        <w:ind w:left="320" w:right="20" w:hanging="4"/>
        <w:spacing w:after="0" w:line="286" w:lineRule="auto"/>
        <w:tabs>
          <w:tab w:leader="none" w:pos="44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have durable competitive advantages that are differentiated in their sector</w:t>
      </w:r>
      <w:r>
        <w:rPr>
          <w:rFonts w:ascii="Times New Roman" w:cs="Times New Roman" w:eastAsia="Times New Roman" w:hAnsi="Times New Roman"/>
          <w:sz w:val="12"/>
          <w:szCs w:val="12"/>
          <w:color w:val="auto"/>
        </w:rPr>
        <w:t>. We intend to invest in businesses that not only benefit from secular tailwinds in their respective industries, but also exhibit hard-to-replicate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competitive advantages amongst their peers; and</w:t>
      </w:r>
    </w:p>
    <w:p>
      <w:pPr>
        <w:spacing w:after="0" w:line="103" w:lineRule="exact"/>
        <w:rPr>
          <w:rFonts w:ascii="Times New Roman" w:cs="Times New Roman" w:eastAsia="Times New Roman" w:hAnsi="Times New Roman"/>
          <w:sz w:val="12"/>
          <w:szCs w:val="12"/>
          <w:color w:val="auto"/>
        </w:rPr>
      </w:pPr>
    </w:p>
    <w:p>
      <w:pPr>
        <w:ind w:left="320" w:hanging="4"/>
        <w:spacing w:after="0" w:line="286" w:lineRule="auto"/>
        <w:tabs>
          <w:tab w:leader="none" w:pos="45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are fundamentally sound with consistent operational performance and free cash flow generation</w:t>
      </w:r>
      <w:r>
        <w:rPr>
          <w:rFonts w:ascii="Times New Roman" w:cs="Times New Roman" w:eastAsia="Times New Roman" w:hAnsi="Times New Roman"/>
          <w:sz w:val="12"/>
          <w:szCs w:val="12"/>
          <w:color w:val="auto"/>
        </w:rPr>
        <w:t>. We expect to identify businesses that have historically exhibited profitability and strong cash flow generation.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management team has a proven track record accelerating growth of companies with strong past performance.</w:t>
      </w:r>
    </w:p>
    <w:p>
      <w:pPr>
        <w:spacing w:after="0" w:line="10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These criteria are not intended to be exhaustive. Any evaluation relating to the merits of a particular investment opportunity may be based, to the extent relevant, on these general criteria and guidelines as well as other considerations, factors and criteria that our management may deem relevant.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seek to invest in portfolio companies primarily in the form of loans (secured and unsecured), but may include equity warrants and direct equity investments. The loans typically pay interest with some amortization of principal. Interest is generally paid on a floating rate basis, often with a floor, on benchmark rates such as the PRIME or SOFR rate. We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expect that our loans will typically have final maturities of two to six years. However, we expect that our portfolio companies often may repay these loans early, generally within three years from the date of initial investment.</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We seek to limit the downside potential of our investments by negotiating covenants in connection with our investments that afford our portfolio companies flexibility in managing their businesses,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 Process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Originations; New Opportunities Referred</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Adviser has a multi-channel sourcing strategy focused on entrepreneurs, venture capital firms, private equity firms and investment banks, as well as brokers who focus on our industries. The Adviser seeks to interact directly with operating businesses owned and advised by these groups, and typically negotiates investment terms directly with potential portfolio companies. The Adviser focuses on businesses with strong management teams who have a successful history managing their companies. The Adviser has a nationwide network, and has built relationships with these operators and investors. The Adviser has established itself a leading provider of financial solutions for the cannabis industry and the lower middle-market.</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When a new investment opportunity is identified, a member of the Adviser’s investment team typically speaks with the prospective portfolio company to gather information about the business and its financing and capital needs. If, following this call, the investment team sees an opportunity as a potential fit with our investment strategy and criteria, the investment team asks the prospective portfolio company to submit an information package, which includes detailed information regarding the portfolio company’s products or services, capitalization, customers, historical financial performance, and forward-looking financial projections.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Once received, the portfolio company’s information package is then reviewed by the investment team and a summary investment memorandum is shared with our Adviser’s Investment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Preliminary Due Diligence and Executive Summary</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next phase of the due diligence process involves a structured call with the management team of the prospective portfolio company. A detailed discussion including a discussion of the prospective portfolio company’s products or services, market dynamics, business model, historical financial performance and projections, management team, existing investors and capital structure and debt. Following the management call, if the opportunity still appears to be worthy of consideration, an executive summary memorandum is prepared by the due diligence team for consideration and voting by our Adviser’s Investment Committee. The executive summary memorandum is distributed to the Investment Committee, and the deal terms for the investment are defined. If approved by the Investment Committee, we issue a term sheet to the prospective portfolio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Confirmatory Due Diligence and On-Site Meeting</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If the term sheet offered by us is accepted by the prospective portfolio company, the process of obtaining additional confirmatory due diligence begins. The confirmatory due diligence process typically includes calls with the key constituents of the portfolio company, as well as key customers, suppliers, partners, or other stakeholders as may be deemed relevant by the due diligence team. Additional financial analysis is performed, in order to confirm the assumptions that were made prior to term sheet issuance. During this process, we engage senior members of the Adviser’s investment team and advisory board to discuss industry dynamics and evaluate the business model of the portfolio company.</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final step in the confirmatory diligence process involves one or more on-site meetings, at which members of our due diligence team meet with the management team of the prospective portfolio company for a final review of the portfolio company’s financial performance and forward-looking plans. These meetings are typically held at the business offices of the portfolio company; however, occasionally the meeting will be held via video teleconference if travel to the portfolio company is not possible. One or more members of our Adviser’s Investment Committee will attend the on-site meeting, if possible.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Underwriting Report and Investment Committee Vote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Assuming that the confirmatory due diligence process reveals no issues that would cause the due diligence team to recommend against the proposed investment, the due diligence team prepares a final Investment Committee Memorandum, which is distributed to our Adviser’s Investment Committee. The Investment Committee then meets to discuss and review the investment terms regarding the proposed investment. Unanimous agreement of the Investment Committee is required to approve the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Management and Oversight</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One or two members of the investment team will be responsible for monitoring the portfolio company. Beyond the dedicated portfolio management team, all of our management team members and investment professionals are typically involved at various times with our portfolio companies and investments. Our portfolio management team reviews our portfolio companies’ monthly or quarterly financial statements and compares actual results to the portfolio companies’ projections. Additionally, the portfolio management team may initiate periodic calls with the portfolio company’s venture capital partners and its management team, and may obtain observer rights on the portfolio company’s board of directors. Our management team and investment professionals anticipate potential problems by monitoring reporting requirements and having frequent calls with the management teams of our portfolio companies.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Underwriting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Underwriting Process and Investment Approval</w:t>
      </w:r>
    </w:p>
    <w:p>
      <w:pPr>
        <w:spacing w:after="0" w:line="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intend to make our investment decisions only after consideration of a number of factors regarding the potential investment, including but not limited to: (i) historical and projected financial performance; (ii) company and industry-specific characteristics, such as strengths, weaknesses, opportunities and threats; (iii) composition and experience of the management team; and (iv) track record of the private equity sponsor leading the transaction.</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an investment is deemed appropriate to pursue, a more detailed and rigorous evaluation is made along a variety of investment parameters, not all of which may be relevant or considered in evaluating a potential investment opportunity. The following outlines the general parameters and areas of evaluation and due diligence we intend to utilize for investment decisions, although not all factors will necessarily be considered or given equal weighting in the evaluation process.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Management Assessment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Adviser makes an in-depth assessment of the management team, including evaluation along several key metrics:</w:t>
      </w:r>
    </w:p>
    <w:p>
      <w:pPr>
        <w:spacing w:after="0" w:line="139"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years in their current positions;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Track record;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Industry experience;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incentive, including the level of direct investment in the enterprise;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Background investigations;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Completeness of the management team (lack of positions that need to be filled).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Industry Dynamics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 evaluation of the industry is undertaken by our Adviser that considers several factors. If considered appropriate, industry experts will be consulted or retained. The following factors are analyzed by our Adviser:</w:t>
      </w:r>
    </w:p>
    <w:p>
      <w:pPr>
        <w:spacing w:after="0" w:line="139"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Sensitivity to economic cycles;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 environment, including number of competitors, threat of new entrants or substitutes;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Fragmentation and relative market share of industry leaders;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Growth potential;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and legal environment.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Business Model and Financial Assessment</w:t>
      </w:r>
    </w:p>
    <w:p>
      <w:pPr>
        <w:spacing w:after="0" w:line="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Prior to making an investment decision, our Adviser undertakes a review and analysis of the financial and strategic plans for the potential investment. There is significant evaluation of the due diligence performed by the private equity sponsor, if any, and third-party experts including accountants and consultants. Areas of evaluation include:</w:t>
      </w:r>
    </w:p>
    <w:p>
      <w:pPr>
        <w:spacing w:after="0" w:line="122"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Historical and projected financial performance;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Quality of earnings, including source and predictability of cash flows;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and vendor interviews and assessments;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exit scenarios, including probability of a liquidity event;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controls and accounting systems;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Assets, liabilities and contingent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Equity or Venture Capital Sponsor</w:t>
      </w:r>
    </w:p>
    <w:p>
      <w:pPr>
        <w:spacing w:after="0" w:line="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If applicable, additional due diligence investigations are also done to evaluate the sponsor making the investment. A private equity or venture capital sponsor is typically the controlling stockholder upon completion of an investment and, as such, can be considered critical to the success of the investment. The private equity or venture capital sponsor is evaluated along several key criteria, including:</w:t>
      </w:r>
    </w:p>
    <w:p>
      <w:pPr>
        <w:spacing w:after="0" w:line="122"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track record;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Industry experience;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Capacity and willingness to provide additional financial support to the company through additional capital contributions, if necessary;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 checks.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Portfolio Management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Involvement in our Portfolio Companies</w:t>
      </w:r>
    </w:p>
    <w:p>
      <w:pPr>
        <w:spacing w:after="0" w:line="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As a BDC, we are obligated to offer to provide managerial assistance to our portfolio companies and to provide it if requested. In fact, we seek investments where such assistance is appropriate. However, we limit the offered (and any provided) assistance to services that would generally help any business operate in legal compliance and with good corporate governance. We do not offer any services that could be construed as assisting a borrower to grow, manufacture, or sell cannabis. The services are limited to: assistance relating to accounting and financial reporting best practices; assistance relating to tax planning and preparation; recommendations on accounting and financial reporting technology and operating systems, and assistance in negotiating with vendors and licensors of such technology; providing analyses of existing financing arrangements, assistance in negotiating additional debt financing or restructuring existing debt financing, and introductions to banks and other sources of capital; advice with respect to corporate best practices and corporate governance, including advice with respect to board structure and governance and implementing corporate codes of ethics and guidelines for transactions with related parties; assistance in preparing a portfolio company to become a public company, including guidance on public company accounting and financial reporting standards; assistance in corporate insurance planning, including analyses of appropriate coverage levels and insurance terms, and negotiating with insurance providers; assistance with human resources best practices; legal counsel referrals; and guidance on cash management.</w:t>
      </w:r>
    </w:p>
    <w:p>
      <w:pPr>
        <w:spacing w:after="0" w:line="13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also monitor the financial trends of each portfolio company to assess the appropriate course of action for each company and to evaluate overall portfolio quality. We have several methods of evaluating and monitoring the performance of our investments, including, but not limited to, the following:</w:t>
      </w:r>
    </w:p>
    <w:p>
      <w:pPr>
        <w:spacing w:after="0" w:line="111"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of monthly and quarterly financial statements and financial projections for portfolio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 and regular contact with portfolio company management to discuss financial position requirements and accomplishments;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Attendance at board meetings;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 formal update interviews with portfolio company management and, if appropriate, the private equity sponsor;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Assessment of business development success, including product development, profitability and the portfolio company’s overall adherence to its business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Rating Criteria</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addition to various risk management and monitoring tools, we use an investment rating system to characterize and monitor the credit profile and our expected level of returns on each investment in our portfolio. We use a five-level numeric rating scale. This system is intended primarily to reflect the underlying risk of a portfolio investment relative to our initial cost basis in respect of such portfolio investment (i.e., at the time of origination or acquisition), although it may also take into account the performance of the portfolio company’s business, the collateral coverage of the investment and other relevant factors. The rating system is as follows:</w:t>
      </w:r>
    </w:p>
    <w:p>
      <w:pPr>
        <w:spacing w:after="0" w:line="125" w:lineRule="exact"/>
        <w:rPr>
          <w:sz w:val="20"/>
          <w:szCs w:val="20"/>
          <w:color w:val="auto"/>
        </w:rPr>
      </w:pPr>
    </w:p>
    <w:p>
      <w:pPr>
        <w:ind w:left="420" w:hanging="212"/>
        <w:spacing w:after="0" w:line="279"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rated 1 involve the least amount of risk to our initial cost basis. The borrower is performing above expectations, and the trends and risk factors for this investment since origination or acquisition are generally favorable.</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rated 2 involve an acceptable level of risk that is similar to the risk at the time of origination or acquisition. The borrower is generally performing as expected and the risk factors are neutral to favorable. All investments or acquired investments in new portfolio companies are initially assessed a rating of 2.</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rated 3 involve a borrower performing below expectations and indicates that the loan’s risk has increased somewhat since origination or acquisition.</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rated 5 involve a borrower performing substantially below expectations and indicates that the loan’s risk has increased substantially since origination or acquisition. Most or all of the debt covenants are out of compliance and payments are substantially delinquent. Loans rated 5 are not anticipated to be repaid in full and we will reduce the fair market value of the loan to the amount we anticipate will be recovered.</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the event that we determine that an investment is underperforming, or circumstances suggest that the risk associated with a particular investment has significantly increased, we will undertake more aggressive monitoring of the affected portfolio company. While our investment rating system will identify the relative risk for each investment, the rating alone does not dictate the scope and/or frequency of any monitoring that we perform. The frequency of our monitoring of an investment will be determined by a number of factors, including but not limited to the trends in the financial performance of the portfolio company, the investment structure and the type of collateral securing our investment, if any.</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Valuation of Portfolio Investments and Net Asset Value (“NAV”) Determinations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generally invest in illiquid loans issued by private middle-market companies. All of our investments are recorded at fair value as determined in good faith in accordance with procedures established by our Board of Directors.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Authoritative accounting guidance defines fair value as the price that would be received to sell an asset or paid to transfer a liability in an orderly transaction between market participants at the measurement date. Where available, fair value is based on observable market prices or parameters or derived from such prices or parameters. Where observable prices or inputs are not available or reliable, valuation techniques are applied. These valuation techniques involve some level of management estimation and judgment, the degree of which is dependent on the price transparency for the investments or market and the investments’ complexity.</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Investment transactions are recorded on the trade date and are carried at fair value. Realized gains or losses are measured by the difference between the net proceeds received (excluding prepayment fees, if any) and the amortized cost basis of the investment using the specific identification method without regard to unrealized gains or losses previously recognized, and include investments charged off during the period, net of recoveries. The net change in unrealized gains or losses primarily reflects the change in investment values, including the reversal of previously recorded unrealized gains or losses with respect to investments realized during the period. We record current-period changes in fair value of investments that are measured at fair value as a component of the net change in unrealized gains (losses) on investments on the Statements of Operations.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Adviser undertakes a multi-step valuation process, which includes, among other procedures, the following:</w:t>
      </w:r>
    </w:p>
    <w:p>
      <w:pPr>
        <w:spacing w:after="0" w:line="150"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investments for which market quotations are readily available, those investments will typically be valued at the bid price of those market quotations;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Preliminary valuations are documented and discussed by the Adviser’s valuation committee and, where appropriate, the independent valuation firm(s);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Adviser determines the fair value of each investment.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conduct this valuation process on a quarterly basis.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apply Financial Accounting Standards Board (“FASB”)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25"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 Valuations based on quoted prices in active markets for identical assets or liabilities that we have the ability to access at the measurement date;</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 Valuations based on inputs that are unobservable and significant to the overall fair value measurement.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Quarterly NAV Determination</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We determine the NAV per share of our common stock on a quarterly basis. The NAV per share of our common stock is equal to the value of our total assets minus liabilities divided by the total number of shares of common stock outstanding. Our liabilities include amounts which we have accrued under our Investment Advisory Agreement, including the management fee, Incentive Fee on Income and Incentive Fee on Capital Gains, the latter of which is accrued based upon our realized capital gains on a cumulative basis from inception through the end of each fiscal year, if any, computed net of all realized capital losses and unrealized capital depreciation on a cumulative basis, less the aggregate amount of any previously paid Incentive Fee on Capital Gains.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Determinations in Connection with Certain Offerings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connection with certain future offerings of shares of our common stock, our Board of Directors will be required to make the determination that we are not selling shares of our common stock at a price below the then current net asset value of our common stock, exclusive of any distributing commission or discount (which net asset value shall be determined as of a time within 48 hours, excluding Sundays and holidays, next preceding the time of such determination). Our Board of Directors will consider the following factors, among others, in making such determination:</w:t>
      </w:r>
    </w:p>
    <w:p>
      <w:pPr>
        <w:spacing w:after="0" w:line="125"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asset value of our common stock disclosed in the most recent periodic report that we filed with the SEC;</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spacing w:after="0" w:line="111"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magnitude of the difference between (i) a value that our Board of Directors has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Moreover, to the extent that there is a possibility that we may (i) issue share of common stock at a price per share below the then current net asset value per share at the time at which the sale is made or (ii) trigger the undertaking (which we provide in certain registration statements we file with the SEC) to suspend the offering of shares of our common stock if the net asset value per share fluctuates by certain amounts in certain circumstances until the prospectus is amended, our Board of Directors will elect, in the case of clause (i) above, either to postpone the offering until such time that there is no longer the possibility of the occurrence of such event or to undertake to determine the net asset value per share of common stock within two days prior to any such sale to ensure that such sale will not be below our then current net asset value per share, and, in the case of clause (ii) above, to comply with such undertaking or to undertake to determine the net asset value per share to ensure that such undertaking has not been triggered.</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compete for investments with a number of investment funds (including private equity funds), as well as traditional financial services companies such as commercial banks and other sources of financing. Many of these entities have greater financial and managerial resources than we do. We believe we are competitive with these entities primarily on the basis of the experience and contacts of our management team, our responsive and efficient investment analysis and decision-making processes, the investment terms we offer, and our willingness to make smaller investments.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believe that some of our competitors make loans with interest rates and returns that are comparable to or lower than the rates and returns that we target. Therefore, we do not seek to compete solely on the interest rates that we offer to potential portfolio companies. For additional information concerning the competitive risks we face, see “Item 1A. Risk Factors — Risks Relating to Our Business and Structure — We may face increasing competition for investment opportunities, which could reduce returns and result in losses.”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do not have any employees. The day-to-day management of our investment portfolio is primarily the responsibility of our Adviser and its Investment Committee, which currently consists of Andreas Bodmeier, our Adviser’s Partner, Scott Gordon, the Executive Chairman of our Board of Directors, our Co-Chief Investment Officer and our Adviser’s Partner, Umesh Mahajan, our Co-Chief Investment Officer and Secretary, and our Adviser’s Partner, John Mazarakis, a member of our Board of Directors and our Adviser’s Partner, and Peter Sack, our Chief Executive Officer and our Adviser’s Partner. See “—Investment Advisory Agreement.”</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reimburse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 We are generally not responsible for the compensation of the Adviser’s employees or any overhead expenses of the Adviser (including rent, office equipment and utilities). However, we may reimburse the Adviser for an allocable portion of the compensation paid by the Adviser to our CCO and CFO and their respective staffs (based on a percentage of time such individuals devote, on an estimated basis, to our business affairs). See “—Administration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 Personnel</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members of our Adviser’s Investment Committee are not employed by us, and receive no compensation from us in connection with their portfolio management activities. The Investment Committee members receive compensation that includes an annual base salary and an annual individual performance bonus. The Investment Committee members, through their financial interests in the Adviser, are entitled to a portion of the profits earned by the Adviser, which includes any fees payable to the Adviser under the terms of the Investment Advisory Agreement, less expenses incurred by the Adviser in performing its services under the Investment Advisory Agreement.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investments may be appropriate for us and other accounts managed by our Adviser or its affiliates, and the members of our Adviser’s Investment Committee could face conflicts of interest in the allocation of investment opportunities between such accounts. See “—Material Conflicts of Interest.”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Below are the biographies for the Investment Committee members.</w:t>
      </w:r>
    </w:p>
    <w:p>
      <w:pPr>
        <w:spacing w:after="0" w:line="148" w:lineRule="exact"/>
        <w:rPr>
          <w:sz w:val="20"/>
          <w:szCs w:val="20"/>
          <w:color w:val="auto"/>
        </w:rPr>
      </w:pPr>
    </w:p>
    <w:p>
      <w:pPr>
        <w:jc w:val="both"/>
        <w:ind w:left="420" w:hanging="212"/>
        <w:spacing w:after="0" w:line="254" w:lineRule="auto"/>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Andreas Bodmeier</w:t>
      </w:r>
      <w:r>
        <w:rPr>
          <w:rFonts w:ascii="Times New Roman" w:cs="Times New Roman" w:eastAsia="Times New Roman" w:hAnsi="Times New Roman"/>
          <w:sz w:val="12"/>
          <w:szCs w:val="12"/>
          <w:color w:val="auto"/>
        </w:rPr>
        <w:t>. Dr. Bodmeier served as our Chief Executive Officer from October 2024 until March 2025. Dr. Bodmeier co-founded Chicago Atlantic Group, LP in April 2019 and has served as Chicago Atlantic Real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Estate Finance, Inc.’s Co-President and Chief Investment Officer since its inception in 2021. From October 2019 until December 2020, Dr. Bodmeier was a Senior Advisor to the Deputy Secretary in the Immediate Office of the Secretary at the United States Department of Health and Human Services focused on policy evaluation and the Department’s response to COVID-19. From June 2015 until March 2019, Dr. Bodmeier was President of Quantitative Treasury Analytics, LLC, a boutique consulting firm focused on risk management for corporate clients as well as advising on capital structure decisions and investor relations. From May 2017 until March 2019, Dr. Bodmeier was Co-founder, Chief Investment Officer, and Chief Compliance Officer of Kinetik Finance, Inc., an SEC-registered online investment adviser for 401(k) or 403(b) retirement accounts, where he built the firm’s investment methodology and compliance program. Dr. Bodmeier has also served as a consultant for hedge funds, proprietary trading firms, commercial and consumer lenders, and pharmaceutical companies. His academic research at The University of Chicago Booth School of Business focused on capital market anomalies, portfolio allocation, and risk management. Dr. Bodmeier holds a Ph.D. in Finance and MBA from The University of Chicago Booth School of Business. Dr. Bodmeier received a B.Sc. in Mathematics and a B.Sc. in Physics from Freie University Berlin, Germany, a B.Sc. in Business Economics from University of Hagen, Germany, and a M.Sc. in Statistics from Humboldt University Berlin, Germany.</w:t>
      </w:r>
    </w:p>
    <w:p>
      <w:pPr>
        <w:spacing w:after="0" w:line="125" w:lineRule="exact"/>
        <w:rPr>
          <w:rFonts w:ascii="Times New Roman" w:cs="Times New Roman" w:eastAsia="Times New Roman" w:hAnsi="Times New Roman"/>
          <w:sz w:val="12"/>
          <w:szCs w:val="12"/>
          <w:color w:val="auto"/>
        </w:rPr>
      </w:pPr>
    </w:p>
    <w:p>
      <w:pPr>
        <w:jc w:val="both"/>
        <w:ind w:left="420" w:hanging="212"/>
        <w:spacing w:after="0" w:line="254" w:lineRule="auto"/>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Scott Gordon. </w:t>
      </w:r>
      <w:r>
        <w:rPr>
          <w:rFonts w:ascii="Times New Roman" w:cs="Times New Roman" w:eastAsia="Times New Roman" w:hAnsi="Times New Roman"/>
          <w:sz w:val="12"/>
          <w:szCs w:val="12"/>
          <w:color w:val="auto"/>
        </w:rPr>
        <w:t>Mr. Gordon has served as the Executive Chairman of our Board of Directors since our inception and has served as our Co-Chief Investment Officer since October 2024. Mr. Gordon served as our Chief Executive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 from our inception until October 2024. Prior to becoming a Partner at Chicago Atlantic in October 2024 in connection with the Joint Venture, Mr. Gordon was the Chief Executive Officer of Silver Spike Capital, an investment platform that he founded that was dedicated to the cannabis industry and included our Adviser. Prior to founding Silver Spike Capital, Mr. Gordon had been the co-founder and chairman of Egg Rock Holdings, LLC (“Egg Rock”), the parent company of the Papa &amp; Barkley family of cannabis products, with related subsidiary assets in manufacturing, processing, and logistics. Egg Rock also is the parent company of Papa &amp; Barkley Essentials, a hemp-derived CBD business based in Colorado. From 2016 to 2019, Mr. Gordon was also President of Fintech Advisory Inc., the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Mr. Gordon serves as an independent director of WM Technology, Inc. (formerly, Silver Spike Acquisition Corp.), which operates Weedmaps, a leading online listings marketplace for cannabis consumers and businesses, and WM Business, a comprehensive SaaS subscription offering sold to cannabis retailers and brands. From 2019 to June 2021, Mr. Gordon served as Chairperson of the Board of Directors and Chief Executive Officer of Silver Spike Acquisition Corp. From September 2020 to January 2024, Mr. Gordon also served as Chairperson of the Board of Directors and Chief Executive Officer of Silver Spike Acquisition Corp. II.</w:t>
      </w:r>
    </w:p>
    <w:p>
      <w:pPr>
        <w:spacing w:after="0" w:line="117" w:lineRule="exact"/>
        <w:rPr>
          <w:sz w:val="20"/>
          <w:szCs w:val="20"/>
          <w:color w:val="auto"/>
        </w:rPr>
      </w:pPr>
    </w:p>
    <w:p>
      <w:pPr>
        <w:jc w:val="both"/>
        <w:ind w:left="420" w:hanging="212"/>
        <w:spacing w:after="0" w:line="255"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Umesh Mahajan</w:t>
      </w:r>
      <w:r>
        <w:rPr>
          <w:rFonts w:ascii="Times New Roman" w:cs="Times New Roman" w:eastAsia="Times New Roman" w:hAnsi="Times New Roman"/>
          <w:sz w:val="12"/>
          <w:szCs w:val="12"/>
          <w:color w:val="auto"/>
        </w:rPr>
        <w:t>. Mr. Mahajan has served as our Secretary since May 2024 and our Co-Chief Investment Officer since October 2024. Mr. Mahajan served as our Chief Financial Officer from March 2023 until February 2025.</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Mr. Mahajan also serves as Partner of the Adviser. Prior to joining the Adviser in 2021, Mr. Mahajan was a Managing Director for four years at Ascribe Capital, a credit fund focused on value investing in middle market companies. From September 2003 to August 2016, Mr. Mahajan worked at Merrill Lynch and Bank of America in various roles in their Global Markets and Investment Banking divisions in New York. He specialized in credit and special situation investing as a Managing Director in the Global Credit and Special Situations group at Bank of America Securities and as a Vice President in the Principal Credit Group at Merrill Lynch. Mr. Mahajan also worked in Merrill Lynch’s energy and power investment banking group for two years. From 1994 to 2001, Mr. Mahajan worked in J.P. Morgan’s investment banking team in Asia. Mr. Mahajan holds a Bachelor of Technology in Electrical Engineering from the Indian Institute of Technology, Bombay and an MBA from The Wharton School of the University of Pennsylvania where he graduated as a Palmer Scholar. Mr. Mahajan also holds a Certificate in ESG Investing from the CFA Institute.</w:t>
      </w:r>
    </w:p>
    <w:p>
      <w:pPr>
        <w:spacing w:after="0" w:line="125" w:lineRule="exact"/>
        <w:rPr>
          <w:rFonts w:ascii="Times New Roman" w:cs="Times New Roman" w:eastAsia="Times New Roman" w:hAnsi="Times New Roman"/>
          <w:sz w:val="12"/>
          <w:szCs w:val="12"/>
          <w:color w:val="auto"/>
        </w:rPr>
      </w:pPr>
    </w:p>
    <w:p>
      <w:pPr>
        <w:jc w:val="both"/>
        <w:ind w:left="420" w:hanging="212"/>
        <w:spacing w:after="0" w:line="255"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John Mazarakis. </w:t>
      </w:r>
      <w:r>
        <w:rPr>
          <w:rFonts w:ascii="Times New Roman" w:cs="Times New Roman" w:eastAsia="Times New Roman" w:hAnsi="Times New Roman"/>
          <w:sz w:val="12"/>
          <w:szCs w:val="12"/>
          <w:color w:val="auto"/>
        </w:rPr>
        <w:t>Mr. Mazarakis has served as a member of our Board of Directors since October 2024. Mr. Mazarakis co-founded Chicago Atlantic Group, LP in April 2019 and has served as Chicago Atlantic Real Estate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Finance, Inc.’s Executive Chairman since its inception in 2021. As a proven entrepreneur and operator with successful ventures in real estate, retail, hospitality and food logistics, Mr. Mazarakis brings over 20 years of entrepreneurial, operational, and managerial experience. He has built a 35+ restaurant chain with more than 1,200 employees, established a real estate portfolio of over 30 properties, developed over 1 million square feet of commercial real estate, and completed multiple real estate financing transactions, at a cumulative annual growth rate exceeding 25%. He has invested in and served as an advisor to multiple successful startups. Mr. Mazarakis has served as a member of the board of directors of Chicago Atlantic Real Estate Finance, Inc. (NASDAQ: REFI), a commercial mortgage REIT, since 2021. Mr. Mazarakis has also served as CEO and Co-Executive Chairman of Vireo Growth Inc. (CSE: VREO; OTCQX: VREOF), a cannabis company, since December 2024. Mr. Mazarakis holds a Bachelor of Arts in Economics from the University of Delaware and an MBA from The University of Chicago Booth School of Business.</w:t>
      </w:r>
    </w:p>
    <w:p>
      <w:pPr>
        <w:spacing w:after="0" w:line="125" w:lineRule="exact"/>
        <w:rPr>
          <w:rFonts w:ascii="Times New Roman" w:cs="Times New Roman" w:eastAsia="Times New Roman" w:hAnsi="Times New Roman"/>
          <w:sz w:val="12"/>
          <w:szCs w:val="12"/>
          <w:color w:val="auto"/>
        </w:rPr>
      </w:pPr>
    </w:p>
    <w:p>
      <w:pPr>
        <w:jc w:val="both"/>
        <w:ind w:left="420" w:hanging="212"/>
        <w:spacing w:after="0" w:line="257"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Peter Sack. </w:t>
      </w:r>
      <w:r>
        <w:rPr>
          <w:rFonts w:ascii="Times New Roman" w:cs="Times New Roman" w:eastAsia="Times New Roman" w:hAnsi="Times New Roman"/>
          <w:sz w:val="12"/>
          <w:szCs w:val="12"/>
          <w:color w:val="auto"/>
        </w:rPr>
        <w:t>Mr. Sack has served as our Chief Executive Officer since March 2025. Mr. Sack is a Managing Partner at Chicago Atlantic Group, LP. Mr. Sack is a credit investor and portfolio manager with experience investing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across the capital structure. Prior to joining Chicago Atlantic, Mr. Sack was a Principal at BC Partners Credit from July 2018 to June 2021, where he sourced and underwrote across the firm’s opportunistic and senior lending strategies in a wide array of industries including cannabis-related direct lending. Previously, Mr. Sack was an Associate at Atlas Holdings LLC, a private-equity firm focused on supporting distressed manufacturing and distribution companies globally, from July 2012 to June 2016. Mr. Sack serves on the boards of directors of Chicago Atlantic Real Estate Finance, Inc., Ability Insurance Company, and the New York City Charter School of the Arts. Mr. Sack speaks Mandarin Chinese and Spanish. Mr. Sack holds a Bachelor of Arts degree in East Asian Studies from Yale University, and a Master of Business Administration degree from the Wharton School of the University of Pennsylvania, and was a Fulbright Scholar at Sun Yat-sen University in China.</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 Advisory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Management Services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Chicago Atlantic BDC Advisers, LLC manages the Company and oversees all of its operations. The Adviser is registered as an investment adviser under the Advisers Act. Our Adviser serves pursuant to the Investment Advisory Agreement in accordance with the Advisers Act. Subject to the overall supervision of our Board of Directors, our Adviser manages our day-to-day operations and provides us with investment advisory services. Under the terms of the Investment Advisory Agreement, our Adviser:</w:t>
      </w:r>
    </w:p>
    <w:p>
      <w:pPr>
        <w:spacing w:after="0" w:line="119"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determines the composition of our portfolio, the nature and timing of the changes to our portfolio and the manner of implementing such changes;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determines what securities and other assets we purchase, retain or sell;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identifies, evaluates and negotiates the structure of the investments we make;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executes, monitors and services the investments we make;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performs due diligence on prospective portfolio companies; and</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provides us with such other investment advisory, research and related services as we may, from time to time, reasonably require for the investment of our funds, including providing operating and managerial assistance to us and our portfolio companies as required.</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From time to time, the Adviser may pay amounts owed by us to third-party providers of goods or services, including the Board of Directors, and we will subsequently reimburse the Adviser for such amounts paid on its behalf. Amounts payable to the Adviser are settled in the normal course of business without formal payment terms.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Adviser’s services under the Investment Advisory Agreement are not exclusive and it is free to furnish similar services to other entities so long as its services to us are not impaired.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Management Fee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pay our Adviser a fee for its services under the Investment Advisory Agreement consisting of two components: a base management fee and an incentive fee. The cost of both the base management fee payable to our Adviser and any incentive fees payable to our Adviser is ultimately borne by our common stockholders.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Base Management Fee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base management fee is calculated at an annual rate of 1.75% of our gross assets (i.e., total assets held before deduction of any liabilities), which includes any investments acquired with the use of leverage and excludes any cash and cash equivalents (as defined in the notes to our financial statements). The fair value of derivatives and swaps, which will not necessarily equal the notional value of such derivatives and swaps, will be included in our calculation of gross assets. The base management fee is calculated based on the average value of our gross assets at the end of the two most recently completed quarters. For example, the average value of our gross assets used for calculating the third quarter base management fee will be equal to our gross assets at the end of the second quarter plus our gross assets at the end of the third quarter, divided by two. The base management fee for any partial month or quarter, as the case may be, will be appropriately prorated and adjusted for any share issuances or repurchases during the relevant month or quarter, as the case may be.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Incentive Fee</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incentive fee has two parts. The first part of the incentive fee, the Incentive Fee on Income, is calculated and payable quarterly in arrears based on our “Pre-Incentive Fee Net Investment Income” for the immediately preceding quarter. For this purpose, “Pre-Incentive Fee Net Investment Income” means interest income, dividend income and any other income (including (i) any other fees (other than fees for providing managerial assistance), such as commitment, origination, structuring, advisory, diligence and consulting fees or other fees that we receive from portfolio companies, (ii) any gain realized on the extinguishment of our own debt and (iii) any other income of any kind that we are required to distribute to our stockholders in order to maintain our RIC status) accrued during the quarter, minus our operating expenses for the quarter (including the base management fee, expenses payable under the Administration Agreement with the Adviser, and any interest expense and dividends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and may never receive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quarter, will be compared to a “hurdle rate” of 1.75% per quarter (7% annualized), subject to a “catch-up” provision measured as of the end of each quarter. Our net investment income used to calculate the Incentive Fee on Income is also included in the amount of our gross assets used to calculate the 1.75% base management fee. The operation of the Incentive Fee on Income with respect to our Pre-Incentive Fee Net Investment Income for each quarter is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Incentive Fee on Income is payable to the Adviser in any quarter in which our Pre-Incentive Fee Net Investment Income does not exceed the “hurdle rate” of 1.75%;</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our Pre-Incentive Fee Net Investment Income, if any, that exceeds the “hurdle rate,” but is less than or equal to 2.19% in any quarter (8.76% annualized), will be payable to the Adviser. We refer to this portion of our Incentive Fee on Income as the catch up. It is intended to provide an Incentive Fee on Income of 20% on all of our Pre-Incentive Fee Net Investment Income when our Pre-Incentive Fee Net Investment Income exceeds 2.19% in any quarter;</w:t>
      </w:r>
    </w:p>
    <w:p>
      <w:pPr>
        <w:spacing w:after="0" w:line="118"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quarter in which our Pre-Incentive Fee Net Investment Income exceeds 2.19%, the Incentive Fee on Income shall equal 20% of the amount of our Pre-Incentive Fee Net Investment Income, because the preferred return and catch up will have been achieved; and</w:t>
      </w:r>
    </w:p>
    <w:p>
      <w:pPr>
        <w:spacing w:after="0" w:line="111"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computing the Incentive Fee on Income, the calculation methodology will look through derivatives or swaps as if we owned the reference assets directly. Therefore, net interest income, if any, associated with a derivative or swap (which is defined as the difference between (i) the interest income and transaction fees received in respect of the reference assets of the derivative or swap and (ii) all interest and other expenses paid by us to the derivative or swap counterparty) will be included in the calculation of Pre-Incentive Fee Net Investment Income for purposes of the Incentive Fee on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graphical representation of the calculation of the Incentive Fee on Income: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Quarterly Incentive Fee on Income Based on Pre-Incentive Fee Net Investment Income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104775</wp:posOffset>
            </wp:positionV>
            <wp:extent cx="2085975" cy="434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8597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Percentage of Pre-Incentive Fee Net Investment Income Allocated to the Adviser</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second part of the incentive fee, the Incentive Fee on Capital Gains, payable at the end of each fiscal year (or upon termination of the Investment Advisory Agreement) in arrears, equals 20% of cumulative realized capital gains from inception to the end of each fiscal year, less cumulative realized capital losses and unrealized capital depreciation from inception to the end of each fiscal year, less the aggregate amount of any previously paid Incentive Fees on Capital Gains for prior periods. In no event will the Incentive Fee on Capital Gains payable pursuant to the Investment Advisory Agreement be in excess of the amount permitted by the Advisers Act, including Section 205 thereof.</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For purposes of computing the Incentive Fee on Capital Gains, the calculation methodology will look through derivatives or swaps as if we owned the reference assets directly. Therefore, realized gains and realized losses on the disposition of any reference assets, as well as unrealized depreciation on reference assets retained in the derivative or swap, will be included on a cumulative basis in the calculation of the Incentive Fee on Capital Gains.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While the Investment Advisory Agreement neither includes nor contemplates the inclusion of unrealized gains in the calculation of the Incentive Fee on Capital Gains, as required by U.S. GAAP, we accrue Incentive Fees on Capital Gains on unrealized gains. This accrual reflects the Incentive Fees on Capital Gains that would be payable to the Adviser if our entire investment portfolio was liquidated at its fair value as of the balance sheet date even though the Adviser is not entitled to an Incentive Fee on Capital Gains with respect to unrealized gains unless and until such gains are actually realized.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Example 1: Incentive Fee on Income for Each Quarter</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Scenario 1</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Assumptions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Investment income (including interest, dividends, fees, etc.) = 1.25%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Hurdle rate(1) = 1.75%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Management fee(2) = 0.4375%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expenses (legal, accounting, custodian, transfer agent, etc.) = 0.2%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Pre-Incentive Fee Net Investment Income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(investment income – (management fee + other expenses)) = 0.6125%</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Pre-Incentive Fee Net Investment Income does not exceed hurdle rate; therefore, there is no Incentive Fee on Income.</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Scenario 2</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Assumptions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Investment income (including interest, dividends, fees, etc.) = 2.65%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Hurdle rate(1) = 1.75%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Management fee(2) = 0.4375%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expenses (legal, accounting, custodian, transfer agent, etc.) = 0.2%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Pre-Incentive Fee Net Investment Income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(investment income – (management fee + other expenses)) = 2.0125%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Incentive Fee on Income = 100% × Pre-Incentive Fee Net Investment Income (subject to hurdle rate and “catch up”)(3)</w:t>
      </w:r>
    </w:p>
    <w:p>
      <w:pPr>
        <w:spacing w:after="0" w:line="150" w:lineRule="exact"/>
        <w:rPr>
          <w:sz w:val="20"/>
          <w:szCs w:val="20"/>
          <w:color w:val="auto"/>
        </w:rPr>
      </w:pPr>
    </w:p>
    <w:p>
      <w:pPr>
        <w:ind w:left="620" w:hanging="88"/>
        <w:spacing w:after="0"/>
        <w:tabs>
          <w:tab w:leader="none" w:pos="6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 (2.0125% – 1.75%)</w:t>
      </w:r>
    </w:p>
    <w:p>
      <w:pPr>
        <w:spacing w:after="0" w:line="150" w:lineRule="exact"/>
        <w:rPr>
          <w:rFonts w:ascii="Times New Roman" w:cs="Times New Roman" w:eastAsia="Times New Roman" w:hAnsi="Times New Roman"/>
          <w:sz w:val="12"/>
          <w:szCs w:val="12"/>
          <w:color w:val="auto"/>
        </w:rPr>
      </w:pPr>
    </w:p>
    <w:p>
      <w:pPr>
        <w:ind w:left="620" w:hanging="88"/>
        <w:spacing w:after="0"/>
        <w:tabs>
          <w:tab w:leader="none" w:pos="6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0.2625%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Pre-Incentive Fee Net Investment Income exceeds the hurdle rate, but does not fully satisfy the “catch-up” provision; therefore, the Incentive Fee on Income is 0.2625%.</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Scenario 3</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Assumptions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Investment income (including interest, dividends, fees, etc.) = 3.25%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Hurdle rate(1) = 1.75%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Management fee(2) = 0.4375%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expenses (legal, accounting, custodian, transfer agent, etc.) = 0.2%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Pre-Incentive Fee Net Investment Income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(investment income – (management fee + other expenses)) = 2.6125%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Incentive Fee on Income = 100% × Pre-Incentive Fee Net Investment Income (subject to hurdle rate and “catch-up”)(3)</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Incentive Fee on Income = 100% × “catch-up” + (20% × (Pre-Incentive Fee Net Investment Income – 2.19%))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Catch-up = 2.19% – 1.75%</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 0.44%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Incentive Fee on Income = (100% × 0.44%) + (20% × (2.6125% – 2.19%))</w:t>
      </w:r>
    </w:p>
    <w:p>
      <w:pPr>
        <w:spacing w:after="0" w:line="150" w:lineRule="exact"/>
        <w:rPr>
          <w:sz w:val="20"/>
          <w:szCs w:val="20"/>
          <w:color w:val="auto"/>
        </w:rPr>
      </w:pPr>
    </w:p>
    <w:p>
      <w:pPr>
        <w:ind w:left="620" w:hanging="88"/>
        <w:spacing w:after="0"/>
        <w:tabs>
          <w:tab w:leader="none" w:pos="6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0.44% + (20% × 0.4225%)</w:t>
      </w:r>
    </w:p>
    <w:p>
      <w:pPr>
        <w:spacing w:after="0" w:line="150" w:lineRule="exact"/>
        <w:rPr>
          <w:rFonts w:ascii="Times New Roman" w:cs="Times New Roman" w:eastAsia="Times New Roman" w:hAnsi="Times New Roman"/>
          <w:sz w:val="12"/>
          <w:szCs w:val="12"/>
          <w:color w:val="auto"/>
        </w:rPr>
      </w:pPr>
    </w:p>
    <w:p>
      <w:pPr>
        <w:ind w:left="620" w:hanging="88"/>
        <w:spacing w:after="0"/>
        <w:tabs>
          <w:tab w:leader="none" w:pos="6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0.44% + 0.0845%</w:t>
      </w:r>
    </w:p>
    <w:p>
      <w:pPr>
        <w:spacing w:after="0" w:line="150" w:lineRule="exact"/>
        <w:rPr>
          <w:rFonts w:ascii="Times New Roman" w:cs="Times New Roman" w:eastAsia="Times New Roman" w:hAnsi="Times New Roman"/>
          <w:sz w:val="12"/>
          <w:szCs w:val="12"/>
          <w:color w:val="auto"/>
        </w:rPr>
      </w:pPr>
    </w:p>
    <w:p>
      <w:pPr>
        <w:ind w:left="620" w:hanging="88"/>
        <w:spacing w:after="0"/>
        <w:tabs>
          <w:tab w:leader="none" w:pos="6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0.5245%</w:t>
      </w:r>
    </w:p>
    <w:p>
      <w:pPr>
        <w:spacing w:after="0" w:line="200" w:lineRule="exact"/>
        <w:rPr>
          <w:sz w:val="20"/>
          <w:szCs w:val="20"/>
          <w:color w:val="auto"/>
        </w:rPr>
      </w:pPr>
    </w:p>
    <w:p>
      <w:pPr>
        <w:spacing w:after="0" w:line="238" w:lineRule="exact"/>
        <w:rPr>
          <w:sz w:val="20"/>
          <w:szCs w:val="20"/>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7% annualized hurdle rate.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1.75% annualized base management fee.</w:t>
      </w:r>
    </w:p>
    <w:p>
      <w:pPr>
        <w:spacing w:after="0" w:line="150"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“catch-up” provision is intended to provide our Adviser with an Incentive Fee on Income of 20% on all Pre-Incentive Fee Net Investment Income as if a hurdle rate did not apply when our Pre-Incentive Fee Net Investment Income exceeds 2.19% in any quarter.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Example 2: Incentive Fee on Capital Gains(*):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Scenario 1</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Assumptions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1:  $20 million investment made in Company A (“Investment A”) and $30 million investment made in Company B (“Investment 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2:  Investment A sold for $50 million and fair market value (“FMV”) of Investment B determined to be $32 million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3:  FMV of Investment B determined to be $25 million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4:  Investment B sold for $31 million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Incentive Fee on Capital Gains would be: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1:  None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2:  Incentive Fee on Capital Gains of $6 million — ($30 million realized capital gains on sale of Investment A multiplied by 20%)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3:  None — $5 million (20% multiplied by ($30 million cumulative capital gains less $5 million cumulative capital depreciation)) less $6 million (Incentive Fee on Capital Gains paid in Year 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4:  Incentive Fee on Capital Gains of $200,000 — $6.2 million ($31 million cumulative realized capital gains multiplied by 20%) less $6 million (Incentive Fee on Capital Gains paid in Year 2)</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Scenario 2</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Assumptions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1:  $20 million investment made in Company A (“Investment A”), $30 million investment made in Company B (“Investment B”) and $25 million investment made in Company C (“Investment 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2:  Investment A sold for $50 million, FMV of Investment B determined to be $25 million and FMV of Investment C determined to be $25 million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3:  FMV of Investment B determined to be $27 million and Investment C sold for $30 million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4:  FMV of Investment B determined to be $24 million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5:  Investment B sold for $20 million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Incentive Fee on Capital Gains, if any, would be: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1:  None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2:  $5 million Incentive Fee on Capital Gains — 20% multiplied by $25 million ($30 million realized capital gains on Investment A less $5 million unrealized capital depreciation on Investment B)</w:t>
      </w:r>
    </w:p>
    <w:p>
      <w:pPr>
        <w:spacing w:after="0" w:line="150" w:lineRule="exact"/>
        <w:rPr>
          <w:sz w:val="20"/>
          <w:szCs w:val="20"/>
          <w:color w:val="auto"/>
        </w:rPr>
      </w:pPr>
    </w:p>
    <w:p>
      <w:pPr>
        <w:ind w:left="860" w:hanging="431"/>
        <w:spacing w:after="0" w:line="279" w:lineRule="auto"/>
        <w:rPr>
          <w:sz w:val="20"/>
          <w:szCs w:val="20"/>
          <w:color w:val="auto"/>
        </w:rPr>
      </w:pPr>
      <w:r>
        <w:rPr>
          <w:rFonts w:ascii="Times New Roman" w:cs="Times New Roman" w:eastAsia="Times New Roman" w:hAnsi="Times New Roman"/>
          <w:sz w:val="12"/>
          <w:szCs w:val="12"/>
          <w:color w:val="auto"/>
        </w:rPr>
        <w:t>Year 3: $1.4 million Incentive Fee on Capital Gains(1) — $6.4 million (20% multiplied by $32 million ($35 million cumulative realized capital gains less $3 million unrealized capital depreciation on Investment B)) less $5 million (Incentive Fee on Capital Gains paid in Year 2)</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4:  None</w:t>
      </w:r>
    </w:p>
    <w:p>
      <w:pPr>
        <w:spacing w:after="0" w:line="150" w:lineRule="exact"/>
        <w:rPr>
          <w:sz w:val="20"/>
          <w:szCs w:val="20"/>
          <w:color w:val="auto"/>
        </w:rPr>
      </w:pPr>
    </w:p>
    <w:p>
      <w:pPr>
        <w:ind w:left="860" w:right="20" w:hanging="431"/>
        <w:spacing w:after="0" w:line="279" w:lineRule="auto"/>
        <w:rPr>
          <w:sz w:val="20"/>
          <w:szCs w:val="20"/>
          <w:color w:val="auto"/>
        </w:rPr>
      </w:pPr>
      <w:r>
        <w:rPr>
          <w:rFonts w:ascii="Times New Roman" w:cs="Times New Roman" w:eastAsia="Times New Roman" w:hAnsi="Times New Roman"/>
          <w:sz w:val="12"/>
          <w:szCs w:val="12"/>
          <w:color w:val="auto"/>
        </w:rPr>
        <w:t>Year 5: None — $5 million (20% multiplied by $25 million (cumulative realized capital gains of $35 million less realized capital losses of $10 million)) less $6.4 million (cumulative Incentive Fees on Capital Gains paid in Year 2 and Year 3)(2)</w:t>
      </w:r>
    </w:p>
    <w:p>
      <w:pPr>
        <w:spacing w:after="0" w:line="111" w:lineRule="exact"/>
        <w:rPr>
          <w:sz w:val="20"/>
          <w:szCs w:val="20"/>
          <w:color w:val="auto"/>
        </w:rPr>
      </w:pPr>
    </w:p>
    <w:p>
      <w:pPr>
        <w:ind w:left="420" w:right="20" w:firstLine="4"/>
        <w:spacing w:after="0" w:line="279" w:lineRule="auto"/>
        <w:tabs>
          <w:tab w:leader="none" w:pos="513"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hypothetical amounts of returns shown are based on a percentage of our total net assets and assume no leverage. There is no guarantee that positive returns will be realized and actual returns may vary from those shown in this example.</w:t>
      </w:r>
    </w:p>
    <w:p>
      <w:pPr>
        <w:spacing w:after="0" w:line="111" w:lineRule="exact"/>
        <w:rPr>
          <w:sz w:val="20"/>
          <w:szCs w:val="20"/>
          <w:color w:val="auto"/>
        </w:rPr>
      </w:pPr>
    </w:p>
    <w:p>
      <w:pPr>
        <w:ind w:left="640" w:hanging="216"/>
        <w:spacing w:after="0" w:line="279" w:lineRule="auto"/>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illustrated in Year 3 of Scenario 2 above, if we were to be wound up on a date other than our fiscal year end of any year, we may have paid aggregate Incentive Fees on Capital Gains that are more than the amount of such fees that would be payable if we had been wound up on our fiscal year end of such year.</w:t>
      </w:r>
    </w:p>
    <w:p>
      <w:pPr>
        <w:spacing w:after="0" w:line="111"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noted above, it is possible that the cumulative aggregate Incentive Fees on Capital Gains received by our Adviser ($6.4 million) is effectively greater than $5 million (20% of cumulative aggregate realized capital gains less net realized capital losses or net unrealized depreciation ($25 million)).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Payment of Our Expenses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22"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our organization and offerings;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calculating our NAV, including the cost of any third-party valuation services;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effecting sales and repurchases of shares of our common stock and other securities;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payable under any underwriting agreements, if any;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service and other costs of borrowings or other financing arrangements;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hedging;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and incentive fees payable pursuant to the Investment Advisory Agreement;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payable to third-parties relating to, or associated with, making investments and valuing investments (including third-party valuation firms);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including legal fees, associated with compliance under cannabis laws;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agent and custodial fees;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marketing efforts (including attendance at industry and investor conferences and similar events);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and state registration fees;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exchange listing fees and fees payable to rating agencies;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state and local taxes;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 directors’ fees and expenses, including travel expenses;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brokerage commissions and other compensation payable to brokers or dealers;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market data;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fidelity bond, directors’ and officers’ errors and omissions liability insurance and other insurance premiums;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costs and expenses of administration, including printing, mailing and staff;</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independent audits, and outside legal and consulting costs;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winding up;</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incurred in connection with the formation or maintenance of entities or vehicles to hold our assets for tax or other purposes;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expenses (such as litigation or indemnification);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associated with reporting and compliance obligations under the 1940 Act and applicable federal and state securities laws.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Duration and Termination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Investment Advisory Agreement, which took effect upon the closing of the Joint Venture, was approved by our Board of Directors on January 16, 2024. Unless earlier terminated as described below, the Investment Advisory Agreement will remain in effect for two years from its initial approval, and from year-to-year thereafter, if approved annually by the Board of Directors or by the affirmative vote of the holders of a majority of our outstanding voting securities, including, in either case, approval by a majority of our directors who are not interested persons.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Investment Advisory Agreement will automatically terminate in the event of its assignment. In accordance with the 1940 Act, without payment of any penalty, we may terminate the Investment Advisory Agreement with the Adviser upon 60 days’ written notice. The decision to terminate the Investment Advisory Agreement may be made by a majority of the Board of Directors or the stockholders holding a majority (as defined under the 1940 Act) of the outstanding shares of our common stock. In addition, without payment of any penalty, the Adviser may generally terminate the Investment Advisory Agreement upon 60 days’ written notice.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Indemnification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Investment Advisory Agreement provides that, absent willful misfeasance, bad faith or gross negligence in the performance of their respective duties or by reason of the reckless disregard of their respective duties and obligations, our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our Adviser’s services under the Investment Advisory Agreement or otherwise as our investment adviser.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Organization of Our Investment Adviser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Adviser is a Delaware limited liability company that registered as an investment adviser under the Advisers Act. The principal address of our Adviser is 600 Madison Avenue, Suite 1800, New York, NY 10022.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Board of Directors’ Approval of the Investment Advisory Agreement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January 16, 2024, our Board of Directors, including a majority of the directors who were not “interested persons,” as defined in Section 2(a)(19) of the 1940 Act, of the Company, approved the Investment Advisory Agreement for an initial term of two years in connection with the Joint Venture. In its consideration of the approval of the Investment Advisory Agreement, our Board of Directors focused on information it had received relating to, among other things:</w:t>
      </w:r>
    </w:p>
    <w:p>
      <w:pPr>
        <w:spacing w:after="0" w:line="111" w:lineRule="exact"/>
        <w:rPr>
          <w:sz w:val="20"/>
          <w:szCs w:val="20"/>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nature, quality and extent of the advisory and other services to be provided to the Company by the Adviser;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comparative data with respect to advisory fees or similar expenses paid by other BDCs with similar investment objectives;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projected operating expenses and expense ratio compared to BDCs with similar investment objectives;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existing and potential sources of indirect income to the Adviser from its relationships with the Company and the profitability of those relationships;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about the services to be performed and the personnel performing such services under the Investment Advisory Agreement;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organizational capability and financial condition of the Adviser and its affiliates.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Based on the information reviewed and related discussions, our Board of Directors concluded that the fees payable to the Adviser pursuant to the Investment Advisory Agreement were reasonable in relation to the services to be provided. Our Board of Directors did not assign relative weights to the above factors or the other factors considered by it. In addition, our Board of Directors did not reach any specific conclusion on each factor considered, but conducted an overall analysis of these factors. Individual members of our Board of Directors may have given different weights to different factors.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Expense Limitation Agreement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October 1, 2024, in connection with the Joint Venture,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September 30, 2025.</w:t>
      </w:r>
    </w:p>
    <w:p>
      <w:pPr>
        <w:spacing w:after="0" w:line="11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Administration Agreement</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have entered into an Administration Agreement with the Adviser, under which the Adviser provides administrative services for us, including office facilities and equipment and clerical, bookkeeping and record-keeping services at such facilities. Under the Administration Agreement, the Adviser also performs, or oversees the performance of, our required administrative services, which includes being responsible for the financial records which we are required to maintain and preparing reports to our stockholders and reports filed with the SEC. In addition, the Adviser assists us in determining and publishing our NAV, overseeing the preparation and filing of our tax returns and the printing and dissemination of reports to our stockholders, and generally overseeing the payment of our expenses and the performance of administrative and professional services rendered to us by others. In addition, pursuant to the terms of the Administration Agreement, the Adviser may delegate its obligations under the Administration Agreement to an affiliate or to a third-party and we will reimburse the Adviser for any services performed for it by such affiliate or third-party.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reimburse our administrator,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 We are generally not responsible for the compensation of the Adviser’s employees or any overhead expenses of the Adviser (including rent, office equipment and utilities). However, we may reimburse the Adviser for an allocable portion of the compensation paid by the Adviser to our CCO and CFO and their respective staffs (based on a percentage of time such individuals devote, on an estimated basis, to our business affairs). The Administration Agreement also provides that we shall reimburse the Adviser for certain organization costs incurred prior to the commencement of our operations, and for certain offering costs. Such reimbursement is at cost, with no profit to, or markup by, the Adviser. Our allocable portion of the Adviser’s costs will be determined based upon costs attributable to our operations versus costs attributable to the operations of other entities for which the Adviser provides administrative services. The Adviser may also provide on our behalf managerial assistance to our portfolio companies.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Administration Agreement provides that, absent willful misfeasance, bad faith or gross negligence in the performance of their respective duties or by reason of the reckless disregard of their respective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services under the Administration Agreement or otherwise as our administrator.</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Unless earlier terminated as described below, the Administration Agreement will remain in effect for two years from its initial approval, and from year-to-year thereafter, if approved annually by the Board of Directors or by the affirmative vote of the holders of a majority of our outstanding voting securities, including, in either case, approval by a majority of our directors who are not interested persons. On May 8, 2024, our Board of Directors, including a majority of the directors who were not interested persons, approved the Administration Agreement for an additional one-year period. The Administration Agreement may be terminated at any time, without the payment of any penalty, on 60 days’ written notice, by the vote of a majority of our outstanding voting securities, or by the vote of the Board of Directors, or by the Adviser.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accordance with the Administration Agreement, and with the approval of the Board of Directors, the Company and the Adviser have entered into a services agreement with SS&amp;C as sub-administrator (the “Services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the Services Agreement, SS&amp;C has assumed responsibility for performing certain administrative services for us.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License Agreement</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also entered into a license agreement with the Adviser pursuant to which the Adviser has agreed to grant us a nonexclusive, royalty-free license to use the name “Chicago Atlantic.” Under this agreement, we will have a right to use the “Chicago Atlantic” name, for so long as the Adviser or one of its affiliates remains our investment adviser. Other than with respect to this limited license, we will have no legal right to the “Chicago Atlantic” name.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Material Conflicts of Interest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executive officers and directors, and certain members of the Adviser, serve or may serve as officers, directors or principals of entities that may operate in the same or a related line of business as us or as investment funds managed by our affiliates. For example, the Adviser and its affiliates manage private investment funds, and may also manage other funds in the future that have investment mandates that are similar, in whole or in part, to our investment mandate. Accordingly, they may have obligations to investors in those entities, the fulfillment of which might not be in the best interests of us or our stockholders. For example, the principals of the Adviser may face conflicts of interest in the allocation of investment opportunities to us and such other funds. This conflict of interest could be amplified if our investment advisory fees are lower than those of such other funds.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order to address potential conflicts of interest, Chicago Atlantic has adopted an investment allocation policy that governs the allocation of investment opportunities among the investment funds and other accounts managed by Chicago Atlantic. To the extent an investment opportunity is appropriate for either or both of us and/or any other investment fund or other account managed by Chicago Atlantic, and co-investment is not possible, Chicago Atlantic will adhere to its investment allocation policy in order to determine to which account to allocate the opportunity.</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Although Chicago Atlantic will endeavor to allocate investment opportunities in a fair and equitable manner, we and our stockholders could be adversely affected to the extent investment opportunities are allocated among us and other investment vehicles managed by Chicago Atlantic.</w:t>
      </w:r>
    </w:p>
    <w:p>
      <w:pPr>
        <w:spacing w:after="0" w:line="11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The investment allocation policy is also designed to manage and mitigate the conflicts of interest associated with the allocation of investment opportunities if we are able to co-invest, either pursuant to SEC interpretive positions or our exemptive order, with other accounts managed by Chicago Atlantic. Generally, under the investment allocation policy, co-investments will be allocated pursuant to the conditions of the exemptive order. Under the investment allocation policy, a portion of each opportunity that is appropriate for us and any affiliated fund or other account, which may vary based on asset class and liquidity, among other factors, will generally be offered to us and such other eligible accounts, as determined by Chicago Atlantic. If there is a sufficient amount of securities to satisfy all participants, each order will be fulfilled as placed. If there is an insufficient amount of securities to satisfy all participants, the securities will generally be allocated pro rata based on each participant’s order size or available capital.</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accordance with the investment allocation policy, we might not participate in each individual opportunity, but will, on an overall basis, be entitled to participate equitably with other accounts managed by Chicago Atlantic. Chicago Atlantic seeks to treat all clients fairly and equitably in a manner consistent with its fiduciary duty to each of them; however, in some instances, especially in instances of limited liquidity, the factors may not result in pro rata allocations or may result in situations where certain accounts receive allocations where others do not.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adopted a formal code of ethics that governs the conduct of our officers and directors. Our officers and directors also remain subject to the duties imposed by both the 1940 Act and the Maryland General Corporation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Exemptive Relief</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the Adviser and certain of our affiliates have been granted an order for exemptive relief (the “Order”) by the SEC to co-invest with other funds managed by the Adviser or its affiliates in a manner consistent with our investment objective, positions, policies, strategies and restrictions as well as regulatory requirements and other pertinent factors. Pursuant to the Order, we generally are permitted to co-invest with certain of our affiliates if a “required majority” (as defined in Section 57(o) of the 1940 Act) of our directors who are not “interested persons,” as defined in Section 2(a)(19) of the 1940 Act (the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the parties to the transaction), except to the extent permitted by the Order and applicable law, including the limitations set forth in Section 57(k) of the 1940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Reinvestment Plan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distributions. Any fractional share otherwise issuable to a participant in the dividend reinvestment plan will instead be paid in cash.</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No action will be required on the part of a registered stockholder to have their cash distributions reinvested in shares of our common stock. A registered stockholder may elect to receive an entire distribution in cash by notifying ALPS Fund Services, Inc., the plan administrator and our transfer agent and registrar, in writing so that such notice is received by the plan administrator no later than three days prior to the distribution payment date for distributions to stockholders (the “Payment Date”). Those stockholders whose shares are held by a broker or other financial intermediary may receive distributions in cash by notifying their broker or other financial intermediary of their election. If the stockholder request is received less than three days prior to the Payment Date, then that distribution will be reinvested. However, all subsequent distributions to the stockholder will be paid out in cash.</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With respect to each distribution, the Board of Directors reserves the right to either issue new shares or purchase shares in the open market in connection with the implementation of the dividend reinvestment plan. If newly issued shares are used to implement the plan and the most recently computed NAV per share exceeds the market price per share on the Payment Date, the number of shares to be issued to a stockholder will be determined by dividing the total dollar amount of the distribution payable to such stockholder by the market price per share of our common stock at the close of regular trading on the Nasdaq Stock Market on the Payment Date, or if no sale is reported for such day, the average of the reported bid and ask prices. If newly issued shares are used to implement the plan and the market price per share on the Payment Date exceeds the most recently computed NAV per share, the number of shares to be issued to a stockholder will be determined by dividing the total dollar amount of the distribution payable to such stockholder by the greater of (i) the most recently computed NAV per share and (ii) 95% of the market price per share (or such lesser discount to the market price per share that still exceeds the most recently computed NAV per share) at the close of regular trading on the Nasdaq Stock Market on the Payment Date, or, if no sale is reported for such day, the average of the reported bid and ask prices. For example, if the most recently computed NAV per share is $15.00 and the market price per share on the Payment Date is $14.00, we will issue shares at $14.00 per share. If the most recently computed NAV per share is $15.00 and the market price per share on the Payment Date is $16.00, we will issue shares at $15.20 per share (95% of the market price per share on the Payment Date). If the most recently computed NAV per share is $15.00 and the market price per share on the Payment Date is $15.50, we will issue shares at $15.00 per share, as the most recently computed NAV per share is greater than 95% of the market price per share on the Payment Date ($14.73 per share). If shares are purchased in the open market to implement the plan, the number of shares to be issued to a stockholder shall be determined by dividing the total dollar amount of the distribution payable to such stockholder by the weighted average price per share, excluding any brokerage charges or other charges, of all shares purchased by the plan administrator in the open market in connection with the distribution.</w:t>
      </w:r>
    </w:p>
    <w:p>
      <w:pPr>
        <w:spacing w:after="0" w:line="1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Stockholders who receive distributions in the form of our stock generally are subject to the same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basis for determining gain or loss upon the sale of our stock received in a distribution from us will be equal to the fair market value of the stock so distributed to the stockholder at the time of the distribution. Any stock received in a distribution will have a holding period for tax purposes commencing on the day following the day on which the shares are credited to the stockholder’s account.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are no brokerage charges or other charges for dividend reinvestment to stockholders who participate in the plan. We pay the plan administrator’s fees under the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Participants may terminate their accounts under the plan by notifying our administrator by mail at 600 Madison Avenue, Suite 1800, New York, NY 10022, or by calling our administrator at (212) 905-4923.</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may terminate the plan upon notice in writing mailed to each participant at least 30 days prior to any record date for the payment of any distribution by us. All correspondence concerning the plan should be directed to our administrator by mail at 600 Madison Avenue, Suite 1800, New York, NY 10022, or by telephone at (212) 905-4923.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Emerging Growth Company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is an emerging growth company as defined in t</w:t>
      </w:r>
      <w:r>
        <w:rPr>
          <w:rFonts w:ascii="Times New Roman" w:cs="Times New Roman" w:eastAsia="Times New Roman" w:hAnsi="Times New Roman"/>
          <w:sz w:val="12"/>
          <w:szCs w:val="12"/>
          <w:color w:val="231F20"/>
        </w:rPr>
        <w:t>he Jumpstart Our Business Startups Act of 2012 (the “JOBS Act”)</w:t>
      </w:r>
      <w:r>
        <w:rPr>
          <w:rFonts w:ascii="Times New Roman" w:cs="Times New Roman" w:eastAsia="Times New Roman" w:hAnsi="Times New Roman"/>
          <w:sz w:val="12"/>
          <w:szCs w:val="12"/>
          <w:color w:val="auto"/>
        </w:rPr>
        <w:t xml:space="preserve"> and is eligible to take advantage of certain specified reduced disclosure and other requirements that are otherwise generally applicable to public companies that are not “emerging growth companies,” including not being required to comply with the auditor attestation requirements of Section 404 of the Sarbanes-Oxley Act of 2002. We expect to remain an emerging growth company for up to five years following the completion of our IPO or until the earliest of:</w:t>
      </w:r>
    </w:p>
    <w:p>
      <w:pPr>
        <w:spacing w:after="0" w:line="119" w:lineRule="exact"/>
        <w:rPr>
          <w:sz w:val="20"/>
          <w:szCs w:val="20"/>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last day of the first fiscal year in which our annual gross revenues exceed $1.235 billion;</w:t>
      </w:r>
    </w:p>
    <w:p>
      <w:pPr>
        <w:spacing w:after="0" w:line="150" w:lineRule="exact"/>
        <w:rPr>
          <w:rFonts w:ascii="Times New Roman" w:cs="Times New Roman" w:eastAsia="Times New Roman" w:hAnsi="Times New Roman"/>
          <w:sz w:val="12"/>
          <w:szCs w:val="12"/>
          <w:color w:val="auto"/>
        </w:rPr>
      </w:pPr>
    </w:p>
    <w:p>
      <w:pPr>
        <w:ind w:left="420" w:right="120" w:hanging="212"/>
        <w:spacing w:after="0" w:line="279" w:lineRule="auto"/>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last day of the fiscal year that we become a “large accelerated filer” as defined in Rule 12b-2 under the Exchange Act which would occur if the market value of the shares of our common stock that is held by non-affiliates exceeds $700.0 million as of the last business day of our most recently completed second fiscal quarter and we have been publicly reporting for at least 12 months; or</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we have issued more than $1.0 billion in non-convertible debt securities during the preceding three-year period.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we will take advantage of the extended transition period provided in Section 7(a)(2)(B) of the Securities Act of 1933, as amended (the “Securities Act”), for complying with new or revised accounting standards.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Development Company Regulations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have elected to be regulated as a BDC under the 1940 Act. The 1940 Act contains prohibitions and restrictions relating to transactions between BDCs and their affiliates, principal underwriters and affiliates of those affiliates or underwriters. The 1940 Act requires that a majority of the directors be persons other than “interested persons,” as that term is defined in the 1940 Act.</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the 1940 Act provides that we may not change the nature of our business so as to cease to be, or to withdraw our election as, a BDC unless approved by a majority of our outstanding voting securities. The 1940 Act defines “a majority of the outstanding voting securities” as the lesser of (i) 67% or more of the voting securities present at a meeting if the holders of more than 50% of our outstanding voting securities are present or represented by proxy or (ii) 50% of our voting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Qualifying Assets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any of the following:</w:t>
      </w:r>
    </w:p>
    <w:p>
      <w:pPr>
        <w:spacing w:after="0" w:line="111" w:lineRule="exact"/>
        <w:rPr>
          <w:sz w:val="20"/>
          <w:szCs w:val="20"/>
          <w:color w:val="auto"/>
        </w:rPr>
      </w:pPr>
    </w:p>
    <w:p>
      <w:pPr>
        <w:jc w:val="both"/>
        <w:ind w:left="420" w:hanging="212"/>
        <w:spacing w:after="0" w:line="265"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1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organized under the laws of, and has its principal place of business in, the United States;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not an investment company (other than a small business investment company wholly owned by the BDC) or a company that would be an investment company but for certain exclusions under the 1940 Act;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satisfies any of the following:</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2"/>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have any class of securities that is traded on a national securities exchange;</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2"/>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a class of securities listed on a national securities exchange, but has an aggregate market value of outstanding voting and non-voting common equity of less than $250 million;</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2"/>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controlled by a BDC or a group of companies including a BDC and the BDC has an affiliated person who is a director of the eligible portfolio company; or</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2"/>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small and solvent company having total assets of not more than $4 million and capital and surplus of not less than $2 million.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of any eligible portfolio company that we control.</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received in exchange for or distributed on or with respect to securities described in (1) through (4) above, or pursuant to the exercise of warrants or rights relating to such securities.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a BDC must be operated for the purpose of making investments in the types of securities described in (1), (2) or (3) above.</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Control, as defined by the 1940 Act, is presumed to exist where a BDC beneficially owns more than 25% of the outstanding voting securities of the portfolio company, but may exist in other circumstances based on the facts and circumstances.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regulations defining qualifying assets may change over time. The Company may adjust its investment focus as needed to comply with and/or take advantage of any regulatory, legislative, administrative or judicial actions.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Managerial Assistance to Portfolio Companies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order to count portfolio securities as qualifying assets for the purpose of the 70% test, we must either control the issuer of the securities or must offer to make available to the issuer of the securities (other than small and solvent companies described above) significant managerial assistance; except that, where we purchase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Temporary Investments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(which is substantially similar to a secured loan)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Our Adviser will monitor the creditworthiness of the counterparties with which we enter into repurchase agreement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Senior Securities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are permitted, under specified conditions, to issue multiple classes of debt and one class of stock senior to our common stock if our asset coverage, as defined in the 1940 Act, is at least equal to 150% immediately after each such issuance. Under a 150% asset coverage ratio a BDC may borrow $2 for investment purposes of every $1 of investor equity.</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addition, while any senior securities remain outstanding, we may be prohibited from making distributions to our stockholders or repurchasing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“Item 1A. Risk Factors — Risks Relating to Our Business and Structure — Regulations governing our operation as a BDC and RIC may affect our ability to raise, and the way in which we raise, additional capital or borrow for investment purposes, which may have a negative effect on our growth” and “Risk Factors — Risks Relating to Our Use of Leverage and Credit Facilities — If we borrow money, the potential for loss on amounts invested in us will be magnified and may increase the risk of investing in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Exclusion from CFTC Regulation</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CFTC Rule 4.5 permits investment advisers to BDCs to claim an exclusion from the definition of “commodity pool operator” under the Commodity Exchange Act (the “CEA”) with respect to a fund, provided certain requirements are met. In order to permit our Adviser to claim this exclusion with respect to us, we must limit our transactions in certain futures, options on futures and swaps deemed “commodity interests” under CFTC rules (excluding transactions entered into for “bona fide hedging purposes,” as defined under CFTC regulations) such that either: (i) the aggregate initial margin and premiums required to establish such futures, options on futures and swaps do not exceed 5% of the liquidation value of our portfolio, after taking into account unrealized profits and losses on such positions; or (ii) the aggregate net notional value of such futures, options on futures and swaps does not exceed 100% of the liquidation value of our portfolio, after taking into account unrealized profits and losses on such positions. In addition to meeting one of the foregoing trading limitations, we may not market ourself as a commodity pool or otherwise as a vehicle for trading in the futures, options or swaps markets. Accordingly, we are not subject to regulation under the CEA or otherwise regulated by the CFTC. If the Adviser was unable to claim the exclusion with respect to us, the Adviser would become subject to registration and regulation as a commodity pool operator, which would subject the Adviser and us to additional registration and regulatory requirements and increased 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We are not generally able to issue and sell our common stock at a price below NAV per share. We will, however, be able to sell our common stock, warrants, options or rights to acquire our common stock, at a price below the current NAV of the common stock if our Board of Directors determines that such sale is in our best interests and that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NAV per share, subject to applicable requirements of the 1940 Act. See “Item 1A. Risk Factors — Risks Relating to Our Business and Structure — Regulations governing our operation as a BDC and RIC may affect our ability to raise, and the way in which we raise, additional capital or borrow for investment purposes, which may have a negative effect on our growth.”</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Code of Ethics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We have adopted a code of ethics pursuant to Rule 17j-1 under the 1940 Act and we have also approved the Adviser’s code of ethics that was adopted by it under Rule 17j-1 under the 1940 Act and Rule 204A-1 of the Advisers Act. These codes establish procedures for personal investments and restrict certain personal securities transactions. Personnel subject to the code may invest in securities for their personal investment accounts, including securities that may be purchased or held by us, so long as such investments are made in accordance with the code’s requirements. The codes of ethics are available on the EDGAR Database on the SEC’s Internet site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xml:space="preserve"> and are available at our corporate governance webpage at </w:t>
      </w:r>
      <w:r>
        <w:rPr>
          <w:rFonts w:ascii="Times New Roman" w:cs="Times New Roman" w:eastAsia="Times New Roman" w:hAnsi="Times New Roman"/>
          <w:sz w:val="12"/>
          <w:szCs w:val="12"/>
          <w:i w:val="1"/>
          <w:iCs w:val="1"/>
          <w:color w:val="auto"/>
        </w:rPr>
        <w:t>lien.chicagoatlantic.com</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Policies and Procedures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and our Adviser have adopted and implemented written policies and procedures reasonably designed to prevent violation of the federal securities laws and are required to review these compliance policies and procedures annually for their adequacy and the effectiveness of their implementation. Our CCO is responsible for administering these policies and procedures.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Proxy Voting Policies and Procedures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delegated our proxy voting responsibility to our Adviser. The proxy voting policies and procedures of our Adviser are set forth below. The guidelines are reviewed periodically by our Adviser and our non-interested directors, and, accordingly, are subject to change.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Introduction</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an investment adviser registered under the Advisers Act, our Adviser has a fiduciary duty to act solely in the best interests of its clients. As part of this duty, our Adviser recognizes that it must vote client securities in a timely manner free of conflicts of interest and in the best interests of its clients.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policies and procedures for voting proxies for the investment advisory clients of our Adviser are intended to comply with Section 206 of, and Rule 206(4)-6 under, the Advisers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Proxy policies</w:t>
      </w:r>
    </w:p>
    <w:p>
      <w:pPr>
        <w:spacing w:after="0" w:line="152"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1"/>
          <w:szCs w:val="11"/>
          <w:color w:val="auto"/>
        </w:rPr>
        <w:t>Our Adviser will vote proxies relating to our portfolio securities in the best interest of our stockholders. Our Adviser will review on a case-by-case basis each proposal submitted for a stockholder vote to determine its impact on the portfolio securities held by us. Although our Adviser will generally vote against proposals that may have a negative impact on our portfolio securities, it may vote for such a proposal if there exists compelling long-term reasons to do so.</w:t>
      </w:r>
    </w:p>
    <w:p>
      <w:pPr>
        <w:spacing w:after="0" w:line="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proxy voting decisions of our Adviser will be made by the officers who are responsible for monitoring each of our investments. To ensure that its vote is not the product of a conflict of interest, our Adviser will require that: (a) anyone involved in the decision-making process disclose to our Adviser’s CCO any potential conflict that he or she is aware of and any contact that he or she has had with any interested party regarding a proxy vote; and (b) employees involved in the decision-making process or vote administration are prohibited from revealing how our Adviser intends to vote on a proposal in order to reduce any attempted influence from interested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Proxy voting records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You may obtain information, without charge, regarding how we voted proxies with respect to our portfolio securities by making a written request for proxy voting information to: Chief Compliance Officer, Chicago Atlantic BDC, Inc., 600 Madison Avenue, Suite 1800, New York, NY 10022.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subject to periodic examination by the SEC for compliance with the 1940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 of our investment policies are fundamental, and thus may be changed without stockholder approval.</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Exchange Act and Sarbanes-Oxley Act Compliance</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are subject to the reporting and disclosure requirements of the Exchange Act, including the filing of quarterly, annual and current reports, proxy statements and other required items. In addition, we are subject to the Sarbanes-Oxley Act, which imposes a wide variety of regulatory requirements on publicly held companies and their insiders. For example:</w:t>
      </w:r>
    </w:p>
    <w:p>
      <w:pPr>
        <w:spacing w:after="0" w:line="111" w:lineRule="exact"/>
        <w:rPr>
          <w:sz w:val="20"/>
          <w:szCs w:val="20"/>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Rule 13a-14 of the Exchange Act, our chief executive officer and chief financial officer are required to certify the accuracy of the financial statements contained in our periodic reports;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Item 307 of Regulation S-K, our periodic reports are required to disclose our conclusions about the effectiveness of our disclosure controls and procedures; and</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Rule 13a-15 of the Exchange Act, our management is required to prepare a report regarding its assessment of our internal control over financial reporting. When we are no longer an emerging growth company under the JOBS Act, our independent registered public accounting firm will be required to audit our internal control over financial reporting.</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The Sarbanes-Oxley Act requires us to review our current policies and procedures to determine whether we comply with the Sarbanes-Oxley Act and the regulations promulgated thereunder. We intend to monitor our compliance with all regulations that are adopted under the Sarbanes-Oxley Act and will take actions necessary to ensure that we are in compliance therewith. The Nasdaq Stock Market Corporate Governance Regulations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Nasdaq Stock Market has adopted corporate governance regulations that listed companies must comply with. We are in compliance with such corporate governance regulations applicable to BDCs.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Material U.S. Federal Income Tax Considerations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following is a description of the material U.S. federal income tax consequences of owning and disposing of shares of our common stock. The discussion below provides general tax information relating to an investment in our shares, but it does not purport to be a comprehensive description of all the U.S. federal income tax considerations that may be relevant to a particular person’s decision to invest in our shares. This discussion does not describe all of the tax consequences that may be relevant in light of the particular circumstances of a beneficial owner of shares, including alternative minimum tax consequences, Medicare contribution tax consequences and tax consequences applicable to beneficial owners subject to special rules, such as:</w:t>
      </w:r>
    </w:p>
    <w:p>
      <w:pPr>
        <w:spacing w:after="0" w:line="122" w:lineRule="exact"/>
        <w:rPr>
          <w:sz w:val="20"/>
          <w:szCs w:val="20"/>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financial institutions;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regulated investment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 estate investment trusts;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dealers or traders in securities that use a mark-to-market method of tax accounting;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holding shares of our common stock as part of a straddle, wash sale, conversion transaction or integrated transaction or persons entering into a constructive sale with respect to the shares;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Holders (as defined below) whose functional currency for U.S. federal income tax purposes is not the U.S. dollar;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classified as partnerships or otherwise treated as pass-through entities for U.S. federal income tax purposes;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former U.S. citizens and residents and expatriated entities;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entities, including an “individual retirement account” or “Roth IRA”;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an entity that is classified as a partnership for U.S. federal income tax purposes holds shares, the U.S. federal income tax treatment of a partner will generally depend on the status of the partner and the activities of the partnership.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Partnerships holding shares and partners in such partnerships should consult their tax advisers as to the particular U.S. federal income tax consequences of holding and disposing of our shares in light of their specific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discussion applies only to an owner of shares that (i) is treated as the beneficial owner of such shares for U.S. federal income tax purposes and (ii) holds such shares as capital assets.</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You are urged to consult your tax adviser with regard to the application of the U.S. federal income tax laws to your particular situation, as well as any tax consequences arising under U.S. federal tax laws other than U.S. federal income tax laws and the laws of any state, local or non-U.S. taxing jurisdiction.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2" w:name="page33"/>
    <w:bookmarkEnd w:id="32"/>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Taxation as a Regulated Investment Company</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We intend to qualify as a regulated investment company under Subchapter M of the Code (a “RIC”) in the current and future taxable years. Assuming that we so qualify and that we satisfy the distribution requirements described below, we generally will not be subject to U.S. federal income tax on income distributed in a timely manner to shareholders.</w:t>
      </w:r>
    </w:p>
    <w:p>
      <w:pPr>
        <w:spacing w:after="0" w:line="111"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To qualify as a RIC for any taxable year, we must, among other things, satisfy both an income test and an asset diversification test for such taxable year. Specifically, (i) at least 90% of our gross income for such taxable year must consist of dividends; interest; payments with respect to certain securities loans; gains from the sale or other disposition of stock, securities or foreign currencies; other income (including, but not limited to, gains from options, futures or forward contracts) derived with respect to our business of investing in such stock, securities or currencies; and net income derived from interests in “qualified publicly traded partnerships” (such income, “Qualifying RIC Income”) and</w:t>
      </w:r>
    </w:p>
    <w:p>
      <w:pPr>
        <w:spacing w:after="0" w:line="1" w:lineRule="exact"/>
        <w:rPr>
          <w:sz w:val="20"/>
          <w:szCs w:val="20"/>
          <w:color w:val="auto"/>
        </w:rPr>
      </w:pPr>
    </w:p>
    <w:p>
      <w:pPr>
        <w:jc w:val="both"/>
        <w:ind w:left="8" w:hanging="8"/>
        <w:spacing w:after="0" w:line="252" w:lineRule="auto"/>
        <w:tabs>
          <w:tab w:leader="none" w:pos="18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holdings must be diversified so that, at the end of each quarter of such taxable year, (a) at least 50% of the value of our total assets is represented by cash and cash items, securities of other RICs, U.S. government securities and other securities, with such other securities limited, in respect of any one issuer, to an amount not greater than 5% of the value of our total assets and not greater than 10% of the outstanding voting securities of such issuer and (b) not more than 25% of the value of our total assets is invested (x) in the securities (other than U.S. government securities or securities of other RICs) of any one issuer or of two or more issuers that we control and that are engaged in the same, similar or related trades or businesses or (y) in the securities of one or more “qualified publicly traded partnerships.” A “qualified publicly traded partnership” is generally defined as an entity that is treated as a partnership for U.S. federal income tax purposes if (i) interests in such entity are traded on an established securities market or are readily tradable on a secondary market or the substantial equivalent thereof and (ii) less than 90% of such entity’s gross income for the relevant taxable year consists of Qualifying RIC Income. Our share of income derived from a partnership other than a “qualified publicly traded partnership” will be treated as Qualifying RIC Income only to the extent that such income would have constituted Qualifying RIC Income if derived directly by us.</w:t>
      </w:r>
    </w:p>
    <w:p>
      <w:pPr>
        <w:spacing w:after="0" w:line="127"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In order to be exempt from U.S. federal income tax on our distributed income, we must distribute to our shareholders on a timely basis at least 90% of the sum of (i) our “investment company taxable income” (determined prior to the deduction for dividends paid) and (ii) our net tax-exempt interest income for each taxable year. In general, a RIC’s “investment company taxable income” for any taxable year is its taxable income, determined without regard to net capital gain (that is, the excess of net long-term capital gains over net short-term capital losses) and with certain other adjustments. Any taxable income, including any net capital gain, that we do not distribute to our shareholders in a timely manner will be subject to U.S. federal income tax at regular corporate rates.</w:t>
      </w:r>
    </w:p>
    <w:p>
      <w:pPr>
        <w:spacing w:after="0" w:line="122"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A RIC will be subject to a nondeductible 4% excise tax on certain amounts that we fail to distribute during each calendar year. In order to avoid this excise tax, a RIC must distribute during each calendar year an amount at least equal to the sum of (i) 98% of its ordinary taxable income for the calendar year, (ii) 98.2% of its capital gain net income for the one-year period ended on October 31 of the calendar year and (iii) any ordinary income and capital gains for previous years that were not distributed during those years. For purposes of determining whether we have met this distribution requirement, (i) certain ordinary gains and losses that would otherwise be taken into account for the portion of the calendar year after October 31 will be treated as arising on January 1 of the following calendar year and (ii) we will be deemed to have distributed any income or gains on which we have paid U.S. federal income tax. Amounts distributed and reinvested pursuant to our dividend reinvestment plan will be treated as distributed for all U.S. tax purposes, including for purposes of the distribution requirement described above and the excise tax.</w:t>
      </w:r>
    </w:p>
    <w:p>
      <w:pPr>
        <w:spacing w:after="0" w:line="125"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If we fail to qualify as a RIC or fail to satisfy the 90% distribution requirement in any taxable year, we will be subject to U.S. federal income tax at regular corporate rates on our taxable income, including our net capital gain, even if such income is distributed to our shareholders, and all distributions out of earnings and profits would be taxable to U.S. Holders as dividend income. Such distributions generally would be eligible for the dividends-received deduction in the case of corporate U.S. Holders (defined below) and would constitute “qualified dividend income” for individual U.S. Holders. See “— Tax Consequences to U.S. Holders — Distributions.” In addition, we could be required to recognize unrealized gains, pay taxes and make distributions (which could be subject to interest charges) before requalifying for taxation as a RIC. If we fail to satisfy the income test or diversification test described above, however, we may be able to avoid losing our status as a RIC by timely curing such failure, paying a tax and/or providing notice of such failure to the U.S. Internal Revenue Service (the “IRS”).</w:t>
      </w:r>
    </w:p>
    <w:p>
      <w:pPr>
        <w:spacing w:after="0" w:line="125"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In order to meet the distribution requirements necessary to be exempt from U.S. federal income and excise tax, we may be required to make distributions in excess of the income we actually receive in respect of our investments. In particular, we may be required to make distributions in respect of taxable income we recognize as a result of investing in original issue discount (“OID”) and payment in kind (“PIK”) instruments, without having actually received any amounts in respect of such taxable income.</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Tax Consequences to U.S. Holders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discussion in this section applies to you only if you are a U.S. Holder. A “U.S. Holder” is (i) an individual who is a citizen or resident of the United States; (ii) a corporation, or other entity taxable as a corporation, created or organized in or under the laws of the United States, any state therein or the District of Columbia; or (iii) an estate or trust the income of which is subject to U.S. federal income taxation regardless of its source.</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Distributions</w:t>
      </w:r>
      <w:r>
        <w:rPr>
          <w:rFonts w:ascii="Times New Roman" w:cs="Times New Roman" w:eastAsia="Times New Roman" w:hAnsi="Times New Roman"/>
          <w:sz w:val="12"/>
          <w:szCs w:val="12"/>
          <w:color w:val="auto"/>
        </w:rPr>
        <w:t>. Distributions of our ordinary income and net short-term capital gains will, except as described below with respect to distributions of “qualified dividend income,” generally be taxable to you as ordinary income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extent such distributions are paid out of our current or accumulated earnings and profits, as determined for U.S. federal income tax purposes. Distributions (or deemed distributions, as described below), if any, of net capital gains will be taxable as long-term capital gains, regardless of the length of time you have owned our shares. A distribution of an amount in excess of our current and accumulated earnings and profits will be treated as a return of capital that will be applied against and reduce your basis in our shares. If the amount of any such distribution exceeds your basis in our shares, the excess will be treated as gain from a sale or exchange of our shares.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ultimate tax characterization of the distributions that we make during any taxable year cannot be determined until after the end of the taxable year. As a result, it is possible that we will make total distributions during a taxable year in an amount that exceeds our current and accumulated earnings and profits.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Distributions of our “qualified dividend income” to an individual or other non-corporate U.S. Holder will be treated as “qualified dividend income” and will therefore be taxed at rates applicable to long-term capital gains, provided that the U.S. Holder meets certain holding period and other requirements with respect to our shares and that we meet certain holding period and other requirements with respect to the underlying shares of stock. “Qualified dividend income” generally includes dividends from domestic corporations and dividends from foreign corporations that meet certain specified criteria.</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Dividends distributed to a corporate U.S. Holder will qualify for the dividends-received deduction only to the extent that the dividends consist of distributions of dividends eligible for the dividends-received deduction received by us, we meet certain holding period requirements with respect to the underlying shares of stock and the U.S. Holder meets certain holding period and other requirements with respect to the underlying shares of stock. Dividends eligible for the dividends-received deduction generally are dividends from domestic corporations.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intend to distribute our net capital gains at least annually. If, however, we retain any net capital gains for reinvestment, we may elect to treat those net capital gains as having been distributed to our shareholders. If we make this election, you will be required to report your share of our undistributed net capital gain as long-term capital gain and will be entitled to claim your share of the U.S. federal income taxes paid by us on that undistributed net capital gain as a credit against your own U.S. federal income tax liability, if any, and to claim a refund on a properly filed U.S. federal income tax return to the extent that the credit exceeds your tax liability. In addition, you will be entitled to increase your adjusted tax basis in our shares by the difference between your share of such undistributed net capital gain and the related credit and/or refund. There can be no assurance that we will make this election if we retain all or a portion of our net capital gain for a taxable year.</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Because the tax treatment of a distribution depends upon our current and accumulated earnings and profits, a distribution received shortly after an acquisition of shares may be taxable, even though, as an economic matter, the distribution represents a return of your initial investment. Distributions will be treated in the manner described above regardless of whether paid in cash or invested in additional shares pursuant to our dividend reinvestment plan. Although dividends generally will be treated as distributed when paid, dividends declared in October, November or December, payable to shareholders of record on a specified date in one of those months, and paid during the following January, will be treated for U.S. federal income tax purposes as having been distributed by us and received by shareholders on December 31 of the year in which declared. Shareholders will be notified annually as to the U.S. federal tax status of distributions.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Sales and Redemptions of Shares</w:t>
      </w:r>
      <w:r>
        <w:rPr>
          <w:rFonts w:ascii="Times New Roman" w:cs="Times New Roman" w:eastAsia="Times New Roman" w:hAnsi="Times New Roman"/>
          <w:sz w:val="12"/>
          <w:szCs w:val="12"/>
          <w:color w:val="auto"/>
        </w:rPr>
        <w:t>. In general, upon the sale or other disposition of shares, you will recognize capital gain or loss in an amount equal to the difference, if any, between the amount realized on the sale or other disposition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your adjusted tax basis in the relevant shares. Such gain or loss generally will be long-term capital gain or loss if your holding period for the relevant shares was more than one year on the date of the sale or other disposition. Under current law, net capital gain (that is, the excess of net long-term capital gains over net short-term capital losses) recognized by non-corporate U.S. Holders is generally subject to U.S. federal income tax at lower rates than the rates applicable to ordinary income.</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Losses recognized by you on the sale or other disposition of shares held for six months or less will be treated as long-term capital losses to the extent of any distribution of long-term capital gain received (or deemed received, as discussed above) with respect to such shares. In addition, no loss will be allowed on a sale or other disposition of shares if you acquire shares (including pursuant to our dividend reinvestment plan), or enter into a contract or option to acquire shares, within 30 days before or after such sale or other disposition. In such a case, the basis of the shares acquired will be adjusted to reflect the disallowed loss.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 U.S. Treasury regulations, if you recognize losses with respect to shares of $2 million or more if you are an individual, or $10 million or more if you are a corporation, you must file with the IRS a disclosure statement on IRS Form 8886. Direct shareholders of portfolio securities are in many cases exempted from this reporting requirement, but under current guidance, shareholders of a RIC are not exempted. The fact that a loss is reportable under these regulations does not affect the legal determination of whether your treatment of the loss is proper. Certain states may have similar disclosure requirements.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Backup Withholding and Information Reporting</w:t>
      </w:r>
      <w:r>
        <w:rPr>
          <w:rFonts w:ascii="Times New Roman" w:cs="Times New Roman" w:eastAsia="Times New Roman" w:hAnsi="Times New Roman"/>
          <w:sz w:val="12"/>
          <w:szCs w:val="12"/>
          <w:color w:val="auto"/>
        </w:rPr>
        <w:t>. Payments on our shares (including of reinvested dividends) and proceeds from a sale or other disposition of shares will be subject to information reporting unless you are an exempt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recipient. You will be subject to backup withholding on all such amounts unless (i) you are an exempt recipient or (ii) you provide your correct taxpayer identification number (generally, on IRS Form W-9) and certify that you are not subject to backup withholding. Backup withholding is not an additional tax. Any amounts withheld pursuant to the backup withholding rules will be allowed as a credit against your U.S. federal income tax liability and may entitle you to a refund, provided that the required information is furnished to the IRS on a timely basis.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Tax Consequences to Non-U.S. Holders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discussion in this section applies to you only if you are a Non-U.S. Holder. A “Non-U.S. Holder” is a person that, for U.S. federal income tax purposes, is a beneficial owner of shares and is a nonresident alien individual, a foreign corporation, a foreign trust or a foreign estate. The discussion below does not apply to you if you are a nonresident alien individual and are present in the United States for 183 days or more during any taxable year; a nonresident alien individual who is a former citizen or resident of the United States; an expatriated entity; a controlled foreign corporation; a passive foreign investment company; a foreign government for purposes of Section 892 of the Code or a tax-exempt organization for U.S. federal income tax purposes. You should consult your tax adviser with respect to the particular tax consequences to you of an investment in shares of our common stock.</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If the income that you derive from your investment in our shares is not “effectively connected” with a U.S. trade or business conducted by you (or, if an applicable tax treaty so provides, you do not maintain a permanent establishment in the United States to which such income is attributable), distributions of “investment company taxable income” to you (including amounts reinvested pursuant to our dividend reinvestment plan) will generally be subject to U.S. federal withholding tax at a rate of 30% (or lower rate under an applicable tax treaty). Provided that certain requirements are satisfied, this withholding tax will not be imposed on dividends paid by us to the extent that the underlying income out of which the dividends are paid consists of U.S.-source interest income or short-term capital gains that would not have been subject to U.S. withholding tax if received directly by the Non-U.S. Holder (“interest-related dividends” and “short-term capital gain dividends,” respectively).</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the income you derive from your investment in our shares is not “effectively connected” with a U.S. trade or business conducted by you (or, if an applicable tax treaty so provides, you do not maintain a permanent establishment in the United States to which such income is attributable) you will generally be exempt from U.S. federal income tax on capital gain dividends and any amounts we retain that are designated as undistributed capital gains. In addition, you will generally be exempt from U.S. federal income tax on any gains realized upon the sale or exchange of shares.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the income you derive from your investment in our shares is “effectively connected” with a U.S. trade or business conducted by you (and, if required by an applicable tax treaty, is attributable to a U.S. permanent establishment maintained by you), any distributions of “investment company taxable income,” any capital gain dividends, any amounts we retain that are designated as undistributed capital gains and any gains realized upon the sale or exchange of shares will be subject to U.S. federal income tax, on a net income basis, at the rates applicable to U.S. Holders. If you are a corporation, you may also be subject to the U.S. branch profits tax.</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order to qualify for the exemption from U.S. withholding on interest-related dividends, to qualify for an exemption from U.S. backup withholding (discussed below) and to qualify for a reduced rate of U.S. withholding tax on our distributions pursuant to an income tax treaty, you must generally deliver to the withholding agent a properly executed IRS form (generally, Form W-8BEN or Form W-8BEN-E, as applicable). In order to claim a refund of any Company-level taxes imposed on undistributed net capital gain, any withholding taxes or any backup withholding, you must obtain a U.S. taxpayer identification number and file a U.S. federal income tax return, even if you would not otherwise be required to obtain a U.S. taxpayer identification number or file a U.S. income tax return.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Backup Withholding and Information Reporting</w:t>
      </w:r>
      <w:r>
        <w:rPr>
          <w:rFonts w:ascii="Times New Roman" w:cs="Times New Roman" w:eastAsia="Times New Roman" w:hAnsi="Times New Roman"/>
          <w:sz w:val="12"/>
          <w:szCs w:val="12"/>
          <w:color w:val="auto"/>
        </w:rPr>
        <w:t>. Information returns will be filed with the IRS in connection with certain payments on the shares and may be filed in connection with payments of the proceeds from a sale or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disposition of shares. You may be subject to backup withholding on distributions or on the proceeds from a redemption or other disposition of shares if you do not certify your non-U.S. status under penalties of perjury or otherwise establish an exemption. Backup withholding is not an additional tax. Any amounts withheld pursuant to the backup withholding rules will be allowed as a credit against your U.S. federal income tax liability, if any, and may entitle you to a refund, provided that the required information is furnished to the IRS on a timely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Account Tax Compliance Act (“FATCA”)</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Under Sections 1471 through 1474 of the Code FATCA, a withholding tax at the rate of 30% will generally be imposed on payments of dividends on shares to certain foreign entities (including financial intermediaries) unless the foreign entity provides the withholding agent with certifications and other information (which may include information relating to ownership by U.S. persons of interests in, or accounts with, the foreign entity). Treasury and the IRS have issued proposed regulations that (i) provide that “withholdable payments” for FATCA purposes will not include gross proceeds from the disposition of property that can produce U.S.-source dividends or interest, and (ii) state that taxpayers may rely on these provisions of the proposed regulations until final regulations are issued. If FATCA withholding is imposed, a beneficial owner of shares that is not a foreign financial institution generally may obtain a refund of any amounts withheld by filing a U.S. federal income tax return (which may entail significant administrative burden). You should consult your tax adviser regarding the possible implications of FATCA on your investment in our shares.</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All stockholders should consult their own tax advisors with respect to the U.S. federal income and withholding tax consequences, and U.S. federal non-income, state, local and non-U.S. tax consequences, of an investment in our common stock. We will not pay any additional amounts in respect of any amounts withheld.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Investing in our common stock involves a number of significant risks. In addition to the other information contained in this annual report on Form 10-K, you should consider carefully the following information before making an investment in our common stock.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NAV and the trading price of our common stock could decline, and you may lose part or all of your investment. The risk factors described below are the principal risk factors associated with an investment in our common stock, as well as those factors generally associated with an investment company with investment objectives, investment policies, capital structure or trading markets similar to ours.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Risk Factors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The following is a summary of the principal risks that you should carefully consider before investing in our common stock and is followed by a more detailed discussion of the material risks related to us and an investment in our common stock.</w:t>
      </w:r>
    </w:p>
    <w:p>
      <w:pPr>
        <w:spacing w:after="0" w:line="109" w:lineRule="exact"/>
        <w:rPr>
          <w:sz w:val="20"/>
          <w:szCs w:val="20"/>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recessions or downturns may have a material adverse effect on our business, financial condition and results of operations, and could impair the ability of our portfolio companies to repay debt or pay interest.</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economic, political and market conditions, including those caused by the current public health crisis, have (and in the future, could further) adversely affect our business, results of operations and financial condition and those of our portfolio companies.</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limited operating history and our Adviser is a recently registered investment adviser under the Advisers Act, with limited history of managing BDCs and limited history of making credit investments in the nascent cannabis industry.</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 portfolio will be recorded at fair value as determined in good faith in accordance with procedures established by our Board of Directors and, as a result, there will be uncertainty as to the value of our portfolio investments.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achieve our investment objective depends on our Adviser’s ability to support our investment process; if our Adviser were to lose key personnel or they were to resign, our ability to achieve our investment objective could be significantly harmed.</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model depends to a significant extent upon strong referral relationships, and the inability of the personnel associated with our Adviser to maintain or develop these relationships, or the failure of these relationships to generate investment opportunities, could adversely affect our business.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on our part to maintain qualification as a BDC would significantly reduce our operating flexibility.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Regulations governing our operation as a BDC and RIC may affect our ability to raise, and the way in which we raise, additional capital or borrow for investment purposes, which may have a negative effect on our growth.</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or regulations governing our operations, including laws and regulations governing cannabis, may adversely affect our business or cause us to alter our business strategy.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of the Maryland General Corporation Law and of our charter and bylaws could deter takeover attempts and have an adverse impact on the price of our common stock.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invest a significant portion of the net proceeds from our initial public offering, or any follow-on offering of shares of our common stock, on acceptable terms within an attractive time frame.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Because we intend to distribute at least 90% of our taxable income each taxable year to our stockholders in connection with our election to be treated as a RIC, we will continue to need additional capital to finance our growth.</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420" w:hanging="212"/>
        <w:spacing w:after="0" w:line="279"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pay you distributions, and if we are able to pay you distributions, our distributions may not grow over time and/or a portion of our distributions may be a return of capital. We have not established any limit on the extent to which we may use offering proceeds to fund distributions.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be subject to corporate-level U.S. federal income tax if we are unable to obtain and maintain qualification as a RIC under Subchapter M of the Code or do not satisfy the annual distribution requirement.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investments in portfolio companies may be risky, and we could lose all or part of our investments.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invest primarily in securities that are rated below investment grade by rating agencies or that would be rated below investment grade if they were rated. Below investment grade securities, which are often referred to as “junk,” have predominantly speculative characteristics with respect to the issuer’s capacity to pay interest and return principal. They may also be illiquid and difficult to value.</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Some of the loans in which we may invest may be “covenant-lite” loans, which may have a greater risk of loss as compared to investments in or exposure to loans with a complete set of financial maintenance covenants.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liquidity in our investments may adversely affect our business.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closed-end investment companies, including BDCs, may trade at a discount to their net asset value (“NAV”).</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of our common stock may fluctuate significantly.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Cannabis, except for hemp, is currently illegal under U.S. federal law and in other jurisdictions, and strict enforcement of federal laws would likely result in our inability to execute our business plan.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to relatively new and/or small companies and companies operating in the cannabis industry generally involve significant risks.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 opportunities are limited by the current illegality of cannabis under U.S. federal law, and change in the laws, regulations and guidelines that impact the cannabis industry may cause adverse effects on our ability to make investments.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Strict enforcement of U.S. federal laws regarding cannabis would likely result in our portfolio companies’ inability to execute a business plan in the cannabis industry, and could result in the loss of all or part of any of our loans.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nascent status of the medical and recreational cannabis industry involves unique circumstances and there can be no assurance that the industry will continue to exist or grow as currently anticipated.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potential growth in the cannabis industry continues to be subject to new and changing state and local laws and regulations.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companies may have difficulty borrowing from or otherwise accessing the service of banks, which may make it difficult to sell products and services.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portfolio companies or the cannabis industry more generally may receive unfavorable publicity or become subject to negative consumer or investor perception.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Third-parties with whom we do business may perceive themselves as being exposed to reputational risk by virtue of their relationship with us and may ultimately elect not to do business with us.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companies may be subject to regulatory, legal or reputational risk associated with potential misuse of their products by their customers.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may be a lack of access to U.S. bankruptcy protections for portfolio companies.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shares of our common stock after the completion of the Loan Portfolio Acquisition may cause the market price of our common stock to decline.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realize the benefits anticipated by the Loan Portfolio Acquisition, including estimated cost savings, or it may take longer than anticipated to achieve such benefits.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Economic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Economic recessions or downturns may have a material adverse effect on our business, financial condition and results of operations, and could impair the ability of our portfolio companies to repay debt or pay interest.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 In addition, uncertainty with regard to economic recovery from recessions or downturns could also have a negative impact on our business,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When recessionary conditions exist, the financial results of middle-market companies, like those in which we invest, typically experience deterioration, which could ultimately lead to difficulty in meeting debt service requirements and an increase in defaults. Additionally, there can be reduced demand for certain of our portfolio companies’ products and services and/or other economic consequences, such as decreased margins or extended payment terms. Further, adverse economic conditions may decrease the value of collateral securing some of our loans and the value of our equity investments. Such conditions may require us to modify the payment terms of our investments, including changes in PIK interest provisions and/or cash interest rates. The performance of certain portfolio companies in the future may be negatively impacted by these economic or other conditions, which may result in our receipt of reduced interest income from our portfolio companies and/or realized and unrealized losses related to our investments, and, in turn, may adversely affect distributable income and have a material adverse effect on our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Global economic, political and market conditions, including downgrades of the U.S. credit rating, may adversely affect our business, results of operations and financial condition.</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The current global financial market situation, as well as various social and political tensions in the United States and around the world (including the current conflicts between Russia and Ukraine and in the Middle East), may contribute to increased market volatility, may have long-term effects on the United States and worldwide financial markets and may cause economic uncertainties or deterioration in the U.S. and worldwide. The impact of downgrades by rating agencies to the U.S. government’s sovereign credit rating or its perceived creditworthiness as well as potential government shutdowns and uncertainty surrounding transfers of power could adversely affect the U.S. and global financial markets and economic conditions. Since 2010, several European Union countries have faced budget issues, some of which may have negative long-term effects for the economies of those countries and other European Union countries. There is concern about national-level support for the Euro and the accompanying coordination of fiscal and wage policy among European Economic and Monetary Union member countries. In addition, the fiscal policy of foreign nations, such as Russia and China, may have a severe impact on the worldwide and U.S. financial markets. The United Kingdom’s decision to leave the EU (the so-called “Brexit”) led to volatility in global financial markets. On December 24, 2020, a trade agreement was concluded between the EU and the United Kingdom (the “TCA”), which applied provisionally after the end of the transition period ending on December 31, 2020 and which formally took effect on May 1, 2021 and now governs the relationship between the United Kingdom and the EU. There remains uncertainty as to the scope, nature and terms of the relationship between the United Kingdom and the EU and the effect and implications of the TCA, and the actual and potential consequences of Brexit. Additionally, trade wars and volatility in the U.S. repo market, the U.S. high-yield bond markets, the Chinese stock markets and global markets for commodities may affect other financial markets worldwide. In addition, while recent government stimulus measures worldwide have reduced volatility in the financial markets, volatility may return as such measures are phased out, and the long-term impacts of such stimulus on fiscal policy and inflation remain unknown. In addition, the current conflicts between Russia and Ukraine and in the Middle East, and resulting market volatility, could adversely affect our business, financial condition or results of operations.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value of our common shares and/or debt securities to decline. We cannot predict the effects of these or similar events in the future on the U.S. and global economies and securities markets or on our investments. We monitor developments in economic, political and market conditions and seek to manage our investments in a manner consistent with achieving our investment objective, but there can be no assurance that we will be successful in doing so.</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ongoing armed conflicts as a result of the Russian invasion of Ukraine and the conflict in the Middle East may have a material adverse impact on us and our portfolio companies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Russian invasion of Ukraine and the conflict in the Middle East have led, are currently leading, and for an unknown period of time may continue to lead to disruptions in local, regional, national, and global markets and economies affected thereby.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performance of our investments, our operations, and our ability to achieve our investment objectives.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response to the Russian invasion of Ukraine, the United States, the United Kingdom, the European Union and many other nations announced a broad array of new or expanded economic sanctions, export controls and other measures against Russia,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that have enacted sanctions, including cyberattacks against financial and governmental institutions, which could result in business disruptions and further economic turbulence.</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Although we have no direct exposure to Russia, Ukraine or the Middle East, the broader consequences of the conflicts may have a material adverse impact on our portfolio, our business and operations and the value of an investment in us. The Russian invasion of Ukraine and the conflict in the Middle East are uncertain and evolving as of the filing date of this annual report on Form 10-K, and their full impact on our portfolio companies after the date hereof is unknown.</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Capital markets may experience periods of disruption and instability. Such market conditions may materially and adversely affect debt and equity capital markets in the United States and abroad, which may have a negative impact on our business and operations.</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From time-to-time,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150%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Given the extreme volatility and dislocation in the capital markets over the past several years, many BDCs have faced, and may in the future face, a challenging environment in which to raise or access capital. In addition, significant changes in the capital markets, including the extreme volatility and disruption over the past several years, has had, and may in the future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As a result, volatility in the capital markets can adversely affect our investment valuations.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Further, the illiquidity of our investments may make it difficult for us to sell such investments if required and to value such investments. Our use of leverage will amplify these risks, and we may be forced to liquidate our investments at inopportune times or prices to repay debt. Consequently, we may realize significantly less than the value at which we carry our investments.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affected by force majeure events (e.g., acts of God, fire, flood, earthquakes, outbreaks of an infectious disease, pandemic or any other serious public health concern, war, terrorism, nationalization of industry and labor strikes).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may be affected by force majeure events (e.g., acts of God, fire, flood, earthquakes, outbreaks of an infectious disease, pandemic or any other serious public health concern, war, terrorism, nationalization of industry and labor strikes). Force majeure events could adversely affect the ability of the Company or a counterparty to perform its obligations. The liability and cost arising out of a failure to perform obligations as a result of a force majeure event could be considerable and could be borne by the Company. Certain force majeure events, such as war or an outbreak of an infectious disease, could have a broader negative impact on the global or local economy, thereby affecting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economic and market conditions, including those caused by inflation and a rising interest rate environment, could materially affect the success of our activities and investments.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Any disruptions in the capital markets, as a result of inflation and a rising interest environment or otherwise, may increase the spread between the yields realized on risk-free and higher risk securities and can result in illiquidity in parts of the capital markets, significant write-offs in the financial sector and re-pricing of credit risk in the broadly syndicated market. These and any other unfavorable economic conditions could increase our funding costs, limit our access to the capital markets or result in a decision by lenders not to extend credit to us.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addition, market conditions (including inflation, supply chain issues and decreased consumer demand) have adversely impacted, and could in the future further impact, the operations of certain of our portfolio companies. If the financial results of middle-market companies, like those in which we invest, experience deterioration, it could ultimately lead to difficulty in meeting debt service requirements and an increase in defaults, and further deterioration in market conditions will further depress the outlook for those companies. Further, adverse economic conditions may in the future decrease the value of collateral securing some of our loans and the value of our equity investments. Such conditions may in the future require us to modify the payment terms of our investments, including changes in PIK interest provisions and/or cash interest rates. The performance of certain of our portfolio companies in the future may be negatively impacted by these economic or other conditions, which can result in our receipt of reduced interest income from our portfolio companies and/or realized and unrealized losses related to our investments, and, in turn, may adversely affect distributable income and have a material adverse effect on our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public health emergency, or the threat thereof, and the resulting financial and economic market uncertainty could have a significant adverse impact on us and the fair value of our investments and our portfolio companies.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extent of the impact of any public health emergency, such as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w:t>
      </w:r>
    </w:p>
    <w:p>
      <w:pPr>
        <w:spacing w:after="0" w:line="12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Any public health emergency,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 and Structure</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limited operating history and our Adviser is a recently registered investment adviser under the Advisers Act, with limited history of managing BDCs and limited history of making credit investments in the nascent cannabis industry.</w:t>
      </w:r>
    </w:p>
    <w:p>
      <w:pPr>
        <w:spacing w:after="0" w:line="10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were formed in January 2021 and commenced operations in February 2022. As a result of limited operating history, we are subject to many of the business risks and uncertainties associated with recently formed businesses, including the risk that we will not achieve our investment objective and that the value of your investment could decline substantially. Our team also has limited history working together in making credit investments.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Additionally, our Adviser is a recently registered investment adviser under the Advisers Act, with limited history of managing BDCs. The 1940 Act imposes numerous constraints on the operations of BDCs that do not apply to other types of investment vehicles. For example, under the 1940 Act, BDCs are generally required to invest at least 70% of their total assets primarily in securities of qualifying U.S. private or thinly traded companies. The failure to comply with these provisions in a timely manner could prevent us from qualifying as a BDC, which could be material. The Adviser’s limited experience in managing a portfolio of assets under such constraints may hinder our ability to take advantage of attractive investment opportunities and, as a result, achieve our investment objective.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general increase in interest rates will likely have the effect of increasing our net investment income, which would make it easier for our Adviser to receive Incentive Fees on Income.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Any general increase in interest rates would likely have the effect of increasing the interest rate that we receive on many of our debt investments. Accordingly, a general increase in interest rates may make it easier for our Adviser to meet the quarterly hurdle rate for payment of Incentive Fees on Income under the Investment Advisory Agreement and may result in a substantial increase in the amount of the Incentive Fees on Income payable to our Adviser.</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investment portfolio will be recorded at fair value as determined in good faith in accordance with procedures established by our Board of Directors and, as a result, there will be uncertainty as to the value of our portfolio investments.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Under the 1940 Act, we are required to carry our portfolio investments at market value or, if there is no readily available market value, at fair value as determined in good faith in accordance with procedures established by our Board of Directors. Typically, there is not a public market for the securities of the privately held companies in which we invest. As a result, we value these securities quarterly at fair value as determined in good faith in accordance with procedures established by our Board of Directors. The fair value of such securities may change, potentially materially, between the date of the fair value determination and the release of the financial results for the corresponding period or the next date at which fair value is determined.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Certain factors that may be considered in determining the fair value of our investments include the nature and realizable value of any collateral, the portfolio company’s earnings and its ability to make payments on its indebtedness, the markets in which the portfolio company does business, comparison to comparable publicly traded companies, discounted cash flow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In addition, any investments that include OID or PIK interest may have unreliable valuations because their continuing accruals require ongoing judgments about the collectability of their deferred payments and the value of their underlying collateral. Due to these uncertainties, our fair value determinations may cause our NAV on a given date to materially understate or overstate the value that we may ultimately realize upon the sale of one or more of our investments. As a result, investors purchasing our common stock based on an overstated NAV would pay a higher price than the realizable value of our investments might warrant.</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addition, the participation of the investment professionals in the valuation process, and the indirect pecuniary interest of Scott Gordon, our Co-Chief Investment Officer, an interested member and Executive Chairman of our Board of Directors and a member of the Adviser’s Investment Committee, John Mazarakis, an interested member of our Board of Directors and a member of the Adviser’s Investment Committee, Andreas Bodmeier, a member of the Adviser’s Investment Committee, Umesh Mahajan, our Co-Chief Investment Officer and Secretary and a member of the Adviser’s Investment Committee, Peter Sack, our Chief Executive Officer and a member of the Adviser’s Investment Committee, and Dino Colonna, our President, in the Adviser could result in a conflict of interest as the management fee payable to our Adviser is based on our gross assets and the Incentive Fees on Capital Gains payable to the Adviser is based, in part, on unrealized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failure of major financial institutions, namely banks, or sustained financial market illiquidity, could adversely affect our and/or our portfolio companies’ businesses and results of operations.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failure of certain financial institutions, namely banks, may increase the possibility of a sustained deterioration of financial market liquidity, or illiquidity at clearing, cash management and/or custodial financial institutions. The failure of a bank (or banks) with which we and/or our portfolio companies have a commercial relationship could adversely affect, among other things, our and/or our portfolio companies’ ability to pursue key strategic initiatives, including by affecting our or our portfolio companies’ ability to access deposits or borrow from financial institutions on favorable terms. In the event a portfolio company, or potential portfolio company, has a commercial relationship with a bank that has failed or is otherwise distressed, such portfolio company may experience delays or other issues in meeting certain obligations or consummating transactions. Additionally, if a portfolio company or its sponsor has a commercial relationship with a bank that has failed or is otherwise distressed, the portfolio company may experience issues receiving financial support from a sponsor to support its operations or consummate transactions, to the detriment of their business, financial condition and/or results of operations. In addition, such bank failure(s) could affect, in certain circumstances, the ability of both affiliated and unaffiliated co-lenders, including syndicate banks or other fund vehicles, to undertake and/or execute co-investment transactions with us, which in turn may result in fewer co-investment opportunities being made available to us or impact our ability to provide additional follow-on support to portfolio companies. Our and our portfolio companies’ ability to spread banking relationships among multiple institutions may be limited by certain contractual arrangements, including liens placed on their respective assets as a result of a bank agreeing to provide financing.</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ability to achieve our investment objective will depend on our Adviser’s ability to support our investment process; if our Adviser were to lose key personnel or they were to resign, our ability to achieve our investment objective could be significantly harmed.</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depend on the investment expertise, skill and network of business contacts of the senior personnel of our Adviser. Our Adviser evaluates, negotiates, structures, executes, monitors and services our investments. Key personnel of our Adviser have departed in the past and current key personnel could depart at any time. Our Adviser’s capabilities in structuring the investment process, providing competent, attentive and efficient services to us, and facilitating access to financing on acceptable terms depend on the employment of investment professionals in adequate number and of adequate sophistication to match the corresponding flow of transactions. The departure of key personnel or of a significant number of the investment professionals or partners of our Adviser could have a material adverse effect on our ability to achieve our investment objective. Our Adviser may need to hire, train, supervise and manage new investment professionals to participate in our investment selection and monitoring process and may not be able to find investment professionals in a timely manner or at all. In addition, without payment of any penalty, the Adviser may generally terminate the Investment Advisory Agreement upon 60 days’ written notice. If we are unable to quickly find a new investment adviser or hire internal management with similar expertise and ability to provide the same or equivalent services on acceptable terms, our operations are likely to experience a disruption and our ability to achieve our investment objective and pay distributions would likely be materially and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model depends to a significant extent upon strong referral relationships, and the inability of the personnel associated with our Adviser to maintain or develop these relationships, or the failure of these relationships to generate investment opportunities, could adversely affect our business.</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expect that personnel associated with our Adviser will maintain and develop their relationships with intermediaries, banks and other sources, and we will rely to a significant extent upon these relationships to provide us with potential investment opportunities. If these individuals fail to maintain their existing relationships or develop new relationships with other sources of investment opportunities, we may not be able to grow or maintain our investment portfolio. In addition, individuals with whom the personnel associated with our Adviser have relationships are not obligated to provide us with investment opportunities, and, therefore, there is no assurance that such relationships will generate investment opportunities for us. The failure of the personnel associated with our Adviser to maintain existing relationships, grow new relationships, or for those relationships to generate investment opportunities could have an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face increasing competition for investment opportunities, which could reduce returns and result in losses.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compete for investments with other BDCs, public and private funds (including hedge funds, mezzanine funds and CLOs) and private equity funds (to the extent they provide an alternative form of financing), as well as traditional financial services companies such as commercial and investment banks, commercial financing companies and other sources of financing. Many of our competitors are substantially larger and have considerably greater financial, technical and marketing resources than we do. For example, some competitors may have a lower cost of capital and access to funding sources that are not available to us. In addition, some of our competitors may have higher risk tolerances or different risk assessments than we have. These characteristics could allow our competitors to consider a wider variety of investments, establish more relationships and offer better pricing and more flexible structuring than we are able to do. We may lose investment opportunities if we do not match our competitors’ pricing, terms and structure. If we are forced to match our competitors’ pricing, terms and structure, we may not be able to achieve acceptable returns on our investments or may bear substantial risk of capital loss. A significant increase in the number and/or the size of our competitors in this target market could force us to accept less attractive investment terms. Furthermore, many of our competitors are not subject to, the regulatory restrictions that the 1940 Act imposes on us as a BDC.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enter into transactions with our affiliates is restricted.</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 As a result of these restrictions, except in situations described below, we may be prohibited from buying or selling any security (other than any security of which we are the issuer) from or to any portfolio company of a private fund managed by our Adviser without the prior approval of the SEC, which may limit the scope of investment opportunities that would otherwise be available to us.</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may also invest alongside funds managed by our Adviser and its affiliates in certain circumstances where doing so is consistent with applicable law and SEC staff interpretations. For example, we may invest alongside such accounts consistent with guidance promulgated by the staff of the SEC permitting us and such other accounts to purchase interests in a single class of privately placed securities so long as certain conditions are met, including that our Adviser, acting on our behalf and on behalf of other clients, negotiates no term other than price.</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Vireo Growth, Inc., a company for which Mr. Mazarakis serves as CEO and Co-Executive Chairman, and in which certain Chicago Atlantic entities hold material equity interests, has signed agreements to acquire certain of our portfolio companies. Upon the closing of the acquisitions, we may be restricted in our ability to enter into transactions with such portfolio companies due to their relationships with Mr. Mazarakis and Chicago Atlantic.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failure on our part to maintain qualification as a BDC would significantly reduce our operating flexibility.</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If we fail to continuously qualify as a BDC, we might be subject to regulation as a registered closed-end investment company under the 1940 Act, which would significantly decrease our operating flexibility. In addition, failure to comply with the requirements imposed on Business Development Companies by the 1940 Act could cause the SEC to bring an enforcement action against us. For additional information on the qualification requirements of a BDC, see “Item 1. Business — Business Development Company Regulations.”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Regulations governing our operation as a BDC and RIC may affect our ability to raise, and the way in which we raise, additional capital or borrow for investment purposes, which may have a negative effect on our growth.</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order to qualify for the tax benefits available to RICs and to minimize corporate-level U.S. federal income taxes, we intend to distribute to our stockholders at least 90% of our taxable income each taxable year, except that we may retain certain net capital gains for investment, and treat such amounts as deemed distributions to our stockholders. If we elect to treat any amounts as deemed distributions, we would be subject to income taxes at the corporate rate on such deemed distributions on behalf of our stockholders.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a BDC, we are required to invest at least 70% of our total assets primarily in securities of U.S. private or thinly traded public companies, cash, cash equivalents, U.S. government securities and other high-quality debt instruments that mature in one year or less from the date of investment.</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As a BDC, we may issue “senior securities,” including borrowing money from banks or other financial institutions only in amounts such that our asset coverage, as defined in the 1940 Act, equals at least 150% after such incurrence or issuance. These requirements limit the amount that we may borrow, may unfavorably limit our investment opportunities and may reduce our ability in comparison to other companies to profit from favorable spreads between the rates at which we can borrow and the rates at which we can lend. If the value of our assets declines, we may be unable to satisfy the asset coverage test, which could prohibit us from paying distributions and could prevent us from being subject to tax as a RIC. If we cannot satisfy the asset coverage test, we may be required to sell a portion of our investments and, depending on the nature of our debt financing, repay a portion of our indebtedness at a time when such sales may be disadvantageous.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Because we will continue to need capital to grow our investment portfolio, these limitations may prevent us from incurring debt and require us to raise additional equity at a time when it may be disadvantageous to do so. As a result of these requirements we need to periodically access the capital markets to raise cash to fund new investments at a more frequent pace than our privately owned competitors. We generally are not able to issue or sell our common stock at a price below NAV per share, which may be a disadvantage as compared with other public companies or private investment funds. When our common stock trades at a discount to NAV, this restriction could adversely affect our ability to raise capital. We may, however, sell our common stock, or warrants, options or rights to acquire our common stock, at a price below the current NAV of the common stock if our Board of Directors and independent directors determine that such sale is in our best interests and the best interests of our stockholders, and our stockholders as well as those stockholders that are not affiliated with us approve such sale in accordance with the requirements of the 1940 Act. In any such case, the price at which our securities are to be issued and sold may not be less than a price that, in the determination of our Board of Directors, closely approximates the market value of such securities (less any underwriting commission or discount). We cannot assure you that equity financing will be available to us on favorable terms, or at all. If additional funds are not available to us, we could be forced to curtail or cease new investment activities.</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also may make rights offerings to our stockholders at prices less than NAV, subject to applicable requirements of the 1940 Act. If we raise additional funds by issuing more shares of our common stock or issuing senior securities convertible into, or exchangeable for, our common stock, the percentage ownership of our stockholders may decline at that time and such stockholders may experience dilution. Moreover, we can offer no assurance that we will be able to issue and sell additional equity securities in the future, on terms favorable to us or at all.</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addition, we may in the future seek to securitize our portfolio securities to generate cash for funding new investments. To securitize loans, we would likely create a wholly owned subsidiary and contribute a pool of loans to the subsidiary. We would then sell interests in the subsidiary on a non-recourse basis to purchasers and we would retain all or a portion of the equity in the subsidiary. An inability to successfully securitize our loan portfolio could limit our ability to grow our business or fully execute our business strategy and may decrease our earnings, if any. The securitization market is subject to changing market conditions and we may not be able to access this market when we would otherwise deem appropriate. Moreover, the successful securitization of our portfolio might expose us to losses as the residual investments in which we do not sell interests will tend to be those that are riskier and more apt to generate losses. The 1940 Act also may impose restrictions on the structure of any securitization.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Incentive Fee on Capital Gains may be effectively greater than 20%.</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a result of the operation of the cumulative method of calculating the Incentive Fee on Capital Gains that we pay to our Adviser, the cumulative aggregate capital gains fee received by our Adviser could be effectively greater than 20%, depending on the timing and extent of subsequent net realized capital losses or net unrealized depreciation. For additional information on this calculation, see the disclosure in footnote 2 to Example 2 under “Item 1. Business — Investment Advisory Agreement — Management Fee — Incentive Fee.” We cannot predict whether, or to what extent, this anticipated payment calculation would affect your investment in shares of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Board of Directors may change our investment objective, operating policies and strategies without prior notice or stockholder approval, the effects of which may be adverse.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of Directors has the authority to modify or waive our current investment objective, operating policies and strategies without prior notice and without stockholder approval. We cannot predict the effect any changes to our current investment objective, operating policies and strategies would have on our business, NAV, operating results and value of our stock. However, the effects might be adverse, which could negatively impact our ability to pay you distributions and cause you to lose part or all of your investment.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laws or regulations governing our operations, including laws and regulations governing cannabis, may adversely affect our business or cause us to alter our business strategy.</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and our portfolio companies are subject to regulation at the local, state and federal level, including laws and regulations governing cannabis by state and federal governments. See “— Risks Related to the Cannabis and Hemp Industries” below. New legislation may be enacted or new interpretations, rulings or regulations could be adopted, including those governing the types of investments we may be permitted to make or that impose limits on our ability to pledge a significant amount of our assets to secure loans or that restrict the operations of a portfolio company, any of which could harm us and our stockholders and the value of our investments, potentially with retroactive effect. For example, certain provisions of the Dodd-Frank Act, which influences many aspects of the financial services industry, have been amended or repealed and the Code has been substantially amended and reformed. Any amendment or repeal of legislation, or changes in regulations or regulatory interpretations thereof, could create uncertainty in the near term, which could have a material adverse impact on our business, financial condition and results of operations.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Adviser to other types of investments in which our Adviser may have less expertise or little or no experience. Thus, any such changes, if they occur, could have a material adverse effect on our results of operations and the value of your investment.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Maryland General Corporation Law (“MGCL”), our charter and our bylaws contain provisions that may discourage, delay or make more difficult a change in control or the removal of our directors. Under our charter, certain charter amendments and certain transactions such as a merger, conversion of the Company to an open-end company, liquidation, or other transactions that may result in a change of control of us, must be approved by stockholders entitled to cast at least 80% of the votes entitled to be cast on such matter, unless the matter has been approved by at least two-thirds of our “continuing directors,” as defined in our charter. Also, we are subject to Subtitle 6 of Title 3 of the MGCL, the Maryland Business Combination Act,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of Directors, including approval by a majority of our directors who are not “interested persons,” as defined in the 1940 Act. If the resolution exempting business combinations is repealed or our Board of Directors does not approve a business combination, the Maryland Business Combination Act may discourage third parties from trying to acquire control of us and increase the difficulty of consummating such a transaction. We are subject to Subtitle 7 of Title 3 of the MGCL, the Maryland Control Share Acquisition Act. The Maryland Control Share Acquisition Act also may make it more difficult for a third-party to obtain control of us and increase the difficulty of consummating such a transaction. Our bylaws provide that the Maryland Control Share Acquisition Act does not apply to shares acquired by our Adviser and/or our Adviser’s affiliates.</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have also adopted other measures that may make it difficult for a third-party to obtain control of us, including provisions of our charter classifying our Board of Directors in three classes serving staggered three-year terms; majority voting for directors in contested elections; and provisions of our charter authorizing our Board of Directors to classify or reclassify shares of our stock in one or more classes or series, including preferred shares, to cause the issuance of additional shares of our stock of any class or series, and to amend our charter, without stockholder approval, to increase or decrease the number of shares of stock of any class or series that we have authority to issue. These provisions, as well as other provisions of our charter and bylaws, may delay, defer or prevent a transaction or a change in control that could give the holders of our shares the opportunity to realize a premium over the value of our shares or otherwise be in their best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Board of Directors is authorized to reclassify any unissued shares of common stock into one or more classes or series of stock, including preferred stock, which could convey special rights and privileges to its owners.</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1"/>
          <w:szCs w:val="11"/>
          <w:color w:val="auto"/>
        </w:rPr>
        <w:t>As noted above, under the MGCL and our charter, our Board of Directors is authorized to classify and reclassify any authorized but unissued shares of stock into one or more classes or series of stock, including preferred stock. The cost of any such reclassification would be borne by our existing stockholders. Prior to issuance of shares of each class or series, our Board of Directors will be required by the MGCL and our charter to set the preferences, conversion or other rights, voting powers, restrictions, limitations as to dividends or other distributions, qualifications and terms or conditions of redemption for each class or series. Thus, our Board of Directors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Certain matters under the 1940 Act require the separate vote of the holders of any issued and outstanding preferred stock. For example, holders of preferred stock would vote as a separate class from the holders of common stock on a proposal to cease operations as a BDC. In addition, the 1940 Act provides that holders of preferred stock are entitled to vote separately from holders of common stock to elect two preferred stock directors.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bylaws include an exclusive forum selection provision, which could limit our stockholders’ ability to obtain a favorable judicial forum for disputes with us or our directors, officers, employees or other agents.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Our bylaws require that, unless we consent in writing to the selection of an alternative forum, the Circuit Court for Baltimore City (or, if that court does not have jurisdiction, the United States District Court for the District of Maryland, Northern Division) shall be the sole and exclusive forum for (a) any derivative action or proceeding brought on our behalf, (b) any Internal Corporate Claim, as such term is defined in the MGCL, (c) any action asserting a claim of breach of any duty owed by any of our directors, officers, employees or other agents to us or to our stockholders, (d) any action asserting a claim against us or any of our directors, officers, employees or other agents arising pursuant to any provision of the MGCL or our charter or bylaws, or (e) any other action asserting a claim against us or any of our directors, officers, employees or other agents that is governed by the internal affairs doctrine. The exclusive forum selection provision will not apply to claims arising under the federal securities laws, or any other claim for which the federal courts have exclusive jurisdiction. The exclusive forum selection provision may increase costs for a shareholder to bring a claim and may discourage claims or limit shareholders’ ability to bring a claim in a judicial forum that they find favorable. It is also possible that a court could rule that the provision is inapplicable or unenforceable. If this occurred, we may incur additional costs associated with resolving such action in another forum, and/or the other forum may incorrectly apply or interpret the applicable Maryland law (in a manner that is adverse to us), which could materially adversely affect our business,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dependent on information systems and systems failures could significantly disrupt our business, which may, in turn, negatively affect our liquidity, financial condition or results of operations.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business is dependent on our and third parties’ communications and information systems. Further, in the ordinary course of our business we or our investment adviser may engage certain third-party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business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122" w:lineRule="exact"/>
        <w:rPr>
          <w:sz w:val="20"/>
          <w:szCs w:val="20"/>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sudden electrical or telecommunications outages;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natural disasters such as earthquakes, tornadoes and hurricanes;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disease pandemics;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events arising from local or larger scale political or social matters, including terrorist acts;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cyber-attacks.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events, in turn, could have a material adverse effect on our business, financial condition and operating results and negatively affect the market price of our common stock and our ability to pay dividends to our stockholders.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cyber incident is considered to be any adverse event that threatens the confidentiality, integrity or availability of the information resources of us or our portfolio companies. The efficient operation of our business is dependent on computer hardware and software systems, as well as data processing systems and the secure processing, storage and transmission of information, all of which are potentially vulnerable to security breaches and cyber incidents or other data security breaches.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risk of a security breach or disruption, particularly through cyber-attacks or cyber intrusions, including by computer hackers, nation-state affiliated actors, and cyber terrorists, has generally increased as the number, intensity and sophistication of attempted attacks and intrusions from around the world have increased. We and our investment adviser’s employees expect to be the target of fraudulent calls, emails and other forms of potentially malicious or otherwise negatively impacting activities and attempts to gain unauthorized access to confidential, personal or other sensitive information. The result of these incidents may include disrupted operations, misstated or unreliable financial data, liability for stolen assets or information, fines or penalties, investigations, increased cybersecurity protection and insurance costs, litigation, and damage to business relationships and reputations causing our business and results of operations to suffer. The costs related to cyber or other security threats or disruptions may not be fully insured or indemnified by other means. As our and our portfolio companies’ reliance on technology has increased, so have the risks posed to our information systems, both internal and those provided by our Adviser and third-party service providers, and the information systems of our portfolio companies. Our Adviser has implemented processes, procedures, and internal controls to help mitigate cybersecurity risks and cyber intrusions, but these measures, as well as our increased awareness of the nature and extent of a risk of a cyber incident, do not guarantee that a cyber incident will not occur and/or that our financial results, operations or confidential information will not be negatively impacted by such an incident. Even the most well-protected information, networks, systems, and facilities remain potentially vulnerable because the techniques used in such attempted security breaches evolve and generally are not recognized until launched against a target, and in some cases are designed not to be detected and, in fact, may not be detected. Accordingly, we and our service providers may be unable to anticipate these techniques or to implement adequate security barriers or other preventative measures, and thus it is impossible for us and our service providers to entirely mitigate this risk. Cybersecurity risks require continuous and increasing attention and other resources from us to, among other actions, identify and quantify these risks, upgrade and expand our technologies, systems and processes to adequately address such risks. Such attention diverts time and other resources from other activities and there is no assurance that our efforts will be effective. In addition, cybersecurity has become a top priority for global lawmakers and regulators, and some jurisdictions have proposed or enacted laws requiring companies to notify regulators and individuals of data security breaches involving certain types of personal data. In particular, state and federal laws and regulations related to cybersecurity compliance continue to evolve and change, which may require substantial investments in new technology, software and personnel, which could affect our profitability. These changes may also result in enhanced and unforeseen consequences for cyber-related breaches and incidents, which may further adversely affect our profitability. If we fail to comply with the relevant and increasing complex laws and regulations, we could suffer financial losses, a disruption of our business, liability to investors, regulatory intervention or reputational damage.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invest a significant portion of the net proceeds from our IPO, or any follow-on offering of shares of our common stock, on acceptable terms within an attractive time frame.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Delays in investing the net proceeds raised in our IPO or any follow-on offering of shares of our common stock may cause our performance to be worse than that of other fully invested Business Development Companies or other lenders or investors pursuing comparable investment strategies. We cannot assure you that we will be able to identify investments that meet our investment objective or that any investment that we make will produce a positive return. We may be unable to invest the net proceeds of our IPO or any follow-on offering on acceptable terms within the time period that we anticipate or at all, which could harm our financial condition and operating results.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anticipate that, depending on market conditions, it may take us a substantial period of time to invest substantially all of the net proceeds of our IPO, or any follow-on offering, in securities meeting our investment objective. During this period, we may invest the net proceeds from our IPO or any follow-on offering primarily in high-quality, short-term debt securities, consistent with our BDC election and our election to be taxed as a RIC, at yields significantly below the returns which we expect to achieve when our portfolio is fully invested in securities meeting our investment objective. As a result, any distributions that we pay during this period may be substantially lower than the distributions that we may be able to pay when our portfolio is fully invested in securities meeting our investment objective. In addition, until such time as the net proceeds of our IPO or any follow-on offering are invested in securities meeting our investment objective, the market price for our common stock may decline. Thus, the return on your investment may be lower than when, if ever, our portfolio is fully invested in securities meeting our investment objective.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experience fluctuations in our quarterly results.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may experience fluctuations in our quarterly results due to a number of factors, including our ability or inability to make investments in companies that meet our investment criteria, the interest rate payable on the debt securities we may acquire, changes in accrual status of our portfolio company investments, distributions, the level of our expenses, variations in and the timing of the recognition of realized and unrealized gains or losses, the degree to which we encounter competition in our market and general economic conditions. As a result of these factors, results for any period should not be relied upon as being indicative of performance in future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are an “emerging growth company,” as defined in the Jumpstart Our Business Startups Act of 2012, or the “JOBS Act.” As a result, we intend to take advantage of certain exemptions for emerging growth companies allowing us to temporarily forgo the auditor attestation requirements of Section 404(b) of the Sarbanes-Oxley Act of 2002 (the “Sarbanes-Oxley Act.”). We cannot predict if investors will find shares of our common stock less attractive because we rely on this exemption. If some investors find our shares of common stock less attractive as a result, there may be a less active trading market for our shares and our share price may be more volatile. We will remain an emerging growth company until the earlier of (a) the last day of the fiscal year (i) following the fifth anniversary of the completion of our initial public offering, (ii) in which we have total annual gross revenue of at least $1.235 billion, or (iii) in which we are deemed to be a large accelerated filer, which means the market value of our common stock that is held by non-affiliates exceeds $700 million as of the end of our prior second fiscal quarter, and (b) the date on which we have issued more than $1 billion in non-convertible debt during the prior three-year period.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will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status as an “emerging growth company” under the JOBS Act may make it more difficult to raise capital as and when we need it.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We may identify deficiencies in our internal control over financial reporting in the future, including significant deficiencies and material weaknesses. A “significant deficiency” is a deficiency, or a combination of deficiencies, in internal control over financial reporting that is less severe than a material weakness, yet important enough to merit attention by those responsible for oversight of a company’s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deficiency in internal control exists when the design or operation of a control does not allow management or employees, in the normal course of performing their assigned functions, to prevent or detect misstatements on a timely basis.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any testing by us conducted in connection with Section 404 of the Sarbanes-Oxley Act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required to disclose changes made in our internal control on financial reporting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An independent assessment of the effectiveness of our internal controls could detect problems that our management’s assessment might not detect. Undetected material weaknesses in our internal controls could lead to financial statement restatements and require us to incur the expense of remediation.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incur significant costs as a result of being a publicly traded company.</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a publicly traded company, we incur legal, accounting and other expenses, including costs associated with the periodic reporting requirements applicable to a company whose securities are registered under the Securities Exchange Act of 1934, as amended (the “Exchange Act”), as well as additional corporate governance requirements, including requirements under the Sarbanes-Oxley Act, and other rules implemented by the SEC and the listing standards of the Nasdaq Stock Market. Upon ceasing to qualify as an emerging growth company under the JOBS Act, our independent registered public accounting firm will be required to attest to the effectiveness of our internal control over financial reporting pursuant to Section 404 of the Sarbanes-Oxley Act, which will increase costs associated with our periodic reporting requirements.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Conflicts of Interests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incentive fee may induce our Adviser to make speculative investments.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incentive fee payable by us to our Adviser may create an incentive for our Adviser to make investments on our behalf that are risky or more speculative than would be the case in the absence of such compensation arrangement, which could result in higher investment losses, particularly during cyclical economic downturns. The Incentive Fee on Income is based on a percentage of our net investment income (subject to a hurdle rate), which may encourage our Adviser to use leverage to increase the return on our investments or otherwise manipulate our income so as to recognize income in quarters where the hurdle rate is exceeded and may result in an obligation for us to pay an Incentive Fee on Income to the Adviser even if we have incurred a loss for an applicable period.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Incentive Fee on Income payable by us to our Adviser also may create an incentive for our Adviser to invest on our behalf in instruments that have a deferred interest feature. Under these investments, we would accrue the interest over the life of the investment but would not receive the cash income from the investment until the end of the investment’s term, if at all. Our net investment income used to calculate the Incentive Fee on Income, however, includes accrued interest. Thus, a portion of the Incentive Fee on Income would be based on income that we will have not yet received in cash and may never receive in cash if the portfolio company is unable to satisfy such interest payment obligation to us. The Adviser is not obligated to return the Incentive Fee on Income it receives on accrued interest that is later determined to be uncollectible in cash. While we may make Incentive Fee on Income payments on income accruals that we may not collect in the future and with respect to which we do not have a “claw back” right against our Adviser, the amount of accrued income written off in any period will reduce our income in the period in which such write-off was taken and thereby may reduce such period’s Incentive Fee on Income payment.</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our Adviser may be entitled to receive an Incentive Fee on Capital Gains based upon net capital gains realized on our investments. Unlike the Incentive Fee on Income, there is no performance threshold applicable to the Incentive Fee on Capital Gains. As a result, our Adviser may have a tendency to invest more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Given the subjective nature of the investment decisions made by our Adviser on our behalf, we are unable to monitor these potential conflicts of interest between us and our Adviser.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base management fee may induce our Adviser to incur leverage.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base management fee is payable based upon our gross assets, which would include any borrowings for investment purposes, and which may encourage our Adviser to use leverage to make additional investments. Given the subjective nature of the investment decisions that our Adviser may make on our behalf and the discretion related to incurring leverage in connection with any such investments, we are unable to monitor this potential conflict of interest between us and our Adviser.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are significant potential conflicts of interest that could adversely impact our investment returns.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executive officers and directors, and certain members of the Adviser, serve or may serve as officers, directors or principals of entities that may operate in the same or a related line of business as us or as investment funds managed by our affiliates. For example, the Adviser and its affiliates manage private investment funds, and may also manage other funds in the future that have investment mandates that are similar, in whole or in part, to our investment mandate. Accordingly, they may have obligations to investors in those entities, the fulfillment of which might not be in the best interests of us or our stockholders. For example, the principals of the Adviser may face conflicts of interest in the allocation of investment opportunities to us and such other funds. This conflict of interest could be amplified if our investment advisory fees are lower than those of such other funds.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order to address potential conflicts of interest, Chicago Atlantic has adopted an investment allocation policy that governs the allocation of investment opportunities among the investment funds and other accounts managed by Chicago Atlantic. To the extent an investment opportunity is appropriate for either or both of us and/or any other investment fund or other account managed by Chicago Atlantic, and co-investment is not possible, Chicago Atlantic will adhere to its investment allocation policy in order to determine to which account to allocate the opportunity.</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Although Chicago Atlantic will endeavor to allocate investment opportunities in a fair and equitable manner, we and our stockholders could be adversely affected to the extent investment opportunities are allocated among us and other investment vehicles managed by Chicago Atlantic.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The investment allocation policy is also designed to manage and mitigate the conflicts of interest associated with the allocation of investment opportunities if we are able to co-invest, either pursuant to SEC interpretive positions or our exemptive order, with other accounts managed by Chicago Atlantic. Generally, under the investment allocation policy, co-investments will be allocated pursuant to the conditions of the exemptive order. Under the investment allocation policy, a portion of each opportunity that is appropriate for us and any affiliated fund or other account, which may vary based on asset class and liquidity, among other factors, will generally be offered to us and such other eligible accounts, as determined by Chicago Atlantic. If there is a sufficient amount of securities to satisfy all participants, each order will be fulfilled as placed. If there is an insufficient amount of securities to satisfy all participants, the securities will generally be allocated pro rata based on each participant’s order size or available capital.</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accordance with the investment allocation policy, we might not participate in each individual opportunity, but will, on an overall basis, be entitled to participate equitably with other accounts managed by Chicago Atlantic. Chicago Atlantic seeks to treat all clients fairly and equitably in a manner consistent with its fiduciary duty to each of them; however, in some instances, especially in instances of limited liquidity, the factors may not result in pro rata allocations or may result in situations where certain accounts receive allocations where others do not.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adopted a formal code of ethics that governs the conduct of our officers and directors. Our officers and directors also remain subject to the duties imposed by both the 1940 Act and the Maryland General Corporation Law.</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Pursuant to the Investment Advisory Agreement, our Adviser’s liability is limited and we are required to indemnify our Adviser against certain liabilities. This may lead our Adviser to act in a riskier manner in performing its duties and obligations under the Investment Advisory Agreement than it would if it were acting for its own account, and creates a potential conflict of interest.</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Pursuant to the Administration Agreement, the Adviser furnishes us with the facilities, including our principal executive office, and administrative services necessary to conduct our day-to-day operations. We reimburse our administrator,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 We are generally not responsible for the compensation of the Adviser’s employees or any overhead expenses of the Adviser (including rent, office equipment and utilities). However, we may reimburse the Adviser for an allocable portion of the compensation paid by the Adviser to our CCO and CFO and their respective staffs (based on a percentage of time such individuals devote, on an estimated basis, to our business affairs).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Adviser and its affiliates may face conflicts of interest with respect to services performed for issuers in which we may invest.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Adviser and its affiliates may provide a broad range of financial services to companies in which we may invest, including providing arrangement, syndication, origination structuring and other services to portfolio companies, and will generally be paid fees for such services, in compliance with applicable law, by the portfolio company. Any compensation received by our Adviser or its affiliates for providing these services will not be shared with us and may be received before we realize a return on our investment. Our Adviser and its affiliates may face conflicts of interest with respect to services performed for these companies, on the one hand, and investments recommended to us, on the other hand and could, in certain instances, have an incentive not to pursue actions against a portfolio company that would be in our best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Use of Leverage and Credit Facilities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borrow money, the potential for loss on amounts invested in us will be magnified and may increase the risk of investing in us.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Borrowings, also known as leverage, magnify the potential for loss on invested equity capital. If we use leverage to partially finance our investments, through borrowings from banks and other lenders, you will experience increased risks of investing in our common stock, including the likelihood of default. If the value of our assets decreases, leveraging would cause NAV to decline more sharply than it otherwise would have had we not leveraged. Similarly, any decrease in our income would cause our net income to decline more sharply than it would have had we not borrowed. To the extent we incur additional leverage, these effects would be further magnified, increasing the risk of investing in us. Such a decline could negatively affect our ability to make common stock distributions or scheduled debt payments. Leverage is generally considered a speculative investment technique and we only intend to use leverage if expected returns will exceed the cost of borrowing.</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a BDC, under the 1940 Act we generally are not permitted to incur indebtedness unless immediately after such borrowing we have an asset coverage for total borrowings of at least 150%. For example, under a 150% asset coverage ratio a BDC may borrow $2 for investment purposes of every $1 of investor equity. If we were to incur such leverage, our NAV will decline more sharply if the value of our assets declines than if we had not incurred such leverage.</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Any credit facility we may enter into in the future would likely subject all or significant amounts of our assets to security interests and if we default on our obligations under such a credit facility, we may suffer adverse consequences, including foreclosure on our assets.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If we enter into a secured credit facility, all or significant amounts of our assets would likely be pledged as collateral to secure borrowings thereunder. If we default on our obligations under such a facility, the lenders may have the right to foreclose upon and sell, or otherwise transfer, the collateral subject to their security interests or their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intend to operate. As a result, we could be forced to curtail or cease new investment activities and lower or eliminate the dividends that we intend to pay to our stockholders.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if the lenders exercise their right to sell the assets pledged under a secured credit facility, such sales may be completed at distressed sale prices, thereby diminishing or potentially eliminating the amount of cash available to us after repayment of the amounts outstanding under such facility.</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current period of capital markets disruption and economic uncertainty may make it difficult to obtain indebtedness and any failure to do so could have a material adverse effect on our business, financial condition or results of operations.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Current market conditions may make it difficult to obtain indebtedness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debt, then our equity investors may not benefit from the potential for increased returns on equity resulting from leverage and we may be limited in our ability to make new commitments or to fund existing commitments to our portfolio companies. An inability to obtain indebtedness could have a material adverse effect on our business, financial condition or results of operations.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ability to obtain indebtedness may be limited because of the unwillingness or inability of certain financial institutions to transact with cannabis-related companies such as ourselves, and we may be forced to liquidate our investments at inopportune times or prices to repay debt. See“— Risks Related to the Cannabis and Hemp Industries”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Distributions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Because we intend to distribute at least 90% of our taxable income each taxable year to our stockholders in connection with our election to be treated as a RIC, we will continue to need additional capital to finance our growth.</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order to qualify for the tax benefits available to RICs and to minimize corporate-level U.S. federal income taxes, we intend to distribute to our stockholders at least 90% of our taxable income each taxable year, except that we may retain certain net capital gains for investment, and treat such amounts as deemed distributions to our stockholders. If we elect to treat any amounts as deemed distributions, we would be subject to income taxes at the corporate rate applicable to net capital gains on such deemed distributions on behalf of our stockholders. As a result of these requirements, we will likely need to raise capital from other sources to grow our business. Because we will continue to need capital to grow our investment portfolio, these limitations together with the asset coverage requirements applicable to us may prevent us from incurring debt and require us to raise additional equity at a time when it may be disadvantageous to do so.</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We may not be able to pay you distributions, our distributions may not grow over time and/or a portion of our distributions may be a return of capital. A return of capital generally is a return of a stockholder’s investment rather than a return of earnings or gains derived from our investment activities.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intend to pay distributions to our stockholders out of assets legally available for distribution. We cannot assure you that we will achieve investment results that will allow us to sustain a specified level of cash distributions or periodic increases in cash distributions. In addition, the inability to satisfy the asset coverage test applicable to us as a BDC can limit our ability to pay distributions. All distributions will be paid at the discretion of our Board of Directors and will depend on our earnings, our financial condition, maintenance of our ability to be subject to tax as a RIC, compliance with applicable BDC regulations and such other factors as our Board of Directors may deem relevant from time to time. We cannot assure you that we will pay distributions to our stockholders in the future.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When we make distributions, our distributions generally will be treated as dividends for U.S. federal income tax purposes to the extent such distributions are paid out of our current or accumulated earnings and profits. Distributions in excess of current and accumulated earnings and profits will be treated as a non-taxable return of capital to the extent of a stockholder’s basis in our stock and, assuming that a stockholder holds our stock as a capital asset, thereafter as a capital gain. A return of capital generally is a return of a stockholder’s investment rather than a return of earnings or gains derived from our investment activities. Moreover, we may pay all or a substantial portion of our distributions from the proceeds of the sale of shares of our common stock or from borrowings in anticipation of future cash flow, which could constitute a return of stockholders’ capital and will lower such stockholders’ tax basis in our shares, which may result in increased tax liability to stockholders when they sell or otherwise dispose of such shares. Distributions from offering proceeds also could reduce the amount of capital we ultimately have available to invest in portfolio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will be subject to corporate-level U.S federal income tax if we are unable to obtain and maintain our qualification as a RIC under Subchapter M of the Code or do not satisfy the annual distribution requirement.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To obtain and maintain our status as a RIC and be relieved of U.S. federal taxes on income and gains distributed to our stockholders, we must meet the following annual distribution, income source and asset diversification requirements:</w:t>
      </w:r>
    </w:p>
    <w:p>
      <w:pPr>
        <w:spacing w:after="0" w:line="162" w:lineRule="exact"/>
        <w:rPr>
          <w:sz w:val="20"/>
          <w:szCs w:val="20"/>
          <w:color w:val="auto"/>
        </w:rPr>
      </w:pPr>
    </w:p>
    <w:p>
      <w:pPr>
        <w:jc w:val="both"/>
        <w:ind w:left="420" w:hanging="212"/>
        <w:spacing w:after="0" w:line="260"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distribution requirement will be satisfied if we distribute to our stockholders each taxable year an amount generally at least equal to 90% of the sum of our net taxable income plus realized net short-term capital gains in excess of realized net long-term capital losses, if any. Because we may use debt financing, we are subject to an asset coverage ratio requirement under the 1940 Act and we may be subject to certain financial covenants under our debt arrangements that could, under certain circumstances, restrict us from making distributions necessary to satisfy the annual distribution requirement. If we are unable to obtain cash from other sources, we could fail to qualify for RIC tax treatment and thus could become subject to corporate-level income tax.</w:t>
      </w:r>
    </w:p>
    <w:p>
      <w:pPr>
        <w:spacing w:after="0" w:line="12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90% gross income test will be satisfied if we earn at least 90% of our gross income for each taxable year from dividends, interest, gains from the sale of stock or securities or similar sources.</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57"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diversification test will be satisfied if, at the end of each quarter of our taxable year, at least 50% of the value of our assets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Failure to meet these requirements may result in our having to dispose of certain investments quickly in order to prevent the loss of RIC status. Because most of our investments will be in private companies, and therefore will be relatively illiquid, any such dispositions could be made at disadvantageous prices and could cause us to incur substantial losses.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we fail to be treated as a RIC and are subject to entity-level U.S. federal corporate income tax, the resulting corporate taxes could substantially reduce our net assets, the amount of income available for distribution and the amount of our distributions.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have difficulty paying our required distributions if we are required to recognize income for U.S. federal income tax purposes before or without receiving cash representing such income.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For U.S. federal income tax purposes, we generally may be required to include in income certain amounts that we will have not yet received in cash, such as OID or certain income accruals on contingent payment debt instruments, which may occur if we receive warrants in connection with the origination of a loan or possibly in other circumstances. Such OID is generally required to be included in income before we receive any corresponding cash payments. In addition, our loans may contain PIK interest provisions. Any PIK interest, computed at the contractual rate specified in each loan agreement, is generally required to be added to the principal balance of the loan and recorded as interest income. We also may be required to include in income certain other amounts that we do not receive, and may never receive, in cash. To avoid the imposition of corporate-level tax on us, this non-cash source of income may need to be distributed to our stockholders in cash or, in the event we determine to do so, in shares of our common stock, even though we may have not yet collected and may never collect the cash relating to such income.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Because, in certain cases, we may recognize income before or without receiving cash representing such income, we may have difficulty meeting the annual distribution requirement necessary to be relieved of entity-level U.S. federal taxes on income and gains distributed to our stockholders. Accordingly, we may have to sell or otherwise dispose of some of our investments at times and/or at prices we would not consider advantageous, raise additional debt or equity capital or forgo new investment opportunities for this purpose. If we are not able to obtain cash from other sources, we may fail to satisfy the annual distribution requirement and thus become subject to corporate-level U.S. federal income tax.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in the future choose to pay distributions partly in our own stock, in which case you may be subject to tax in excess of the cash you receive.</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We may distribute taxable distributions that are payable in part in our stock. In accordance with certain applicable U.S. Treasury regulations and other related administrative pronouncements issued by the Internal Revenue Service, or the IRS, a RIC may be eligible to treat a distribution of its own stock as fulfilling its RIC distribution requirements if each stockholder is permitted to elect to receive his or her entire distribution in either cash or stock of the RIC, subject to the satisfaction of certain guidelines. If too many stockholders elect to receive cash (which generally may not be less than 20% of the value of the overall distribution), each stockholder electing to receive cash must receive a pro rata amount of cash (with the balance of the distribution paid in stock). If these and certain other requirements are met, for U.S. federal income tax purposes, the amount of the distribution paid in stock generally will be equal to the amount of cash that could have been received instead of stock. Taxable stockholders receiving such distributions will be required to include the full amount of the distribution as ordinary income (or as long-term capital gain to the extent such distribution is properly reported as a capital gain dividend) to the extent of their share of our current and accumulated earnings and profits for U.S. federal income tax purposes. As a result, a U.S. stockholder may be subject to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and other withholding agents may be required to withhold U.S. tax with respect to such distributions, including in respect of all or a portion of such distribution that is payable in stock. In addition, if a significant number of our stockholders determine to sell shares of our stock in order to pay taxes owed on distributions, such sales may put downward pressure on the trading price of our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Investments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investments in portfolio companies may be risky, and we could lose all or parts of our investments.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companies in which we intend to invest will typically be highly leveraged, and, in most cases, our investments in such companies will not be rated by any rating agency. If such investments were rated, we believe that they would likely receive a rating from a nationally recognized statistical rating organization of below investment grade (i.e., below BBB- or Baa), which is often referred to as “high-yield” and “junk.” Exposure to below investment grade securities involves certain risks, and those securities are viewed as having predominately speculative characteristics with respect to the issuer’s capacity to pay interest and repay principal.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 Investing in middle-market companies involves a number of significant risks.</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Certain of our debt investments may consist of debt securities for which issuers are not required to make principal payments until the maturity of such debt securities, which could result in a substantial loss to us if such issuers are unable to refinance or repay their debt at maturity. Increases in interest rates may affect the ability of our portfolio companies to repay debt or pay interest, which may in turn affect the value of our portfolio investments, and our business, financial condition and results of operations.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Among other things, portfolio companies:</w:t>
      </w:r>
    </w:p>
    <w:p>
      <w:pPr>
        <w:spacing w:after="0" w:line="150" w:lineRule="exact"/>
        <w:rPr>
          <w:sz w:val="20"/>
          <w:szCs w:val="20"/>
          <w:color w:val="auto"/>
        </w:rPr>
      </w:pPr>
    </w:p>
    <w:p>
      <w:pPr>
        <w:jc w:val="both"/>
        <w:ind w:left="420" w:hanging="212"/>
        <w:spacing w:after="0" w:line="265"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have limited financial resources, may have limited or negative EBITDA and may be unable to meet their obligations under their debt instruments that we hold, which may be accompanied by a deterioration in the value of any collateral and a reduction in the likelihood of us realizing any guarantees from subsidiaries or affiliates of our portfolio companies that we may have obtained in connection with our investments, as well as a corresponding decrease in the value of the equity components of our investments;</w:t>
      </w:r>
    </w:p>
    <w:p>
      <w:pPr>
        <w:spacing w:after="0" w:line="11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have shorter operating histories, narrower product lines, smaller market shares and/or significant customer concentrations than larger businesses, which tend to render them more vulnerable to competitors’ actions and market conditions, as well as general economic downturns;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operate in regulated industries and/or provide services to federal, state or local governments, or operate in industries that provide services to regulated industries or federal, state or local governments, any of which could lead to delayed payments for services or subject the company to changing payment and reimbursement rates or other terms;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not have collateral sufficient to pay any outstanding interest or principal due to us in the event of a default by these companies;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more likely to depend on the management talents and efforts of a small group of people; therefore, the death, disability, resignation or termination of one or more of these persons could have a material adverse impact on our portfolio company and, in turn, on us;</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have difficulty borrowing or otherwise accessing the capital markets to fund capital needs, which may be more acute because such companies are operating in the cannabis industry, and which limit their ability to grow or repay outstanding indebtedness at maturity (see “— Risks Related to the Cannabis and Hemp Industries” below);</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not have audited financial statements or be subject to the Sarbanes-Oxley Act and other rules that govern public companies;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have less publicly available information about their businesses, operations and financial condition.</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As a result of the limitations associated with certain portfolio companies, we must therefore rely on the ability of our Adviser to obtain adequate information through due diligence to evaluate the creditworthiness and potential returns from investing in these companies. In addition, certain of our officers and directors may serve as directors on the boards of such companies. To the extent that litigation arises out of our investments in these companies, our officers and directors may be named as defendants in such litigation, which could result in an expenditure of funds (through our indemnification of such officers and directors) and the diversion of management time and resources.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Finally, as noted above, little public information generally exists about privately owned companies, and these companies may not have third-party debt ratings or audited financial statements. We must therefore rely on the ability of our Adviser to obtain adequate information through due diligence to evaluate the creditworthiness and potential returns from investing in these companies. Additionally, these companies and their financial information will not generally be subject to the Sarbanes-Oxley Act and other rules that govern public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To the extent OID and PIK interest constitute a portion of our income, we may be exposed to higher risks with respect to such investments.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investments may include OID and contractual PIK interest, which typically represents contractual interest added to a loan balance and due at the end of such loan’s term. To the extent OID or PIK interest constitute a portion of our income, we will be exposed to typical risks associated with such income being required to be included in taxable and accounting income prior to receipt of cash, including the following:</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and PIK instruments may have higher yields, which reflect the payment deferral and credit risk associated with these instruments;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and PIK accruals may create uncertainty about the source of our distributions to stockholders;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and PIK instruments may have unreliable valuations because their continuing accruals require continuing judgments about the collectability of the deferred payments and the value of the collateral;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and PIK instruments may represent a higher credit risk than coupon loans; and</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net investment income used to calculate the Incentive Fee on Income will include OID and PIK interest, and the Adviser is not obligated to return the Incentive Fee on Income it receives on OID and PIK interest that is later determined to be uncollectible in cash.</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acquire the securities and obligations of distressed or bankrupt companies, such investments may be subject to significant risks, including lack of income, extraordinary expenses, uncertainty with respect to satisfaction of debt, lower-than-expected investment values or income potentials and resale restrictions.</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may acquire the securities and other obligations of distressed or bankrupt companies. At times, distressed debt obligations may not produce income and may require us to bear certain extraordinary expenses (including legal, accounting, valuation and transaction expenses) in order to protect and recover our investment. Therefore, to the extent we invest in distressed debt, our ability to achieve current income for our stockholders may be diminished, particularly where the portfolio company has negative EBITDA.</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also will be subject to significant uncertainty as to when and in what manner and for what value the distressed debt we invest in will eventually be satisfied, whether through liquidation, an exchange offer or a plan of reorganization involving the distressed debt securities or a payment of some amount in satisfaction of the obligation. In addition, even if an exchange offer is made or plan of reorganization is adopted with respect to distressed debt held by us, there can be no assurance that the securities or other assets received by us in connection with such exchange offer or plan of reorganization will not have a lower value or income potential than may have been anticipated when the investment was made.</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Moreover, any securities received by us upon completion of an exchange offer or plan of reorganization may be restricted as to resale. As a result of our participation in negotiations with respect to any exchange offer or plan of reorganization with respect to an issuer of distressed debt, we may be restricted from disposing of such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portfolio companies may prepay loans, which may reduce our yields if capital returned cannot be invested in transactions with equal or greater expected yields.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loans we anticipate holding in our investment portfolio may be prepaid at any time, generally with little advance notice. Whether a loan is prepaid will depend both on the continued positive performance of the portfolio company and the existence of favorable financing market conditions that allow such company the ability to replace existing financing with less expensive capital. As market conditions change, we do not know when, and if, prepayment may be possible for each portfolio company. In some cases, the prepayment of a loan may reduce our achievable yield if the capital returned cannot be invested in transactions with equal or greater expected yields, which could have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risks arising from revolving credit facilities.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may acquire or originate revolving credit facilities from time to time. A revolving credit facility is a line of credit in which the borrower pays the lender a commitment fee during a commitment period and is then allowed to draw from the line of credit from time to time until the end of such commitment period. The borrower of a revolving credit facility is typically permitted to draw thereunder for any reason, including to fund its operational requirements, to make acquisitions or to reserve cash, so long as certain customary conditions are met. Outstanding draw-downs under such revolving credit facilities can therefore fluctuate on a day-to-day basis, which may generate operational and other costs for us. If the borrower of a revolving credit facility draws down on the facility, we would be obligated to fund the amounts due.</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can offer no assurance that a borrower of a revolving credit facility will fully draw down its available credit thereunder, and in many cases a borrower with sufficient liquidity may forego drawing down its available credit thereunder in favor of obtaining other liquidity sources. As a result, we are likely to hold unemployed funds, and investments in revolving credit facilities may therefore adversely affect our returns.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lack of liquidity in our investments may adversely affect our business.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intend to invest in companies whose securities are not publicly traded, and whose securities are subject to legal and other restrictions on resale or are otherwise less liquid than publicly traded securities. In fact, all of our assets may be invested in illiquid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and suffer losses. Our investments are usually subject to contractual or legal restrictions on resale or are otherwise illiquid because there is usually no established trading market for such investments. In addition, we may also face restrictions on our ability to liquidate our investments if our Adviser or any of its affiliates have material nonpublic information regarding the portfolio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have the funds or ability to make additional investments in our portfolio companies.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After our initial investment in a portfolio company, we may be called upon from time to time to provide additional funds to such company or have the opportunity to increase our investment through a follow-on investment.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may reduce the expected yield on the investment or may impair the value of our investment in any such portfolio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Portfolio companies may be highly leveraged.</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invest primarily in first lien loans issued by middle-market companies. Our portfolio companies may have, or may be permitted to incur, other debt that ranks equally with, or senior to, the debt in which we invest. By their terms, such debt instruments may entitle the holders to receive payments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portfolio companies may incur debt that ranks equally with, or senior to, some of our investments in such companies.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invest primarily in senior secured loans, including unitranche and second lien debt instruments, as well as unsecured debt instruments, issued by our portfolio companies. If we invest in unitranche, second lien, or unsecured debt instruments, our portfolio companies typically may be permitted to incur other debt that ranks equally with, or senior to, such debt instruments. By their terms, such debt instruments may provide that the holders are entitled to receive payment of interest or principal on or before the dates on which we will be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In such cases, after repaying such senior creditors, such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disposition of our investments may result in contingent liabilities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may be circumstances where our debt investments could be subordinated to claims of other creditors or we could be subject to lender liability claims.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Even though we may structure some of our investments as senior loans, if one of our portfolio companies were to enter bankruptcy proceedings, a bankruptcy court might re-characterize our debt investment and subordinate all or a portion of our claim to that of other creditors, depending on the facts and circumstances, including the extent to which we actually provide managerial assistance to that portfolio company.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Second priority liens on collateral securing loans that we may make to our portfolio companies may be subject to control by senior creditors with first priority liens. If there is a default, the value of the collateral may not be sufficient to repay in full both the first priority creditors and us.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Certain loans that we make to portfolio companies may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rights we may have with respect to the collateral securing the loans we may make to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may be taken with respect to the collateral and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make unsecured debt investments, we may lack adequate protection in the event our portfolio companies become distressed or insolvent and will likely experience a lower recovery than more senior debtholders in the event such portfolio companies default on their indebtedness.</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may make unsecured debt investments in portfolio companies. Unsecured debt investments are unsecured and junior to other indebtedness of the portfolio company. As a consequence, the holder of an unsecured debt investment may lack adequate protection in the event the portfolio company becomes distressed or insolvent and will likely experience a lower recovery than more senior debtholders in the event the portfolio company defaults on its indebtedness. In addition, unsecured debt investments of middle-market companies are often highly illiquid and in adverse market conditions may experience steep declines in valuation even if they are fully performing.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to foreclose on loans that are in default, which could result in losses.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We may find it necessary to foreclose on loans that are in default. Foreclosure processes are often lengthy and expensive, and state court foreclosure processes and other creditors’ remedies with respect to cannabis companies are largely untested. Results of foreclosure processes or other exercises of creditors’ rights may be uncertain, as claims may be asserted by the relevant borrower or by other creditors or investors in such borrower that interfere with enforcement of our rights, such as claims that challenge the validity or enforceability of our loan or the priority or perfection of our security interests. Our borrowers may resist foreclosure actions or other remedies by asserting numerous claims, counterclaims and defenses against us, including, without limitation, lender liability claims and defenses, even when the assertions may have no merit, in an effort to prolong the foreclosure action or other remedy and seek to force us into a modification or buy-out of our loan for less than we are owed. Additionally, the transfer of certain collateral to us may be limited or prohibited by applicable laws and regulations. See “—The loans that we expect to make may be secured by collateral that is, and will be, subject to extensive regulations, such that if such collateral was foreclosed upon those regulations may result in significant costs and materially and adversely affect our business, financial condition, liquidity and results of operations.” For transferable collateral, foreclosure or other remedies available may be subject to certain laws and regulations, including the need for regulatory disclosure and/or approval of such transfer. If federal law were to change to permit cannabis companies to seek federal bankruptcy protection, the applicable borrower could file for bankruptcy, which would have the effect of staying the foreclosure actions and delaying the foreclosure processes and potentially result in reductions or discharges of debt owed to us. Foreclosure may create a negative public perception of the collateral, resulting in a diminution of its value. Even if we are successful in foreclosing on collateral securing our loan, the liquidation proceeds upon sale of the collateral may not be sufficient to recover our loan. Any costs or delays involved in the foreclosure or a liquidation of the collateral will reduce the net proceeds realized and, thus, increase the potential for loss.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the event a borrower defaults on any of its obligations to us and such debt obligations are equitized, we may not have the ability to hold such equity interests legally under federal law, which may result in additional losses on our loans to such entity.</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loans that we expect to make may be secured by collateral that is,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loans that we expect to make may be secured by collateral that is, and will be, subject to various legal and regulatory requirements, and we would be subject to such requirements if such collateral was foreclosed upon. Due to current legal requirements, we will not own equity securities in companies that are not compliant with all applicable laws and regulations within the jurisdiction in which they are located or operate, including federal laws, nor will we own any real estate used in cannabis-related operations in violation of state or federal law. While our loan agreements and related mortgages provide for foreclosure remedies, receivership remedies and/or other remedies that would allow us to cause the sale or other realization of collateral, the regulatory requirements and statutory prohibitions related to equity investments in cannabis companies and real property used in cannabis-related operations may cause significant delays or difficulties in realizing upon the expected value of such collateral. In addition, applicable legal requirements may prevent us from possessing or realizing the value of other collateral securing our loans, such as cannabis licenses, cannabis inventory or cannabis merchandise. Our inability to realize the full value of such collateral could have a material adverse effect on our business, financial condition, liquidity and results of operations. We may also be disadvantaged in a foreclosure process or other exercise of creditors’ rights relative to other creditors that are able to hold such collateral. We make no assurance that existing regulatory policies will not materially and adversely affect the value or availability to us of all such collateral, or our standing relative to other creditors that are able to hold such collateral, or that additional regulations will not be adopted that would increase such potential material adverse effect.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assets of our borrowers may not be used as collateral or transferred to us due to applicable state laws and regulations governing the cannabis industry, and such restrictions could negatively impact our profitability.</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Each state that has legalized cannabis in some form has adopted its own set of laws and regulations that differ from one another. In particular, laws and regulations differ among states regarding the collateralization or transferability of cannabis-related assets, such as cannabis licenses, cannabis inventory, and ownership interests in licensed cannabis companies. Some state laws and regulations where our borrowers operate may prohibit the collateralization or transferability of certain cannabis-related assets. Other states may allow the collateralization or transferability of cannabis-related assets, but with restrictions, such as meeting certain eligibility requirements, utilization of state receiverships, and/or upon approval by the applicable regulatory authority. Prohibitions or restrictions on our or others’ ability to acquire, own or hold certain cannabis-related assets securing the loans of our borrowers could have a material adverse effect on our business, financial condition, liquidity and results of operations. In addition, because the sales of such assets may be forced upon the borrower when time may be of the essence and available to a limited number of potential purchasers, the sales prices may be less than the prices that could be obtained with more time and/or in a larger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value of properties and equipment securing our loans may decrease upon foreclosure if they cannot be used for cannabis related operations.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Properties and equipment used for cannabis operations, particularly cultivation and manufacturing facilities and equipment, are generally more valuable than if used for other purposes. If we foreclose on any properties or equipment securing our loans, the inability to sell the property or equipment to a licensed cannabis company for a similar use may significantly decrease the market value of the foreclosed property or equipment, thereby having a material adverse effect on our business, financial condition, liquidity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incur greater risk with respect to investments we acquire through assignments or participations of interests.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Although we intend to originate a substantial portion of our loans, we may acquire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loan with respect to which we are buying a participation as we would conduct if we were investing directly in the loan. This difference may result in us being exposed to greater credit or fraud risk with respect to such loans than we expected when initially purchasing the participation.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generally do not expect to control our portfolio companies.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generally do not expect to control our portfolio companies. As a result, we may be subject to the risk that a portfolio company may make business decisions with which we disagree and the management of such company, as representatives of the holders of their common equity, may take risks or otherwise act in ways that do not serve our interests as a debt investor, including actions that could decrease the value of our investment. Due to the lack of liquidity for our anticipated investments, we may not be able to dispose of our interests in our portfolio companies as readily as we would like or at an appropriate valuation.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Defaults by our portfolio companies would harm our operating results.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which may include the waiver of certain financial covenants, with a defaulting portfolio company.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may write down the value of a portfolio company investment upon the worsening of the financial condition of the portfolio company or in anticipation of a default, which could also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portfolio companies may experience financial distress and our investments in such companies may be restricted.</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Our portfolio companies may experience financial distress from time to time. Debt investments in such companies may cease to be income-producing, may require us to bear certain expenses to protect our investment and may subject us to uncertainty as to when, in what manner and for what value such distressed debt will eventually be satisfied, including through liquidation, reorganization or bankruptcy. Any restructuring can fundamentally alter the nature of the related investment, and restructurings may not be subject to the same underwriting standards that our Adviser employs in connection with the origination of an investment. In addition, we may write down the value of our investment in any such company to reflect the status of financial distress and future prospects of the business. Any restructuring could alter, reduce or delay the payment of interest or principal on any investment, which could delay the timing and reduce the amount of payments made to us. For example, if an exchange offer is made or plan of reorganization is adopted with respect to the debt securities we currently hold, there can be no assurance that the securities or other assets received by us in connection with such exchange offer or plan of reorganization will have a value or income potential similar to what we anticipated when our original investment was made or even at the time of restructuring. Restructurings of investments might also result in extensions of the term thereof, which could delay the timing of payments made to us, or we may receive equity securities, which may require significantly more of our management’s time and attention or carry restrictions on their disposition. We cannot assure you that any particular restructuring strategy pursued by our Adviser will maximize the value of or recovery on any investment.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realize gains from our equity investments.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Certain investments we may make may include warrants or other equity securities. In addition, we may make direct equity investments in companies. Our goal is ultimately to realize gains upon our disposition of such equity interests. However, the equity interests we may receive may not appreciate in value and, in fact, may decline in value. Accordingly, we may not be able to realize gains from the equity interests we may hold, and any gains that we do realize on the disposition of any such equity interests may not be sufficient to offset any other losses we may experience. We also may be unable to realize any value if a portfolio company does not have a liquidity event, such as a sale of the business, recapitalization or public offering, which would allow us to sell the underlying equity interests. We may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certain risks associated with foreign investments.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may make investments in foreign companies. Investing in foreign companies may expose us to additional risks not typically associated with investing in U.S. companies. These risks include changes in foreign exchange rates, exchange control regulations, political and social instability, expropriation, imposition of foreign taxes, less liquid markets and less available information than is generally the case in the U.S.,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Foreign investment risk may be particularly high to the extent that we invest in securities of issuers based in or securities denominated in the currencies of emerging market countries. These securities may present market, credit, currency, liquidity, legal, political and other risks different from, and greater than, the risks of investing in developed foreign countries.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such foreign investments generally do not constitute “qualifying assets” under the 1940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success will depend, in part, on our ability to anticipate and effectively manage these and other risks. We cannot assure you that these and other factors will not have a material adverse effect on our business as a whole.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expose ourselves to risks if we engage in hedging transactions.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Subject to applicable provisions of the 1940 Act and applicable regulations promulgated by the CFTC, we may enter into hedging transactions, which may expose us to risks associated with such transactions. Such hedging may utilize instruments such as forward contracts, currency options and interest rate swaps, caps, collars and floors to seek to hedge against fluctuations in the relative values of our portfolio positions and amounts due under any credit facility from changes in currency and market interest rates. Use of these hedging instruments may include counterparty credit risk. Hedging against a decline in the values of our portfolio positions does not eliminate the possibility of fluctuations in the values of such positions and amounts due under any credit facility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success of any hedging transactions, if any, will depend on our ability to correctly predict movements in currencies and interest rates. Therefore, while we may enter into such transactions to seek to reduce currency exchange rate and interest rate risks, unanticipated changes in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(or be able to) establish a perfect correlation between such hedging instruments and the portfolio holdings or credit facilities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non-diversified investment company within the meaning of the 1940 Act, and therefore have few restrictions with respect to the proportion of our assets that may be invested in securities of a single industry or issuer.</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classified as a non-diversified investment company within the meaning of the 1940 Act, which means that we are not limited by the 1940 Act with respect to the proportion of our assets that we may invest in securities of a single industry or issuer, excluding limitations on investments in other investment companies. To the extent that we assume large positions in the securities of a small number of industries or issuers, our NAV may fluctuate to a greater extent than that of a diversified investment company as a result of changes in the financial condition or the market’s assessment of the security, industry or issuer. We may also be more susceptible to any single economic or regulatory occurrence than a diversified investment company. Beyond RIC diversification requirements, we do not have fixed guidelines for diversification, and our investments could be concentrated in relatively few industries or issuers.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enter into total return swap agreements which expose us to certain risks, including market risk, liquidity risk and other risks similar to those associated with the use of leverage.</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may enter into a total return swap (“TRS”) directly or through a wholly-owned financing subsidiary. A TRS is a contract in which one party agrees to make periodic payments to another party based on the change in the market value of the assets underlying the TRS, which may include a specified security, basket of securities or securities indices during a specified period, in return for periodic payments based on a fixed or variable interest rate. A TRS effectively adds leverage to a portfolio by providing investment exposure to a security or market without owning or taking physical custody of such security or investing directly in such market. Because of the unique structure of a TRS, a TRS often offers lower financing costs than are offered through more traditional borrowing arrangements.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TRS may enable us to obtain the economic benefit of owning assets subject to the TRS, without actually owning them, in return for an interest type payment to the counterparty. As such, the TRS would be analogous to us borrowing funds to acquire assets and incurring interest expense to a lender.</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 TRS is subject to market risk, liquidity risk and risk of imperfect correlation between the value of the TRS and the assets underlying the TRS. In addition, we may incur certain costs in connection with a TRS that could in the aggregate be significant.</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TRS is also subject to the risk that a counterparty will default on its payment obligations thereunder or that we will not be able to meet our obligations to the counterparty. We may be required to post cash collateral amounts to secure our obligations to the counterparty under a TRS. The counterparty, however, may not be required to collateralize any of its obligations to us under a TRS. We would bear the risk of depreciation with respect to the value of the assets underlying a TRS and may be required under the terms of a TRS to post additional collateral on a dollar-for-dollar basis in the event of depreciation in the value of the underlying assets after such value decreases below a specified amount. The amount of collateral required to be posted by us would be determined primarily on the basis of the aggregate value of the underlying assets.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If the counterparty chooses to exercise its termination rights under a TRS, it is possible that, because of adverse market conditions existing at the time of such termination, we will owe more to the counterparty (or will be entitled to receive less from the counterparty) than we would otherwise have if we controlled the timing of such termination.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because a TRS is a form of synthetic leverage, such arrangements are subject to risks similar to those associated with the use of leverage. See “— Risks Related to Our Use of Leverage and Credit Facilities” above.</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fair value of a TRS, which will not necessarily equal the notional value of such TRS, will be included in our calculation of gross assets for purposes of computing the base management fee. For purposes of computing the Incentive Fee on Income and the Incentive Fee on Capital Gains, the calculation methodology will look through any TRS as if we owned the reference assets directly. See “Item 1. Business — Investment Advisory Agreement — Overview of Our Investment Adviser — Management Fee.”</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purposes of Section 55(a) under the 1940 Act, the Company treats each loan underlying a TRS as a qualifying asset if the obligor on such loan is an eligible portfolio company and as a non-qualifying asset if the obligor is not an eligible portfolio company. The Company may, however, accord different treatment to a TRS in the future in accordance with any applicable new rules or interpretations adopted by the SEC or its staff.</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ability to enter into transactions involving derivatives and financial commitment transactions may be limited, among other reasons, because of the unwillingness or inability of certain financial institutions to transact with cannabis-related companies such as ourselves.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November 2020, the SEC adopted Rule 18f-4 under the 1940 Act regarding the ability of a BDC (or a registered investment company) to use derivatives and other transactions that create future payment or delivery obligations. Under Rule 18f-4, which BDCs were required to comply with no later than August 19, 2022, BDCs that use derivatives are subject to a value-at-risk leverage limit, a derivatives risk management program and testing requirements and requirements related to board reporting. These new requirements apply unless the BDC qualifies as a “limited derivatives user,” as defined under Rule 18f-4. Under Rule 18f-4,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Collectively, these requirements may limit our ability to use derivatives and/or enter into certain other financial contracts. We have adopted updated policies and procedures in compliance with Rule 18f-4, and currently qualify as a “limited derivatives user.” Our ability to enter into derivatives transactions may be limited because of the unwillingness or inability of certain financial institutions to transact with cannabis-related companies such as ourselves.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health and wellness sector is highly regulated and competitive.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health and wellness sector is highly regulated, and the production, packaging, labeling, advertising, distribution, licensing and/or sale of health and wellness products and services may be subject to regulation by several U.S. federal agencies, including the U.S. Food and Drug Administration (the “FDA”), the Federal Trade Commission, the Consumer Product Safety Commission, and the Environmental Protection Agency, as well as various state, local and international laws and agencies of the localities in which such products and services are offered or are sold. Government regulations may prevent or delay the introduction or require design modifications of these products. Regulatory authorities may not accept the evidence of safety presented for existing or new products or services that a health and wellness company may wish to market, or they may determine that a particular product or service presents an unacceptable health risk. If health and wellness companies are unable to obtain regulatory approval or fail to comply with these regulatory requirements, the financial condition of such companies could be adversely affected.</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There can be no assurance that future changes in government regulation will not adversely affect health and wellness companies. The health and wellness sector is highly competitive and an emerging health and wellness company may be unable to compete effectively. Health and wellness companies are particularly susceptible to unfavorable publicity or client rejection of products, which could reduce sales of products or services. Safety, quality and efficacy standards are extremely important for health and wellness companies. If a health and wellness company fails to meet these standards, its reputation could be damaged, it could lose customers, and its revenue and results of operations could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the Cannabis and Hemp Industries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the cannabis industry may directly or indirectly affect us or our portfolio companies engaged in the cannabis industry.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Investing in portfolio companies involved in the cannabis industry subjects us to the following risks:</w:t>
      </w:r>
    </w:p>
    <w:p>
      <w:pPr>
        <w:spacing w:after="0" w:line="150" w:lineRule="exact"/>
        <w:rPr>
          <w:sz w:val="20"/>
          <w:szCs w:val="20"/>
          <w:color w:val="auto"/>
        </w:rPr>
      </w:pPr>
    </w:p>
    <w:p>
      <w:pPr>
        <w:ind w:left="420" w:hanging="212"/>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cannabis industry is extremely speculative and raises a host of legality issues, making it subject to inherent risk;</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Assets collateralizing loans to cannabis businesses may be forfeited to the U.S. federal government in connection with government enforcement actions under U.S. federal law;</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420" w:hanging="212"/>
        <w:spacing w:after="0" w:line="279" w:lineRule="auto"/>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the foregoing could have an adverse impact on our and our portfolio companies’ businesses,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Cannabis, except for hemp, is currently illegal under U.S. federal law and in other jurisdictions, and strict enforcement of federal laws would likely result in our inability to execute our business plan.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ability of our cannabis portfolio companies to achieve their business objectives will be contingent, in part, upon the legality of the cannabis industry, their compliance with regulatory requirements enacted by various governmental authorities, and their obtaining all necessary regulatory approvals. The laws and regulations governing cannabis are still developing, including in ways that we or our portfolio companies may not foresee.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the markets in which our portfolio companies operate, products and sales initiatives, and could have a material adverse effect on their and our business, liquidity, financial condition and/or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status of cannabis, other than hemp</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Forty states and the District of Columbia have legalized some form of whole-plant cannabis cultivation, sales and use for certain medical purposes (medical states). Twenty-four of those states and the District of Columbia have also legalized cannabis for adults for non-medical purposes (sometimes referred to as recreational use).</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Under U.S. federal law, however, those activities are illegal. The Controlled Substances Act (the “CSA”) continues to list cannabis (marijuana, but not including hemp) as a Schedule I controlled substance (i.e., deemed to have no medical value), and accordingly, the manufacture (growth), sale or possession of cannabis is federally illegal, even for personal medical purposes. It also remains federally illegal to advertise the sale of cannabis or to sell paraphernalia designed or intended primarily for use with cannabis, unless the paraphernalia is traditionally used with tobacco or authorized by federal, state or local law. Entities or persons who knowingly lease or rent a property for the purposes of manufacturing, distributing or using any controlled substances, or merely know that any of those activities are occurring on land that they control, can also be found liable under the CSA. Additionally, violating the CSA is a predicate specified unlawful activity under U.S. anti-money laundering laws.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Violations of any U.S. federal laws and regulations can result in arrests, criminal charges, forfeiture of property, significant fines and penalties, disgorgement of profits, administrative sanctions, criminal convictions and cessation of business activities, as well as civil liabilities arising from proceedings initiated by either the U.S. government or private citizens. The U.S. government could enforce the federal cannabis prohibition laws even against companies complying with state law.</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likelihood of adverse enforcement against companies complying with state cannabis laws remains uncertain. The U.S. government has not recently prosecuted any state law compliant cannabis entity, although the risk of future enforcement cannot be dismissed entirely. In 2018, then-U.S. Attorney General Jefferson Sessions rescinded the DOJ’s previous guidance (the Cole Memo) that had given federal prosecutors discretion not to enforce federal law in states that legalized cannabis, as long as the state’s legal regime adequately addressed specified federal priorities, and had authorized federal prosecutors to use their prosecutorial discretion to decide whether to prosecute state-legal adult-use cannabis activities. Since that time, U.S. Attorneys have taken no legal action against state law compliant entities.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Unlike President Biden, President Trump has not taken an explicit stance on cannabis from a federal perspective or promised any type of reform. President Trump was supportive of Florida’s failed initiative to make cannabis recreationally legal in the state and he seemed to have no interest in challenging states rights to legalize medical or recreational cannabis in his first term in office, which may mean that the federal government would not criminally enforce the Schedule I status against state legal entities, the implications are not entirely clear. Although the U.S. Attorney General could order federal prosecutors not to interfere with cannabis businesses operating in compliance with states’ laws, the President alone cannot legalize medical cannabis, and as states have demonstrated, legalizing medical cannabis can take many different forms. While rescheduling cannabis to CSA Schedule II would ease certain research restrictions and rescheduling cannabis to CSA Schedule III would ease certain tax burdens (in addition to easing research restrictions), it would not make the state medical or adult use programs federally legal. Furthermore, while industry observers are still hopeful that Congress will progress banking reform, such as the SAFE Banking Act, we cannot provide assurances that a bill legalizing cannabis would be approved by Congress.</w:t>
      </w:r>
    </w:p>
    <w:p>
      <w:pPr>
        <w:spacing w:after="0" w:line="1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If it became law, the SAFE Banking Act would, among other things, provide protection from federal prosecution to banks and other financial institutions that provide financial services to state-licensed cannabis companies, which may include the provision of loans by financial institutions to such companies. If the SAFE Banking Act became law, or cannabis became legal under federal law, there would be increased competition for lending to state-licensed cannabis companies, and such companies would have greater access to financing sources with lower costs of capital. These factors may result in us having to enter into loans at lower rates, which may significantly adversely impact our profitability and our distributions to stockholders.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Since December 2014, companies strictly complying with state medical cannabis laws have also been protected against enforcement by an amendment (originally called the Rohrabacher-Farr amendment, now called the Joyce amendment) to the Omnibus Spending Bill, which prevents federal prosecutors from using federal funds to impede the implementation of medical cannabis laws enacted at the state level. Courts have interpreted the provision to bar the DOJ from prosecuting any person or entity in strict compliance with state medical cannabis laws. While the Joyce provision prevents prosecutions, it does not make cannabis legal. Accordingly, if the protection expired, prosecutors could prosecute illegal activity that occurred within the statute of limitations even if the Joyce protection was in place when the federally illegal activity occurred. The Joyce protection depends on its continued inclusion in the federal omnibus spending bill, or in some other legislation, and entities’ strict compliance with the state medical cannabis laws. Furthermore, how the DOJ would enforce against an entity complying with a state’s medical and adult use laws has not been resolved and is open to debate.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status of hemp and hemp derivatives</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Until recently, hemp (defined by the U.S. government as Cannabis sativa L. with a THC concentration of not more than 0.3% on a dry weight basis)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December 2018, the U.S. government changed hemp’s legal status. The Agriculture Improvement Act of 2018, Pub.L. 115-334 (the “2018 Farm Bill”), removed hemp and extracts of hemp, including CBD, from the CSA schedules. Accordingly, the production, sale and possession of hemp or extracts of hemp, including CBD, no longer violate the CSA. The 2018 Farm Bill did not create a system in which individuals or businesses can grow hemp whenever and wherever they want. There are numerous restrictions. The 2018 Farm Bill allows hemp cultivation under state plans approved by the U.S. Department of Agriculture (“USDA”) or under USDA regulations in states that have legalized hemp but not implemented their own regulations. It also allows the transfer of hemp and hemp-derived products across state lines for commercial or other purposes, even through states that have not legalized hemp or hemp-derived products. Nonetheless, states can still prohibit hemp or limit hemp more stringently than the federal law.</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Despite the passage of the 2018 Farm Bill, hemp products’ legal status is complicated further by state and other federal law. The states are a patchwork of different laws on hemp and its extracts, including CBD. Additionally, the FDA claims that the Food, Drugs &amp; Cosmetics Act (the “FDCA”) significantly limits the legality of hemp-derived CBD products.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section of the 2018 Farm Bill establishing a framework for hemp production also states explicitly that it does not affect or modify the FDCA, Section 351 of the Public Health Service Act, or the authority of the Commissioner of the FDA under those laws. Within hours of President Trump signing the 2018 Farm Bill, the FDA issued a statement reminding the public of the FDA’s continued authority “to regulate products containing cannabis or cannabis-derived compounds under the [FDCA] and Section 351 of the Public Health Service Act.” First, the FDA noted that “it’s unlawful under the [FDCA] to introduce food containing added CBD or THC into interstate commerce, or to market CBD or THC products, as, or in, dietary supplements, regardless of whether the substances are hemp-derived,” and regardless of whether health claims are made, because CBD (and THC) are active ingredients in FDA-approved drugs and became the subject of public substantial clinical investigations when GW Pharmaceuticals submitted investigational new drug (“IND”) applications for Sativex and Epidiolex, both containing CBD as an active ingredient. The FDA then warned against health claims: prior to introduction into interstate commerce, any cannabis product, whether derived from hemp or otherwise, marketed with a disease claim (e.g., therapeutic benefit, disease prevention) must first be approved by the FDA for its intended use through one of the drug approval pathways. Notably, the FDA can look beyond the product’s express claims to find that a product is a “drug.” The definition of “drug” under the FDCA includes, in relevant part, “articles intended for use in the diagnosis, cure, mitigation, treatment, or prevention of disease in man or other animals” as well as “articles intended for use as a component of [a drug as defined in the other sections of the definition].” In determining “intended use,” the FDA has traditionally looked beyond a product’s label to statements made on websites, on social media or orally by the company’s representatives. The FDA did acknowledge that hemp foods not containing CBD or THC (e.g., hulled hemp seeds, hemp seed protein, hemp seed oil) are legal.</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Some CBD products are arguably federally legal today, notwithstanding the FDA’s position. To the extent that a CBD product is outside the FDA’s jurisdiction, the product is likely federally legal because CBD, unlike many drugs that the FDA regulates, is no longer listed on the CSA’s schedules. CBD products other than food, beverages and supplements and not marketed as a drug, including making health claims, may fall outside of the FDA’s authority. If so, some products that may be legal today include topical products such as cosmetics, massage oils, lotions and creams. Additionally, the FDA lacks authority, except in limited circumstances, to enforce against companies selling CBD products that do not enter into “interstate commerce,” although the definition of interstate commerce is amorphous and may include sources of ingredients, components or even investments that in some way impact more than one state.</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Enforcement under the FDCA may be criminal or civil in nature and can include those who aid and abet a violation, or conspire to violate, the FDCA. Violations of the FDCA are for first violations misdemeanors punishable by imprisonment up to one year or a fine, or both, and for second violations or violations committed with an “intent to defraud or mislead” felonies punishable by fines and imprisonment up to three years. The fines provided for are low ($1,000 and $3,000), but under the Criminal Fine Improvements Act of 1987, the criminal fines can be increased significantly (approximately $100,000 to $500,000). Civil remedies under the FDCA include civil money penalties, injunctions and seizures. The FDA also has a number of administrative remedies (e.g., warning letters, recalls, debarment). With respect to CBD products, the FDA so far has limited its enforcement to sending cease-and-desist letters to companies selling CBD products and making “egregious, over-the-line” claims, such as “cures cancer,” “treats Alzheimer’s Disease” and “treats chronic pain.” Additionally, plaintiff lawyers have brought putative class actions against several companies selling CBD product, claiming that the marketing of them as legal products violates California law, although most of the cases have been stayed pending the FDA issuing promised guidelines to the industry. Since issuing the initial guidance following the 2018 Farm Bill, the FDA has sent cease-and-desist warning letters to more than twenty companies making health claims about CBD products. The Federal Trade Commission (“FTC”) has also sent warning letters to companies making unsubstantiated health claims about CBD products and has even filed a lawsuit against one. The FDA’s additional guidance on CBD, titled, “Cannabidiol Enforcement Policy; Draft Guidance for Industry,” which the FDA has described as a “risk-based enforcement policy” to prioritize enforcement decisions, was submitted to the White House on July 22, 2020, was not formally approved by the Trump administration, and has been pulled back by the Biden Administration. In early 2023, the FDA’s cannabis working group announced that it could not permit CBD to be regulated as a supplement due to significant safety concerns and uncertainties. Instead, the FDA asked Congress for help to design a fit-for-purpose regulatory pathway for CBD which, to date, Congress has not acted 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Loans to relatively new and/or small companies and companies operating in the cannabis industry generally involve significant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primarily provide loans to established companies operating in the cannabis industry, but because the cannabis industry is relatively new and rapidly evolving, some of these companies may be relatively new and/or small companies.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Loans to relatively new and/or small companies and companies operating in the cannabis industry generally involve a number of significant risks, including, but not limited to, the following:</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420" w:hanging="212"/>
        <w:spacing w:after="0" w:line="279"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companies may have limited financial resources and may be unable to meet their obligations, which may be accompanied by a deterioration in the value of any collateral securing our loan and a reduction in the likelihood of us realizing a return on our loan;</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typically have shorter operating histories, narrower product lines and smaller market shares than larger and more established businesses, which tend to render them more vulnerable to competitors’ actions and market conditions (including conditions in the cannabis industry), as well as general economic downturns;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typically depend on the management talents and efforts of a small group of persons; therefore, the death, disability, resignation or termination of one or more of these persons could have a material adverse effect on such borrower and, in turn, on us;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generally less public information about these companies. Unless publicly traded, these companies and their financial information are generally not subject to the regulations that govern public companies, and we may be unable to uncover all material information about these companies, which may prevent us from making a fully informed lending decision and cause us to lose money on our loans;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generally have less predictable operating results and may require substantial additional capital to support their operations, finance expansion or maintain their competitive position;</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our executive officers and directors and our Adviser may, in the ordinary course of business, be named as defendants in litigation arising from our loans to such borrowers and may, as a result, incur significant costs and expenses in connection with such litigation;</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and regulations, as well as their interpretations, may have a disproportionate adverse effect on their business, financial structure or prospects compared to those of larger and more established companies;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may have difficulty accessing capital from other providers on favorable terms or at all.</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investment opportunities are limited by the current illegality of cannabis under U.S. federal law; changes in the laws, regulations and guidelines that impact the cannabis industry may cause adverse effects on our ability to make investments.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Currently, we intend to make equity investments only in portfolio companies that are compliant with all applicable laws and regulations within the jurisdictions in which they are located or operate and, in particular, we will not make an equity investment in a portfolio company that we determine has been operating, or whose business plan is to operate, in violation of U.S. federal laws, including the U.S. Controlled Substances Act. This limitation may adversely affect us by limiting the scope of our equity investment opportunities. Additionally, changes to such laws, regulations and guidelines may cause further adverse effects on our ability to identify and make an equity investment in a portfolio company that meets these legal and regulatory requirements at the time of acquisition.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the other hand, we may make a loan to a portfolio company regardless of its status under U.S. federal law, so long as we determine based on our due diligence that the portfolio company is licensed in, and complying with, state-regulated cannabis programs. Any such loans will be designed to be compliant with all applicable laws and regulations to which we are subject, including U.S. federal law, although the law in this area is not fully settled and there can be no assurances that federal authorities will consider such loans to be compliant with applicable law and regulations. In that regard, we have received an opinion of counsel (a copy of which has been filed as an exhibit to our IPO registration statement) that the proposed investment activities as described in our IPO prospectus do not violate the U.S. Controlled Substances Act (21 U.S.C. § 801, et seq.)(the “CSA”), the U.S. Money Laundering Control Act (18 U.S.C. § 1956), or the Drug Paraphernalia law contained in the CSA, 21 U.S.C. § 863, subject to certain assumptions, qualifications and exceptions stated in the opinion. However, there can be no assurances that a court or federal authorities would agree with the conclusions reached in the opinion. Additionally, if federal legislation is enacted that provides protections from liability under U.S. federal law for other types of investments in portfolio companies that are compliant with state, but not U.S. federal, laws and is determined to apply to us (or we otherwise determine that the investment is not prohibited), we may make other types of investments in portfolio companies that do not comply with U.S. federal laws. There can be no assurance, however, that such type of legislation will be enacted or that we will otherwise be able to invest in portfolio companies that do not comply with U.S. federal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Competitive conditions, consumer tastes, patient requirements and spending patterns in this new industry and market are not well understood and may have unique circumstances that differ from existing industries and markets.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There can be no assurance that this industry and market will continue to exist or grow as currently estimated or anticipated, or function and evolve in a manner consistent with our expectations and assumptions. Any event or circumstance that affects the medical or recreational cannabis industry and market could have a material adverse effect on our business, financial condition and results of operations, as well as the business, financial condition and results of operations of portfolio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potential growth in the cannabis industry continues to be subject to new and changing state and local laws and regulations.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and the business of our portfolio companies. Additionally, changes in applicable state and local laws or regulations, including zoning restrictions, permitting requirements and fees, could restrict the products and services our portfolio companies may offer or impose additional compliance costs on such portfolio companies. Violations of applicable laws, or allegations of such violations, could disrupt our portfolio companies’ businesses and result in a material adverse effect on their operations. We cannot predict the nature of any future laws, regulations, interpretations or applications, and it is possible that regulations may be enacted in the future that will be materially adverse to the business of our portfolio companies, as well as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the laws, regulations and guidelines that impact our portfolio companies’ businesses may cause adverse effects on operations.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portfolio companies, which could cause adverse effects on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Portfolio companies operating in a highly regulated business will require significant resources.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the event we invest in a portfolio company involved in the production, distribution or sale of cannabis products, such portfolio company will be operating in a highly regulated business. In such a case, we would expect a significant amount of such portfolio company’s management’s time and external resources to be used to comply with the laws, regulations and guidelines that impact their business, and changes thereto, and such compliance may place a significant burden on such management and other resources of a portfolio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Differing regulatory environments may cause adverse effects on our or our portfolio companies’ operations.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cannabis products business will be subject to a variety of laws, regulations and guidelines in each of the jurisdictions in which it operates. Complying with multiple regulatory regimes will require additional resources and may limit a portfolio company’s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invest in a portfolio company that is involved in a highly regulated business and any failure or significant delay in obtaining regulatory approvals could adversely affect the ability of portfolio companies to conduct their businesses.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the event we invest in a portfolio company involved in the production, distribution or sale of cannabis products, achievement of such portfolio company’s business objectives will be contingent, in part, upon compliance with the regulatory requirements enacted by applicable government authorities and obtaining all regulatory approvals, where necessary, for the sale of their products. We cannot predict the time required to secure all appropriate regulatory approvals for such products, additional restrictions that may be placed on our portfolio company’s business or the extent of testing and documentation that may be required by government authorities. Any delays in obtaining, or failure to obtain, regulatory approvals would significantly delay the development of markets and products and could have a material adverse effect on the business, results of operation and financial condition of any such portfolio company, or on our business, results of operations and financial condition.</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ability of our portfolio companies to access financing or engage in derivatives transactions may be limited because of the unwillingness or inability of certain financial institutions to transact with companies that operate in the cannabis industry.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 regulations and enforcement relating to hemp-derived CBD products are rapidly evolving.</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may invest in a business involved in the production, distribution or sale of hemp-derived CBD products. Although the passage of the 2018 Farm Bill legalized the cultivation of hemp in the United States to produce products containing CBD and other non-THC cannabinoids, it is unclear how the FDA will respond to the approach taken by a portfolio company, or whether the FDA will propose or implement new or additional regulations. In addition, such products may be subject to regulation at the state or local levels. Unforeseen regulatory obstacles may hinder such portfolio company’s ability to successfully compete in the market for such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Marketing constraints under regulatory frameworks may limit a portfolio company’s ability to compete for market share in a manner similar to that of companies in other industries.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development of a portfolio company’s business and operating results may be hindered by applicable restrictions on sales and marketing activities imposed by regulations applicable to the cannabis industry. For example, the regulatory environment in Canada would limit a portfolio company’s ability to compete for market share in a manner similar to that of companies in other industries. Additionally, Canadian regulations impose further packaging, labeling and advertising restrictions on producers in the adult-use recreational cannabis market. If a portfolio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 which could impact our business,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Portfolio companies may become involved in regulatory or agency proceedings, investigations and audits.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Businesses in the cannabis industry, and the business of the suppliers from which portfolio companies may acquire the products they may sell, require compliance with many laws and regulations. Failure to comply with these laws and regulations could subject our portfolio companies or such suppliers to regulatory or agency proceedings or investigations and could also lead to damage awards, fines and penalties. Our portfolio companies or such suppliers may become involved in a number of government or agency proceedings, investigations and audits. The outcome of any regulatory or agency proceedings, investigations, audits and other contingencies could harm our reputation, the reputations of our portfolio companies or the reputations of the brands that they may sell, require the portfolio companies to take, or refrain from taking, actions that could harm their operations, or require them to pay substantial amounts of money, harming their and our financial condition. There can be no assurance that any pending or future regulatory or agency proceedings, investigations and audits will not result in substantial costs or a diversion of portfolio company management’s attention and resources or have a material adverse impact on their and our business, financial condition and results of operations.</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invest in a portfolio company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their products. Such portfolio companies may be subject to liability for risks against which they cannot insure or against which they may elect not to insure due to the high cost of insurance premiums or other factors. Payment of liabilities for which such portfolio companies do not carry insurance may have a material adverse effect on their financial position and operations. The payment of any such liabilities would reduce the funds available for their normal business activities, which could affect our business, financial condition and results of operations.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With respect to portfolio companies operating in the medical and adult-use cannabis markets, the illicit supply of cannabis and cannabis-based products may reduce such sales and impede such company’s ability to succeed in such markets.</w:t>
      </w:r>
    </w:p>
    <w:p>
      <w:pPr>
        <w:spacing w:after="0" w:line="10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the event we invest in a portfolio company operating in the medical and adult-use cannabis markets, such portfolio company may face competition from unlicensed and unregulated market participants, including illegal dispensaries and black market suppliers selling cannabis and cannabis-based products.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may be prohibited from being offered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portfolio companies’ market share and (iii) adversely impact the public perception of cannabis use and licensed cannabis producers and dealers, all of which would have a materially adverse effect on our and our portfolio companies’ business,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recreational or medical-use consumers elect to produce cannabis for their own purposes, it could reduce the addressable market for a portfolio company’s products.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 (ii) and (iii) above, could significantly reduce the addressable market for a portfolio company’s products and could materially and adversely affect the business, financial condition and results of operations of a portfolio company, which in turn, could adversely affect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cannabis industry faces significant opposition, and any negative trends may adversely affect the business operations of our portfolio companies.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If we invest in portfolio companies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 and the operations of our portfolio companies.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Large, well-funded industries that perceive cannabis products and services as competitive with their own, including but not limited to the pharmaceutical industry, adult beverage industry and tobacco industry, all of which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 and the business of our portfolio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Competition from synthetic products may adversely affect the business, financial condition or results of operations of a portfolio company.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portfolio company to secure long-term profitability and success through the sustainable and profitable operation of the anticipated businesses and investment targets, and could have a material adverse effect on a portfolio company’s business, financial condition or results of operations, which in turn, could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 as could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Consumer preferences may change, and the portfolio company may be unsuccessful in acquiring or retaining consumers and keeping pace with changing market developments.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As a result of changing consumer preferences, many consumer products attain financial success for a limited period of time. Even if a portfolio company’s products find success at retail, there can be no assurance that such products will continue to be profitable. A portfolio company’s success will be significantly dependent upon its ability to develop new and improved product lines and adapt to consumer preferences. Even if a portfolio company is successful in introducing new products or developing its current products, a failure to gain consumer acceptance or to update products could cause a decline in the products’ popularity and impair the brands. In addition, a portfolio company may be required to invest significant capital in the creation of new product lines, strains, brands, marketing campaigns, packaging and other product features, none of which are guaranteed to be successful. Failure to introduce new features and product lines and to achieve and sustain market acceptance could result in the portfolio company being unable to satisfy consumer preferences and generate revenue.</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portfolio company’s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portfolio company may not be successful in developing effective and safe new products, anticipating shifts in social trends and consumer demands, bringing such products to market in time to be effectively commercialized, or obtaining any required regulatory approvals. A portfolio company’s failure to acquire and retain consumers could have a material adverse effect on the business of the portfolio company and us.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the patterns of cannabis consumption may shift over time due to a variety of factors, including changes in demographics, social trends, public health policies and other leisure or consumption behaviors. If consumer preferences for a portfolio company’s products or cannabis products in general do not develop, or if once developed, they were to move away from its products or cannabis products in general, or if a portfolio company is unable to anticipate and respond effectively to shifts in consumer behaviors, it may be adversely affected.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cannabis industry is highly competitive and evolving.</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market for businesses in the cannabis industry is highly competitive and evolving. There may be no material aspect of our portfolio companies’ businesses that is protected by patents, copyrights, trademarks or trade names, and they may face strong competition from larger companies, including those that may offer similar products and services to our portfolio companies.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Potential competitors may have longer operating histories, significantly greater financial, marketing or other resources, and larger client bases than our portfolio companies, and there can be no assurance that they will be able to successfully compete against these or other competitors. Additionally, because the cannabis industry is at an early stage, a portfolio company may face additional competition from new entrants, including as a result of an increased number of licenses granted under any applicable regulatory regime.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portfolio company may require a continued high level of investment in research and development, marketing, sales and client support. However, a portfolio company may not have sufficient resources to maintain research and development, marketing, sales and client support efforts on a competitive basis, which could materially and adversely affect the business, financial condition and results of operations of such portfolio company, as well as our business, financial condition and results of operations. Additionally, as new technologies related to the cultivation, processing, manufacturing, and research and development of cannabis are being explored, there is potential for third-party competitors to be in possession of superior technology that would reduce any relative competitiveness a portfolio company may have.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the legal landscape for cannabis continues to evolve, it is possible that the cannabis industry will undergo consolidation, creating larger companies with greater financial resources, manufacturing and marketing capabilities, and product offerings. Given the rapid changes affecting the global, national and regional economies generally, and the cannabis industry in particular, our portfolio companies may not be able to create and maintain a competitive advantage in the marketplace.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success of any such portfolio company will depend on its ability to keep pace with any changes in such markets, particularly legal and regulatory changes. For example, it is likely that a portfolio company, and its competitors, will seek to introduce new products in the future. The success of such portfolio companies will also depend on their ability to respond to, among other things, changes in the economy, market conditions and competitive pressures. Any failure by them to anticipate or respond adequately to such changes could have a material adverse effect on the financial condition and results of operations of us and our portfolio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technologies, process and formulations a portfolio company uses may face competition or become obsolete.</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portfolio company’s products obsolete, less competitive or less marketable. The process of developing their products is complex and requires significant continuing costs, development efforts and third-party commitments, including licensees, researchers, collaborators and lenders. A portfolio company’s failure to develop new technologies and products and the obsolescence of existing technologies or processes could adversely affect its and our business, financial condition and results of operations. A portfolio company may be unable to anticipate changes in its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portfolio company may not be successful in using its new technologies or exploiting its niche markets effectively or adapting its business to evolving customer or medical requirements or preferences or emerging industry standards.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is uncertainty in pricing and demand for cannabis-based products.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anticipated pricing of cannabis products may differ substantially from current levels given changes in the competitive and regulatory landscape. A portfolio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portfolio company will be successful in creating and maintaining consumer demand and estimated pricing levels. To do this, the portfolio company may be dependent upon, among other things, continually producing desirable and effective cannabis and cannabis-related products and the continued growth in the aggregate number of cannabis consumers. Campaigns designed to enhance a portfolio company’s brand and attract consumers, subject to restrictions imposed by law, can be expensive and may not result in increased sales. If the portfolio company is unable to attract new consumers, it may not be able to increase its sales.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portfolio company may have difficulty in forecasting sales and other business metrics.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portfolio company may rely largely on its own market research to forecast sales as detailed forecasts are not generally obtainable from other sources at this early stage of the cannabis industry. If the portfolio company underestimates the demand for its products, it may not be able to produce products that meet its stringent requirements, and this could result in delays in the shipment of products and failure to satisfy demand, as well as damage to reputation and partner relationships. If the portfolio company overestimates the demand for its products, it could face inventory levels in excess of demand, which could result in inventory write-downs or write-offs and the sale of excess inventory at discounted prices, which would harm the portfolio company’s gross margins and brand management efforts, which could impact our business, results of operations and financial condition.</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Due to the nascent nature of the market, it could be difficult for the portfolio company to forecast demand. In particular, it could be difficult to forecast the rate of the illicit cannabis market crossing over to the legal market. If the market does not develop as the portfolio company expects, it could have a material adverse effect on its business, results of operations and financial condition, which could in turn have an adverse effect on our business, results of operations and financial condition. In addition to inherent risks and difficulties forecasting sales, anticipated costs and yields are also challenging to predict with certainty as the cannabis industry is in its relative infancy and rapidly evolving. If portfolio companies make capital investments based on flawed sales, costs and yields forecasts, the portfolio company may not achieve its expected, or any, return on invested capital. Failure to realize forecasted sales, costs and yields could have a material adverse effect on the portfolio company’s business, results of operations and financial condition, as well as our business,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Portfolio companies may have difficulty borrowing from or otherwise accessing the service of banks, which may make it difficult to sell products and services.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Financial transactions involving proceeds generated by cannabis-related conduct can form the basis for prosecution under the federal money laundering statutes, the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in establishing banking relationships. The inability of portfolio companies to maintain bank accounts would make it difficult for them to operate their business, would increase their operating costs and pose additional operational, logistical and security challenges, and could result in their inability to implement their business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development and operation of businesses in the cannabis industry may require additional financing, which may not be available on favorable terms, if at all.</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Due to the growth in the cannabis industry, the continued development and operation of businesses in the cannabis industry may require additional financing. The failure of portfolio companies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Portfolio companies may be subject to product liability claims.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If we invest in a portfolio company operating as a manufacturer and distributor of products utilizing cannabis for human consumption, such portfolio companies will face an inherent risk of exposure to product liability claims, regulatory action and litigation if their products are alleged to have caused significant loss or injury. In addition, the manufacture and sale of cannabis products involve the risk of injury to consumers due to tampering by unauthorized third-parties or product contamination. Previously unknown adverse reactions resulting from human consumption of cannabis products alone or in combination with other medications or substances could occur. Our portfolio companies may be subject to various product liability claims, including, among others, that the products they produced caused injury or illness, include inadequate instructions for use or include inadequate warnings concerning possible side effects or interactions with other substances.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product liability claim or regulatory action against a portfolio company could result in increased costs, could adversely affect its reputation with its clients and consumers generally, and could have a material adverse effect on its results of operations and financial condition, which in turn could adversely affect our results of operations and financial condition. There can be no assurances that a portfolio company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Portfolio companies may not be able to obtain adequate insurance coverage in respect of the risks such business faces, the premiums for such insurance may not continue to be commercially justifiable or there may be coverage limitations and other exclusions which may result in such insurance not being sufficient to cover potential liabilities that they face.</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Although we expect our portfolio companies to have insurance coverage with respect to the assets and operations of their businesses, such insurance coverage will be subject to coverage limits and exclusions and may not be available for the risks and hazards to which they are exposed. In addition, no assurance can be given that such insurance will be adequate to cover their liabilities, including potential product liability claims, or will be generally available in the future or, if available, that premiums will be commercially justifiable. If a portfolio company were to incur substantial liability and such damages were not covered by insurance or were in excess of policy limits, such portfolio company may be exposed to material uninsured liabilities that could impede such company’s liquidity, profitability or solvency, potentially impacting our results of operations and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Due to our involvement in the regulated cannabis industry, we and our borrowers may have a difficult time obtaining or maintaining the various insurance policies that are desired to operate our business, which may expose us to additional risk and financial liabilities.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Insurance that is otherwise readily available, such as workers’ compensation, general liability, title insurance and directors’ and officers’ insurance, is more difficult for us and our borrowers to find and more expensive, because of our borrowers’ involvement in the regulated cannabis industry. There are no guarantees that we or our borrowers will be able to find such insurance now or in the future, or that such insurance will be available on economically viable terms. If we or our borrowers are forced to go without such insurance, it may prevent us from entering into certain business sectors, may inhibit our growth, may expose us to additional risk and financial liabilities and, in the case of an uninsured loss, may result in the loss of anticipated cash flow or the value of our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portfolio companies or the cannabis industry more generally may receive unfavorable publicity or become subject to negative consumer or investor perception.</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portfolio company. Further, adverse publicity reports or other media attention regarding the safety, efficacy and quality of cannabis, or the products of a portfolio company specifically, or associating the consumption of cannabis with illness or other negative effects or events, could adversely affect such portfolio company. This adverse publicity could arise even if the adverse effects associated with cannabis products resulted from consumers’ failure to use such products legally, appropriately or as directed.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Third-parties with whom we do business may perceive themselves as being exposed to reputational risk by virtue of their relationship with us and may ultimately elect not to do business with us.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If we invest in a portfolio company in the cannabis industry, the parties with which we do business may perceive that they are exposed to reputational risk as a result of our investment in a cannabis business. Failure to establish or maintain business relationships could have a material adverse effect on 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reputation and ability to do business, as well as the reputation of our portfolio companies and their ability to do business, may be negatively impacted by the improper conduct of business partners, employees or agents.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cannot provide assurance that the internal controls and compliance systems of our portfolio companies will always protect us from acts committed by such companies’ employees, agents or business partners in violation of applicable laws and regulations in the jurisdictions in which they conduct operations, including those applicable to businesses in the cannabis industry. Any improper acts or allegations could damage our reputation, the reputation of our portfolio companies and subject us and our portfolio companies to civil or criminal investigations and related shareholder lawsuits, could lead to substantial civil and criminal monetary and non-monetary penalties, and could cause us or our portfolio companies to incur significant legal and investigatory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Portfolio companies may be subject to regulatory, legal or reputational risk associated with potential misuse of their products by their customers.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cannot provide assurance that a portfolio company’s customers will always use its products in the manner in which they intend. Any misuse of their products by their customers could lead to substantial civil and criminal monetary and non-monetary penalties, and could cause them to incur significant legal and investigatory fees.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portfolio company may not succeed in promoting and sustaining its brands, which could have an adverse effect on its future growth and business.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 critical component of a portfolio company’s future growth is its ability to promote and sustain its brands, often achieved by providing a high-quality user experience. An important element of a portfolio company’s brand promotion strategy is establishing a relationship of trust with its consumers. In order to provide a high-quality user experience, a portfolio company may need to have invested and continue to invest substantial resources in the development of products, infrastructure, fulfillment and customer service operations. Campaigns designed to enhance a portfolio company’s brand and attract consumers, subject to restrictions imposed by law, can be expensive and may not result in increased sales. If a portfolio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portfolio company’s business, financial condition and results of operations, which in turn, could have an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events or developments in the cannabis industry more generally may impact our reputation or the reputation of our portfolio companies.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Damage to our reputation or the reputation of our portfolio companies can result from the actual or perceived occurrence of any number of events, including any negative publicity, whether true or not. If we invest in a portfolio company in the cannabis industry, because cannabis has been commonly associated with various other narcotics, violence and criminal activities, there is a risk that such business might attract negative publicity. There is also a risk that the actions of other companies, service providers and customers in the cannabis industry may negatively affect the reputation of the industry as a whole and thereby negatively impact our reputation or the reputation of our portfolio companies.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and our portfolio companies’ activities and the cannabis industry in general, whether true or not.</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our investments.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cannabis industry is subject to the risks inherent in an agricultural business, including the risk of crop failure.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growing of cannabis is an agricultural process. As such, a portfolio company with operations in the cannabis industry is subject to the risks inherent in the agricultural business, including risks of crop failure presented by weather, insects, plant diseases and similar agricultural risks.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portfolio company, which could have an adverse effect on our business, financial condition and results of operations.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cannabis industry is subject to transportation disruptions, including those related to an agricultural product.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a business revolving mainly around the growth of an agricultural product, the ability to obtain speedy, cost-effective and efficient transport services will be essential to the prolonged operations of a portfolio company’s business. Should such transportation become unavailable for prolonged periods of time, it could have a material adverse effect on the portfolio company’s business, financial condition and results of operations, which could also have an adverse effect on our business, financial condition and results of operations.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Due to the nature of a portfolio company’s products, security of the product during transportation to and from its facilities may be important. A breach of security during transport or delivery could have a material adverse effect on a portfolio company’s business, financial condition and results of operations, which could also have an adverse effect on our business, financial condition and results of operations. Any breach of the security measures during transport or delivery, including any failure to comply with recommendations or requirements of regulatory authorities, could also have an impact on the portfolio company’s ability to continue operating under its license or the prospect of renewing its licenses.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Many cannabis businesses are subject to significant environmental regulations and risks.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portfolio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Many cannabis businesses are dependent on key personnel with sufficient experience in the cannabis industry.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are a limited number of management teams in the cannabis industry that are familiar with U.S. securities laws.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There are a limited number of management teams in the cannabis industry that have U.S. public company experience. As a result, management of a portfolio company,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It may be difficult to continuously maintain and retain a competitive talent pool with public company standards.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we grow, our Adviser may need to hire additional human resources to continue to develop our business.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Without adequate personnel and expertise, the growth of our business may suffer. There can be no assurance that our Adviser will be able to identify, attract, hire and retain qualified personnel and expertise in the future, and any failure to do so could have a material adverse effect on our business, financial condition or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portfolio company may be dependent on skilled labor and suppliers.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ability of a portfolio company to compete and grow will be dependent on it having access, at a reasonable cost and in a timely manner, to skilled labor, equipment, parts and components. No assurances can be given that a portfolio company will be successful in maintaining its required supply of skilled labor, equipment, parts and components. Qualified individuals are in high demand, and the portfolio company may incur significant costs to attract and retain them. It is also possible that the final costs of the major equipment and materials, including packaging materials, contemplated by the portfolio company’s capital expenditure program may be significantly greater than anticipated by the portfolio company’s management, and may be greater than funds available to the portfolio company, in which circumstance the portfolio company may curtail, or extend the time frames for completing, its capital expenditure plans. This could have a material adverse effect on the portfolio company’s business, financial condition and results of operations, which could also have an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Fraudulent or illegal activity by employees, contractors and consultants may adversely affect our portfolio companies’ business, financial condition or results of operations.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 portfolio company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portfolio company to identify and deter misconduct by its employees and other third-parties, and the precautions taken by the portfolio company to detect and prevent this activity may not be effective in controlling unknown or unmanaged risks or losses or in protecting the portfolio company from governmental investigations or other actions or lawsuits stemming from a failure to be in compliance with such laws or regulations. If any such actions are instituted against the portfolio company, and it is not successful in defending itself or asserting its rights, those actions could have a significant impact on the business of the portfolio company, including the imposition of civil, criminal and administrative penalties, damages, monetary fines, contractual damages, reputational harm, diminished profits and future earnings, and curtailment of the operations of the portfolio company, any of which could have a material adverse effect on the portfolio company’s business, financial condition and results of operations, as well as our business, financial condition and results of operations.</w:t>
      </w:r>
    </w:p>
    <w:p>
      <w:pPr>
        <w:spacing w:after="0" w:line="1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portfolio company may be reliant on key inputs and may not be able to realize its cannabis production or capacity targets. The price of production of cannabis will also vary based on a number of factors outside of our portfolio companies’ control.</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 portfolio company’s ability to produce and process cannabis, and the price of production, may be affected by a number of factors, including available space, raw materials, plant design errors, non-performance by third-party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portfolio company. Some of these inputs may only be available from a single supplier or a limited group of suppliers, including access to the electricity grid. If a sole source supplier was to go out of business, the portfolio company might be unable to find a replacement for such source in a timely manner or at all. If a sole source supplier were to be acquired by a competitor, that competitor may elect not to sell to the portfolio company in the future. Any inability to secure required supplies and services or to do so on appropriate terms could have a materially adverse impact on the business, financial condition, results of operations and prospects of such businesses, as well as an adverse impact on our business, financial condition and results of operations.</w:t>
      </w:r>
    </w:p>
    <w:p>
      <w:pPr>
        <w:spacing w:after="0" w:line="12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portfolio company may be vulnerable to rising energy costs.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Cannabis growing operations consume considerable energy, which makes a portfolio company vulnerable to rising energy costs and/or the availability of stable energy sources. Accordingly, rising or volatile energy costs or the inability to access stable energy sources may have a material adverse effect on the portfolio company’s business, financial condition and results of operations, which could also adversely affect our business,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may be a lack of access to U.S. bankruptcy protections for portfolio companies.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Because cannabis is illegal under U.S. federal law, many courts have denied cannabis businesses bankruptcy protections, thus making it very difficult for lenders to recoup their investments in the cannabis industry in the event of a bankruptcy. If a portfolio company were to experience a bankruptcy, there is no guarantee that U.S. federal bankruptcy protections would be available, which could have a material adverse effect on the financial condition and prospects of such business and on our rights as lenders and security 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Shares of closed-end investment companies, including BDCs, may trade at a discount to their NAV.</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Shares of closed-end investment companies, including BDCs, may trade at a discount to their NAV. This characteristic of closed-end investment companies and BDCs is separate and distinct from the risk that our NAV per share may decline. We cannot predict whether our common stock will trade at, above or below NAV.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in our common stock may involve an above-average degree of risk.</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investments we intend to make in accordance with our investment objective may result in a higher amount of risk than alternative investment options and a higher risk of volatility or loss of principal. Our investments in portfolio companies involve higher levels of risk, and therefore, an investment in our shares may not be suitable for someone with lower risk tolerance.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common stock may fluctuate significantly.</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111" w:lineRule="exact"/>
        <w:rPr>
          <w:sz w:val="20"/>
          <w:szCs w:val="20"/>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any exemptive relief that may be required by us from the SEC, if any;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regulatory policies, accounting pronouncements or tax guidelines, particularly with respect to RICs and BDCs;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our BDC or RIC status;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earnings or variations in operating results or distributions that exceed our net investment income;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expenses associated with defense of litigation and responding to SEC inquiries;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accounting guidelines governing valuation of our investments;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value of our portfolio of investments and any derivative instruments, including as a result of general economic conditions, interest rate shifts and changes in the performance of our portfolio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in investment income or net investment income or any increase in losses from levels expected by investors or securities analysts;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common stock by the Adviser or CALP;</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departure of our Adviser’s key personnel;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trends and other external factors.</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If our common stock trades below its NAV,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of substantial amounts of our common stock in the public market, including by the Adviser or CALP, may have an adverse effect on the market price of our common stock.</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Adviser was the seed investor of the Company and provided initial funding to the Company by purchasing approximately 4.5 million shares of our common stock in our initial public offering. The Adviser provided this “seed capital” to the Company for the purpose of facilitating the launch and initial operation of the Company, as opposed to for long term investment purposes. In addition, CALP purchased approximately 16.6 million shares of our common stock in connection with the Loan Portfolio Acquisition with the intention of distributing such shares of our common stock to CALP’s members within six months of the Loan Portfolio Acquisition. The Adviser and CALP do not expect to hold our common stock indefinitely, and may sell our common stock, or distribute our common stock to their members (who may, in turn, sell our common stock subject to certain holding period requirements), at a future point in time. In order for the Adviser’s or CALP’s sales of the shares of the Company not to be deemed to have been made “on the basis of” material nonpublic information, such sales may be made pursuant to a pre-approved trading plan that complies with Rule 10b5-1 under the Exchange Act and that may obligate the Adviser or CALP to make recurring sales of our common stock on a periodic basis. Sales of substantial amounts of our common stock, including by the Adviser, CALP, their members or other large stockholders,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Adviser and CALP have significant influence over us, including having an approximately 80% vote for matters that require the approval of stockholders, which could limit your ability to influence the outcome of matters submitted to stockholders for a vote.</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Adviser and CALP collectively hold approximately 80% of our voting stock and have the ability to exercise substantial control over all corporate actions requiring stockholder approval, including the election and removal of directors, certain amendments of our charter, our ability to issue our common stock at a price below NAV per share, and the approval of any merger or other extraordinary corporate action.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provisions of our charter and bylaws and actions of our Board of Directors could deter takeover attempts and have an adverse impact on the value of shares of our common stock.</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charter, as well as certain statutory and regulatory requirements, contain certain provisions that may have the effect of discouraging a third-party from attempting to acquire us. Our Board of Directors is divided into three classes of directors serving staggered three-year terms. Our Board of Directors may, without stockholder action, authorize the issuance of shares in one or more classes or series, including shares of preferred stock; and our Board of Directors may, without stockholder action, amend our charter to increase the number of shares of our common stock, of any class or series, that we will have authority to issue. These anti-takeover provisions may inhibit a change of control in circumstances that could give the holders of shares of our common stock the opportunity to realize a premium over the value of shares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common stockholders will bear the expenses associated with our borrowings, and the holders of our debt securities will have certain rights senior to our common stockholders.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in the future we issue debt securities, all of the costs of offering and servicing such debt, including interest thereon, will be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Stockholders may incur dilution if we issue securities to subscribe to, convert to or purchase shares of our common stock.</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1940 Act prohibits us from selling shares of our common stock at a price below the current NAV per share of such stock with certain exceptions. One such exception is prior stockholder approval of issuances of securities to subscribe to, convert to or purchase shares of our common stock even if the subscription, conversion or purchase price per share of our common stock is below the NAV per share of our common stock at the time of any such subscription, conversion or purchase. Any decision to sell securities to subscribe to, convert to or purchase shares of our common stock will be subject to the determination by our Board of Directors that such issuance is in our and our stockholders’ best interests. If we issue securities to subscribe to, convert to or purchase shares of common stock, the exercise or conversion of such securities would increase the number of outstanding shares of our common stock. Any such exercise or conversion would be dilutive on the voting power of existing stockholders, and could be dilutive with regard to distributions and our NAV, and other economic aspects of the common stock.</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Members of our management team and our board of directors and affiliated companies have been, and may from time to time be, involved in legal proceedings or governmental investigations unrelated to our business.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Members of our management team and our board of directors have been involved in a wide variety of businesses. Such involvement has, and may lead to, media coverage and public awareness. As a result of such involvement, members of our management team and our board of directors and affiliated companies have been, and may from time to time be, involved in legal proceedings or governmental investigations unrelated to our business. Any such proceedings or investigations may be detrimental to our reputation and could negatively affect our ability to operate our business and may have an adverse effect on the price of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the Loan Portfolio Acquisition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of shares of our common stock after the completion of the Loan Portfolio Acquisition may cause the market price of our common stock to decline.</w:t>
      </w:r>
    </w:p>
    <w:p>
      <w:pPr>
        <w:spacing w:after="0" w:line="154" w:lineRule="exact"/>
        <w:rPr>
          <w:sz w:val="20"/>
          <w:szCs w:val="20"/>
          <w:color w:val="auto"/>
        </w:rPr>
      </w:pPr>
    </w:p>
    <w:p>
      <w:pPr>
        <w:jc w:val="both"/>
        <w:ind w:firstLine="31"/>
        <w:spacing w:after="0" w:line="260" w:lineRule="auto"/>
        <w:rPr>
          <w:sz w:val="20"/>
          <w:szCs w:val="20"/>
          <w:color w:val="auto"/>
        </w:rPr>
      </w:pPr>
      <w:r>
        <w:rPr>
          <w:rFonts w:ascii="Times New Roman" w:cs="Times New Roman" w:eastAsia="Times New Roman" w:hAnsi="Times New Roman"/>
          <w:sz w:val="12"/>
          <w:szCs w:val="12"/>
          <w:color w:val="auto"/>
        </w:rPr>
        <w:t>CALP purchased approximately 16.6 million shares of our common stock in connection with the Loan Portfolio Acquisition with the intention of distributing such shares of our common stock to CALP’s members within six months of the Loan Portfolio Acquisition. CALP does not expect to hold our common stock indefinitely, and may sell our common stock, or distribute our common stock to its members (who may, in turn, sell our common stock subject to certain holding period requirements), at a future point in time. Sales of substantial amounts of our common stock, including by CALP, its members or other large stockholders,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realize the benefits anticipated by the Loan Portfolio Acquisition, including estimated cost savings, or it may take longer than anticipated to achieve such benefits.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realization of certain benefits anticipated as a result of the Loan Portfolio Acquisition will depend in part on the integration of the Loan Portfolio with our investment portfolio. There can be no assurance that the Loan Portfolio can be integrated successfully into our operations in a timely fashion or at all. The dedication of management resources to such integration may detract attention from our day-to-day business and there can be no assurance that there will not be substantial costs associated with the transition process or there will not be other material adverse effects as a result of these integration efforts. Such effects, including, but not limited to, incurring unexpected costs or delays in connection with such integration and failure of the Loan Portfolio to perform as expected, could have a material adverse effect on our financial results.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also expect to achieve certain cost savings from the Loan Portfolio Acquisition. It is possible that the estimates of the potential cost savings could ultimately be incorrect. The cost savings estimates also assume we will be able to integrate the Loan Portfolio with our investment portfolio in a manner that permits those cost savings to be fully realized. If the estimates turn out to be incorrect or if we are not able to successfully combine the Loan Portfolio with our investment portfolio, the anticipated cost savings may not be fully realized or realized at all or may take longer to realize than expected.</w:t>
      </w:r>
    </w:p>
    <w:p>
      <w:pPr>
        <w:spacing w:after="0" w:line="11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Cybersecurity Program Overview</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As part of our overall risk management processes and procedures, we have instituted a cybersecurity program designed to identify, assess, and manage material risks from cybersecurity threats. The cyber risk management program involves risk assessments, implementation of security measures, and ongoing monitoring of systems and networks, including networks on which we rely. Through our cybersecurity program, the current threat landscape is actively monitored in an effort to identify material risks arising from new and evolving cybersecurity threats. We may engage external experts, including cybersecurity assessors, consultants, and auditors to evaluate cybersecurity measures and risk management processes, as needed. We also depend on and engage various third parties, including suppliers, vendors, and service providers in connection with our operations. Our risk management, legal, and compliance personnel identify and oversee material risks from cybersecurity threats associated with our use of such entities.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Board Oversight of Cybersecurity Risks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Board provides strategic oversight on cybersecurity matters, including material risks associated with cybersecurity threats. Our Board receives periodic updates from our Chief Compliance Officer regarding the overall state of our cybersecurity program, information on the current threat landscape, and material risks from cybersecurity threats and cybersecurity incidents.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Management’s Role in Cybersecurity Risk Management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management team, including our Chief Compliance Officer, is responsible for assessing and managing material risks from cybersecurity threats. Members of our management team possess relevant expertise in various disciplines that are key to effectively managing such risks, such as operations management, information technology management, oversight of third-party service providers and managing relationships with outside cybersecurity experts. Our management team is informed about and monitors the prevention, detection, mitigation, and remediation of cybersecurity incidents, including through the receipt of notifications from third-party service providers and reliance on communications with our risk management, legal, and/or compliance personnel.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Assessment of Cybersecurity Risk</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potential impact of risks from cybersecurity threats are assessed on an ongoing basis, and how such risks could materially affect our business strategy, operational results, and financial condition are regularly evaluated. During the reporting period, we have not identified any risks from cybersecurity threats, including as a result of previous cybersecurity incidents, that we believe have materially affected, or are reasonably likely to materially affect, us, including our business strategy, operational results, and financial condition.</w:t>
      </w:r>
    </w:p>
    <w:p>
      <w:pPr>
        <w:spacing w:after="0" w:line="11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do not own any real estate or other physical properties materially important to our operations. We utilize office space that is leased by our affiliates for our principal executive office at 600 Madison Avenue, Suite 1800, New York, NY 10022. We believe that our office facilities are suitable and adequate for our business as presently conducted.</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r>
        <w:rPr>
          <w:rFonts w:ascii="Times New Roman" w:cs="Times New Roman" w:eastAsia="Times New Roman" w:hAnsi="Times New Roman"/>
          <w:sz w:val="12"/>
          <w:szCs w:val="12"/>
          <w:b w:val="1"/>
          <w:bCs w:val="1"/>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common stock began trading on the Nasdaq Global Market on February 4, 2022 in connection with our IPO of shares of our common stock. Since October 2, 2024, our common stock trades on the Nasdaq Global Market under the symbol “LIEN.”</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0" w:name="page81"/>
    <w:bookmarkEnd w:id="80"/>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On March 28, 2025, the last reported closing sales price of our common stock on the Nasdaq Global Market was $11.44 per share, which represented a discount of approximately 13.3% to our net asset value per share of $13.20 as of December 31, 2024.</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High Sales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Low Sales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rPr>
              <w:t>Price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9"/>
              </w:rPr>
              <w:t>Premium</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Premium</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7"/>
              </w:rPr>
              <w:t>(Discount)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(Discount) to</w:t>
            </w:r>
          </w:p>
        </w:tc>
        <w:tc>
          <w:tcPr>
            <w:tcW w:w="18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Cash</w:t>
            </w:r>
          </w:p>
        </w:tc>
      </w:tr>
      <w:tr>
        <w:trPr>
          <w:trHeight w:val="157"/>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Net Asset</w:t>
            </w: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Price Range</w:t>
            </w:r>
          </w:p>
        </w:tc>
        <w:tc>
          <w:tcPr>
            <w:tcW w:w="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7"/>
              </w:rPr>
              <w:t>to Net Asset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Net Asset</w:t>
            </w:r>
          </w:p>
        </w:tc>
        <w:tc>
          <w:tcPr>
            <w:tcW w:w="1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Dividend</w:t>
            </w:r>
          </w:p>
        </w:tc>
      </w:tr>
      <w:tr>
        <w:trPr>
          <w:trHeight w:val="144"/>
        </w:trPr>
        <w:tc>
          <w:tcPr>
            <w:tcW w:w="316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Class and Period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600"/>
              <w:spacing w:after="0" w:line="144" w:lineRule="exact"/>
              <w:rPr>
                <w:sz w:val="20"/>
                <w:szCs w:val="20"/>
                <w:color w:val="auto"/>
              </w:rPr>
            </w:pPr>
            <w:r>
              <w:rPr>
                <w:rFonts w:ascii="Times New Roman" w:cs="Times New Roman" w:eastAsia="Times New Roman" w:hAnsi="Times New Roman"/>
                <w:sz w:val="10"/>
                <w:szCs w:val="10"/>
                <w:b w:val="1"/>
                <w:bCs w:val="1"/>
                <w:color w:val="auto"/>
              </w:rPr>
              <w:t>Value</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2"/>
                <w:szCs w:val="12"/>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High</w:t>
            </w:r>
          </w:p>
        </w:tc>
        <w:tc>
          <w:tcPr>
            <w:tcW w:w="320" w:type="dxa"/>
            <w:vAlign w:val="bottom"/>
          </w:tcPr>
          <w:p>
            <w:pPr>
              <w:spacing w:after="0"/>
              <w:rPr>
                <w:sz w:val="12"/>
                <w:szCs w:val="12"/>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Low</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01"/>
              <w:spacing w:after="0" w:line="144" w:lineRule="exact"/>
              <w:rPr>
                <w:sz w:val="20"/>
                <w:szCs w:val="20"/>
                <w:color w:val="auto"/>
              </w:rPr>
            </w:pPr>
            <w:r>
              <w:rPr>
                <w:rFonts w:ascii="Times New Roman" w:cs="Times New Roman" w:eastAsia="Times New Roman" w:hAnsi="Times New Roman"/>
                <w:sz w:val="10"/>
                <w:szCs w:val="10"/>
                <w:b w:val="1"/>
                <w:bCs w:val="1"/>
                <w:color w:val="auto"/>
              </w:rPr>
              <w:t>Value</w:t>
            </w:r>
            <w:r>
              <w:rPr>
                <w:rFonts w:ascii="Times New Roman" w:cs="Times New Roman" w:eastAsia="Times New Roman" w:hAnsi="Times New Roman"/>
                <w:sz w:val="16"/>
                <w:szCs w:val="16"/>
                <w:b w:val="1"/>
                <w:bCs w:val="1"/>
                <w:color w:val="auto"/>
                <w:vertAlign w:val="superscript"/>
              </w:rPr>
              <w:t>(2)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0"/>
                <w:szCs w:val="10"/>
                <w:b w:val="1"/>
                <w:bCs w:val="1"/>
                <w:color w:val="auto"/>
              </w:rPr>
              <w:t>Value</w:t>
            </w:r>
            <w:r>
              <w:rPr>
                <w:rFonts w:ascii="Times New Roman" w:cs="Times New Roman" w:eastAsia="Times New Roman" w:hAnsi="Times New Roman"/>
                <w:sz w:val="16"/>
                <w:szCs w:val="16"/>
                <w:b w:val="1"/>
                <w:bCs w:val="1"/>
                <w:color w:val="auto"/>
                <w:vertAlign w:val="superscript"/>
              </w:rPr>
              <w:t>(2)</w:t>
            </w:r>
          </w:p>
        </w:tc>
        <w:tc>
          <w:tcPr>
            <w:tcW w:w="18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0"/>
                <w:szCs w:val="10"/>
                <w:b w:val="1"/>
                <w:bCs w:val="1"/>
                <w:color w:val="auto"/>
              </w:rPr>
              <w:t>Per Share</w:t>
            </w:r>
            <w:r>
              <w:rPr>
                <w:rFonts w:ascii="Times New Roman" w:cs="Times New Roman" w:eastAsia="Times New Roman" w:hAnsi="Times New Roman"/>
                <w:sz w:val="16"/>
                <w:szCs w:val="16"/>
                <w:b w:val="1"/>
                <w:bCs w:val="1"/>
                <w:color w:val="auto"/>
                <w:vertAlign w:val="superscript"/>
              </w:rPr>
              <w:t>(3)</w:t>
            </w:r>
          </w:p>
        </w:tc>
      </w:tr>
      <w:tr>
        <w:trPr>
          <w:trHeight w:val="142"/>
        </w:trPr>
        <w:tc>
          <w:tcPr>
            <w:tcW w:w="3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First Quarter (Through March 28, 2025)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12.56</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10.92</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0"/>
                <w:szCs w:val="10"/>
                <w:color w:val="auto"/>
              </w:rPr>
              <w:t>0.34</w:t>
            </w:r>
            <w:r>
              <w:rPr>
                <w:rFonts w:ascii="Times New Roman" w:cs="Times New Roman" w:eastAsia="Times New Roman" w:hAnsi="Times New Roman"/>
                <w:sz w:val="16"/>
                <w:szCs w:val="16"/>
                <w:color w:val="auto"/>
                <w:vertAlign w:val="superscript"/>
              </w:rPr>
              <w:t>(6)</w:t>
            </w:r>
          </w:p>
        </w:tc>
      </w:tr>
      <w:tr>
        <w:trPr>
          <w:trHeight w:val="144"/>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Fourth Quarter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13.20</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13.24</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10.74</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-18.7%</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0.34</w:t>
            </w:r>
          </w:p>
        </w:tc>
      </w:tr>
      <w:tr>
        <w:trPr>
          <w:trHeight w:val="144"/>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Third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13.28</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12.00</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10.64</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-19.9%</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0.25</w:t>
            </w: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Second Quarter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13.56</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12.38</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9.61</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-29.1%</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0.25</w:t>
            </w:r>
          </w:p>
        </w:tc>
      </w:tr>
      <w:tr>
        <w:trPr>
          <w:trHeight w:val="144"/>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First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13.60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10.28</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7.65</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7"/>
              </w:rPr>
              <w:t>-24.4%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-43.8%</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0.25</w:t>
            </w: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Fourth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13.77</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9.81</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8.32</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7"/>
              </w:rPr>
              <w:t>-28.8%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-39.6%</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0"/>
                <w:szCs w:val="10"/>
                <w:color w:val="auto"/>
              </w:rPr>
              <w:t>0.70</w:t>
            </w:r>
            <w:r>
              <w:rPr>
                <w:rFonts w:ascii="Times New Roman" w:cs="Times New Roman" w:eastAsia="Times New Roman" w:hAnsi="Times New Roman"/>
                <w:sz w:val="16"/>
                <w:szCs w:val="16"/>
                <w:color w:val="auto"/>
                <w:vertAlign w:val="superscript"/>
              </w:rPr>
              <w:t>(7)</w:t>
            </w: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Third Quarter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14.06</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10.37</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7.65</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7"/>
              </w:rPr>
              <w:t>-26.3%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-45.6%</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0"/>
                <w:szCs w:val="10"/>
                <w:color w:val="auto"/>
              </w:rPr>
              <w:t>0.63</w:t>
            </w:r>
            <w:r>
              <w:rPr>
                <w:rFonts w:ascii="Times New Roman" w:cs="Times New Roman" w:eastAsia="Times New Roman" w:hAnsi="Times New Roman"/>
                <w:sz w:val="16"/>
                <w:szCs w:val="16"/>
                <w:color w:val="auto"/>
                <w:vertAlign w:val="superscript"/>
              </w:rPr>
              <w:t>(7)</w:t>
            </w:r>
          </w:p>
        </w:tc>
      </w:tr>
      <w:tr>
        <w:trPr>
          <w:trHeight w:val="144"/>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Second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14.49</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9.19</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7.82</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7"/>
              </w:rPr>
              <w:t>-36.3%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-45.8%</w:t>
            </w:r>
          </w:p>
        </w:tc>
        <w:tc>
          <w:tcPr>
            <w:tcW w:w="18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First Quarter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14.29</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9.98</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8.25</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7"/>
              </w:rPr>
              <w:t>-30.2%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-42.3%</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60" w:type="dxa"/>
            <w:vAlign w:val="bottom"/>
          </w:tcPr>
          <w:p>
            <w:pPr>
              <w:ind w:left="100"/>
              <w:spacing w:after="0" w:line="144" w:lineRule="exact"/>
              <w:rPr>
                <w:sz w:val="20"/>
                <w:szCs w:val="20"/>
                <w:color w:val="auto"/>
              </w:rPr>
            </w:pPr>
            <w:r>
              <w:rPr>
                <w:rFonts w:ascii="Times New Roman" w:cs="Times New Roman" w:eastAsia="Times New Roman" w:hAnsi="Times New Roman"/>
                <w:sz w:val="10"/>
                <w:szCs w:val="10"/>
                <w:b w:val="1"/>
                <w:bCs w:val="1"/>
                <w:color w:val="auto"/>
              </w:rPr>
              <w:t>Year Ended December 31, 2022</w:t>
            </w:r>
            <w:r>
              <w:rPr>
                <w:rFonts w:ascii="Times New Roman" w:cs="Times New Roman" w:eastAsia="Times New Roman" w:hAnsi="Times New Roman"/>
                <w:sz w:val="16"/>
                <w:szCs w:val="16"/>
                <w:b w:val="1"/>
                <w:bCs w:val="1"/>
                <w:color w:val="auto"/>
                <w:vertAlign w:val="superscript"/>
              </w:rPr>
              <w:t>(4)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Fourth Quarter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13.91</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10.55</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9.57</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7"/>
              </w:rPr>
              <w:t>-24.2%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-31.2%</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Third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13.73</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10.74</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9.00</w:t>
            </w:r>
          </w:p>
        </w:tc>
        <w:tc>
          <w:tcPr>
            <w:tcW w:w="8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7"/>
              </w:rPr>
              <w:t>-21.8%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-34.5%</w:t>
            </w:r>
          </w:p>
        </w:tc>
        <w:tc>
          <w:tcPr>
            <w:tcW w:w="18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Second Quarter</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13.64</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13.50</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7.80</w:t>
            </w: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-42.8%</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63"/>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First Quarter</w:t>
            </w:r>
            <w:r>
              <w:rPr>
                <w:rFonts w:ascii="Times New Roman" w:cs="Times New Roman" w:eastAsia="Times New Roman" w:hAnsi="Times New Roman"/>
                <w:sz w:val="19"/>
                <w:szCs w:val="19"/>
                <w:color w:val="auto"/>
                <w:vertAlign w:val="superscript"/>
              </w:rPr>
              <w:t>(5)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13.61</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14.41</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12.57</w:t>
            </w:r>
          </w:p>
        </w:tc>
        <w:tc>
          <w:tcPr>
            <w:tcW w:w="860" w:type="dxa"/>
            <w:vAlign w:val="bottom"/>
          </w:tcPr>
          <w:p>
            <w:pPr>
              <w:spacing w:after="0"/>
              <w:rPr>
                <w:sz w:val="22"/>
                <w:szCs w:val="2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c>
          <w:tcPr>
            <w:tcW w:w="18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bl>
    <w:p>
      <w:pPr>
        <w:spacing w:after="0" w:line="14" w:lineRule="exact"/>
        <w:rPr>
          <w:sz w:val="20"/>
          <w:szCs w:val="20"/>
          <w:color w:val="auto"/>
        </w:rPr>
      </w:pPr>
    </w:p>
    <w:p>
      <w:pPr>
        <w:ind w:left="328" w:right="80" w:hanging="328"/>
        <w:spacing w:after="0" w:line="259" w:lineRule="auto"/>
        <w:tabs>
          <w:tab w:leader="none" w:pos="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1"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as the respective high or low closing sales price less net asset value, divided by net asset value (in each case, as of the end of the applicable quarter).</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dividend or distribution declared in the relevant quarter.</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November 8, 2022, our Board of Directors approved a change to our fiscal year end from March 31 to December 31.</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our common stock began trading on the Nasdaq Global Market on February 4, 2022. Since October 2, 2024, our common stock trades on the Nasdaq Global Market under the symbol “LIEN.”</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is payable on April 11, 2025 to stockholders of record on March 28, 2025.</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a quarterly dividend and a special dividend.</w:t>
      </w:r>
    </w:p>
    <w:p>
      <w:pPr>
        <w:spacing w:after="0" w:line="6" w:lineRule="exact"/>
        <w:rPr>
          <w:sz w:val="20"/>
          <w:szCs w:val="20"/>
          <w:color w:val="auto"/>
        </w:rPr>
      </w:pPr>
    </w:p>
    <w:p>
      <w:pPr>
        <w:ind w:left="328" w:hanging="328"/>
        <w:spacing w:after="0"/>
        <w:tabs>
          <w:tab w:leader="none" w:pos="3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determined at time of filing.</w:t>
      </w:r>
    </w:p>
    <w:p>
      <w:pPr>
        <w:spacing w:after="0" w:line="13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March 28, 2025, there were approximately 9 holders of record of our common stock, which does not include stockholders for whom shares are held in “nominee” or “street name.”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Distributions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To the extent that we have income available, we intend to make quarterly distributions to our stockholders beginning after our first full year of operations. The amount of our distributions, if any, will be determined by our Board of Directors.</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2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15"/>
        </w:trPr>
        <w:tc>
          <w:tcPr>
            <w:tcW w:w="21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2"/>
        </w:trPr>
        <w:tc>
          <w:tcPr>
            <w:tcW w:w="660" w:type="dxa"/>
            <w:vAlign w:val="bottom"/>
            <w:tcBorders>
              <w:top w:val="single" w:sz="8" w:color="0000EE"/>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CHICAGO ATLANTIC BDC, INC.</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1"/>
        </w:trPr>
        <w:tc>
          <w:tcPr>
            <w:tcW w:w="66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The following table summarizes distributions declared and/or paid by the Company from inception through December 31, 2024:</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3"/>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Dividends</w:t>
            </w:r>
          </w:p>
        </w:tc>
      </w:tr>
      <w:tr>
        <w:trPr>
          <w:trHeight w:val="159"/>
        </w:trPr>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Declaration Date</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Record Date</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Payment Date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Per Share Amount</w:t>
            </w:r>
          </w:p>
        </w:tc>
        <w:tc>
          <w:tcPr>
            <w:tcW w:w="180" w:type="dxa"/>
            <w:vAlign w:val="bottom"/>
          </w:tcPr>
          <w:p>
            <w:pPr>
              <w:spacing w:after="0"/>
              <w:rPr>
                <w:sz w:val="13"/>
                <w:szCs w:val="13"/>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Paid</w:t>
            </w:r>
          </w:p>
        </w:tc>
      </w:tr>
      <w:tr>
        <w:trPr>
          <w:trHeight w:val="142"/>
        </w:trPr>
        <w:tc>
          <w:tcPr>
            <w:tcW w:w="6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ind w:right="620"/>
              <w:spacing w:after="0"/>
              <w:rPr>
                <w:sz w:val="20"/>
                <w:szCs w:val="20"/>
                <w:color w:val="auto"/>
              </w:rPr>
            </w:pPr>
            <w:r>
              <w:rPr>
                <w:rFonts w:ascii="Times New Roman" w:cs="Times New Roman" w:eastAsia="Times New Roman" w:hAnsi="Times New Roman"/>
                <w:sz w:val="12"/>
                <w:szCs w:val="12"/>
                <w:color w:val="auto"/>
              </w:rPr>
              <w:t>August 10, 2023</w:t>
            </w:r>
          </w:p>
        </w:tc>
        <w:tc>
          <w:tcPr>
            <w:tcW w:w="120" w:type="dxa"/>
            <w:vAlign w:val="bottom"/>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15, 2023</w:t>
            </w:r>
          </w:p>
        </w:tc>
        <w:tc>
          <w:tcPr>
            <w:tcW w:w="120" w:type="dxa"/>
            <w:vAlign w:val="bottom"/>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29, 2023</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w w:val="85"/>
              </w:rPr>
              <w:t>0.23</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w w:val="95"/>
              </w:rPr>
              <w:t>1,429,375</w:t>
            </w:r>
          </w:p>
        </w:tc>
        <w:tc>
          <w:tcPr>
            <w:tcW w:w="120" w:type="dxa"/>
            <w:vAlign w:val="bottom"/>
            <w:shd w:val="clear" w:color="auto" w:fill="CCEEFF"/>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1480" w:type="dxa"/>
            <w:vAlign w:val="bottom"/>
          </w:tcPr>
          <w:p>
            <w:pPr>
              <w:jc w:val="center"/>
              <w:ind w:right="620"/>
              <w:spacing w:after="0"/>
              <w:rPr>
                <w:sz w:val="20"/>
                <w:szCs w:val="20"/>
                <w:color w:val="auto"/>
              </w:rPr>
            </w:pPr>
            <w:r>
              <w:rPr>
                <w:rFonts w:ascii="Times New Roman" w:cs="Times New Roman" w:eastAsia="Times New Roman" w:hAnsi="Times New Roman"/>
                <w:sz w:val="12"/>
                <w:szCs w:val="12"/>
                <w:color w:val="auto"/>
              </w:rPr>
              <w:t>August 10, 2023</w:t>
            </w:r>
          </w:p>
        </w:tc>
        <w:tc>
          <w:tcPr>
            <w:tcW w:w="1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Special</w:t>
            </w:r>
          </w:p>
        </w:tc>
        <w:tc>
          <w:tcPr>
            <w:tcW w:w="1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September 15, 2023</w:t>
            </w:r>
          </w:p>
        </w:tc>
        <w:tc>
          <w:tcPr>
            <w:tcW w:w="12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September 29, 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0.40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2,485,869</w:t>
            </w:r>
          </w:p>
        </w:tc>
      </w:tr>
      <w:tr>
        <w:trPr>
          <w:trHeight w:val="144"/>
        </w:trPr>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November 9, 2023</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20, 2023</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December 29,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0.25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1,553,676</w:t>
            </w:r>
          </w:p>
        </w:tc>
      </w:tr>
      <w:tr>
        <w:trPr>
          <w:trHeight w:val="144"/>
        </w:trPr>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November 9, 2023</w:t>
            </w:r>
          </w:p>
        </w:tc>
        <w:tc>
          <w:tcPr>
            <w:tcW w:w="1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Special</w:t>
            </w:r>
          </w:p>
        </w:tc>
        <w:tc>
          <w:tcPr>
            <w:tcW w:w="1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20, 2023</w:t>
            </w:r>
          </w:p>
        </w:tc>
        <w:tc>
          <w:tcPr>
            <w:tcW w:w="12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December 29, 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0.45</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2,796,617</w:t>
            </w:r>
          </w:p>
        </w:tc>
      </w:tr>
      <w:tr>
        <w:trPr>
          <w:trHeight w:val="144"/>
        </w:trPr>
        <w:tc>
          <w:tcPr>
            <w:tcW w:w="6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ind w:right="600"/>
              <w:spacing w:after="0"/>
              <w:rPr>
                <w:sz w:val="20"/>
                <w:szCs w:val="20"/>
                <w:color w:val="auto"/>
              </w:rPr>
            </w:pPr>
            <w:r>
              <w:rPr>
                <w:rFonts w:ascii="Times New Roman" w:cs="Times New Roman" w:eastAsia="Times New Roman" w:hAnsi="Times New Roman"/>
                <w:sz w:val="12"/>
                <w:szCs w:val="12"/>
                <w:color w:val="auto"/>
                <w:w w:val="99"/>
              </w:rPr>
              <w:t>March 8, 2024</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20, 2024</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28, 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0.25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1,553,736</w:t>
            </w:r>
          </w:p>
        </w:tc>
      </w:tr>
      <w:tr>
        <w:trPr>
          <w:trHeight w:val="144"/>
        </w:trPr>
        <w:tc>
          <w:tcPr>
            <w:tcW w:w="660" w:type="dxa"/>
            <w:vAlign w:val="bottom"/>
          </w:tcPr>
          <w:p>
            <w:pPr>
              <w:spacing w:after="0"/>
              <w:rPr>
                <w:sz w:val="12"/>
                <w:szCs w:val="12"/>
                <w:color w:val="auto"/>
              </w:rPr>
            </w:pPr>
          </w:p>
        </w:tc>
        <w:tc>
          <w:tcPr>
            <w:tcW w:w="1480" w:type="dxa"/>
            <w:vAlign w:val="bottom"/>
          </w:tcPr>
          <w:p>
            <w:pPr>
              <w:jc w:val="center"/>
              <w:ind w:right="600"/>
              <w:spacing w:after="0"/>
              <w:rPr>
                <w:sz w:val="20"/>
                <w:szCs w:val="20"/>
                <w:color w:val="auto"/>
              </w:rPr>
            </w:pPr>
            <w:r>
              <w:rPr>
                <w:rFonts w:ascii="Times New Roman" w:cs="Times New Roman" w:eastAsia="Times New Roman" w:hAnsi="Times New Roman"/>
                <w:sz w:val="12"/>
                <w:szCs w:val="12"/>
                <w:color w:val="auto"/>
              </w:rPr>
              <w:t>May 9, 2024</w:t>
            </w:r>
          </w:p>
        </w:tc>
        <w:tc>
          <w:tcPr>
            <w:tcW w:w="1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June 20, 2024</w:t>
            </w:r>
          </w:p>
        </w:tc>
        <w:tc>
          <w:tcPr>
            <w:tcW w:w="12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June 28, 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0.25</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1,553,738</w:t>
            </w:r>
          </w:p>
        </w:tc>
      </w:tr>
      <w:tr>
        <w:trPr>
          <w:trHeight w:val="144"/>
        </w:trPr>
        <w:tc>
          <w:tcPr>
            <w:tcW w:w="6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ind w:right="600"/>
              <w:spacing w:after="0"/>
              <w:rPr>
                <w:sz w:val="20"/>
                <w:szCs w:val="20"/>
                <w:color w:val="auto"/>
              </w:rPr>
            </w:pPr>
            <w:r>
              <w:rPr>
                <w:rFonts w:ascii="Times New Roman" w:cs="Times New Roman" w:eastAsia="Times New Roman" w:hAnsi="Times New Roman"/>
                <w:sz w:val="12"/>
                <w:szCs w:val="12"/>
                <w:color w:val="auto"/>
              </w:rPr>
              <w:t>August 8, 2024</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19, 2024</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27, 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0.25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1,553,741</w:t>
            </w:r>
          </w:p>
        </w:tc>
      </w:tr>
      <w:tr>
        <w:trPr>
          <w:trHeight w:val="155"/>
        </w:trPr>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December 9, 2024</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19, 2024</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December 27, 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0.34</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7,758,925</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Reinvestment Plan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adopted an “opt out” dividend reinvestment plan (the “DRIP”)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year ended December 31, 2024, the Company issued the following shares of common stock under the DRIP: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Declaration Date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Record Date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Payment Date</w:t>
            </w:r>
          </w:p>
        </w:tc>
        <w:tc>
          <w:tcPr>
            <w:tcW w:w="2140" w:type="dxa"/>
            <w:vAlign w:val="bottom"/>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42"/>
        </w:trPr>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8, 2024</w:t>
            </w:r>
          </w:p>
        </w:tc>
        <w:tc>
          <w:tcPr>
            <w:tcW w:w="12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20, 2024</w:t>
            </w:r>
          </w:p>
        </w:tc>
        <w:tc>
          <w:tcPr>
            <w:tcW w:w="10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28, 2024</w:t>
            </w:r>
          </w:p>
        </w:tc>
        <w:tc>
          <w:tcPr>
            <w:tcW w:w="12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May 9, 2024</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Quarterly</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June 20, 2024</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June 28, 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August 8, 2024</w:t>
            </w:r>
          </w:p>
        </w:tc>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Quarterly</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September 19, 2024</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September 27, 2024</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5"/>
        </w:trPr>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December 9, 2024</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Quarterly</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December 19, 2024</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27, 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77"/>
        </w:trPr>
        <w:tc>
          <w:tcPr>
            <w:tcW w:w="69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During the year ended December 31, 2023, the Company issued the following shares of common stock under the DRIP:</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Declaration Date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Record Date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Payment Date</w:t>
            </w:r>
          </w:p>
        </w:tc>
        <w:tc>
          <w:tcPr>
            <w:tcW w:w="2140" w:type="dxa"/>
            <w:vAlign w:val="bottom"/>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42"/>
        </w:trPr>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August 10, 2023</w:t>
            </w:r>
          </w:p>
        </w:tc>
        <w:tc>
          <w:tcPr>
            <w:tcW w:w="12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15, 2023</w:t>
            </w:r>
          </w:p>
        </w:tc>
        <w:tc>
          <w:tcPr>
            <w:tcW w:w="10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29, 2023</w:t>
            </w:r>
          </w:p>
        </w:tc>
        <w:tc>
          <w:tcPr>
            <w:tcW w:w="12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August 10, 2023</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Special</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September 15, 2023</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September 29,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November 9, 2023</w:t>
            </w:r>
          </w:p>
        </w:tc>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Quarterly</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December 20, 2023</w:t>
            </w:r>
          </w:p>
        </w:tc>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29, 2023</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5"/>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November 9, 2023</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6"/>
              </w:rPr>
              <w:t>Special</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December 20, 2023</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29,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did not repurchase any of our equity securities during the fiscal years ended December 31, 2024 or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2024, we issued 73 shares of common stock for a total of approximately $812 under the DRIP. During the year ended December 31, 2023, we issued 269 shares of common stock for a total of approximately $2,318 under the DRIP. These issuances were not subject to the registration requirements of the Securities Act.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Performance Graph</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following stock performance graph compares the cumulative stockholder return of an investment in our common stock, and the S&amp;P BDC Index, S&amp;P 500 Index and NASDAQ Financial 100 Index. The graph measures total shareholder return, which takes into account both changes in stock price and distributions. It assumes that distributions paid are reinvested in like securities prior to any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77470</wp:posOffset>
            </wp:positionV>
            <wp:extent cx="3440430" cy="1863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40430" cy="186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0" w:right="280" w:hanging="8"/>
        <w:spacing w:after="0" w:line="283" w:lineRule="auto"/>
        <w:tabs>
          <w:tab w:leader="none" w:pos="630"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Assumes $100 invested on 2/4/2022 (first date our common stock began trading on the Nasdaq Global Market) through December 31, 2024, in each of our common stock and the S&amp;P BDC Index, S&amp;P 500 Index and NASDAQ Financial 100 Index, including reinvestment of dividends.</w:t>
      </w:r>
    </w:p>
    <w:p>
      <w:pPr>
        <w:spacing w:after="0" w:line="1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stock price performance included in the above performance graph is based on historical data and is not necessarily indicative of future stock performance. The performance graph and other information furnished under Part II. Item 5 of this Form 10-K shall not be deemed to be “soliciting material” or to be “filed” with the SEC or subject to Regulation 14A or 14C, or to the liabilities of Section 18 of the Exchange Act.</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[Reserved]</w:t>
      </w:r>
    </w:p>
    <w:p>
      <w:pPr>
        <w:spacing w:after="0" w:line="15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or our financial condition and results of operations should be read together with the consolidated financial statements and the related notes that are included in Item 8 of Part II of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Please also see the section entitled “Special Note Regarding Forward-Looking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were formed in January 2021 as a Maryland corporation and are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See “Item 1A. Risk Factors— 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$644 million of potential investments in varying stages of underwriting.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describes the four primary current sub-strategies of our principal investment strategy. We are not required to have a minimum investment in any of these sub-strategies.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Cannabis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5" w:name="page86"/>
    <w:bookmarkEnd w:id="85"/>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8"/>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Adviser seeks to invest in cannabis companies that it believes have some or all of the following characteristics:</w:t>
      </w:r>
    </w:p>
    <w:p>
      <w:pPr>
        <w:spacing w:after="0" w:line="150" w:lineRule="exact"/>
        <w:rPr>
          <w:sz w:val="20"/>
          <w:szCs w:val="20"/>
          <w:color w:val="auto"/>
        </w:rPr>
      </w:pPr>
    </w:p>
    <w:p>
      <w:pPr>
        <w:ind w:left="208" w:hanging="208"/>
        <w:spacing w:after="0"/>
        <w:tabs>
          <w:tab w:leader="none" w:pos="2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Growth or EBITDA positive entities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require capital but do not want to dilute their equity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showing strong cash flow performance with low leverage profiles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that tend to be attractively priced and have better than normal covenants and amortization due to complexity of the industry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enterprise value</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u w:val="single" w:color="auto"/>
          <w:color w:val="auto"/>
        </w:rPr>
        <w:t>Growth &amp; Technology</w:t>
      </w:r>
    </w:p>
    <w:p>
      <w:pPr>
        <w:spacing w:after="0" w:line="15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Adviser seeks to invest in growth and technology focused companies that it believes have some or all of the following characteristics:</w:t>
      </w:r>
    </w:p>
    <w:p>
      <w:pPr>
        <w:spacing w:after="0" w:line="150" w:lineRule="exact"/>
        <w:rPr>
          <w:sz w:val="20"/>
          <w:szCs w:val="20"/>
          <w:color w:val="auto"/>
        </w:rPr>
      </w:pPr>
    </w:p>
    <w:p>
      <w:pPr>
        <w:ind w:left="208" w:hanging="208"/>
        <w:spacing w:after="0"/>
        <w:tabs>
          <w:tab w:leader="none" w:pos="2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Industry leaders and disruptive companies experiencing strong growth</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have raised significant equity capital validating market value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Industry focus typically includes software, hardware, e-commerce, direct to consumer and other fast-growing companies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Liquidity covenants that ensure such company has adequate cash runway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enterprise value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Profitable or demonstrated path to near term profitability</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u w:val="single" w:color="auto"/>
          <w:color w:val="auto"/>
        </w:rPr>
        <w:t>Esoteric &amp; Asset-Based Lending</w:t>
      </w:r>
    </w:p>
    <w:p>
      <w:pPr>
        <w:spacing w:after="0" w:line="15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Adviser seeks to invest in esoteric industries or companies in need of asset-based loans that it believes have some or all of the following characteristics:</w:t>
      </w:r>
    </w:p>
    <w:p>
      <w:pPr>
        <w:spacing w:after="0" w:line="150" w:lineRule="exact"/>
        <w:rPr>
          <w:sz w:val="20"/>
          <w:szCs w:val="20"/>
          <w:color w:val="auto"/>
        </w:rPr>
      </w:pPr>
    </w:p>
    <w:p>
      <w:pPr>
        <w:ind w:left="208" w:hanging="208"/>
        <w:spacing w:after="0"/>
        <w:tabs>
          <w:tab w:leader="none" w:pos="2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showing strong cash flow performance with low leverage profiles, but the industries carry regulatory, reputational or other risks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with attractive assets, including, but not limited to, accounts receivable, equipment or real estate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that tend to be attractively priced and have better than normal covenants and amortization due to complexity of the industry or situation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asset value and/or enterprise value ratios</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86" w:name="page87"/>
    <w:bookmarkEnd w:id="86"/>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u w:val="single" w:color="auto"/>
          <w:color w:val="auto"/>
        </w:rPr>
        <w:t>Liquidity Solutions</w:t>
      </w:r>
    </w:p>
    <w:p>
      <w:pPr>
        <w:spacing w:after="0" w:line="152"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Adviser seeks to invest in liquidity solutions opportunities that it believes have some or all of the following characteristics:</w:t>
      </w:r>
    </w:p>
    <w:p>
      <w:pPr>
        <w:spacing w:after="0" w:line="150" w:lineRule="exact"/>
        <w:rPr>
          <w:sz w:val="20"/>
          <w:szCs w:val="20"/>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Financing is typically event driven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pursuing a merger, acquisition, refinancing, dividend recap, or other strategic liquidity need</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are showing strong cash flow performance with low leverage profiles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that have multiple areas of value and liquidity in addition to the underlying business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 debt to enterprise value ratios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None of our investment policies are fundamental, and thus may be changed without stockholder approval.</w:t>
      </w:r>
    </w:p>
    <w:p>
      <w:pPr>
        <w:spacing w:after="0" w:line="150"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We are externally managed by the Adviser. The Adviser also provides the administrative services necessary for us to operate. We believe that our ability to leverage the existing investment management platform of Chicago Atlantic enables us to operate more efficiently and with lower overhead costs than other funds of comparable size.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two to six years. Our loan portfolio will bear interest at a fixed or floating rate, subject to interest rate floors in certain cases. Interest on our debt investments will generally be payable either monthly or quarterly, but may be semi-annually.</w:t>
      </w:r>
    </w:p>
    <w:p>
      <w:pPr>
        <w:spacing w:after="0" w:line="119"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Our investment portfolio consists of fixed and floating rate loans, and our credit facilities, if any, will bear interest at floating rates. Macro trends in base interest rates like PRIME or SOFR may affect our net investment income (loss) over the long term.</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Dividend income on equity investments, if applicable, will be recorded on the record date for private portfolio companies or on the ex-dividend date for publicly traded companies.</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Expenses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22" w:lineRule="exact"/>
        <w:rPr>
          <w:sz w:val="20"/>
          <w:szCs w:val="20"/>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our organization and offerings;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calculating our NAV, including the cost of any third-party valuation services;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effecting sales and repurchases of shares of our common stock and other securities;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payable under any underwriting agreements, if any;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service and other costs of borrowings or other financing arrangements;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hedging;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and incentive fees payable pursuant to the Investment Advisory Agreement;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payable to third-parties relating to, or associated with, making investments and valuing investments (including third-party valuation firms);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including legal fees, associated with compliance under cannabis laws;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agent and custodial fees;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marketing efforts (including attendance at industry and investor conferences and similar events);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and state registration fees;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exchange listing fees and fees payable to rating agencies;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state and local taxes;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 directors’ fees and expenses, including travel expenses;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brokerage commissions and other compensation payable to brokers or dealers;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market data;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fidelity bond, directors’ and officers’ errors and omissions liability insurance and other insurance premiums;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costs and expenses of administration, including printing, mailing and staff;</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independent audits, and outside legal and consulting costs;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winding up;</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incurred in connection with the formation or maintenance of entities or vehicles to hold our assets for tax or other purposes;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expenses (such as litigation or indemnification);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associated with reporting and compliance obligations under the 1940 Act and applicable federal and state securities laws.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expect, but cannot assure, that our general and administrative expenses will increase in dollar terms during periods of asset growth, but will decline as a percentage of total assets during such periods.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Hedging</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Portfolio Composition and Investment Activity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Portfolio Composition</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2024, our investment portfolio had an aggregate fair value of approximately $275.2 million and was comprised of approximately $239.9 million in first lien senior secured loans, approximately $34.7 million in senior secured notes, and $0.7 million in equity securities across twenty-eight portfolio companies. As of December 31, 2023, our investment portfolio had an aggregate fair value of approximately $54.1 million and was comprised of approximately $46.0 million in first lien senior secured loans, and approximately $8.1 million in senior secured notes across five portfolio companies.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the composition of our investment portfolio at amortized cost and fair value as a percentage of total investments are shown in the following tables as of December 31, 2024 and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r>
      <w:tr>
        <w:trPr>
          <w:trHeight w:val="142"/>
        </w:trPr>
        <w:tc>
          <w:tcPr>
            <w:tcW w:w="8580" w:type="dxa"/>
            <w:vAlign w:val="bottom"/>
            <w:tcBorders>
              <w:bottom w:val="single" w:sz="8" w:color="auto"/>
            </w:tcBorders>
          </w:tcPr>
          <w:p>
            <w:pPr>
              <w:ind w:left="4160"/>
              <w:spacing w:after="0"/>
              <w:rPr>
                <w:sz w:val="20"/>
                <w:szCs w:val="20"/>
                <w:color w:val="auto"/>
              </w:rPr>
            </w:pPr>
            <w:r>
              <w:rPr>
                <w:rFonts w:ascii="Times New Roman" w:cs="Times New Roman" w:eastAsia="Times New Roman" w:hAnsi="Times New Roman"/>
                <w:sz w:val="12"/>
                <w:szCs w:val="12"/>
                <w:b w:val="1"/>
                <w:bCs w:val="1"/>
                <w:color w:val="auto"/>
              </w:rPr>
              <w:t>Type</w:t>
            </w:r>
          </w:p>
        </w:tc>
        <w:tc>
          <w:tcPr>
            <w:tcW w:w="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2"/>
                <w:szCs w:val="12"/>
                <w:color w:val="auto"/>
              </w:rPr>
            </w:pPr>
          </w:p>
        </w:tc>
      </w:tr>
      <w:tr>
        <w:trPr>
          <w:trHeight w:val="142"/>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87.1%</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w:t>
            </w:r>
          </w:p>
        </w:tc>
      </w:tr>
      <w:tr>
        <w:trPr>
          <w:trHeight w:val="20"/>
        </w:trPr>
        <w:tc>
          <w:tcPr>
            <w:tcW w:w="87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8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r>
      <w:tr>
        <w:trPr>
          <w:trHeight w:val="142"/>
        </w:trPr>
        <w:tc>
          <w:tcPr>
            <w:tcW w:w="5000" w:type="dxa"/>
            <w:vAlign w:val="bottom"/>
            <w:tcBorders>
              <w:bottom w:val="single" w:sz="8" w:color="auto"/>
            </w:tcBorders>
          </w:tcPr>
          <w:p>
            <w:pPr>
              <w:ind w:left="4160"/>
              <w:spacing w:after="0"/>
              <w:rPr>
                <w:sz w:val="20"/>
                <w:szCs w:val="20"/>
                <w:color w:val="auto"/>
              </w:rPr>
            </w:pPr>
            <w:r>
              <w:rPr>
                <w:rFonts w:ascii="Times New Roman" w:cs="Times New Roman" w:eastAsia="Times New Roman" w:hAnsi="Times New Roman"/>
                <w:sz w:val="12"/>
                <w:szCs w:val="12"/>
                <w:b w:val="1"/>
                <w:bCs w:val="1"/>
                <w:color w:val="auto"/>
              </w:rPr>
              <w:t>Type</w:t>
            </w:r>
          </w:p>
        </w:tc>
        <w:tc>
          <w:tcPr>
            <w:tcW w:w="3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2"/>
                <w:szCs w:val="12"/>
                <w:color w:val="auto"/>
              </w:rPr>
            </w:pPr>
          </w:p>
        </w:tc>
      </w:tr>
      <w:tr>
        <w:trPr>
          <w:trHeight w:val="14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3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85.0%</w:t>
            </w:r>
          </w:p>
        </w:tc>
      </w:tr>
      <w:tr>
        <w:trPr>
          <w:trHeight w:val="144"/>
        </w:trPr>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3700" w:type="dxa"/>
            <w:vAlign w:val="bottom"/>
            <w:gridSpan w:val="2"/>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15.0</w:t>
            </w:r>
          </w:p>
        </w:tc>
      </w:tr>
      <w:tr>
        <w:trPr>
          <w:trHeight w:val="20"/>
        </w:trPr>
        <w:tc>
          <w:tcPr>
            <w:tcW w:w="500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700" w:type="dxa"/>
            <w:vAlign w:val="bottom"/>
            <w:gridSpan w:val="2"/>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355"/>
        </w:trPr>
        <w:tc>
          <w:tcPr>
            <w:tcW w:w="500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jc w:val="right"/>
              <w:ind w:right="2832"/>
              <w:spacing w:after="0"/>
              <w:rPr>
                <w:sz w:val="20"/>
                <w:szCs w:val="20"/>
                <w:color w:val="auto"/>
              </w:rPr>
            </w:pPr>
            <w:r>
              <w:rPr>
                <w:rFonts w:ascii="Times New Roman" w:cs="Times New Roman" w:eastAsia="Times New Roman" w:hAnsi="Times New Roman"/>
                <w:sz w:val="10"/>
                <w:szCs w:val="10"/>
                <w:color w:val="auto"/>
              </w:rPr>
              <w:t>88</w:t>
            </w: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6"/>
        </w:trPr>
        <w:tc>
          <w:tcPr>
            <w:tcW w:w="5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89" w:name="page90"/>
    <w:bookmarkEnd w:id="89"/>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tables show the composition of our investment portfolio by geographic region of the United States at amortized cost and fair value as a percentage of total investments as of December 31, 2024 and December 31, 2023.</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geographic composition is determined by the location of the headquarters of the portfolio company.</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r>
      <w:tr>
        <w:trPr>
          <w:trHeight w:val="142"/>
        </w:trPr>
        <w:tc>
          <w:tcPr>
            <w:tcW w:w="8700" w:type="dxa"/>
            <w:vAlign w:val="bottom"/>
            <w:gridSpan w:val="2"/>
          </w:tcPr>
          <w:p>
            <w:pPr>
              <w:ind w:left="3800"/>
              <w:spacing w:after="0"/>
              <w:rPr>
                <w:sz w:val="20"/>
                <w:szCs w:val="20"/>
                <w:color w:val="auto"/>
              </w:rPr>
            </w:pPr>
            <w:r>
              <w:rPr>
                <w:rFonts w:ascii="Times New Roman" w:cs="Times New Roman" w:eastAsia="Times New Roman" w:hAnsi="Times New Roman"/>
                <w:sz w:val="12"/>
                <w:szCs w:val="12"/>
                <w:b w:val="1"/>
                <w:bCs w:val="1"/>
                <w:color w:val="auto"/>
              </w:rPr>
              <w:t>Geographic Region</w:t>
            </w:r>
          </w:p>
        </w:tc>
        <w:tc>
          <w:tcPr>
            <w:tcW w:w="13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10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2"/>
                <w:szCs w:val="12"/>
                <w:color w:val="auto"/>
              </w:rPr>
            </w:pPr>
          </w:p>
        </w:tc>
      </w:tr>
      <w:tr>
        <w:trPr>
          <w:trHeight w:val="142"/>
        </w:trPr>
        <w:tc>
          <w:tcPr>
            <w:tcW w:w="8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United States:</w:t>
            </w: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Midwest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32.4%</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32.6%</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West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31.5</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Northeast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19.3</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Southwest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Southeast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Canada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r>
      <w:tr>
        <w:trPr>
          <w:trHeight w:val="142"/>
        </w:trPr>
        <w:tc>
          <w:tcPr>
            <w:tcW w:w="8700" w:type="dxa"/>
            <w:vAlign w:val="bottom"/>
            <w:gridSpan w:val="2"/>
          </w:tcPr>
          <w:p>
            <w:pPr>
              <w:ind w:left="3800"/>
              <w:spacing w:after="0"/>
              <w:rPr>
                <w:sz w:val="20"/>
                <w:szCs w:val="20"/>
                <w:color w:val="auto"/>
              </w:rPr>
            </w:pPr>
            <w:r>
              <w:rPr>
                <w:rFonts w:ascii="Times New Roman" w:cs="Times New Roman" w:eastAsia="Times New Roman" w:hAnsi="Times New Roman"/>
                <w:sz w:val="12"/>
                <w:szCs w:val="12"/>
                <w:b w:val="1"/>
                <w:bCs w:val="1"/>
                <w:color w:val="auto"/>
              </w:rPr>
              <w:t>Geographic Region</w:t>
            </w:r>
          </w:p>
        </w:tc>
        <w:tc>
          <w:tcPr>
            <w:tcW w:w="13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10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2"/>
                <w:szCs w:val="12"/>
                <w:color w:val="auto"/>
              </w:rPr>
            </w:pPr>
          </w:p>
        </w:tc>
      </w:tr>
      <w:tr>
        <w:trPr>
          <w:trHeight w:val="142"/>
        </w:trPr>
        <w:tc>
          <w:tcPr>
            <w:tcW w:w="8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United States:</w:t>
            </w: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West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46.5%</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46.4%</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Midwest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46.0</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Northeast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Set forth below are tables showing the industry composition of our investment portfolio at amortized cost and fair value as a percentage of total investments as of December 31, 2024 and December 31, 2023.</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20" w:type="dxa"/>
            <w:vAlign w:val="bottom"/>
          </w:tcPr>
          <w:p>
            <w:pPr>
              <w:spacing w:after="0"/>
              <w:rPr>
                <w:sz w:val="13"/>
                <w:szCs w:val="13"/>
                <w:color w:val="auto"/>
              </w:rPr>
            </w:pPr>
          </w:p>
        </w:tc>
      </w:tr>
      <w:tr>
        <w:trPr>
          <w:trHeight w:val="169"/>
        </w:trPr>
        <w:tc>
          <w:tcPr>
            <w:tcW w:w="8580" w:type="dxa"/>
            <w:vAlign w:val="bottom"/>
            <w:tcBorders>
              <w:bottom w:val="single" w:sz="8" w:color="auto"/>
            </w:tcBorders>
          </w:tcPr>
          <w:p>
            <w:pPr>
              <w:ind w:left="4000"/>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Industry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220" w:type="dxa"/>
            <w:vAlign w:val="bottom"/>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4"/>
                <w:szCs w:val="14"/>
                <w:color w:val="auto"/>
              </w:rPr>
            </w:pPr>
          </w:p>
        </w:tc>
      </w:tr>
      <w:tr>
        <w:trPr>
          <w:trHeight w:val="142"/>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Cannabis</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76.6%</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76.7%</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and Insurance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Information</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Public Administration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Retail Trade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Health Care and Social Assistance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 Estate and Rental and Leasing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ind w:left="148" w:hanging="148"/>
        <w:spacing w:after="0"/>
        <w:tabs>
          <w:tab w:leader="none" w:pos="148"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Company uses the North American Industry Classification System (“NAICS”) code for classifying the industry grouping of its portfolio companies, excluding any portfolio company operating in the cannabis industry.</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20" w:type="dxa"/>
            <w:vAlign w:val="bottom"/>
          </w:tcPr>
          <w:p>
            <w:pPr>
              <w:spacing w:after="0"/>
              <w:rPr>
                <w:sz w:val="13"/>
                <w:szCs w:val="13"/>
                <w:color w:val="auto"/>
              </w:rPr>
            </w:pPr>
          </w:p>
        </w:tc>
      </w:tr>
      <w:tr>
        <w:trPr>
          <w:trHeight w:val="169"/>
        </w:trPr>
        <w:tc>
          <w:tcPr>
            <w:tcW w:w="8580" w:type="dxa"/>
            <w:vAlign w:val="bottom"/>
            <w:tcBorders>
              <w:bottom w:val="single" w:sz="8" w:color="auto"/>
            </w:tcBorders>
          </w:tcPr>
          <w:p>
            <w:pPr>
              <w:ind w:left="4000"/>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Industry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220" w:type="dxa"/>
            <w:vAlign w:val="bottom"/>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4"/>
                <w:szCs w:val="14"/>
                <w:color w:val="auto"/>
              </w:rPr>
            </w:pPr>
          </w:p>
        </w:tc>
      </w:tr>
      <w:tr>
        <w:trPr>
          <w:trHeight w:val="142"/>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Cannabis</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ind w:left="148" w:hanging="148"/>
        <w:spacing w:after="0"/>
        <w:tabs>
          <w:tab w:leader="none" w:pos="148" w:val="left"/>
        </w:tabs>
        <w:numPr>
          <w:ilvl w:val="0"/>
          <w:numId w:val="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Company uses the North American Industry Classification System (“NAICS”) code for classifying the industry grouping of its portfolio companies, excluding any portfolio company operating in the cannabis industry.</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Concentrations of Credit Risk</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50"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As of December 31, 2024 and December 31, 2023, we had three portfolio companies that represented 45.1% and 85.0%, respectively, of the fair values of our portfolio. As of December 31, 2024 and December 31, 2023, our largest portfolio company represented 18.9% and 38.7%, respectively, of the total fair values of our investments in portfolio companies.</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Investment Activity</w:t>
      </w:r>
    </w:p>
    <w:p>
      <w:pPr>
        <w:spacing w:after="0" w:line="152"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2024 and December 31, 2023, we made an aggregate of approximately $240.5 million and $8.4 million of investments in twenty-eight and two portfolio companies, excluding fees and discounts, respectively. During the years ended December 31, 2024 and December 31, 2023, there were $21.4 million and $6.2 million repayments received or sales of investments.</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15"/>
        </w:trPr>
        <w:tc>
          <w:tcPr>
            <w:tcW w:w="76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32"/>
        </w:trPr>
        <w:tc>
          <w:tcPr>
            <w:tcW w:w="660" w:type="dxa"/>
            <w:vAlign w:val="bottom"/>
            <w:tcBorders>
              <w:top w:val="single" w:sz="8" w:color="0000EE"/>
            </w:tcBorders>
          </w:tcPr>
          <w:p>
            <w:pPr>
              <w:spacing w:after="0"/>
              <w:rPr>
                <w:sz w:val="20"/>
                <w:szCs w:val="20"/>
                <w:color w:val="auto"/>
              </w:rPr>
            </w:pPr>
          </w:p>
        </w:tc>
        <w:tc>
          <w:tcPr>
            <w:tcW w:w="6960" w:type="dxa"/>
            <w:vAlign w:val="bottom"/>
          </w:tcPr>
          <w:p>
            <w:pPr>
              <w:ind w:left="4060"/>
              <w:spacing w:after="0"/>
              <w:rPr>
                <w:sz w:val="20"/>
                <w:szCs w:val="20"/>
                <w:color w:val="auto"/>
              </w:rPr>
            </w:pPr>
            <w:r>
              <w:rPr>
                <w:rFonts w:ascii="Times New Roman" w:cs="Times New Roman" w:eastAsia="Times New Roman" w:hAnsi="Times New Roman"/>
                <w:sz w:val="12"/>
                <w:szCs w:val="12"/>
                <w:b w:val="1"/>
                <w:bCs w:val="1"/>
                <w:color w:val="auto"/>
              </w:rPr>
              <w:t>CHICAGO ATLANTIC BDC, INC.</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1"/>
        </w:trPr>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provides a summary of the changes in the investment portfolio for the years ended December 31, 2024 and December 31, 2023.</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3"/>
        </w:trPr>
        <w:tc>
          <w:tcPr>
            <w:tcW w:w="66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80" w:type="dxa"/>
            <w:vAlign w:val="bottom"/>
          </w:tcPr>
          <w:p>
            <w:pPr>
              <w:spacing w:after="0"/>
              <w:rPr>
                <w:sz w:val="23"/>
                <w:szCs w:val="23"/>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59"/>
        </w:trPr>
        <w:tc>
          <w:tcPr>
            <w:tcW w:w="6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Pr>
          <w:p>
            <w:pPr>
              <w:spacing w:after="0"/>
              <w:rPr>
                <w:sz w:val="13"/>
                <w:szCs w:val="13"/>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2"/>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Beginning Portfolio Investments, at fair value</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3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50,254,550</w:t>
            </w:r>
          </w:p>
        </w:tc>
        <w:tc>
          <w:tcPr>
            <w:tcW w:w="40" w:type="dxa"/>
            <w:vAlign w:val="bottom"/>
            <w:shd w:val="clear" w:color="auto" w:fill="CCEEFF"/>
          </w:tcPr>
          <w:p>
            <w:pPr>
              <w:spacing w:after="0"/>
              <w:rPr>
                <w:sz w:val="12"/>
                <w:szCs w:val="12"/>
                <w:color w:val="auto"/>
              </w:rPr>
            </w:pPr>
          </w:p>
        </w:tc>
      </w:tr>
      <w:tr>
        <w:trPr>
          <w:trHeight w:val="144"/>
        </w:trPr>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Purchases</w:t>
            </w:r>
          </w:p>
        </w:tc>
        <w:tc>
          <w:tcPr>
            <w:tcW w:w="2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240,515,638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8,442,000</w:t>
            </w:r>
          </w:p>
        </w:tc>
      </w:tr>
      <w:tr>
        <w:trPr>
          <w:trHeight w:val="144"/>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of discount (amortization of premium), net</w:t>
            </w:r>
          </w:p>
        </w:tc>
        <w:tc>
          <w:tcPr>
            <w:tcW w:w="20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1,101,295</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810,554</w:t>
            </w:r>
          </w:p>
        </w:tc>
      </w:tr>
      <w:tr>
        <w:trPr>
          <w:trHeight w:val="144"/>
        </w:trPr>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PIK interest</w:t>
            </w:r>
          </w:p>
        </w:tc>
        <w:tc>
          <w:tcPr>
            <w:tcW w:w="2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743,775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115,725</w:t>
            </w:r>
          </w:p>
        </w:tc>
      </w:tr>
      <w:tr>
        <w:trPr>
          <w:trHeight w:val="144"/>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sales of investments and principal repayments</w:t>
            </w: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(21,410,831)</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(6,214,093)</w:t>
            </w:r>
          </w:p>
        </w:tc>
      </w:tr>
      <w:tr>
        <w:trPr>
          <w:trHeight w:val="144"/>
        </w:trPr>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realized gain (loss) on investments</w:t>
            </w:r>
          </w:p>
        </w:tc>
        <w:tc>
          <w:tcPr>
            <w:tcW w:w="200" w:type="dxa"/>
            <w:vAlign w:val="bottom"/>
          </w:tcPr>
          <w:p>
            <w:pPr>
              <w:spacing w:after="0"/>
              <w:rPr>
                <w:sz w:val="12"/>
                <w:szCs w:val="12"/>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(74,483)</w:t>
            </w:r>
          </w:p>
        </w:tc>
        <w:tc>
          <w:tcPr>
            <w:tcW w:w="180" w:type="dxa"/>
            <w:vAlign w:val="bottom"/>
          </w:tcPr>
          <w:p>
            <w:pPr>
              <w:spacing w:after="0"/>
              <w:rPr>
                <w:sz w:val="12"/>
                <w:szCs w:val="12"/>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(210,767)</w:t>
            </w:r>
          </w:p>
        </w:tc>
      </w:tr>
      <w:tr>
        <w:trPr>
          <w:trHeight w:val="144"/>
        </w:trPr>
        <w:tc>
          <w:tcPr>
            <w:tcW w:w="7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2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246,004</w:t>
            </w: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922,031</w:t>
            </w:r>
          </w:p>
        </w:tc>
        <w:tc>
          <w:tcPr>
            <w:tcW w:w="40" w:type="dxa"/>
            <w:vAlign w:val="bottom"/>
            <w:tcBorders>
              <w:bottom w:val="single" w:sz="8" w:color="CCEEFF"/>
            </w:tcBorders>
            <w:shd w:val="clear" w:color="auto" w:fill="CCEEFF"/>
          </w:tcPr>
          <w:p>
            <w:pPr>
              <w:spacing w:after="0"/>
              <w:rPr>
                <w:sz w:val="12"/>
                <w:szCs w:val="12"/>
                <w:color w:val="auto"/>
              </w:rPr>
            </w:pPr>
          </w:p>
        </w:tc>
      </w:tr>
      <w:tr>
        <w:trPr>
          <w:trHeight w:val="142"/>
        </w:trPr>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Ending Portfolio Investments, at fair value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275,241,398</w:t>
            </w:r>
          </w:p>
        </w:tc>
        <w:tc>
          <w:tcPr>
            <w:tcW w:w="3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54,120,000</w:t>
            </w:r>
          </w:p>
        </w:tc>
      </w:tr>
      <w:tr>
        <w:trPr>
          <w:trHeight w:val="20"/>
        </w:trPr>
        <w:tc>
          <w:tcPr>
            <w:tcW w:w="6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Portfolio Asset Quality</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spacing w:after="0" w:line="107" w:lineRule="exact"/>
        <w:rPr>
          <w:sz w:val="20"/>
          <w:szCs w:val="20"/>
          <w:color w:val="auto"/>
        </w:rPr>
      </w:pPr>
    </w:p>
    <w:p>
      <w:pPr>
        <w:jc w:val="center"/>
        <w:ind w:right="9940"/>
        <w:spacing w:after="0"/>
        <w:rPr>
          <w:sz w:val="20"/>
          <w:szCs w:val="20"/>
          <w:color w:val="auto"/>
        </w:rPr>
      </w:pPr>
      <w:r>
        <w:rPr>
          <w:rFonts w:ascii="Times New Roman" w:cs="Times New Roman" w:eastAsia="Times New Roman" w:hAnsi="Times New Roman"/>
          <w:sz w:val="12"/>
          <w:szCs w:val="12"/>
          <w:b w:val="1"/>
          <w:bCs w:val="1"/>
          <w:color w:val="auto"/>
        </w:rPr>
        <w:t>Investment</w:t>
      </w:r>
    </w:p>
    <w:p>
      <w:pPr>
        <w:spacing w:after="0" w:line="21" w:lineRule="exact"/>
        <w:rPr>
          <w:sz w:val="20"/>
          <w:szCs w:val="20"/>
          <w:color w:val="auto"/>
        </w:rPr>
      </w:pPr>
    </w:p>
    <w:p>
      <w:pPr>
        <w:jc w:val="center"/>
        <w:ind w:right="9940"/>
        <w:spacing w:after="0"/>
        <w:rPr>
          <w:sz w:val="20"/>
          <w:szCs w:val="20"/>
          <w:color w:val="auto"/>
        </w:rPr>
      </w:pPr>
      <w:r>
        <w:rPr>
          <w:rFonts w:ascii="Times New Roman" w:cs="Times New Roman" w:eastAsia="Times New Roman" w:hAnsi="Times New Roman"/>
          <w:sz w:val="12"/>
          <w:szCs w:val="12"/>
          <w:b w:val="1"/>
          <w:bCs w:val="1"/>
          <w:color w:val="auto"/>
        </w:rPr>
        <w:t>Performance Risk</w:t>
      </w:r>
    </w:p>
    <w:p>
      <w:pPr>
        <w:spacing w:after="0" w:line="6" w:lineRule="exact"/>
        <w:rPr>
          <w:sz w:val="20"/>
          <w:szCs w:val="20"/>
          <w:color w:val="auto"/>
        </w:rPr>
      </w:pPr>
    </w:p>
    <w:p>
      <w:pPr>
        <w:ind w:left="500"/>
        <w:spacing w:after="0"/>
        <w:tabs>
          <w:tab w:leader="none" w:pos="5740" w:val="left"/>
        </w:tabs>
        <w:rPr>
          <w:sz w:val="20"/>
          <w:szCs w:val="20"/>
          <w:color w:val="auto"/>
        </w:rPr>
      </w:pPr>
      <w:r>
        <w:rPr>
          <w:rFonts w:ascii="Times New Roman" w:cs="Times New Roman" w:eastAsia="Times New Roman" w:hAnsi="Times New Roman"/>
          <w:sz w:val="12"/>
          <w:szCs w:val="12"/>
          <w:b w:val="1"/>
          <w:bCs w:val="1"/>
          <w:color w:val="auto"/>
        </w:rPr>
        <w:t>Rating</w:t>
      </w:r>
      <w:r>
        <w:rPr>
          <w:sz w:val="20"/>
          <w:szCs w:val="20"/>
          <w:color w:val="auto"/>
        </w:rPr>
        <w:tab/>
      </w:r>
      <w:r>
        <w:rPr>
          <w:rFonts w:ascii="Times New Roman" w:cs="Times New Roman" w:eastAsia="Times New Roman" w:hAnsi="Times New Roman"/>
          <w:sz w:val="12"/>
          <w:szCs w:val="12"/>
          <w:b w:val="1"/>
          <w:bCs w:val="1"/>
          <w:color w:val="auto"/>
        </w:rPr>
        <w:t>Summary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1943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Grade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Grade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Grade 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Grade 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Grade 5</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Times New Roman" w:cs="Times New Roman" w:eastAsia="Times New Roman" w:hAnsi="Times New Roman"/>
          <w:sz w:val="12"/>
          <w:szCs w:val="12"/>
          <w:color w:val="auto"/>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2"/>
          <w:szCs w:val="12"/>
          <w:color w:val="auto"/>
        </w:rPr>
        <w:t>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635</wp:posOffset>
            </wp:positionV>
            <wp:extent cx="7178040" cy="182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82880"/>
                    </a:xfrm>
                    <a:prstGeom prst="rect">
                      <a:avLst/>
                    </a:prstGeom>
                    <a:noFill/>
                  </pic:spPr>
                </pic:pic>
              </a:graphicData>
            </a:graphic>
          </wp:anchor>
        </w:drawing>
      </w:r>
    </w:p>
    <w:p>
      <w:pPr>
        <w:jc w:val="both"/>
        <w:ind w:right="80"/>
        <w:spacing w:after="0" w:line="250" w:lineRule="auto"/>
        <w:rPr>
          <w:sz w:val="20"/>
          <w:szCs w:val="20"/>
          <w:color w:val="auto"/>
        </w:rPr>
      </w:pPr>
      <w:r>
        <w:rPr>
          <w:rFonts w:ascii="Times New Roman" w:cs="Times New Roman" w:eastAsia="Times New Roman" w:hAnsi="Times New Roman"/>
          <w:sz w:val="12"/>
          <w:szCs w:val="12"/>
          <w:color w:val="auto"/>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p>
      <w:pPr>
        <w:spacing w:after="0" w:line="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2"/>
          <w:szCs w:val="12"/>
          <w:color w:val="auto"/>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635</wp:posOffset>
            </wp:positionV>
            <wp:extent cx="717804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274320"/>
                    </a:xfrm>
                    <a:prstGeom prst="rect">
                      <a:avLst/>
                    </a:prstGeom>
                    <a:noFill/>
                  </pic:spPr>
                </pic:pic>
              </a:graphicData>
            </a:graphic>
          </wp:anchor>
        </w:drawing>
      </w:r>
    </w:p>
    <w:p>
      <w:pPr>
        <w:ind w:right="100"/>
        <w:spacing w:after="0" w:line="255" w:lineRule="auto"/>
        <w:rPr>
          <w:sz w:val="20"/>
          <w:szCs w:val="20"/>
          <w:color w:val="auto"/>
        </w:rPr>
      </w:pPr>
      <w:r>
        <w:rPr>
          <w:rFonts w:ascii="Times New Roman" w:cs="Times New Roman" w:eastAsia="Times New Roman" w:hAnsi="Times New Roman"/>
          <w:sz w:val="12"/>
          <w:szCs w:val="12"/>
          <w:color w:val="auto"/>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p>
      <w:pPr>
        <w:spacing w:after="0" w:line="125" w:lineRule="exact"/>
        <w:rPr>
          <w:sz w:val="20"/>
          <w:szCs w:val="20"/>
          <w:color w:val="auto"/>
        </w:rPr>
      </w:pPr>
    </w:p>
    <w:p>
      <w:pPr>
        <w:sectPr>
          <w:pgSz w:w="11900" w:h="16838" w:orient="portrait"/>
          <w:cols w:equalWidth="0" w:num="2">
            <w:col w:w="640" w:space="720"/>
            <w:col w:w="9940"/>
          </w:cols>
          <w:pgMar w:left="300" w:top="11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following tables show the distribution of our loan investments on the 1 to 5 investment risk rating scale at fair value as of December 31, 2024 and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20" w:type="dxa"/>
            <w:vAlign w:val="bottom"/>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0" w:type="dxa"/>
            <w:vAlign w:val="bottom"/>
          </w:tcPr>
          <w:p>
            <w:pPr>
              <w:spacing w:after="0"/>
              <w:rPr>
                <w:sz w:val="1"/>
                <w:szCs w:val="1"/>
                <w:color w:val="auto"/>
              </w:rPr>
            </w:pPr>
          </w:p>
        </w:tc>
      </w:tr>
      <w:tr>
        <w:trPr>
          <w:trHeight w:val="127"/>
        </w:trPr>
        <w:tc>
          <w:tcPr>
            <w:tcW w:w="53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of 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340" w:type="dxa"/>
            <w:vAlign w:val="bottom"/>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Investment Performance Risk Rating</w:t>
            </w:r>
          </w:p>
        </w:tc>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Investments at Fair Value</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0" w:type="dxa"/>
            <w:vAlign w:val="bottom"/>
          </w:tcPr>
          <w:p>
            <w:pPr>
              <w:spacing w:after="0"/>
              <w:rPr>
                <w:sz w:val="1"/>
                <w:szCs w:val="1"/>
                <w:color w:val="auto"/>
              </w:rPr>
            </w:pPr>
          </w:p>
        </w:tc>
      </w:tr>
      <w:tr>
        <w:trPr>
          <w:trHeight w:val="142"/>
        </w:trPr>
        <w:tc>
          <w:tcPr>
            <w:tcW w:w="5340" w:type="dxa"/>
            <w:vAlign w:val="bottom"/>
            <w:tcBorders>
              <w:top w:val="single" w:sz="8" w:color="auto"/>
            </w:tcBorders>
            <w:shd w:val="clear" w:color="auto" w:fill="CCEEFF"/>
          </w:tcPr>
          <w:p>
            <w:pPr>
              <w:jc w:val="right"/>
              <w:ind w:right="5224"/>
              <w:spacing w:after="0"/>
              <w:rPr>
                <w:sz w:val="20"/>
                <w:szCs w:val="20"/>
                <w:color w:val="auto"/>
              </w:rPr>
            </w:pPr>
            <w:r>
              <w:rPr>
                <w:rFonts w:ascii="Times New Roman" w:cs="Times New Roman" w:eastAsia="Times New Roman" w:hAnsi="Times New Roman"/>
                <w:sz w:val="11"/>
                <w:szCs w:val="11"/>
                <w:color w:val="auto"/>
                <w:w w:val="71"/>
              </w:rPr>
              <w:t>1</w:t>
            </w:r>
          </w:p>
        </w:tc>
        <w:tc>
          <w:tcPr>
            <w:tcW w:w="29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5340" w:type="dxa"/>
            <w:vAlign w:val="bottom"/>
          </w:tcPr>
          <w:p>
            <w:pPr>
              <w:jc w:val="right"/>
              <w:ind w:right="5224"/>
              <w:spacing w:after="0"/>
              <w:rPr>
                <w:sz w:val="20"/>
                <w:szCs w:val="20"/>
                <w:color w:val="auto"/>
              </w:rPr>
            </w:pPr>
            <w:r>
              <w:rPr>
                <w:rFonts w:ascii="Times New Roman" w:cs="Times New Roman" w:eastAsia="Times New Roman" w:hAnsi="Times New Roman"/>
                <w:sz w:val="11"/>
                <w:szCs w:val="11"/>
                <w:color w:val="auto"/>
                <w:w w:val="71"/>
              </w:rPr>
              <w:t>2</w:t>
            </w: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275,241,398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5340" w:type="dxa"/>
            <w:vAlign w:val="bottom"/>
            <w:shd w:val="clear" w:color="auto" w:fill="CCEEFF"/>
          </w:tcPr>
          <w:p>
            <w:pPr>
              <w:jc w:val="right"/>
              <w:ind w:right="5224"/>
              <w:spacing w:after="0"/>
              <w:rPr>
                <w:sz w:val="20"/>
                <w:szCs w:val="20"/>
                <w:color w:val="auto"/>
              </w:rPr>
            </w:pPr>
            <w:r>
              <w:rPr>
                <w:rFonts w:ascii="Times New Roman" w:cs="Times New Roman" w:eastAsia="Times New Roman" w:hAnsi="Times New Roman"/>
                <w:sz w:val="11"/>
                <w:szCs w:val="11"/>
                <w:color w:val="auto"/>
                <w:w w:val="71"/>
              </w:rPr>
              <w:t>3</w:t>
            </w:r>
          </w:p>
        </w:tc>
        <w:tc>
          <w:tcPr>
            <w:tcW w:w="2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340" w:type="dxa"/>
            <w:vAlign w:val="bottom"/>
          </w:tcPr>
          <w:p>
            <w:pPr>
              <w:jc w:val="right"/>
              <w:ind w:right="5224"/>
              <w:spacing w:after="0"/>
              <w:rPr>
                <w:sz w:val="20"/>
                <w:szCs w:val="20"/>
                <w:color w:val="auto"/>
              </w:rPr>
            </w:pPr>
            <w:r>
              <w:rPr>
                <w:rFonts w:ascii="Times New Roman" w:cs="Times New Roman" w:eastAsia="Times New Roman" w:hAnsi="Times New Roman"/>
                <w:sz w:val="11"/>
                <w:szCs w:val="11"/>
                <w:color w:val="auto"/>
                <w:w w:val="71"/>
              </w:rPr>
              <w:t>4</w:t>
            </w: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340" w:type="dxa"/>
            <w:vAlign w:val="bottom"/>
            <w:tcBorders>
              <w:bottom w:val="single" w:sz="8" w:color="CCEEFF"/>
            </w:tcBorders>
            <w:shd w:val="clear" w:color="auto" w:fill="CCEEFF"/>
          </w:tcPr>
          <w:p>
            <w:pPr>
              <w:jc w:val="right"/>
              <w:ind w:right="5224"/>
              <w:spacing w:after="0"/>
              <w:rPr>
                <w:sz w:val="20"/>
                <w:szCs w:val="20"/>
                <w:color w:val="auto"/>
              </w:rPr>
            </w:pPr>
            <w:r>
              <w:rPr>
                <w:rFonts w:ascii="Times New Roman" w:cs="Times New Roman" w:eastAsia="Times New Roman" w:hAnsi="Times New Roman"/>
                <w:sz w:val="11"/>
                <w:szCs w:val="11"/>
                <w:color w:val="auto"/>
                <w:w w:val="71"/>
              </w:rPr>
              <w:t>5</w:t>
            </w:r>
          </w:p>
        </w:tc>
        <w:tc>
          <w:tcPr>
            <w:tcW w:w="29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jc w:val="right"/>
              <w:ind w:right="4944"/>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3540" w:type="dxa"/>
            <w:vAlign w:val="bottom"/>
            <w:gridSpan w:val="3"/>
          </w:tcPr>
          <w:p>
            <w:pPr>
              <w:ind w:left="3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275,241,398</w:t>
            </w:r>
          </w:p>
        </w:tc>
        <w:tc>
          <w:tcPr>
            <w:tcW w:w="1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960" w:type="dxa"/>
            <w:vAlign w:val="bottom"/>
            <w:vMerge w:val="restart"/>
          </w:tcPr>
          <w:p>
            <w:pPr>
              <w:jc w:val="right"/>
              <w:ind w:right="2546"/>
              <w:spacing w:after="0"/>
              <w:rPr>
                <w:sz w:val="20"/>
                <w:szCs w:val="20"/>
                <w:color w:val="auto"/>
              </w:rPr>
            </w:pPr>
            <w:r>
              <w:rPr>
                <w:rFonts w:ascii="Times New Roman" w:cs="Times New Roman" w:eastAsia="Times New Roman" w:hAnsi="Times New Roman"/>
                <w:sz w:val="10"/>
                <w:szCs w:val="10"/>
                <w:color w:val="auto"/>
              </w:rPr>
              <w:t>90</w:t>
            </w: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3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type w:val="continuous"/>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4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660" w:type="dxa"/>
            <w:vAlign w:val="bottom"/>
            <w:tcBorders>
              <w:top w:val="single" w:sz="8" w:color="0000EE"/>
            </w:tcBorders>
          </w:tcPr>
          <w:p>
            <w:pPr>
              <w:spacing w:after="0"/>
              <w:rPr>
                <w:sz w:val="20"/>
                <w:szCs w:val="20"/>
                <w:color w:val="auto"/>
              </w:rPr>
            </w:pPr>
          </w:p>
        </w:tc>
        <w:tc>
          <w:tcPr>
            <w:tcW w:w="7880" w:type="dxa"/>
            <w:vAlign w:val="bottom"/>
            <w:gridSpan w:val="2"/>
          </w:tcPr>
          <w:p>
            <w:pPr>
              <w:ind w:left="4060"/>
              <w:spacing w:after="0"/>
              <w:rPr>
                <w:sz w:val="20"/>
                <w:szCs w:val="20"/>
                <w:color w:val="auto"/>
              </w:rPr>
            </w:pPr>
            <w:r>
              <w:rPr>
                <w:rFonts w:ascii="Times New Roman" w:cs="Times New Roman" w:eastAsia="Times New Roman" w:hAnsi="Times New Roman"/>
                <w:sz w:val="12"/>
                <w:szCs w:val="12"/>
                <w:b w:val="1"/>
                <w:bCs w:val="1"/>
                <w:color w:val="auto"/>
              </w:rPr>
              <w:t>CHICAGO ATLANTIC BDC, INC.</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6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Percentage of 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7880" w:type="dxa"/>
            <w:vAlign w:val="bottom"/>
            <w:gridSpan w:val="2"/>
          </w:tcPr>
          <w:p>
            <w:pPr>
              <w:ind w:left="2600"/>
              <w:spacing w:after="0"/>
              <w:rPr>
                <w:sz w:val="20"/>
                <w:szCs w:val="20"/>
                <w:color w:val="auto"/>
              </w:rPr>
            </w:pPr>
            <w:r>
              <w:rPr>
                <w:rFonts w:ascii="Times New Roman" w:cs="Times New Roman" w:eastAsia="Times New Roman" w:hAnsi="Times New Roman"/>
                <w:sz w:val="12"/>
                <w:szCs w:val="12"/>
                <w:b w:val="1"/>
                <w:bCs w:val="1"/>
                <w:color w:val="auto"/>
              </w:rPr>
              <w:t>Investment Performance Risk Rating</w:t>
            </w:r>
          </w:p>
        </w:tc>
        <w:tc>
          <w:tcPr>
            <w:tcW w:w="15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Investments at Fair Value</w:t>
            </w:r>
          </w:p>
        </w:tc>
        <w:tc>
          <w:tcPr>
            <w:tcW w:w="6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Investments</w:t>
            </w:r>
          </w:p>
        </w:tc>
        <w:tc>
          <w:tcPr>
            <w:tcW w:w="0" w:type="dxa"/>
            <w:vAlign w:val="bottom"/>
          </w:tcPr>
          <w:p>
            <w:pPr>
              <w:spacing w:after="0"/>
              <w:rPr>
                <w:sz w:val="1"/>
                <w:szCs w:val="1"/>
                <w:color w:val="auto"/>
              </w:rPr>
            </w:pPr>
          </w:p>
        </w:tc>
      </w:tr>
      <w:tr>
        <w:trPr>
          <w:trHeight w:val="142"/>
        </w:trPr>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1</w:t>
            </w:r>
          </w:p>
        </w:tc>
        <w:tc>
          <w:tcPr>
            <w:tcW w:w="7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7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w:t>
            </w:r>
          </w:p>
        </w:tc>
        <w:tc>
          <w:tcPr>
            <w:tcW w:w="7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7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i w:val="1"/>
                <w:iCs w:val="1"/>
                <w:color w:val="auto"/>
              </w:rPr>
              <w:t>Debt Investments on Non-Accrual Status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4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8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As of December 31, 2024 and December 31, 2023, there were no loans in our portfolio placed on non-accrual status.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Results of Operations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discussion and analysis of our results of operations encompasses our results for the years ended December 31, 2024 and December 31, 2023.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4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Investment Income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sets forth the components of investment income for the years ended December 31, 2024 and December 31, 2023.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6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60" w:type="dxa"/>
            <w:vAlign w:val="bottom"/>
          </w:tcPr>
          <w:p>
            <w:pPr>
              <w:spacing w:after="0"/>
              <w:rPr>
                <w:sz w:val="23"/>
                <w:szCs w:val="23"/>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6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Stated interest income</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18,060,773</w:t>
            </w: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10,810,370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Accretion of discount (amortization of premium), net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1,101,295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810,554</w:t>
            </w:r>
          </w:p>
        </w:tc>
        <w:tc>
          <w:tcPr>
            <w:tcW w:w="0" w:type="dxa"/>
            <w:vAlign w:val="bottom"/>
          </w:tcPr>
          <w:p>
            <w:pPr>
              <w:spacing w:after="0"/>
              <w:rPr>
                <w:sz w:val="1"/>
                <w:szCs w:val="1"/>
                <w:color w:val="auto"/>
              </w:rPr>
            </w:pPr>
          </w:p>
        </w:tc>
      </w:tr>
      <w:tr>
        <w:trPr>
          <w:trHeight w:val="144"/>
        </w:trPr>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PIK</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743,775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115,725</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7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Total interest 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19,905,843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11,736,649</w:t>
            </w:r>
          </w:p>
        </w:tc>
        <w:tc>
          <w:tcPr>
            <w:tcW w:w="0" w:type="dxa"/>
            <w:vAlign w:val="bottom"/>
          </w:tcPr>
          <w:p>
            <w:pPr>
              <w:spacing w:after="0"/>
              <w:rPr>
                <w:sz w:val="1"/>
                <w:szCs w:val="1"/>
                <w:color w:val="auto"/>
              </w:rPr>
            </w:pPr>
          </w:p>
        </w:tc>
      </w:tr>
      <w:tr>
        <w:trPr>
          <w:trHeight w:val="144"/>
        </w:trPr>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fee income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1,759,910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196,251</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7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Total investment income</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21,665,753</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11,932,900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We generate revenues primarily in the form of investment income from the investments we hold, generally in the form of interest income from our debt securities. We also generate revenues in the form of investment income from the cash we hold, generally in the form of interest income from our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also recognizes certain fees as one-time fee income, including, but not limited to, structuring fees.</w:t>
      </w:r>
    </w:p>
    <w:p>
      <w:pPr>
        <w:spacing w:after="0" w:line="15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Total interest income increased by $8.2 million or 69.6% for the year ended December 31, 2024, compared to the year ended December 31, 2023. The increase was primarily attributable to the increase in the principal balance of our debt investments, which increased from $55 million to $277 million during the year ended December 31, 2024 as a result of the Loan Portfolio Acquisition.</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Additionally, non-recurring fee income increased by approximately $1.6 million for the year ended December 31, 2024, compared to the year ended December 31, 2023. The increase is primarily attributable to non-refundable upfront fees recognized in connection with the origination of eight new investments during the year ended December 31, 2024, excluding assets acquired in the Loan Portfolio Acquisition, compared to only one new investment originated in the year ended December 31, 2023.</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15"/>
        </w:trPr>
        <w:tc>
          <w:tcPr>
            <w:tcW w:w="38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2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660" w:type="dxa"/>
            <w:vAlign w:val="bottom"/>
            <w:tcBorders>
              <w:top w:val="single" w:sz="8" w:color="0000EE"/>
            </w:tcBorders>
          </w:tcPr>
          <w:p>
            <w:pPr>
              <w:spacing w:after="0"/>
              <w:rPr>
                <w:sz w:val="20"/>
                <w:szCs w:val="20"/>
                <w:color w:val="auto"/>
              </w:rPr>
            </w:pPr>
          </w:p>
        </w:tc>
        <w:tc>
          <w:tcPr>
            <w:tcW w:w="3200" w:type="dxa"/>
            <w:vAlign w:val="bottom"/>
          </w:tcPr>
          <w:p>
            <w:pPr>
              <w:spacing w:after="0"/>
              <w:rPr>
                <w:sz w:val="20"/>
                <w:szCs w:val="20"/>
                <w:color w:val="auto"/>
              </w:rPr>
            </w:pPr>
          </w:p>
        </w:tc>
        <w:tc>
          <w:tcPr>
            <w:tcW w:w="3480" w:type="dxa"/>
            <w:vAlign w:val="bottom"/>
            <w:gridSpan w:val="3"/>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CHICAGO ATLANTIC BDC, INC.</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Operating Expenses</w:t>
            </w:r>
          </w:p>
        </w:tc>
        <w:tc>
          <w:tcPr>
            <w:tcW w:w="2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Our operating expenses for the years ended December 31, 2024 and December 31, 2023 are presented below:</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6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3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140" w:type="dxa"/>
            <w:vAlign w:val="bottom"/>
            <w:vMerge w:val="restart"/>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expenses related to the Loan Portfolio Acquisition</w:t>
            </w:r>
          </w:p>
        </w:tc>
        <w:tc>
          <w:tcPr>
            <w:tcW w:w="2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5,341,779</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711,264</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4,630,515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651.0%</w:t>
            </w:r>
          </w:p>
        </w:tc>
        <w:tc>
          <w:tcPr>
            <w:tcW w:w="0" w:type="dxa"/>
            <w:vAlign w:val="bottom"/>
          </w:tcPr>
          <w:p>
            <w:pPr>
              <w:spacing w:after="0"/>
              <w:rPr>
                <w:sz w:val="1"/>
                <w:szCs w:val="1"/>
                <w:color w:val="auto"/>
              </w:rPr>
            </w:pPr>
          </w:p>
        </w:tc>
      </w:tr>
      <w:tr>
        <w:trPr>
          <w:trHeight w:val="144"/>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Income-based incentive fees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2,327,448</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1,511,253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816,195</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54.0%</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Management fee</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1,504,239</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1,013,764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490,475</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48.4%</w:t>
            </w:r>
          </w:p>
        </w:tc>
        <w:tc>
          <w:tcPr>
            <w:tcW w:w="0" w:type="dxa"/>
            <w:vAlign w:val="bottom"/>
          </w:tcPr>
          <w:p>
            <w:pPr>
              <w:spacing w:after="0"/>
              <w:rPr>
                <w:sz w:val="1"/>
                <w:szCs w:val="1"/>
                <w:color w:val="auto"/>
              </w:rPr>
            </w:pPr>
          </w:p>
        </w:tc>
      </w:tr>
      <w:tr>
        <w:trPr>
          <w:trHeight w:val="144"/>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700,000</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700,000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Professional fees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527,358</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435,090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92,268</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21.2%</w:t>
            </w:r>
          </w:p>
        </w:tc>
        <w:tc>
          <w:tcPr>
            <w:tcW w:w="0" w:type="dxa"/>
            <w:vAlign w:val="bottom"/>
          </w:tcPr>
          <w:p>
            <w:pPr>
              <w:spacing w:after="0"/>
              <w:rPr>
                <w:sz w:val="1"/>
                <w:szCs w:val="1"/>
                <w:color w:val="auto"/>
              </w:rPr>
            </w:pPr>
          </w:p>
        </w:tc>
      </w:tr>
      <w:tr>
        <w:trPr>
          <w:trHeight w:val="144"/>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Audit expense</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497,200</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499,698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(2,498)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Administrator fees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449,974</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335,253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114,721</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34.2%</w:t>
            </w:r>
          </w:p>
        </w:tc>
        <w:tc>
          <w:tcPr>
            <w:tcW w:w="0" w:type="dxa"/>
            <w:vAlign w:val="bottom"/>
          </w:tcPr>
          <w:p>
            <w:pPr>
              <w:spacing w:after="0"/>
              <w:rPr>
                <w:sz w:val="1"/>
                <w:szCs w:val="1"/>
                <w:color w:val="auto"/>
              </w:rPr>
            </w:pPr>
          </w:p>
        </w:tc>
      </w:tr>
      <w:tr>
        <w:trPr>
          <w:trHeight w:val="144"/>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expenses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430,254</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355,672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74,582</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21.0%</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Legal expenses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282,156</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343,824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(61,668)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0" w:type="dxa"/>
            <w:vAlign w:val="bottom"/>
          </w:tcPr>
          <w:p>
            <w:pPr>
              <w:spacing w:after="0"/>
              <w:rPr>
                <w:sz w:val="1"/>
                <w:szCs w:val="1"/>
                <w:color w:val="auto"/>
              </w:rPr>
            </w:pPr>
          </w:p>
        </w:tc>
      </w:tr>
      <w:tr>
        <w:trPr>
          <w:trHeight w:val="144"/>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Excise tax expense</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120,024</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10,655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109,369</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1026.5%</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gains incentive fees</w:t>
            </w:r>
          </w:p>
        </w:tc>
        <w:tc>
          <w:tcPr>
            <w:tcW w:w="2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34,304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87,583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(53,279)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21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12,214,736</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5,304,056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6,910,680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2024, operating expenses increased by $6.9 million, or 130.3%, compared to the year ended December 31, 2023. This increase was primarily driven by transaction expenses related to the Loan Portfolio Acquisition, which increased from $0.7 million for the year ended December 31, 2023 to $5.3 million for the year ended December 31, 2024, as the majority of expenses incurred with respect to the Loan Portfolio Acquisition were incurred during the year ended December 31, 2024.</w:t>
      </w:r>
    </w:p>
    <w:p>
      <w:pPr>
        <w:spacing w:after="0" w:line="119"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Additionally, management fee and income-based incentive fees increased from $1.0 million and $1.5 million, respectively, for the year ended December 31, 2023, to $1.5 million and $2.3 million, respectively, for the year ended December 31, 2024. These increases were primarily due to higher average assets and an increase in investment income resulting from the Loan Portfolio Acquisition.</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Furthermore, professional fees, general and administrative expenses, audit expense, administrative fees, other expenses, and legal expenses for the year ended December 31, 2024 either increased or remained consistent compared to the year ended December 31, 2023, reflecting the increase in complexity, portfolio size, and growth of the Company following the completion of the Loan Portfolio Acquisition.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13 – Loan Portfolio Acquisition” in the notes to the financial statements included with this annual report on Form 10-K for further information regarding the Loan Portfolio Acquisition.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Investment Income</w:t>
      </w:r>
    </w:p>
    <w:p>
      <w:pPr>
        <w:spacing w:after="0" w:line="15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Net investment income was approximately $9.5 million for the year ended December 31, 2024, as compared to approximately $6.6 million for the year ended December 31, 2023. The fluctuation in net investment income is attributable to the increase in complexity, portfolio size and growth of the Company following the close of the Loan Portfolio Acquisition. The Company saw a net increase of $220.9 million in the amortized cost of its investment portfolio from December 31, 2023 to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Realized Gains and Losses</w:t>
      </w:r>
    </w:p>
    <w:p>
      <w:pPr>
        <w:spacing w:after="0" w:line="15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$74,483 net realized losses from the sales, repayments, or exits of investments during the year ended December 31, 2024. There was $210,767 net realized loss from the sale of an investment during the year ended December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80" w:type="dxa"/>
            <w:vAlign w:val="bottom"/>
          </w:tcPr>
          <w:p>
            <w:pPr>
              <w:spacing w:after="0"/>
              <w:rPr>
                <w:sz w:val="12"/>
                <w:szCs w:val="12"/>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59"/>
        </w:trPr>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8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realized gain (loss)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(74,483)</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(210,767)</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Value change from previous year</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136,284</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(210,767)</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Percentage change from previous year</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Change in Unrealized Appreciation (Depreciation) from Investments</w:t>
      </w:r>
    </w:p>
    <w:p>
      <w:pPr>
        <w:spacing w:after="0" w:line="1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15"/>
        </w:trPr>
        <w:tc>
          <w:tcPr>
            <w:tcW w:w="87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660" w:type="dxa"/>
            <w:vAlign w:val="bottom"/>
            <w:tcBorders>
              <w:top w:val="single" w:sz="8" w:color="0000EE"/>
            </w:tcBorders>
          </w:tcPr>
          <w:p>
            <w:pPr>
              <w:spacing w:after="0"/>
              <w:rPr>
                <w:sz w:val="20"/>
                <w:szCs w:val="20"/>
                <w:color w:val="auto"/>
              </w:rPr>
            </w:pPr>
          </w:p>
        </w:tc>
        <w:tc>
          <w:tcPr>
            <w:tcW w:w="8040" w:type="dxa"/>
            <w:vAlign w:val="bottom"/>
          </w:tcPr>
          <w:p>
            <w:pPr>
              <w:ind w:left="4060"/>
              <w:spacing w:after="0"/>
              <w:rPr>
                <w:sz w:val="20"/>
                <w:szCs w:val="20"/>
                <w:color w:val="auto"/>
              </w:rPr>
            </w:pPr>
            <w:r>
              <w:rPr>
                <w:rFonts w:ascii="Times New Roman" w:cs="Times New Roman" w:eastAsia="Times New Roman" w:hAnsi="Times New Roman"/>
                <w:sz w:val="12"/>
                <w:szCs w:val="12"/>
                <w:b w:val="1"/>
                <w:bCs w:val="1"/>
                <w:color w:val="auto"/>
              </w:rPr>
              <w:t>CHICAGO ATLANTIC BDC, INC.</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change in unrealized appreciation (depreciation) from investments for the years ended December 31, 2024 and December 31, 2023 is comprised of the following:</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60" w:type="dxa"/>
            <w:vAlign w:val="bottom"/>
          </w:tcPr>
          <w:p>
            <w:pPr>
              <w:spacing w:after="0"/>
              <w:rPr>
                <w:sz w:val="23"/>
                <w:szCs w:val="23"/>
                <w:color w:val="auto"/>
              </w:rPr>
            </w:pPr>
          </w:p>
        </w:tc>
        <w:tc>
          <w:tcPr>
            <w:tcW w:w="8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80" w:type="dxa"/>
            <w:vAlign w:val="bottom"/>
          </w:tcPr>
          <w:p>
            <w:pPr>
              <w:spacing w:after="0"/>
              <w:rPr>
                <w:sz w:val="23"/>
                <w:szCs w:val="2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unrealized appreciation</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956,472</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995,334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Gross unrealized depreciation</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(710,468)</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(73,303)</w:t>
            </w:r>
          </w:p>
        </w:tc>
        <w:tc>
          <w:tcPr>
            <w:tcW w:w="0" w:type="dxa"/>
            <w:vAlign w:val="bottom"/>
          </w:tcPr>
          <w:p>
            <w:pPr>
              <w:spacing w:after="0"/>
              <w:rPr>
                <w:sz w:val="1"/>
                <w:szCs w:val="1"/>
                <w:color w:val="auto"/>
              </w:rPr>
            </w:pPr>
          </w:p>
        </w:tc>
      </w:tr>
      <w:tr>
        <w:trPr>
          <w:trHeight w:val="182"/>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net change in unrealized appreciation (depreciation) from investments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246,004</w:t>
            </w: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922,031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7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 following table details net change in unrealized appreciation (depreciation) for our portfolio for the years ended December 31, 2024 and December 31, 2023:</w:t>
            </w:r>
          </w:p>
        </w:tc>
        <w:tc>
          <w:tcPr>
            <w:tcW w:w="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60" w:type="dxa"/>
            <w:vAlign w:val="bottom"/>
          </w:tcPr>
          <w:p>
            <w:pPr>
              <w:spacing w:after="0"/>
              <w:rPr>
                <w:sz w:val="23"/>
                <w:szCs w:val="23"/>
                <w:color w:val="auto"/>
              </w:rPr>
            </w:pPr>
          </w:p>
        </w:tc>
        <w:tc>
          <w:tcPr>
            <w:tcW w:w="8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80" w:type="dxa"/>
            <w:vAlign w:val="bottom"/>
          </w:tcPr>
          <w:p>
            <w:pPr>
              <w:spacing w:after="0"/>
              <w:rPr>
                <w:sz w:val="23"/>
                <w:szCs w:val="2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8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8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8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80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Aeriz Holdings Corp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(53,418)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Ascend Wellness Holdings, Inc.</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(23,395)</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Aura Home, Inc</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(10,265)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Curaleaf Holdings, Inc.</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(40,141)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150,678</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Deep Roots Harvest, Inc.</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(25,000)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Dreamfields Brands, Inc. (d/b/a Jeeter)</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(4,907)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91,226</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Elevation Cannabis, LLC</w:t>
            </w: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263,704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Flowery - Bill’s Nursery, Inc.</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61,103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HA-MD, LLC</w:t>
            </w: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Hartford Gold Group, LLC (Maturity: 12/17/2025)</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12,063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Hartford Gold Group, LLC (Maturity: 1/6/2027)</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23,560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Minden Holdings, LLC</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Nova Farms, LLC</w:t>
            </w: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237,595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Oasis - AZ GOAT AZ LLC</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(4,033)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PharmaCann, Inc</w:t>
            </w: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135,369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(73,303)</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 Holdings, LLC</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Protect Animals With Satellites LLC (Halo Collar): Term Loan</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(9,643)</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Protect Animals With Satellites LLC (Halo Collar): Incremental Term Loan</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(6,441)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Remedy - Maryland Wellness, LLC</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44,729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RTCP, LLC</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19,948</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STIIIZY, Inc. (f/k/a Shryne Group Inc.)</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(185,946)</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278,258</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Simspace Corporation</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(72,959)</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Subsero Holdings - Illinois, Inc</w:t>
            </w: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Sunny Days Enterprises, LLC</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43,094</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Tulip.io Inc.</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(30,143)</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Verano Holdings Corp.</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(208,031)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475,172</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West Creek Financial Holdings, Inc. dba Koalafi</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(18,320)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Workbox Holdings, Inc.</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46,493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Youth Opportunity Investments, LLC</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49,484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Workbox Holdings, Inc: A-3 Warrants</w:t>
            </w:r>
          </w:p>
        </w:tc>
        <w:tc>
          <w:tcPr>
            <w:tcW w:w="8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(5,785)</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Workbox Holdings, Inc: A-4 Warrants</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(12,041)</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80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Total net change in unrealized appreciation (depreciation) from investments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246,004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922,031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right="380"/>
        <w:spacing w:after="0" w:line="327" w:lineRule="auto"/>
        <w:rPr>
          <w:sz w:val="20"/>
          <w:szCs w:val="20"/>
          <w:color w:val="auto"/>
        </w:rPr>
      </w:pPr>
      <w:r>
        <w:rPr>
          <w:rFonts w:ascii="Times New Roman" w:cs="Times New Roman" w:eastAsia="Times New Roman" w:hAnsi="Times New Roman"/>
          <w:sz w:val="11"/>
          <w:szCs w:val="11"/>
          <w:color w:val="auto"/>
        </w:rPr>
        <w:t>During the year ended December 31, 2024, the net change in unrealized appreciation (depreciation) on our investments was primarily driven by the performance of our loan portfolio and the conversion of unrealized appreciation (depreciation) to realized gain (loss). During the year ended December 31, 2023, the net change in unrealized appreciation (depreciation) on our investments was primarily driven by the performance of our loan portfolio.</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Condition, Liquidity and Capital Resources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generate cash primarily from the net proceeds of offerings of securities and cash flows from operations, including interest earned from the temporary investment of cash in U.S. government securities.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primary use of funds will be investments in portfolio companies, dividend payments to holders of our common stock who opt out of the DRIP, and the payment of operating expenses. As of December 31, 2024 and December 31, 2023, we had cash resources of approximately $23.9 million and $32.6 million and no indebtedness.</w:t>
      </w:r>
    </w:p>
    <w:p>
      <w:pPr>
        <w:spacing w:after="0" w:line="11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Dividends may also be distributed in accordance with the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 Federal Income Taxes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annual report on Form 10-K. Valuation of investments is considered to be our critical accounting policy and estimates. A discussion of our critical accounting estimates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Valuation</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Adviser undertakes a multi-step valuation process, which includes, among other procedures, the following:</w:t>
      </w:r>
    </w:p>
    <w:p>
      <w:pPr>
        <w:spacing w:after="0" w:line="150" w:lineRule="exact"/>
        <w:rPr>
          <w:sz w:val="20"/>
          <w:szCs w:val="20"/>
          <w:color w:val="auto"/>
        </w:rPr>
      </w:pPr>
    </w:p>
    <w:p>
      <w:pPr>
        <w:ind w:left="420" w:hanging="212"/>
        <w:spacing w:after="0"/>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investments for which market quotations are readily available, those investments will typically be valued at the bid price of those market quotations;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Preliminary valuations are documented and discussed by the Adviser’s valuation committee and, where appropriate, the independent valuation firm(s);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Adviser determines the fair value of each investment.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conduct this valuation process on a quarterly basis.</w:t>
      </w:r>
    </w:p>
    <w:p>
      <w:pPr>
        <w:spacing w:after="0" w:line="1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25" w:lineRule="exact"/>
        <w:rPr>
          <w:sz w:val="20"/>
          <w:szCs w:val="20"/>
          <w:color w:val="auto"/>
        </w:rPr>
      </w:pPr>
    </w:p>
    <w:p>
      <w:pPr>
        <w:ind w:left="420" w:hanging="212"/>
        <w:spacing w:after="0"/>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 Valuations based on quoted prices in active markets for identical assets or liabilities that we have the ability to access at the measurement date;</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 Valuations based on inputs that are unobservable and significant to the overall fair value measurement.</w:t>
      </w:r>
    </w:p>
    <w:p>
      <w:pPr>
        <w:spacing w:after="0" w:line="1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All of our investments as of December 31, 2024 and December 31, 2023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2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Assumptions, or unobservable inputs, fluctuate based on both market and company specific factors. Please refer to “Note 4 – Fair Value of Financial Instruments” in the notes to the financial statements included with this annual report on Form 10-K for specific unobservable inputs.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Contractual Obligations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have certain commitments pursuant to our Investment Advisory Agreement that we have entered into with the Adviser.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the Adviser to serve as our administrator. Payments under the Administration Agreement will be reimbursements to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a sub-administrator. The Company is not responsible for the compensation of the Adviser’s employees and overhead expenses. See “Item 1. Business—Administration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20, 2024, the Company announced that the Board unanimously approved an expansion of the Company’s investment strategy to permit investments in companies outside of the cannabis and health and wellness sectors that otherwise meet the Company’s investment criteria. The investment strategy change became effective on April 22, 2024.</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See “Note 13 – Loan Portfolio Acquisition” in the notes to the financial statements included with this annual report on Form 10-K for further information regarding the Loan Portfolio Acquisition.</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 As the Joint Venture caused the automatic termination of the prior investment advisory agreement between the Company and the Adviser (the “Prior Investment Advisory Agreement”), a new investment advisory agreement between the Company and the Adviser (the “New Investment Advisory Agreement”), which was approved by the Board, upon the recommendation of its special committee, and the Company’s stockholders, took effect upon the closing of the Joint Venture. The New Investment Advisory Agreement has the same base management and incentive fee as, and otherwise does not materially differ from, the Prior Investment Advisory Agreement.</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October 1, 2024, in connection with the New Investment Advisory Agreement, the Company entered into a new license agreement (the “New License Agreement”) with the Adviser pursuant to which the Adviser has agreed to grant the Company a nonexclusive, royalty-free license to use the name “Chicago Atlantic.” Under the New License Agreement, the Company will have a right to use the “Chicago Atlantic” name, for so long as the Adviser or one of its affiliates remains the Company’s investment adviser. Other than with respect to this limited license, the Company will have no legal right to the “Chicago Atlantic” name. The New License Agreement does not materially differ from the prior license agreement between the Company and the Adviser, other than with respect to the licensed name.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October 1, 2024, in connection with the New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September 30, 2025.</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connection with the Loan Portfolio Acquisition and the Joint Venture, the Board and the officers of the Company changed as follows: (i) Frederick C. Herbst (Independent Director), John Mazarakis (Partner at Chicago Atlantic), and Jason Papastavrou (Independent Director) joined the Board, to serve until the 2025, 2026, and 2027 annual meetings of stockholders, respectively, and until their respective successors are duly elected and qualified; (ii) Andreas Bodmeier (Partner at Chicago Atlantic) replaced Mr. Gordon as Chief Executive Officer of the Company; (iii) Mr. Gordon became Executive Chairman of the Board and Co-Chief Investment Officer of the Company; (iv) Umesh Mahajan became Co-Chief Investment Officer of the Company in addition to remaining Chief Financial Officer and Secretary of the Company; and (v) Dino Colonna (Partner at the Adviser) became the President of the Company. Each officer of the Company will serve until his successor has been duly elected and qualified, or until the earlier of his resignation or removal.</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11, 2025, the Company entered into a senior secured revolving credit agreement (the “Credit Agreement”) among the Company, as borrower, Western Alliance Trust Company, N.A. (“WATC”), as administrative agent, Western Alliance Bank, as an issuing bank and as the initial lender, and the other lenders party thereto from time to time.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Agreement also provides for the issuance of letters of credit in an aggregate face amount of up to $5,000,000.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Availability under the Credit Agreement (the “Revolving Period”) will terminate on February 11, 2027, and the Credit Agreement has a scheduled maturity date of March 31, 2028.</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Borrowings under the Credit Agreement bear interest at the annual rate of one-month term Secured Overnight Financing Rate plus 3.00%. The Company will pay a commitment fee of 0.50% per annum on the average daily unused portion of commitments under the Credit Agreement during the Revolving Period. The Company also will be required to pay letter of credit participation fees and a fronting fee on the average daily amount of the lenders’ exposure with respect to any letters of credit issued at the request of the Company under the Credit Agreement.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connection with the Company entering into the Credit Agreement, the Board approved a clarification, as proposed by the Company and the Adviser, of the Expense Limitation Agreement, that the interest expense, fees, and other costs associated with the Credit Agreement, and any future interest expense, fees, and other costs associated with raising debt and/or equity capital for the Company are not subject to, and do not count towards, the expense cap of 2.15% per annum under the Expense Limitation Agreement.</w:t>
      </w:r>
    </w:p>
    <w:p>
      <w:pPr>
        <w:spacing w:after="0" w:line="11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1"/>
          <w:szCs w:val="11"/>
          <w:color w:val="auto"/>
        </w:rPr>
        <w:t>Additionally, on February 11, 2025, WATC and the Company entered into a custody agreement (the “WATC Custody Agreement”), pursuant to which WATC was appointed to serve as the Company’s custodian to hold securities, loans, cash, and other assets on behalf of the Company. Either party may terminate the WATC Custody Agreement at any time upon sixty (60) days’ prior written notice. In addition, Western Alliance Bank (“WAB”) and the Company entered into two substantively identical custody agreements (the “WAB Custody Agreements” and together with the WATC Custody Agreement, the “Custody Agreements”), pursuant to which WAB was appointed to hold and act as the Company’s custodian with respect to all Deposit Accounts (as defined in the WAB Custody Agreements) for funds of the Company placed through the ICS Deposit Placement Agreement (included with the WAB Custody Agreements).</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14, 2025, Mr. Mahajan resigned from his position as Chief Financial Officer of the Company. Mr. Mahajan’s decision to resign from his position as Chief Financial Officer of the Company was due to his desire to focus more attention on his duties as the Co-Chief Investment Officer of the Company, and was not due to a disagreement on any matter related to the Company’s operations, policies or practices.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February 14, 2025, the Board appointed Martin Rodgers to the position of Chief Financial Officer of the Company. Mr. Rodgers will serve as Chief Financial Officer of the Company until his successor has been duly elected and qualified, or until the earlier of his resignation or removal.</w:t>
      </w:r>
    </w:p>
    <w:p>
      <w:pPr>
        <w:spacing w:after="0" w:line="11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Mr. Rodgers has over 35 years of accounting, finance, project and risk management experience, and serves as the Senior Managing Director of Finance and Accounting at Chicago Atlantic Group, LP. Prior to joining Chicago Atlantic, Mr. Rodgers spent 15 years at First Eagle Alternative Credit, a $20 billion alternative credit manager specializing in bank syndicated loans and direct lending debt, in various roles, including Director of Finance and Administration and Director of Alternative Credit Risk, with responsibilities for fund accounting, performance measurement, enterprise risk management, and special projects. Mr. Rodgers started his career in the United Kingdom and spent 4 years in the audit practice at PricewaterhouseCoopers. He has also held positions at Goldman Sachs, Abbot Laboratories, and Jefferson Wells. Mr. Rodgers holds a Bachelor of Arts (Accountancy and Economics) degree from the University of Stirling in Scotland and is a member of the Institute of Chartered Accountants of Scotland.</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13, 2025, each of Mr. Frederick Herbst and Mr. Jason Papastavrou resigned from his position as Director of the Company. Each of Mr. Herbst’s and Mr. Papastavrou’s decision to resign from his position as Director of the Company was not due to a disagreement on any matter related to the Company’s operations, policies or practices.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March 13, 2025, the Board appointed Ms. Supurna VedBrat to replace Mr. Herbst as a Class 1 Director of the Company, to serve until the Company’s annual meeting of stockholders to be held in 2025, or until her successor is duly elected and qualified. On March 13, 2025, the Board appointed Mr. Patrick McCauley to replace Mr. Papastavrou as a Class 3 Director of the Company, to serve until the Company’s annual meeting of stockholders to be held in 2027, or until his successor is duly elected and qualified.</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Ms. VedBrat has had a professional career spanning over 25 years of experience in both the U.S. and Europe, and within the financial and technologies industries. Since 2023, Ms. VedBrat has served as a consultant. Previously, Ms. VedBrat was Head of Global Trading at BlackRock from July 2011 to February 2023, where she oversaw the company’s trading function across asset classes and regions. Ms. VedBrat was responsible for driving innovation and setting the trading platform’s strategic vision focused on growth and sustainable scalable trading solutions. Ms. VedBrat also served as a member of BlackRock’s Global Operating Committee and the Investment Subcommittee. Ms. VedBrat served as the President of Strategic Solutions Consulting from January 2009 to July 2011 and as a fixed income, commodities and distressed debt analyst at Bank of America from March 2004 to January 2009. Ms. VedBrat has served two terms each on the Commodity Futures Trading Commission (CFTC) Technology Advisory Committee (TAC) and the CFTC Global Markets Advisory Committee (GMAC). Previously, Ms. VedBrat held various positions at Bank of America, ING Barings in London, and Lehman Brothers in New York. She started her career as a software engineer with IBM at their research center. Ms. VedBrat serves on the boards of directors of Roadzen, Inc. and South Street Securities LLC. She also serves on the board of Women in Derivatives (WIND), a non-profit with a mission to advance women in the workforce. Ms. VedBrat was given the Financial Markets Luminary award by Women in Derivatives. Ms. VedBrat was ranked #8 on the Institutional Investor’s 2018 Trading Tech 40 list. She was also a recipient of the Markets Media Women in Finance Award for Excellence in Leadership. Ms. VedBrat holds a Bachelor of Arts (Honors) degree in Mathematics from Delhi University and a Bachelor of Arts (High Honors) degree in Computer Science from Rutgers University.</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Mr. McCauley is Chief Executive Officer and Owner of Bridgewell Agribusiness LLC (SWAB), a commodity-based sales and trading company headquartered in Portland, Oregon. SWAB sources food and agricultural products for industrial and retail food companies. In January 2018, Mr. McCauley purchased SWAB from Bridgewell Resources, where he served as President and Chief Executive Officer since October 2013. Bridgewell Resources is a similar platform to SWAB, focusing on sales and trading of lumber-based products across a range of construction, utility, and retail markets. Prior to working at Bridgewell Resources, Mr. McCauley spent 22 years at Susquehanna International Group (SIG), a global quantitative financial trading firm based in Philadelphia, Pennsylvania. At SIG, Mr. McCauley held a number of key positions including Chief Operating Officer, Head of Business Development, Head of Equity Trading and Head of Trader Development and Education. Mr. McCauley regularly conducts seminars that explore the principles of Decision Science applied to managerial decision-making and strategic business management. In addition, he has developed a curriculum that he has taught as an independent study course for local high school students. Mr. McCauley holds a Bachelor of Arts degree from Swarthmore College and a Master of Business Administration degree from Vanderbilt University.</w:t>
      </w:r>
    </w:p>
    <w:p>
      <w:pPr>
        <w:spacing w:after="0" w:line="1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March 13, 2025, Dr. Andreas Bodmeier resigned from his position as Chief Executive Officer of the Company. Dr. Bodmeier’s decision to resign from his position as Chief Executive Officer of the Company was not due to a disagreement on any matter related to the Company’s operations, policies or practices.</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March 13, 2025, the Board appointed Mr. Peter Sack to the position of Chief Executive Officer of the Company. Mr. Sack will serve as Chief Executive Officer of the Company until his successor has been duly elected and qualified, or until the earlier of his resignation or removal.</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Mr. Sack is a Managing Partner at Chicago Atlantic Group, LP. Mr. Sack is a credit investor and portfolio manager with experience investing across the capital structure. Prior to joining Chicago Atlantic, Mr. Sack was a Principal at BC Partners Credit from July 2018 to June 2021, where he sourced and underwrote across the firm’s opportunistic and senior lending strategies in a wide array of industries including cannabis-related direct lending. Previously, Mr. Sack was an Associate at Atlas Holdings LLC, a private-equity firm focused on supporting distressed manufacturing and distribution companies globally, from July 2012 to June 2016. Mr. Sack serves on the boards of directors of Chicago Atlantic Real Estate Finance, Inc., Ability Insurance Company, and the New York City Charter School of the Arts. Mr. Sack speaks Mandarin Chinese and Spanish. Mr. Sack holds a Bachelor of Arts degree in East Asian Studies from Yale University, and a Master of Business Administration degree from the Wharton School of the University of Pennsylvania, and was a Fulbright Scholar at Sun Yat-sen University in China.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Uncertainty with respect to the economic effects of political tensions in the United States and around the world (including the current conflicts between Russia and Ukraine and in the Middle East)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Valuation Risk</w:t>
      </w:r>
    </w:p>
    <w:p>
      <w:pPr>
        <w:spacing w:after="0" w:line="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Interest rate sensitivity and risk refer to the change in earnings that may result from changes in the level of interest rates. To the extent that we borrow money to make investments, including under any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2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As of December 31, 2024, 79.5% of our debt investments based on outstanding principal balance represented floating-rate investments based on PRIME or SOFR and approximately 20.5% of our debt investments based on outstanding principal balance represented fixed rate investments. As of December 31, 2023, 84.1% of our debt investments based on outstanding principal balance represented floating-rate investments based on PRIME and approximately 15.9% of our debt investments based on outstanding principal balance represented fixed rate investments.</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Based on our Statements of Operations for the year ended December 31, 2024, the following table shows the annualized impact on net income of hypothetical base rate changes in the benchmark rate on our debt investments (considering interest rate floors for floating rate instruments):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20" w:type="dxa"/>
            <w:vAlign w:val="bottom"/>
          </w:tcPr>
          <w:p>
            <w:pPr>
              <w:ind w:left="2980"/>
              <w:spacing w:after="0"/>
              <w:rPr>
                <w:sz w:val="20"/>
                <w:szCs w:val="20"/>
                <w:color w:val="auto"/>
              </w:rPr>
            </w:pPr>
            <w:r>
              <w:rPr>
                <w:rFonts w:ascii="Times New Roman" w:cs="Times New Roman" w:eastAsia="Times New Roman" w:hAnsi="Times New Roman"/>
                <w:sz w:val="12"/>
                <w:szCs w:val="12"/>
                <w:b w:val="1"/>
                <w:bCs w:val="1"/>
                <w:color w:val="auto"/>
              </w:rPr>
              <w:t>Change in Interest Rates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Interest Income</w:t>
            </w:r>
          </w:p>
        </w:tc>
        <w:tc>
          <w:tcPr>
            <w:tcW w:w="10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Interest Expense</w:t>
            </w:r>
          </w:p>
        </w:tc>
        <w:tc>
          <w:tcPr>
            <w:tcW w:w="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Net Income/(Loss)</w:t>
            </w:r>
          </w:p>
        </w:tc>
      </w:tr>
      <w:tr>
        <w:trPr>
          <w:trHeight w:val="142"/>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Up 300 basis points</w:t>
            </w:r>
          </w:p>
        </w:tc>
        <w:tc>
          <w:tcPr>
            <w:tcW w:w="23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39,514</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39,514</w:t>
            </w:r>
          </w:p>
        </w:tc>
        <w:tc>
          <w:tcPr>
            <w:tcW w:w="12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Up 200 basis points</w:t>
            </w: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37,308</w:t>
            </w:r>
          </w:p>
        </w:tc>
        <w:tc>
          <w:tcPr>
            <w:tcW w:w="100" w:type="dxa"/>
            <w:vAlign w:val="bottom"/>
          </w:tcPr>
          <w:p>
            <w:pPr>
              <w:spacing w:after="0"/>
              <w:rPr>
                <w:sz w:val="12"/>
                <w:szCs w:val="12"/>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37,308</w:t>
            </w: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Up 100 basis points</w:t>
            </w: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35,102</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35,102</w:t>
            </w: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Down 100 basis points</w:t>
            </w: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(32,184)</w:t>
            </w:r>
          </w:p>
        </w:tc>
        <w:tc>
          <w:tcPr>
            <w:tcW w:w="100" w:type="dxa"/>
            <w:vAlign w:val="bottom"/>
          </w:tcPr>
          <w:p>
            <w:pPr>
              <w:spacing w:after="0"/>
              <w:rPr>
                <w:sz w:val="12"/>
                <w:szCs w:val="12"/>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(32,184)</w:t>
            </w: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Down 200 basis points</w:t>
            </w: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(31,410)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(31,410)</w:t>
            </w:r>
          </w:p>
        </w:tc>
      </w:tr>
      <w:tr>
        <w:trPr>
          <w:trHeight w:val="155"/>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Down 300 basis points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(30,782)</w:t>
            </w:r>
          </w:p>
        </w:tc>
        <w:tc>
          <w:tcPr>
            <w:tcW w:w="10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(30,782)</w:t>
            </w:r>
          </w:p>
        </w:tc>
      </w:tr>
      <w:tr>
        <w:trPr>
          <w:trHeight w:val="368"/>
        </w:trPr>
        <w:tc>
          <w:tcPr>
            <w:tcW w:w="4920" w:type="dxa"/>
            <w:vAlign w:val="bottom"/>
          </w:tcPr>
          <w:p>
            <w:pPr>
              <w:spacing w:after="0"/>
              <w:rPr>
                <w:sz w:val="24"/>
                <w:szCs w:val="24"/>
                <w:color w:val="auto"/>
              </w:rPr>
            </w:pPr>
          </w:p>
        </w:tc>
        <w:tc>
          <w:tcPr>
            <w:tcW w:w="2300" w:type="dxa"/>
            <w:vAlign w:val="bottom"/>
          </w:tcPr>
          <w:p>
            <w:pPr>
              <w:jc w:val="right"/>
              <w:ind w:right="1472"/>
              <w:spacing w:after="0"/>
              <w:rPr>
                <w:sz w:val="20"/>
                <w:szCs w:val="20"/>
                <w:color w:val="auto"/>
              </w:rPr>
            </w:pPr>
            <w:r>
              <w:rPr>
                <w:rFonts w:ascii="Times New Roman" w:cs="Times New Roman" w:eastAsia="Times New Roman" w:hAnsi="Times New Roman"/>
                <w:sz w:val="10"/>
                <w:szCs w:val="10"/>
                <w:color w:val="auto"/>
              </w:rPr>
              <w:t>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49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Based on our Statements of Operations for the year ended December 31, 2023, the following table shows the annualized impact on net income of hypothetical base rate changes in the benchmark rate on our debt investments (considering interest rate floors for floating rate instruments):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20" w:type="dxa"/>
            <w:vAlign w:val="bottom"/>
          </w:tcPr>
          <w:p>
            <w:pPr>
              <w:ind w:left="2980"/>
              <w:spacing w:after="0"/>
              <w:rPr>
                <w:sz w:val="20"/>
                <w:szCs w:val="20"/>
                <w:color w:val="auto"/>
              </w:rPr>
            </w:pPr>
            <w:r>
              <w:rPr>
                <w:rFonts w:ascii="Times New Roman" w:cs="Times New Roman" w:eastAsia="Times New Roman" w:hAnsi="Times New Roman"/>
                <w:sz w:val="12"/>
                <w:szCs w:val="12"/>
                <w:b w:val="1"/>
                <w:bCs w:val="1"/>
                <w:color w:val="auto"/>
              </w:rPr>
              <w:t>Change in Interest Rates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Interest Income</w:t>
            </w:r>
          </w:p>
        </w:tc>
        <w:tc>
          <w:tcPr>
            <w:tcW w:w="10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Interest Expense</w:t>
            </w:r>
          </w:p>
        </w:tc>
        <w:tc>
          <w:tcPr>
            <w:tcW w:w="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Net Income/(Loss)</w:t>
            </w:r>
          </w:p>
        </w:tc>
      </w:tr>
      <w:tr>
        <w:trPr>
          <w:trHeight w:val="142"/>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Up 300 basis points</w:t>
            </w:r>
          </w:p>
        </w:tc>
        <w:tc>
          <w:tcPr>
            <w:tcW w:w="23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6,103</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6,103</w:t>
            </w:r>
          </w:p>
        </w:tc>
        <w:tc>
          <w:tcPr>
            <w:tcW w:w="12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Up 200 basis points</w:t>
            </w: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3,897</w:t>
            </w:r>
          </w:p>
        </w:tc>
        <w:tc>
          <w:tcPr>
            <w:tcW w:w="100" w:type="dxa"/>
            <w:vAlign w:val="bottom"/>
          </w:tcPr>
          <w:p>
            <w:pPr>
              <w:spacing w:after="0"/>
              <w:rPr>
                <w:sz w:val="12"/>
                <w:szCs w:val="12"/>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3,897</w:t>
            </w: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Up 100 basis points</w:t>
            </w: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1,691</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1,691</w:t>
            </w: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Down 100 basis points</w:t>
            </w: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(1,227)</w:t>
            </w:r>
          </w:p>
        </w:tc>
        <w:tc>
          <w:tcPr>
            <w:tcW w:w="100" w:type="dxa"/>
            <w:vAlign w:val="bottom"/>
          </w:tcPr>
          <w:p>
            <w:pPr>
              <w:spacing w:after="0"/>
              <w:rPr>
                <w:sz w:val="12"/>
                <w:szCs w:val="12"/>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(1,227)</w:t>
            </w: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Down 200 basis points</w:t>
            </w: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(2,001)</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(2,001)</w:t>
            </w:r>
          </w:p>
        </w:tc>
      </w:tr>
      <w:tr>
        <w:trPr>
          <w:trHeight w:val="155"/>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Down 300 basis points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(2,629)</w:t>
            </w:r>
          </w:p>
        </w:tc>
        <w:tc>
          <w:tcPr>
            <w:tcW w:w="10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(2,629)</w:t>
            </w:r>
          </w:p>
        </w:tc>
      </w:tr>
      <w:tr>
        <w:trPr>
          <w:trHeight w:val="368"/>
        </w:trPr>
        <w:tc>
          <w:tcPr>
            <w:tcW w:w="4920" w:type="dxa"/>
            <w:vAlign w:val="bottom"/>
          </w:tcPr>
          <w:p>
            <w:pPr>
              <w:spacing w:after="0"/>
              <w:rPr>
                <w:sz w:val="24"/>
                <w:szCs w:val="24"/>
                <w:color w:val="auto"/>
              </w:rPr>
            </w:pPr>
          </w:p>
        </w:tc>
        <w:tc>
          <w:tcPr>
            <w:tcW w:w="2300" w:type="dxa"/>
            <w:vAlign w:val="bottom"/>
          </w:tcPr>
          <w:p>
            <w:pPr>
              <w:jc w:val="right"/>
              <w:ind w:right="1472"/>
              <w:spacing w:after="0"/>
              <w:rPr>
                <w:sz w:val="20"/>
                <w:szCs w:val="20"/>
                <w:color w:val="auto"/>
              </w:rPr>
            </w:pPr>
            <w:r>
              <w:rPr>
                <w:rFonts w:ascii="Times New Roman" w:cs="Times New Roman" w:eastAsia="Times New Roman" w:hAnsi="Times New Roman"/>
                <w:sz w:val="10"/>
                <w:szCs w:val="10"/>
                <w:color w:val="auto"/>
              </w:rPr>
              <w:t>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49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gridSpan w:val="9"/>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2640" w:type="dxa"/>
            <w:vAlign w:val="bottom"/>
          </w:tcPr>
          <w:p>
            <w:pPr>
              <w:spacing w:after="0"/>
              <w:rPr>
                <w:sz w:val="10"/>
                <w:szCs w:val="10"/>
                <w:color w:val="auto"/>
              </w:rPr>
            </w:pPr>
          </w:p>
        </w:tc>
      </w:tr>
      <w:tr>
        <w:trPr>
          <w:trHeight w:val="232"/>
        </w:trPr>
        <w:tc>
          <w:tcPr>
            <w:tcW w:w="66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CHICAGO ATLANTIC BDC, INC.</w:t>
            </w:r>
          </w:p>
        </w:tc>
        <w:tc>
          <w:tcPr>
            <w:tcW w:w="2640" w:type="dxa"/>
            <w:vAlign w:val="bottom"/>
          </w:tcPr>
          <w:p>
            <w:pPr>
              <w:spacing w:after="0"/>
              <w:rPr>
                <w:sz w:val="20"/>
                <w:szCs w:val="20"/>
                <w:color w:val="auto"/>
              </w:rPr>
            </w:pPr>
          </w:p>
        </w:tc>
      </w:tr>
      <w:tr>
        <w:trPr>
          <w:trHeight w:val="261"/>
        </w:trPr>
        <w:tc>
          <w:tcPr>
            <w:tcW w:w="866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tc>
        <w:tc>
          <w:tcPr>
            <w:tcW w:w="2640" w:type="dxa"/>
            <w:vAlign w:val="bottom"/>
          </w:tcPr>
          <w:p>
            <w:pPr>
              <w:spacing w:after="0"/>
              <w:rPr>
                <w:sz w:val="22"/>
                <w:szCs w:val="22"/>
                <w:color w:val="auto"/>
              </w:rPr>
            </w:pPr>
          </w:p>
        </w:tc>
      </w:tr>
      <w:tr>
        <w:trPr>
          <w:trHeight w:val="288"/>
        </w:trPr>
        <w:tc>
          <w:tcPr>
            <w:tcW w:w="866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INDEX TO FINANCIAL STATEMENTS</w:t>
            </w:r>
          </w:p>
        </w:tc>
        <w:tc>
          <w:tcPr>
            <w:tcW w:w="264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24"/>
        </w:trPr>
        <w:tc>
          <w:tcPr>
            <w:tcW w:w="8660" w:type="dxa"/>
            <w:vAlign w:val="bottom"/>
            <w:gridSpan w:val="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w:t>
            </w:r>
            <w:r>
              <w:rPr>
                <w:rFonts w:ascii="Times New Roman" w:cs="Times New Roman" w:eastAsia="Times New Roman" w:hAnsi="Times New Roman"/>
                <w:sz w:val="12"/>
                <w:szCs w:val="12"/>
                <w:color w:val="000000"/>
              </w:rPr>
              <w:t>(BDO USA, P.C., New York, NY, PCAOB  ID #243)</w:t>
            </w:r>
          </w:p>
        </w:tc>
        <w:tc>
          <w:tcPr>
            <w:tcW w:w="2640" w:type="dxa"/>
            <w:vAlign w:val="bottom"/>
            <w:shd w:val="clear" w:color="auto" w:fill="CCEEFF"/>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101</w:t>
            </w:r>
          </w:p>
        </w:tc>
      </w:tr>
      <w:tr>
        <w:trPr>
          <w:trHeight w:val="124"/>
        </w:trPr>
        <w:tc>
          <w:tcPr>
            <w:tcW w:w="1740" w:type="dxa"/>
            <w:vAlign w:val="bottom"/>
            <w:tcBorders>
              <w:top w:val="single" w:sz="8" w:color="0000EE"/>
              <w:bottom w:val="single" w:sz="8" w:color="0000EE"/>
            </w:tcBorders>
            <w:gridSpan w:val="6"/>
          </w:tcPr>
          <w:p>
            <w:pPr>
              <w:spacing w:after="0" w:line="117" w:lineRule="exact"/>
              <w:rPr>
                <w:sz w:val="20"/>
                <w:szCs w:val="20"/>
                <w:color w:val="auto"/>
              </w:rPr>
            </w:pPr>
            <w:r>
              <w:rPr>
                <w:rFonts w:ascii="Times New Roman" w:cs="Times New Roman" w:eastAsia="Times New Roman" w:hAnsi="Times New Roman"/>
                <w:sz w:val="12"/>
                <w:szCs w:val="12"/>
                <w:color w:val="0000EE"/>
                <w:w w:val="99"/>
              </w:rPr>
              <w:t>Statements of Assets and Liabilities</w:t>
            </w:r>
          </w:p>
        </w:tc>
        <w:tc>
          <w:tcPr>
            <w:tcW w:w="1060" w:type="dxa"/>
            <w:vAlign w:val="bottom"/>
            <w:tcBorders>
              <w:top w:val="single" w:sz="8" w:color="0000EE"/>
            </w:tcBorders>
            <w:gridSpan w:val="2"/>
          </w:tcPr>
          <w:p>
            <w:pPr>
              <w:spacing w:after="0"/>
              <w:rPr>
                <w:sz w:val="10"/>
                <w:szCs w:val="10"/>
                <w:color w:val="auto"/>
              </w:rPr>
            </w:pPr>
          </w:p>
        </w:tc>
        <w:tc>
          <w:tcPr>
            <w:tcW w:w="5860" w:type="dxa"/>
            <w:vAlign w:val="bottom"/>
            <w:tcBorders>
              <w:top w:val="single" w:sz="8" w:color="CCEEFF"/>
            </w:tcBorders>
          </w:tcPr>
          <w:p>
            <w:pPr>
              <w:spacing w:after="0"/>
              <w:rPr>
                <w:sz w:val="10"/>
                <w:szCs w:val="10"/>
                <w:color w:val="auto"/>
              </w:rPr>
            </w:pPr>
          </w:p>
        </w:tc>
        <w:tc>
          <w:tcPr>
            <w:tcW w:w="2640" w:type="dxa"/>
            <w:vAlign w:val="bottom"/>
            <w:tcBorders>
              <w:top w:val="single" w:sz="8" w:color="CCEEFF"/>
            </w:tcBorders>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102</w:t>
            </w:r>
          </w:p>
        </w:tc>
      </w:tr>
      <w:tr>
        <w:trPr>
          <w:trHeight w:val="124"/>
        </w:trPr>
        <w:tc>
          <w:tcPr>
            <w:tcW w:w="1240" w:type="dxa"/>
            <w:vAlign w:val="bottom"/>
            <w:tcBorders>
              <w:bottom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Statements of Operations</w:t>
            </w:r>
          </w:p>
        </w:tc>
        <w:tc>
          <w:tcPr>
            <w:tcW w:w="7420" w:type="dxa"/>
            <w:vAlign w:val="bottom"/>
            <w:tcBorders>
              <w:bottom w:val="single" w:sz="8" w:color="CCEEFF"/>
            </w:tcBorders>
            <w:gridSpan w:val="6"/>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103</w:t>
            </w:r>
          </w:p>
        </w:tc>
      </w:tr>
      <w:tr>
        <w:trPr>
          <w:trHeight w:val="124"/>
        </w:trPr>
        <w:tc>
          <w:tcPr>
            <w:tcW w:w="1800" w:type="dxa"/>
            <w:vAlign w:val="bottom"/>
            <w:tcBorders>
              <w:bottom w:val="single" w:sz="8" w:color="0000EE"/>
            </w:tcBorders>
            <w:gridSpan w:val="7"/>
          </w:tcPr>
          <w:p>
            <w:pPr>
              <w:spacing w:after="0" w:line="117" w:lineRule="exact"/>
              <w:rPr>
                <w:sz w:val="20"/>
                <w:szCs w:val="20"/>
                <w:color w:val="auto"/>
              </w:rPr>
            </w:pPr>
            <w:r>
              <w:rPr>
                <w:rFonts w:ascii="Times New Roman" w:cs="Times New Roman" w:eastAsia="Times New Roman" w:hAnsi="Times New Roman"/>
                <w:sz w:val="12"/>
                <w:szCs w:val="12"/>
                <w:color w:val="0000EE"/>
              </w:rPr>
              <w:t>Statements of Changes in Net Assets</w:t>
            </w:r>
          </w:p>
        </w:tc>
        <w:tc>
          <w:tcPr>
            <w:tcW w:w="6860" w:type="dxa"/>
            <w:vAlign w:val="bottom"/>
            <w:gridSpan w:val="2"/>
          </w:tcPr>
          <w:p>
            <w:pPr>
              <w:spacing w:after="0"/>
              <w:rPr>
                <w:sz w:val="10"/>
                <w:szCs w:val="10"/>
                <w:color w:val="auto"/>
              </w:rPr>
            </w:pPr>
          </w:p>
        </w:tc>
        <w:tc>
          <w:tcPr>
            <w:tcW w:w="2640" w:type="dxa"/>
            <w:vAlign w:val="bottom"/>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104</w:t>
            </w:r>
          </w:p>
        </w:tc>
      </w:tr>
      <w:tr>
        <w:trPr>
          <w:trHeight w:val="124"/>
        </w:trPr>
        <w:tc>
          <w:tcPr>
            <w:tcW w:w="1280" w:type="dxa"/>
            <w:vAlign w:val="bottom"/>
            <w:tcBorders>
              <w:bottom w:val="single" w:sz="8" w:color="0000EE"/>
            </w:tcBorders>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Statements of Cash Flows</w:t>
            </w:r>
          </w:p>
        </w:tc>
        <w:tc>
          <w:tcPr>
            <w:tcW w:w="7380" w:type="dxa"/>
            <w:vAlign w:val="bottom"/>
            <w:tcBorders>
              <w:bottom w:val="single" w:sz="8" w:color="CCEEFF"/>
            </w:tcBorders>
            <w:gridSpan w:val="5"/>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106</w:t>
            </w:r>
          </w:p>
        </w:tc>
      </w:tr>
      <w:tr>
        <w:trPr>
          <w:trHeight w:val="124"/>
        </w:trPr>
        <w:tc>
          <w:tcPr>
            <w:tcW w:w="1220" w:type="dxa"/>
            <w:vAlign w:val="bottom"/>
            <w:tcBorders>
              <w:bottom w:val="single" w:sz="8" w:color="0000EE"/>
            </w:tcBorders>
            <w:gridSpan w:val="2"/>
          </w:tcPr>
          <w:p>
            <w:pPr>
              <w:spacing w:after="0" w:line="117" w:lineRule="exact"/>
              <w:rPr>
                <w:sz w:val="20"/>
                <w:szCs w:val="20"/>
                <w:color w:val="auto"/>
              </w:rPr>
            </w:pPr>
            <w:r>
              <w:rPr>
                <w:rFonts w:ascii="Times New Roman" w:cs="Times New Roman" w:eastAsia="Times New Roman" w:hAnsi="Times New Roman"/>
                <w:sz w:val="12"/>
                <w:szCs w:val="12"/>
                <w:color w:val="0000EE"/>
                <w:w w:val="97"/>
              </w:rPr>
              <w:t>Schedules of Investments</w:t>
            </w:r>
          </w:p>
        </w:tc>
        <w:tc>
          <w:tcPr>
            <w:tcW w:w="7440" w:type="dxa"/>
            <w:vAlign w:val="bottom"/>
            <w:gridSpan w:val="7"/>
          </w:tcPr>
          <w:p>
            <w:pPr>
              <w:spacing w:after="0"/>
              <w:rPr>
                <w:sz w:val="10"/>
                <w:szCs w:val="10"/>
                <w:color w:val="auto"/>
              </w:rPr>
            </w:pPr>
          </w:p>
        </w:tc>
        <w:tc>
          <w:tcPr>
            <w:tcW w:w="2640" w:type="dxa"/>
            <w:vAlign w:val="bottom"/>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107</w:t>
            </w:r>
          </w:p>
        </w:tc>
      </w:tr>
      <w:tr>
        <w:trPr>
          <w:trHeight w:val="124"/>
        </w:trPr>
        <w:tc>
          <w:tcPr>
            <w:tcW w:w="8660" w:type="dxa"/>
            <w:vAlign w:val="bottom"/>
            <w:gridSpan w:val="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Notes to Financial Statements</w:t>
            </w:r>
          </w:p>
        </w:tc>
        <w:tc>
          <w:tcPr>
            <w:tcW w:w="2640" w:type="dxa"/>
            <w:vAlign w:val="bottom"/>
            <w:shd w:val="clear" w:color="auto" w:fill="CCEEFF"/>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110</w:t>
            </w:r>
          </w:p>
        </w:tc>
      </w:tr>
      <w:tr>
        <w:trPr>
          <w:trHeight w:val="379"/>
        </w:trPr>
        <w:tc>
          <w:tcPr>
            <w:tcW w:w="1420" w:type="dxa"/>
            <w:vAlign w:val="bottom"/>
            <w:tcBorders>
              <w:top w:val="single" w:sz="8" w:color="0000EE"/>
            </w:tcBorders>
            <w:gridSpan w:val="5"/>
          </w:tcPr>
          <w:p>
            <w:pPr>
              <w:spacing w:after="0"/>
              <w:rPr>
                <w:sz w:val="24"/>
                <w:szCs w:val="24"/>
                <w:color w:val="auto"/>
              </w:rPr>
            </w:pPr>
          </w:p>
        </w:tc>
        <w:tc>
          <w:tcPr>
            <w:tcW w:w="7240" w:type="dxa"/>
            <w:vAlign w:val="bottom"/>
            <w:tcBorders>
              <w:top w:val="single" w:sz="8" w:color="CCEEFF"/>
            </w:tcBorders>
            <w:gridSpan w:val="4"/>
          </w:tcPr>
          <w:p>
            <w:pPr>
              <w:jc w:val="right"/>
              <w:ind w:right="2880"/>
              <w:spacing w:after="0"/>
              <w:rPr>
                <w:sz w:val="20"/>
                <w:szCs w:val="20"/>
                <w:color w:val="auto"/>
              </w:rPr>
            </w:pPr>
            <w:r>
              <w:rPr>
                <w:rFonts w:ascii="Times New Roman" w:cs="Times New Roman" w:eastAsia="Times New Roman" w:hAnsi="Times New Roman"/>
                <w:sz w:val="10"/>
                <w:szCs w:val="10"/>
                <w:color w:val="auto"/>
              </w:rPr>
              <w:t>100</w:t>
            </w:r>
          </w:p>
        </w:tc>
        <w:tc>
          <w:tcPr>
            <w:tcW w:w="2640" w:type="dxa"/>
            <w:vAlign w:val="bottom"/>
            <w:tcBorders>
              <w:top w:val="single" w:sz="8" w:color="CCEEFF"/>
            </w:tcBorders>
          </w:tcPr>
          <w:p>
            <w:pPr>
              <w:spacing w:after="0"/>
              <w:rPr>
                <w:sz w:val="24"/>
                <w:szCs w:val="24"/>
                <w:color w:val="auto"/>
              </w:rPr>
            </w:pPr>
          </w:p>
        </w:tc>
      </w:tr>
      <w:tr>
        <w:trPr>
          <w:trHeight w:val="26"/>
        </w:trPr>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Shareholders and 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Chicago Atlantic BDC, Inc. (formerly known as Silver Spike Investment Corp.)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have audited the accompanying statements of assets and liabilities of Chicago Atlantic BDC, Inc. (formerly known as Silver Spike Investment Corp.) (the “Company”), including the schedules of investments, as of December 31, 2024 and 2023, the related statements of operations, changes in net assets, and cash flows for each of the two years in the period ended December 31, 2024, and for the period from April 1, 2022 through December 31, 2022, and the related notes (collectively referred to as the “financial statements”). In our opinion, the financial statements present fairly, in all material respects, the financial position of the Company as of December 31, 2024 and 2023, and the results of its operations, changes in its net assets, and its cash flows for each of the two years in the period ended December 31, 2024, and for the period from April 1, 2022 through December 31, 2022, in conformity with accounting principles generally accepted in the United States of America.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2024 and 2023 by correspondence with the custodian and the underlying investees or agents.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BDO USA, P.C.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31, 2025</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Statements of Assets and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8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r>
      <w:tr>
        <w:trPr>
          <w:trHeight w:val="275"/>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55"/>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Investments at fair value:</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8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Non-control/non-affiliate investments at fair value (amortized cost of $274,346,711 and $53,471,317,</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respectively)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275,241,398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54,120,000</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23,932,406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32,611,635</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Receivable for investment sold</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4,122,500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Interest receivable</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3,582,610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1,755,360</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from affiliates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2,361,019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321,108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89,276</w:t>
            </w:r>
          </w:p>
        </w:tc>
      </w:tr>
      <w:tr>
        <w:trPr>
          <w:trHeight w:val="142"/>
        </w:trPr>
        <w:tc>
          <w:tcPr>
            <w:tcW w:w="8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309,561,041</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88,576,271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Transaction fees payable related to the Loan Portfolio Acquisition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2,945,125</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711,264</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Income-based incentive fees payable</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1,998,945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1,511,253</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Offering costs payable</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989,645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to affiliates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905,129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Management fee payable</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758,362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257,121</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Professional fees payable</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458,809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431,953</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Capital gains incentive fees payable</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87,583</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Excise tax payable</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88,709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10,655</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costs payable</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47,881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46,219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13,822</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Unearned interest income</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37,752</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payable</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w:t>
            </w:r>
          </w:p>
        </w:tc>
      </w:tr>
      <w:tr>
        <w:trPr>
          <w:trHeight w:val="20"/>
        </w:trPr>
        <w:tc>
          <w:tcPr>
            <w:tcW w:w="87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8,398,463</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3,023,653</w:t>
            </w:r>
          </w:p>
        </w:tc>
      </w:tr>
      <w:tr>
        <w:trPr>
          <w:trHeight w:val="142"/>
        </w:trPr>
        <w:tc>
          <w:tcPr>
            <w:tcW w:w="8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 (Note 6)</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 $0.01 par value, 100,000,000 shares authorized, 22,820,386 and 6,214,941 shares issued and outstanding, respectively</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62,149</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paid-in-capital</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303,272,034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85,041,203</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Distributable earnings (accumulated loss)</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(2,337,660)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449,266</w:t>
            </w:r>
          </w:p>
        </w:tc>
      </w:tr>
      <w:tr>
        <w:trPr>
          <w:trHeight w:val="20"/>
        </w:trPr>
        <w:tc>
          <w:tcPr>
            <w:tcW w:w="87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Total net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301,162,578</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85,552,618</w:t>
            </w:r>
          </w:p>
        </w:tc>
      </w:tr>
      <w:tr>
        <w:trPr>
          <w:trHeight w:val="18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ASSET VALUE PER SHARE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financial statements.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Statements of Operations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w w:val="99"/>
              </w:rPr>
              <w:t>For the period</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rPr>
              <w:t>from</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April 1, 2022 through</w:t>
            </w:r>
          </w:p>
        </w:tc>
        <w:tc>
          <w:tcPr>
            <w:tcW w:w="0" w:type="dxa"/>
            <w:vAlign w:val="bottom"/>
          </w:tcPr>
          <w:p>
            <w:pPr>
              <w:spacing w:after="0"/>
              <w:rPr>
                <w:sz w:val="1"/>
                <w:szCs w:val="1"/>
                <w:color w:val="auto"/>
              </w:rPr>
            </w:pPr>
          </w:p>
        </w:tc>
      </w:tr>
      <w:tr>
        <w:trPr>
          <w:trHeight w:val="141"/>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3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INVESTMENT INCOME</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Non-control/non-affiliate investment income</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19,905,843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11,736,649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3,626,792</w:t>
            </w: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Fee income</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1,759,910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196,251</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410,000</w:t>
            </w:r>
          </w:p>
        </w:tc>
        <w:tc>
          <w:tcPr>
            <w:tcW w:w="0" w:type="dxa"/>
            <w:vAlign w:val="bottom"/>
          </w:tcPr>
          <w:p>
            <w:pPr>
              <w:spacing w:after="0"/>
              <w:rPr>
                <w:sz w:val="1"/>
                <w:szCs w:val="1"/>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investment income</w:t>
            </w: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21,665,753</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11,932,900</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4,036,792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Transaction expenses related to the Loan Portfolio Acquisition</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5,341,779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711,264</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Income-based incentive fees</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2,327,448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1,511,253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Management fee</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1,504,239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1,013,764</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336,432</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700,000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Professional fees</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527,358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435,090</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206,259</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Audit expense</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497,200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499,698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210,284</w:t>
            </w: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Administrator fees</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449,974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335,253</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171,494</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 expenses</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430,254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355,672</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350,358</w:t>
            </w: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Legal expenses</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282,156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343,824</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484,412</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Excise tax expense</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120,024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10,655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80,566</w:t>
            </w: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Capital gains incentive fees</w:t>
            </w:r>
          </w:p>
        </w:tc>
        <w:tc>
          <w:tcPr>
            <w:tcW w:w="220" w:type="dxa"/>
            <w:vAlign w:val="bottom"/>
          </w:tcPr>
          <w:p>
            <w:pPr>
              <w:spacing w:after="0"/>
              <w:rPr>
                <w:sz w:val="12"/>
                <w:szCs w:val="12"/>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34,304</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87,583</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12,214,736</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5,304,056</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1,839,805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INVESTMENT INCOME (LOSS)</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9,451,017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6,628,844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2,196,987</w:t>
            </w:r>
          </w:p>
        </w:tc>
        <w:tc>
          <w:tcPr>
            <w:tcW w:w="0" w:type="dxa"/>
            <w:vAlign w:val="bottom"/>
          </w:tcPr>
          <w:p>
            <w:pPr>
              <w:spacing w:after="0"/>
              <w:rPr>
                <w:sz w:val="1"/>
                <w:szCs w:val="1"/>
                <w:color w:val="auto"/>
              </w:rPr>
            </w:pPr>
          </w:p>
        </w:tc>
      </w:tr>
      <w:tr>
        <w:trPr>
          <w:trHeight w:val="142"/>
        </w:trPr>
        <w:tc>
          <w:tcPr>
            <w:tcW w:w="73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REALIZED GAIN (LOSS) FROM INVESTMENTS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Non-controlled non-affiliate investments</w:t>
            </w:r>
          </w:p>
        </w:tc>
        <w:tc>
          <w:tcPr>
            <w:tcW w:w="2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(74,483)</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(210,767)</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realized gain (loss) from investments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(74,483)</w:t>
            </w:r>
          </w:p>
        </w:tc>
        <w:tc>
          <w:tcPr>
            <w:tcW w:w="240" w:type="dxa"/>
            <w:vAlign w:val="bottom"/>
            <w:tcBorders>
              <w:bottom w:val="single" w:sz="8" w:color="CCEEFF"/>
            </w:tcBorders>
            <w:gridSpan w:val="2"/>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(210,767)</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CHANGE IN UNREALIZED APPRECIATION (DEPRECIATION) FROM INVESTMENTS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Non-controlled/non-affiliate investments</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246,004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922,031</w:t>
            </w:r>
          </w:p>
        </w:tc>
        <w:tc>
          <w:tcPr>
            <w:tcW w:w="120" w:type="dxa"/>
            <w:vAlign w:val="bottom"/>
          </w:tcPr>
          <w:p>
            <w:pPr>
              <w:spacing w:after="0"/>
              <w:rPr>
                <w:sz w:val="12"/>
                <w:szCs w:val="12"/>
                <w:color w:val="auto"/>
              </w:rPr>
            </w:pPr>
          </w:p>
        </w:tc>
        <w:tc>
          <w:tcPr>
            <w:tcW w:w="11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(273,348)</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change in unrealized appreciation (depreciation) from investments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246,004</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922,031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(273,348</w:t>
            </w:r>
          </w:p>
        </w:tc>
        <w:tc>
          <w:tcPr>
            <w:tcW w:w="1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realized and unrealized gains (losses)</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171,521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711,264</w:t>
            </w:r>
          </w:p>
        </w:tc>
        <w:tc>
          <w:tcPr>
            <w:tcW w:w="120" w:type="dxa"/>
            <w:vAlign w:val="bottom"/>
          </w:tcPr>
          <w:p>
            <w:pPr>
              <w:spacing w:after="0"/>
              <w:rPr>
                <w:sz w:val="12"/>
                <w:szCs w:val="12"/>
                <w:color w:val="auto"/>
              </w:rPr>
            </w:pPr>
          </w:p>
        </w:tc>
        <w:tc>
          <w:tcPr>
            <w:tcW w:w="11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(273,348</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3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NET ASSETS RESULTING FROM OPERATIONS</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9,622,538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7,340,108</w:t>
            </w:r>
          </w:p>
        </w:tc>
        <w:tc>
          <w:tcPr>
            <w:tcW w:w="120" w:type="dxa"/>
            <w:vAlign w:val="bottom"/>
          </w:tcPr>
          <w:p>
            <w:pPr>
              <w:spacing w:after="0"/>
              <w:rPr>
                <w:sz w:val="12"/>
                <w:szCs w:val="12"/>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1,923,639</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gridSpan w:val="3"/>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INVESTMENT INCOME (LOSS) PER SHARE - BASIC AND DILUTED</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0.91</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1.07</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0.35</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NET ASSETS RESULTING FROM OPERATIONS PER SHARE - BASIC AND DILUTED</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0.93</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0.31</w:t>
            </w:r>
          </w:p>
        </w:tc>
        <w:tc>
          <w:tcPr>
            <w:tcW w:w="0" w:type="dxa"/>
            <w:vAlign w:val="bottom"/>
          </w:tcPr>
          <w:p>
            <w:pPr>
              <w:spacing w:after="0"/>
              <w:rPr>
                <w:sz w:val="1"/>
                <w:szCs w:val="1"/>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 - BASIC AND DILUTED</w:t>
            </w:r>
          </w:p>
        </w:tc>
        <w:tc>
          <w:tcPr>
            <w:tcW w:w="22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10,343,621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6,214,682</w:t>
            </w:r>
          </w:p>
        </w:tc>
        <w:tc>
          <w:tcPr>
            <w:tcW w:w="120" w:type="dxa"/>
            <w:vAlign w:val="bottom"/>
          </w:tcPr>
          <w:p>
            <w:pPr>
              <w:spacing w:after="0"/>
              <w:rPr>
                <w:sz w:val="13"/>
                <w:szCs w:val="13"/>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6,214,672</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840" w:right="4320" w:hanging="3768"/>
        <w:spacing w:after="0" w:line="533" w:lineRule="auto"/>
        <w:tabs>
          <w:tab w:leader="none" w:pos="1174"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On November 8, 2022, our Board of Directors approved a change in our fiscal year end from March 31 to December 31. </w:t>
      </w:r>
      <w:r>
        <w:rPr>
          <w:rFonts w:ascii="Times New Roman" w:cs="Times New Roman" w:eastAsia="Times New Roman" w:hAnsi="Times New Roman"/>
          <w:sz w:val="12"/>
          <w:szCs w:val="12"/>
          <w:color w:val="auto"/>
        </w:rPr>
        <w:t>See notes to financial statements.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15"/>
        </w:trPr>
        <w:tc>
          <w:tcPr>
            <w:tcW w:w="46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660" w:type="dxa"/>
            <w:vAlign w:val="bottom"/>
            <w:tcBorders>
              <w:top w:val="single" w:sz="8" w:color="0000EE"/>
            </w:tcBorders>
          </w:tcPr>
          <w:p>
            <w:pPr>
              <w:spacing w:after="0"/>
              <w:rPr>
                <w:sz w:val="20"/>
                <w:szCs w:val="20"/>
                <w:color w:val="auto"/>
              </w:rPr>
            </w:pPr>
          </w:p>
        </w:tc>
        <w:tc>
          <w:tcPr>
            <w:tcW w:w="3980" w:type="dxa"/>
            <w:vAlign w:val="bottom"/>
          </w:tcPr>
          <w:p>
            <w:pPr>
              <w:spacing w:after="0"/>
              <w:rPr>
                <w:sz w:val="20"/>
                <w:szCs w:val="20"/>
                <w:color w:val="auto"/>
              </w:rPr>
            </w:pPr>
          </w:p>
        </w:tc>
        <w:tc>
          <w:tcPr>
            <w:tcW w:w="2740" w:type="dxa"/>
            <w:vAlign w:val="bottom"/>
            <w:gridSpan w:val="5"/>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9"/>
        </w:trPr>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740" w:type="dxa"/>
            <w:vAlign w:val="bottom"/>
            <w:gridSpan w:val="5"/>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rPr>
              <w:t>Statements of Changes in Net Assets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1"/>
        </w:trPr>
        <w:tc>
          <w:tcPr>
            <w:tcW w:w="66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Distributable</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Earnings/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59"/>
        </w:trPr>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Net Assets</w:t>
            </w:r>
          </w:p>
        </w:tc>
      </w:tr>
      <w:tr>
        <w:trPr>
          <w:trHeight w:val="142"/>
        </w:trPr>
        <w:tc>
          <w:tcPr>
            <w:tcW w:w="4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6,214,941</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85,041,203</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449,266</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85,552,618</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Net increase (decrease) in net assets resulting from operations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investment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9,451,017</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9,451,017</w:t>
            </w: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realized gain (loss) from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(74,483)</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(74,483)</w:t>
            </w:r>
          </w:p>
        </w:tc>
      </w:tr>
      <w:tr>
        <w:trPr>
          <w:trHeight w:val="133"/>
        </w:trPr>
        <w:tc>
          <w:tcPr>
            <w:tcW w:w="464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Net change in unrealized appreciation (depreciation) from</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246,004</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246,004</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Total net increase (decrease) in net assets resulting from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9,622,538</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9,622,538</w:t>
            </w: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Distributions to stockholders from:</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Investment income-net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(12,420,140)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(12,420,140)</w:t>
            </w: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Capital transactions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16,605,372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166,054</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218,240,696</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218,406,750</w:t>
            </w:r>
          </w:p>
        </w:tc>
      </w:tr>
      <w:tr>
        <w:trPr>
          <w:trHeight w:val="14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Reinvestment of stockholder distributions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811</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812</w:t>
            </w:r>
          </w:p>
        </w:tc>
      </w:tr>
      <w:tr>
        <w:trPr>
          <w:trHeight w:val="131"/>
        </w:trPr>
        <w:tc>
          <w:tcPr>
            <w:tcW w:w="4640" w:type="dxa"/>
            <w:vAlign w:val="bottom"/>
            <w:tcBorders>
              <w:top w:val="single" w:sz="8" w:color="CCEEFF"/>
            </w:tcBorders>
            <w:gridSpan w:val="2"/>
          </w:tcPr>
          <w:p>
            <w:pPr>
              <w:ind w:left="200"/>
              <w:spacing w:after="0" w:line="132" w:lineRule="exact"/>
              <w:rPr>
                <w:sz w:val="20"/>
                <w:szCs w:val="20"/>
                <w:color w:val="auto"/>
              </w:rPr>
            </w:pPr>
            <w:r>
              <w:rPr>
                <w:rFonts w:ascii="Times New Roman" w:cs="Times New Roman" w:eastAsia="Times New Roman" w:hAnsi="Times New Roman"/>
                <w:sz w:val="12"/>
                <w:szCs w:val="12"/>
                <w:color w:val="auto"/>
              </w:rPr>
              <w:t>Total net increase (decrease) in net assets from capital</w:t>
            </w: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5"/>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16,605,445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166,055</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218,241,507</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218,407,562</w:t>
            </w:r>
          </w:p>
        </w:tc>
      </w:tr>
      <w:tr>
        <w:trPr>
          <w:trHeight w:val="14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increase (decrease) in net assets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16,605,445</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166,055</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218,241,507</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(2,797,602)</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215,609,960</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permanent 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(10,676)</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10,676</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2"/>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22,820,386</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228,204</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303,272,034</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(2,337,660)</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301,162,578</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6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1"/>
        </w:trPr>
        <w:tc>
          <w:tcPr>
            <w:tcW w:w="66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Distributable</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Earnings/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59"/>
        </w:trPr>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Net Assets</w:t>
            </w:r>
          </w:p>
        </w:tc>
      </w:tr>
      <w:tr>
        <w:trPr>
          <w:trHeight w:val="142"/>
        </w:trPr>
        <w:tc>
          <w:tcPr>
            <w:tcW w:w="4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6,214,672</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62,147</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84,917,788</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1,495,794</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86,475,729</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Net increase (decrease) in net assets resulting from operations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investment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6,628,844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6,628,844</w:t>
            </w: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realized gain (loss) from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(210,767)</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(210,767)</w:t>
            </w:r>
          </w:p>
        </w:tc>
      </w:tr>
      <w:tr>
        <w:trPr>
          <w:trHeight w:val="133"/>
        </w:trPr>
        <w:tc>
          <w:tcPr>
            <w:tcW w:w="464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Net change in unrealized appreciation (depreciation) from</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922,031</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922,031</w:t>
            </w:r>
          </w:p>
        </w:tc>
      </w:tr>
      <w:tr>
        <w:trPr>
          <w:trHeight w:val="131"/>
        </w:trPr>
        <w:tc>
          <w:tcPr>
            <w:tcW w:w="4640" w:type="dxa"/>
            <w:vAlign w:val="bottom"/>
            <w:tcBorders>
              <w:top w:val="single" w:sz="8" w:color="CCEEFF"/>
            </w:tcBorders>
            <w:gridSpan w:val="2"/>
          </w:tcPr>
          <w:p>
            <w:pPr>
              <w:ind w:left="200"/>
              <w:spacing w:after="0" w:line="132" w:lineRule="exact"/>
              <w:rPr>
                <w:sz w:val="20"/>
                <w:szCs w:val="20"/>
                <w:color w:val="auto"/>
              </w:rPr>
            </w:pPr>
            <w:r>
              <w:rPr>
                <w:rFonts w:ascii="Times New Roman" w:cs="Times New Roman" w:eastAsia="Times New Roman" w:hAnsi="Times New Roman"/>
                <w:sz w:val="12"/>
                <w:szCs w:val="12"/>
                <w:color w:val="auto"/>
              </w:rPr>
              <w:t>Total net increase (decrease) in net assets resulting from</w:t>
            </w: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5"/>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7,340,108</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7,340,108</w:t>
            </w:r>
          </w:p>
        </w:tc>
      </w:tr>
      <w:tr>
        <w:trPr>
          <w:trHeight w:val="14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Distributions to stockholders from:</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Investment income-net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(8,265,537)</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(8,265,537)</w:t>
            </w: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Capital transactions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Reinvestment of stockholder distributions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2,316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2,318</w:t>
            </w:r>
          </w:p>
        </w:tc>
      </w:tr>
      <w:tr>
        <w:trPr>
          <w:trHeight w:val="131"/>
        </w:trPr>
        <w:tc>
          <w:tcPr>
            <w:tcW w:w="4640" w:type="dxa"/>
            <w:vAlign w:val="bottom"/>
            <w:tcBorders>
              <w:top w:val="single" w:sz="8" w:color="CCEEFF"/>
            </w:tcBorders>
            <w:gridSpan w:val="2"/>
          </w:tcPr>
          <w:p>
            <w:pPr>
              <w:ind w:left="140"/>
              <w:spacing w:after="0" w:line="132" w:lineRule="exact"/>
              <w:rPr>
                <w:sz w:val="20"/>
                <w:szCs w:val="20"/>
                <w:color w:val="auto"/>
              </w:rPr>
            </w:pPr>
            <w:r>
              <w:rPr>
                <w:rFonts w:ascii="Times New Roman" w:cs="Times New Roman" w:eastAsia="Times New Roman" w:hAnsi="Times New Roman"/>
                <w:sz w:val="12"/>
                <w:szCs w:val="12"/>
                <w:color w:val="auto"/>
              </w:rPr>
              <w:t>Total net increase (decrease) in net assets from capital</w:t>
            </w: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5"/>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2,316</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2,318</w:t>
            </w:r>
          </w:p>
        </w:tc>
      </w:tr>
      <w:tr>
        <w:trPr>
          <w:trHeight w:val="14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increase (decrease) in net assets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2,316</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(925,429)</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(923,111)</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permanent 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121,099</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(121,099)</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2"/>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6,214,941</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85,041,203</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449,266</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85,552,618</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financial statements.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15"/>
        </w:trPr>
        <w:tc>
          <w:tcPr>
            <w:tcW w:w="46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660" w:type="dxa"/>
            <w:vAlign w:val="bottom"/>
            <w:tcBorders>
              <w:top w:val="single" w:sz="8" w:color="0000EE"/>
            </w:tcBorders>
          </w:tcPr>
          <w:p>
            <w:pPr>
              <w:spacing w:after="0"/>
              <w:rPr>
                <w:sz w:val="20"/>
                <w:szCs w:val="20"/>
                <w:color w:val="auto"/>
              </w:rPr>
            </w:pPr>
          </w:p>
        </w:tc>
        <w:tc>
          <w:tcPr>
            <w:tcW w:w="3980" w:type="dxa"/>
            <w:vAlign w:val="bottom"/>
          </w:tcPr>
          <w:p>
            <w:pPr>
              <w:spacing w:after="0"/>
              <w:rPr>
                <w:sz w:val="20"/>
                <w:szCs w:val="20"/>
                <w:color w:val="auto"/>
              </w:rPr>
            </w:pPr>
          </w:p>
        </w:tc>
        <w:tc>
          <w:tcPr>
            <w:tcW w:w="2740" w:type="dxa"/>
            <w:vAlign w:val="bottom"/>
            <w:gridSpan w:val="5"/>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9"/>
        </w:trPr>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740" w:type="dxa"/>
            <w:vAlign w:val="bottom"/>
            <w:gridSpan w:val="5"/>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rPr>
              <w:t>Statements of Changes in Net Assets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1"/>
        </w:trPr>
        <w:tc>
          <w:tcPr>
            <w:tcW w:w="66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Distributable</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Earnings/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80" w:type="dxa"/>
            <w:vAlign w:val="bottom"/>
          </w:tcPr>
          <w:p>
            <w:pPr>
              <w:spacing w:after="0"/>
              <w:rPr>
                <w:sz w:val="12"/>
                <w:szCs w:val="12"/>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9"/>
        </w:trPr>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8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Net Assets</w:t>
            </w:r>
          </w:p>
        </w:tc>
      </w:tr>
      <w:tr>
        <w:trPr>
          <w:trHeight w:val="142"/>
        </w:trPr>
        <w:tc>
          <w:tcPr>
            <w:tcW w:w="4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March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6,214,672</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62,147</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84,917,788</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(427,845)</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84,552,090</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Net increase (decrease) in net assets resulting from operations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investment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2,196,987</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2,196,987</w:t>
            </w: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realized gain (loss) from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change in unrealized appreciation (depreciation) from 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(273,348)</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(273,348)</w:t>
            </w:r>
          </w:p>
        </w:tc>
      </w:tr>
      <w:tr>
        <w:trPr>
          <w:trHeight w:val="131"/>
        </w:trPr>
        <w:tc>
          <w:tcPr>
            <w:tcW w:w="4640" w:type="dxa"/>
            <w:vAlign w:val="bottom"/>
            <w:tcBorders>
              <w:top w:val="single" w:sz="8" w:color="CCEEFF"/>
            </w:tcBorders>
            <w:gridSpan w:val="2"/>
          </w:tcPr>
          <w:p>
            <w:pPr>
              <w:ind w:left="200"/>
              <w:spacing w:after="0" w:line="132" w:lineRule="exact"/>
              <w:rPr>
                <w:sz w:val="20"/>
                <w:szCs w:val="20"/>
                <w:color w:val="auto"/>
              </w:rPr>
            </w:pPr>
            <w:r>
              <w:rPr>
                <w:rFonts w:ascii="Times New Roman" w:cs="Times New Roman" w:eastAsia="Times New Roman" w:hAnsi="Times New Roman"/>
                <w:sz w:val="12"/>
                <w:szCs w:val="12"/>
                <w:color w:val="auto"/>
              </w:rPr>
              <w:t>Total net increase (decrease) in net assets resulting from</w:t>
            </w: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5"/>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1,923,639</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1,923,639</w:t>
            </w: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Distributions to stockholders from:</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Investment income-net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Capital transactions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Reinvestment of stockholder distributions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1"/>
        </w:trPr>
        <w:tc>
          <w:tcPr>
            <w:tcW w:w="4640" w:type="dxa"/>
            <w:vAlign w:val="bottom"/>
            <w:tcBorders>
              <w:top w:val="single" w:sz="8" w:color="CCEEFF"/>
            </w:tcBorders>
            <w:gridSpan w:val="2"/>
          </w:tcPr>
          <w:p>
            <w:pPr>
              <w:ind w:left="200"/>
              <w:spacing w:after="0" w:line="132" w:lineRule="exact"/>
              <w:rPr>
                <w:sz w:val="20"/>
                <w:szCs w:val="20"/>
                <w:color w:val="auto"/>
              </w:rPr>
            </w:pPr>
            <w:r>
              <w:rPr>
                <w:rFonts w:ascii="Times New Roman" w:cs="Times New Roman" w:eastAsia="Times New Roman" w:hAnsi="Times New Roman"/>
                <w:sz w:val="12"/>
                <w:szCs w:val="12"/>
                <w:color w:val="auto"/>
              </w:rPr>
              <w:t>Total net increase (decrease) in net assets from capital</w:t>
            </w: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5"/>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increase (decrease) in net assets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6,214,672</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62,147</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84,917,788</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1,923,639</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1,923,639</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permanent 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2"/>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6,214,672</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62,147</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84,917,788</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1,495,794</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86,475,729</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1" w:lineRule="exact"/>
        <w:rPr>
          <w:sz w:val="20"/>
          <w:szCs w:val="20"/>
          <w:color w:val="auto"/>
        </w:rPr>
      </w:pPr>
    </w:p>
    <w:p>
      <w:pPr>
        <w:ind w:left="4840" w:right="4320" w:hanging="3768"/>
        <w:spacing w:after="0" w:line="533" w:lineRule="auto"/>
        <w:tabs>
          <w:tab w:leader="none" w:pos="117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On November 8, 2022, our Board of Directors approved a change in our fiscal year end from March 31 to December 31. </w:t>
      </w:r>
      <w:r>
        <w:rPr>
          <w:rFonts w:ascii="Times New Roman" w:cs="Times New Roman" w:eastAsia="Times New Roman" w:hAnsi="Times New Roman"/>
          <w:sz w:val="12"/>
          <w:szCs w:val="12"/>
          <w:color w:val="auto"/>
        </w:rPr>
        <w:t>See notes to financial statements.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60" w:type="dxa"/>
            <w:vAlign w:val="bottom"/>
            <w:tcBorders>
              <w:top w:val="single" w:sz="8" w:color="0000EE"/>
            </w:tcBorders>
          </w:tcPr>
          <w:p>
            <w:pPr>
              <w:spacing w:after="0"/>
              <w:rPr>
                <w:sz w:val="20"/>
                <w:szCs w:val="20"/>
                <w:color w:val="auto"/>
              </w:rPr>
            </w:pPr>
          </w:p>
        </w:tc>
        <w:tc>
          <w:tcPr>
            <w:tcW w:w="6680" w:type="dxa"/>
            <w:vAlign w:val="bottom"/>
          </w:tcPr>
          <w:p>
            <w:pPr>
              <w:jc w:val="center"/>
              <w:ind w:left="322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6680" w:type="dxa"/>
            <w:vAlign w:val="bottom"/>
          </w:tcPr>
          <w:p>
            <w:pPr>
              <w:jc w:val="center"/>
              <w:ind w:left="3220"/>
              <w:spacing w:after="0"/>
              <w:rPr>
                <w:sz w:val="20"/>
                <w:szCs w:val="20"/>
                <w:color w:val="auto"/>
              </w:rPr>
            </w:pPr>
            <w:r>
              <w:rPr>
                <w:rFonts w:ascii="Times New Roman" w:cs="Times New Roman" w:eastAsia="Times New Roman" w:hAnsi="Times New Roman"/>
                <w:sz w:val="12"/>
                <w:szCs w:val="12"/>
                <w:b w:val="1"/>
                <w:bCs w:val="1"/>
                <w:color w:val="auto"/>
              </w:rPr>
              <w:t>Statements of Cash Flows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6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For the period</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from</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April 1, 2022</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0" w:type="dxa"/>
            <w:vAlign w:val="bottom"/>
          </w:tcPr>
          <w:p>
            <w:pPr>
              <w:spacing w:after="0"/>
              <w:rPr>
                <w:sz w:val="1"/>
                <w:szCs w:val="1"/>
                <w:color w:val="auto"/>
              </w:rPr>
            </w:pPr>
          </w:p>
        </w:tc>
      </w:tr>
      <w:tr>
        <w:trPr>
          <w:trHeight w:val="141"/>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9,622,538</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7,340,108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1,923,639</w:t>
            </w:r>
          </w:p>
        </w:tc>
        <w:tc>
          <w:tcPr>
            <w:tcW w:w="0" w:type="dxa"/>
            <w:vAlign w:val="bottom"/>
          </w:tcPr>
          <w:p>
            <w:pPr>
              <w:spacing w:after="0"/>
              <w:rPr>
                <w:sz w:val="1"/>
                <w:szCs w:val="1"/>
                <w:color w:val="auto"/>
              </w:rPr>
            </w:pP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increase (decrease) in net assets resulting from operations to net cash provided by (used in) operating activities: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realized (gain) loss from investments</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74,483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210,767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Net change in unrealized (appreciation) depreciation from investments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(246,004)</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(922,031)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273,348</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(accretion of discounts) and amortization of premiums</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(1,101,295)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(810,554)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(165,398)</w:t>
            </w:r>
          </w:p>
        </w:tc>
        <w:tc>
          <w:tcPr>
            <w:tcW w:w="0" w:type="dxa"/>
            <w:vAlign w:val="bottom"/>
          </w:tcPr>
          <w:p>
            <w:pPr>
              <w:spacing w:after="0"/>
              <w:rPr>
                <w:sz w:val="1"/>
                <w:szCs w:val="1"/>
                <w:color w:val="auto"/>
              </w:rPr>
            </w:pPr>
          </w:p>
        </w:tc>
      </w:tr>
      <w:tr>
        <w:trPr>
          <w:trHeight w:val="14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Purchase of investments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(29,943,975)</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(8,442,000)</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(50,362,500)</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PIK interest capitalized</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(743,775)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(115,725)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Proceeds from sales of investments and principal repayments</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21,410,831</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6,214,093</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(Increase) Decrease in operating assets: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Interest receivable</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(1,827,250)</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(196,279)</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(1,549,867)</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Receivable for investment sold</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(4,122,500)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Due from affiliates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(2,361,019)</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(133,953)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(56,953)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224,189</w:t>
            </w: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Increase (Decrease) in operating liabilities: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Income-based incentive fees payable</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487,692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1,511,253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Management fee payable</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501,241</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86,156</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170,965</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Capital gains incentive fees payable</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34,304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87,583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Professional fees payable</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26,856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221,639</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54,810</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Transaction fees payable related to the Loan Portfolio Acquisition</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2,233,861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711,264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Other payables</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32,397</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(19,841)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8,305</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Due to affiliates</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905,129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44"/>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Excise tax payable</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78,054</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(69,911)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80,566</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Deferred income payable</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37,752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Offering cost payable</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(264,581)</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Organizational costs payable</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(34,168)</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cash (used in) provided by operating activities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(5,034,633)</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5,749,532</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(49,640,740</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660" w:type="dxa"/>
            <w:vAlign w:val="bottom"/>
            <w:shd w:val="clear" w:color="auto" w:fill="CCEEFF"/>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9,049,462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Offering costs paid</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(274,728)</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Distributions paid</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(12,419,330)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(8,263,217)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(3,644,596)</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(8,263,217)</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2"/>
        </w:trPr>
        <w:tc>
          <w:tcPr>
            <w:tcW w:w="660" w:type="dxa"/>
            <w:vAlign w:val="bottom"/>
            <w:shd w:val="clear" w:color="auto" w:fill="CCEEFF"/>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(decrease) increase in cash and cash equivalents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(8,679,229)</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(2,513,685)</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(49,640,740)</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beginning of period</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32,611,635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35,125,320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84,766,060</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end of period</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23,932,406</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32,611,635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35,125,320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60" w:type="dxa"/>
            <w:vAlign w:val="bottom"/>
            <w:shd w:val="clear" w:color="auto" w:fill="CCEEFF"/>
          </w:tcPr>
          <w:p>
            <w:pPr>
              <w:spacing w:after="0"/>
              <w:rPr>
                <w:sz w:val="10"/>
                <w:szCs w:val="10"/>
                <w:color w:val="auto"/>
              </w:rPr>
            </w:pPr>
          </w:p>
        </w:tc>
        <w:tc>
          <w:tcPr>
            <w:tcW w:w="6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and non-cash financing and investing activity</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Loans acquired for issuances of shares of common stock</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210,571,663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Reinvestment of dividend distributions</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812</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2,318</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Accrual for deferred financing costs (Note 2)</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47,881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Accrual for deferred offering costs (Note 2)</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49,998</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Excise taxes paid</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41,969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80,566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840" w:right="4320" w:hanging="3768"/>
        <w:spacing w:after="0" w:line="533" w:lineRule="auto"/>
        <w:tabs>
          <w:tab w:leader="none" w:pos="1174"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On November 8, 2022, our Board of Directors approved a change in our fiscal year end from March 31 to December 31. </w:t>
      </w:r>
      <w:r>
        <w:rPr>
          <w:rFonts w:ascii="Times New Roman" w:cs="Times New Roman" w:eastAsia="Times New Roman" w:hAnsi="Times New Roman"/>
          <w:sz w:val="12"/>
          <w:szCs w:val="12"/>
          <w:color w:val="auto"/>
        </w:rPr>
        <w:t>See notes to financial statements.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15"/>
        </w:trPr>
        <w:tc>
          <w:tcPr>
            <w:tcW w:w="1540" w:type="dxa"/>
            <w:vAlign w:val="bottom"/>
            <w:gridSpan w:val="13"/>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Schedule of Investments</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Bench-</w:t>
            </w: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Initial</w:t>
            </w: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gridSpan w:val="3"/>
            <w:vMerge w:val="restart"/>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All-in</w:t>
            </w:r>
          </w:p>
        </w:tc>
        <w:tc>
          <w:tcPr>
            <w:tcW w:w="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Acquisition</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of Net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Tickmark</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12"/>
                <w:szCs w:val="12"/>
                <w:b w:val="1"/>
                <w:bCs w:val="1"/>
                <w:color w:val="auto"/>
              </w:rPr>
              <w:t>mark</w:t>
            </w:r>
            <w:r>
              <w:rPr>
                <w:rFonts w:ascii="Times New Roman" w:cs="Times New Roman" w:eastAsia="Times New Roman" w:hAnsi="Times New Roman"/>
                <w:sz w:val="19"/>
                <w:szCs w:val="19"/>
                <w:b w:val="1"/>
                <w:bCs w:val="1"/>
                <w:color w:val="auto"/>
                <w:vertAlign w:val="superscript"/>
              </w:rPr>
              <w:t>(3)</w:t>
            </w: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11"/>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Portfolio Company</w:t>
            </w:r>
          </w:p>
        </w:tc>
        <w:tc>
          <w:tcPr>
            <w:tcW w:w="12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Facility Type</w:t>
            </w:r>
          </w:p>
        </w:tc>
        <w:tc>
          <w:tcPr>
            <w:tcW w:w="700" w:type="dxa"/>
            <w:vAlign w:val="bottom"/>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Rate</w:t>
            </w:r>
          </w:p>
        </w:tc>
        <w:tc>
          <w:tcPr>
            <w:tcW w:w="720" w:type="dxa"/>
            <w:vAlign w:val="bottom"/>
            <w:vMerge w:val="continue"/>
          </w:tcPr>
          <w:p>
            <w:pPr>
              <w:spacing w:after="0"/>
              <w:rPr>
                <w:sz w:val="11"/>
                <w:szCs w:val="11"/>
                <w:color w:val="auto"/>
              </w:rPr>
            </w:pPr>
          </w:p>
        </w:tc>
        <w:tc>
          <w:tcPr>
            <w:tcW w:w="68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Spread</w:t>
            </w: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PIK</w:t>
            </w:r>
          </w:p>
        </w:tc>
        <w:tc>
          <w:tcPr>
            <w:tcW w:w="5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Floor</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20" w:type="dxa"/>
            <w:vAlign w:val="bottom"/>
            <w:vMerge w:val="restart"/>
          </w:tcPr>
          <w:p>
            <w:pPr>
              <w:jc w:val="right"/>
              <w:ind w:right="261"/>
              <w:spacing w:after="0" w:line="165" w:lineRule="exact"/>
              <w:rPr>
                <w:sz w:val="20"/>
                <w:szCs w:val="20"/>
                <w:color w:val="auto"/>
              </w:rPr>
            </w:pPr>
            <w:r>
              <w:rPr>
                <w:rFonts w:ascii="Times New Roman" w:cs="Times New Roman" w:eastAsia="Times New Roman" w:hAnsi="Times New Roman"/>
                <w:sz w:val="19"/>
                <w:szCs w:val="19"/>
                <w:b w:val="1"/>
                <w:bCs w:val="1"/>
                <w:color w:val="auto"/>
                <w:vertAlign w:val="subscript"/>
              </w:rPr>
              <w:t>Par</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1"/>
                <w:szCs w:val="11"/>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8"/>
                <w:szCs w:val="8"/>
                <w:b w:val="1"/>
                <w:bCs w:val="1"/>
                <w:color w:val="auto"/>
                <w:w w:val="74"/>
              </w:rPr>
              <w:t>(17)</w:t>
            </w:r>
          </w:p>
        </w:tc>
        <w:tc>
          <w:tcPr>
            <w:tcW w:w="160" w:type="dxa"/>
            <w:vAlign w:val="bottom"/>
          </w:tcPr>
          <w:p>
            <w:pPr>
              <w:spacing w:after="0"/>
              <w:rPr>
                <w:sz w:val="11"/>
                <w:szCs w:val="11"/>
                <w:color w:val="auto"/>
              </w:rPr>
            </w:pPr>
          </w:p>
        </w:tc>
        <w:tc>
          <w:tcPr>
            <w:tcW w:w="600" w:type="dxa"/>
            <w:vAlign w:val="bottom"/>
            <w:vMerge w:val="restart"/>
          </w:tcPr>
          <w:p>
            <w:pPr>
              <w:jc w:val="right"/>
              <w:ind w:right="120"/>
              <w:spacing w:after="0" w:line="165" w:lineRule="exact"/>
              <w:rPr>
                <w:sz w:val="20"/>
                <w:szCs w:val="20"/>
                <w:color w:val="auto"/>
              </w:rPr>
            </w:pPr>
            <w:r>
              <w:rPr>
                <w:rFonts w:ascii="Times New Roman" w:cs="Times New Roman" w:eastAsia="Times New Roman" w:hAnsi="Times New Roman"/>
                <w:sz w:val="12"/>
                <w:szCs w:val="12"/>
                <w:b w:val="1"/>
                <w:bCs w:val="1"/>
                <w:color w:val="auto"/>
                <w:w w:val="89"/>
              </w:rPr>
              <w:t>Value</w:t>
            </w:r>
            <w:r>
              <w:rPr>
                <w:rFonts w:ascii="Times New Roman" w:cs="Times New Roman" w:eastAsia="Times New Roman" w:hAnsi="Times New Roman"/>
                <w:sz w:val="19"/>
                <w:szCs w:val="19"/>
                <w:b w:val="1"/>
                <w:bCs w:val="1"/>
                <w:color w:val="auto"/>
                <w:w w:val="89"/>
                <w:vertAlign w:val="superscript"/>
              </w:rPr>
              <w:t>(4)</w:t>
            </w: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11"/>
            <w:vMerge w:val="continue"/>
          </w:tcPr>
          <w:p>
            <w:pPr>
              <w:spacing w:after="0"/>
              <w:rPr>
                <w:sz w:val="3"/>
                <w:szCs w:val="3"/>
                <w:color w:val="auto"/>
              </w:rPr>
            </w:pPr>
          </w:p>
        </w:tc>
        <w:tc>
          <w:tcPr>
            <w:tcW w:w="1280" w:type="dxa"/>
            <w:vAlign w:val="bottom"/>
            <w:tcBorders>
              <w:bottom w:val="single" w:sz="8" w:color="auto"/>
            </w:tcBorders>
            <w:gridSpan w:val="4"/>
            <w:vMerge w:val="continue"/>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vMerge w:val="continue"/>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860" w:type="dxa"/>
            <w:vAlign w:val="bottom"/>
            <w:tcBorders>
              <w:bottom w:val="single" w:sz="8" w:color="auto"/>
            </w:tcBorders>
            <w:gridSpan w:val="2"/>
            <w:vMerge w:val="continue"/>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auto"/>
            </w:tcBorders>
            <w:gridSpan w:val="11"/>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7"/>
              </w:rPr>
              <w:t>Investments at Fair Value</w:t>
            </w:r>
          </w:p>
        </w:tc>
        <w:tc>
          <w:tcPr>
            <w:tcW w:w="22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6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b w:val="1"/>
                <w:bCs w:val="1"/>
                <w:color w:val="auto"/>
                <w:w w:val="98"/>
              </w:rPr>
              <w:t>U.S. Corporate Debt</w:t>
            </w:r>
          </w:p>
        </w:tc>
        <w:tc>
          <w:tcPr>
            <w:tcW w:w="380" w:type="dxa"/>
            <w:vAlign w:val="bottom"/>
            <w:gridSpan w:val="3"/>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gridSpan w:val="15"/>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First Lien Senior Secured U.S. Debt</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Cannabis</w:t>
            </w: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Aeriz Holdings Corp</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15.50%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6/30/2025</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   10,075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9,927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9,873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15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Archos Capital Group, LLC</w:t>
            </w:r>
          </w:p>
        </w:tc>
        <w:tc>
          <w:tcPr>
            <w:tcW w:w="128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13.25%</w:t>
            </w:r>
          </w:p>
        </w:tc>
        <w:tc>
          <w:tcPr>
            <w:tcW w:w="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2/28/2025</w:t>
            </w: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1,462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1,462</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1,462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0.49%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Deep Roots Harvest, Inc.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10/23/2024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8/15/2027</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5,000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5,000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4,975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1.65%</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33"/>
        </w:trPr>
        <w:tc>
          <w:tcPr>
            <w:tcW w:w="1540" w:type="dxa"/>
            <w:vAlign w:val="bottom"/>
            <w:gridSpan w:val="13"/>
          </w:tcPr>
          <w:p>
            <w:pPr>
              <w:spacing w:after="0" w:line="133" w:lineRule="exact"/>
              <w:rPr>
                <w:sz w:val="20"/>
                <w:szCs w:val="20"/>
                <w:color w:val="auto"/>
              </w:rPr>
            </w:pPr>
            <w:r>
              <w:rPr>
                <w:rFonts w:ascii="Times New Roman" w:cs="Times New Roman" w:eastAsia="Times New Roman" w:hAnsi="Times New Roman"/>
                <w:sz w:val="12"/>
                <w:szCs w:val="12"/>
                <w:color w:val="auto"/>
              </w:rPr>
              <w:t>Dreamfields Brands, Inc.</w:t>
            </w: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tcPr>
          <w:p>
            <w:pPr>
              <w:spacing w:after="0"/>
              <w:rPr>
                <w:sz w:val="11"/>
                <w:szCs w:val="11"/>
                <w:color w:val="auto"/>
              </w:rPr>
            </w:pP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5/3/2023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5/3/2026</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1440" w:type="dxa"/>
            <w:vAlign w:val="bottom"/>
            <w:gridSpan w:val="12"/>
            <w:vMerge w:val="restart"/>
          </w:tcPr>
          <w:p>
            <w:pPr>
              <w:spacing w:after="0"/>
              <w:rPr>
                <w:sz w:val="20"/>
                <w:szCs w:val="20"/>
                <w:color w:val="auto"/>
              </w:rPr>
            </w:pPr>
            <w:r>
              <w:rPr>
                <w:rFonts w:ascii="Times New Roman" w:cs="Times New Roman" w:eastAsia="Times New Roman" w:hAnsi="Times New Roman"/>
                <w:sz w:val="12"/>
                <w:szCs w:val="12"/>
                <w:color w:val="auto"/>
              </w:rPr>
              <w:t>(d/b/a Jeeter)</w:t>
            </w:r>
          </w:p>
        </w:tc>
        <w:tc>
          <w:tcPr>
            <w:tcW w:w="1280" w:type="dxa"/>
            <w:vAlign w:val="bottom"/>
            <w:gridSpan w:val="4"/>
            <w:vMerge w:val="continue"/>
          </w:tcPr>
          <w:p>
            <w:pPr>
              <w:spacing w:after="0"/>
              <w:rPr>
                <w:sz w:val="7"/>
                <w:szCs w:val="7"/>
                <w:color w:val="auto"/>
              </w:rPr>
            </w:pPr>
          </w:p>
        </w:tc>
        <w:tc>
          <w:tcPr>
            <w:tcW w:w="7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16.25%</w:t>
            </w:r>
          </w:p>
        </w:tc>
        <w:tc>
          <w:tcPr>
            <w:tcW w:w="720" w:type="dxa"/>
            <w:vAlign w:val="bottom"/>
            <w:vMerge w:val="continue"/>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vMerge w:val="restart"/>
          </w:tcPr>
          <w:p>
            <w:pPr>
              <w:jc w:val="right"/>
              <w:ind w:right="141"/>
              <w:spacing w:after="0"/>
              <w:rPr>
                <w:sz w:val="20"/>
                <w:szCs w:val="20"/>
                <w:color w:val="auto"/>
              </w:rPr>
            </w:pPr>
            <w:r>
              <w:rPr>
                <w:rFonts w:ascii="Times New Roman" w:cs="Times New Roman" w:eastAsia="Times New Roman" w:hAnsi="Times New Roman"/>
                <w:sz w:val="12"/>
                <w:szCs w:val="12"/>
                <w:color w:val="auto"/>
              </w:rPr>
              <w:t>31,745</w:t>
            </w:r>
          </w:p>
        </w:tc>
        <w:tc>
          <w:tcPr>
            <w:tcW w:w="100" w:type="dxa"/>
            <w:vAlign w:val="bottom"/>
          </w:tcPr>
          <w:p>
            <w:pPr>
              <w:spacing w:after="0"/>
              <w:rPr>
                <w:sz w:val="7"/>
                <w:szCs w:val="7"/>
                <w:color w:val="auto"/>
              </w:rPr>
            </w:pPr>
          </w:p>
        </w:tc>
        <w:tc>
          <w:tcPr>
            <w:tcW w:w="66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31,659</w:t>
            </w:r>
          </w:p>
        </w:tc>
        <w:tc>
          <w:tcPr>
            <w:tcW w:w="160" w:type="dxa"/>
            <w:vAlign w:val="bottom"/>
          </w:tcPr>
          <w:p>
            <w:pPr>
              <w:spacing w:after="0"/>
              <w:rPr>
                <w:sz w:val="7"/>
                <w:szCs w:val="7"/>
                <w:color w:val="auto"/>
              </w:rPr>
            </w:pPr>
          </w:p>
        </w:tc>
        <w:tc>
          <w:tcPr>
            <w:tcW w:w="60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31,745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10.54%</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440" w:type="dxa"/>
            <w:vAlign w:val="bottom"/>
            <w:gridSpan w:val="12"/>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Elevation Cannabis,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15.25%</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12/31/2026</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14,300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13,893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14,157</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15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Flowery - Bill's Nursery, Inc.</w:t>
            </w:r>
          </w:p>
        </w:tc>
        <w:tc>
          <w:tcPr>
            <w:tcW w:w="128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16.00%</w:t>
            </w:r>
          </w:p>
        </w:tc>
        <w:tc>
          <w:tcPr>
            <w:tcW w:w="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12/31/2025</w:t>
            </w: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12,364</w:t>
            </w:r>
          </w:p>
        </w:tc>
        <w:tc>
          <w:tcPr>
            <w:tcW w:w="100" w:type="dxa"/>
            <w:vAlign w:val="bottom"/>
          </w:tcPr>
          <w:p>
            <w:pPr>
              <w:spacing w:after="0"/>
              <w:rPr>
                <w:sz w:val="12"/>
                <w:szCs w:val="12"/>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12,303</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12,364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HA-MD,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6/6/2026</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3,290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3,286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3,290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15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Kaleafa, Inc.</w:t>
            </w:r>
          </w:p>
        </w:tc>
        <w:tc>
          <w:tcPr>
            <w:tcW w:w="12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16.00%</w:t>
            </w:r>
          </w:p>
        </w:tc>
        <w:tc>
          <w:tcPr>
            <w:tcW w:w="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10/4/2024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12/3/2027</w:t>
            </w: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2,875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2,875</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2,875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0.95%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Nova Farms,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3/28/2027</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15,679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14,579</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14,817</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15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Oasis - AZ GOAT AZ LLC</w:t>
            </w:r>
          </w:p>
        </w:tc>
        <w:tc>
          <w:tcPr>
            <w:tcW w:w="12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15.00%</w:t>
            </w:r>
          </w:p>
        </w:tc>
        <w:tc>
          <w:tcPr>
            <w:tcW w:w="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3/31/2026</w:t>
            </w: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5,146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5,073</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5,069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 Holdings,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11/28/2025</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4,396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4,393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4,396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33"/>
        </w:trPr>
        <w:tc>
          <w:tcPr>
            <w:tcW w:w="1540" w:type="dxa"/>
            <w:vAlign w:val="bottom"/>
            <w:gridSpan w:val="13"/>
          </w:tcPr>
          <w:p>
            <w:pPr>
              <w:spacing w:after="0" w:line="133" w:lineRule="exact"/>
              <w:rPr>
                <w:sz w:val="20"/>
                <w:szCs w:val="20"/>
                <w:color w:val="auto"/>
              </w:rPr>
            </w:pPr>
            <w:r>
              <w:rPr>
                <w:rFonts w:ascii="Times New Roman" w:cs="Times New Roman" w:eastAsia="Times New Roman" w:hAnsi="Times New Roman"/>
                <w:sz w:val="12"/>
                <w:szCs w:val="12"/>
                <w:color w:val="auto"/>
              </w:rPr>
              <w:t>Remedy - Maryland Wellness,</w:t>
            </w: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tcPr>
          <w:p>
            <w:pPr>
              <w:spacing w:after="0"/>
              <w:rPr>
                <w:sz w:val="11"/>
                <w:szCs w:val="11"/>
                <w:color w:val="auto"/>
              </w:rPr>
            </w:pP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8/4/2025</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4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LLC</w:t>
            </w:r>
          </w:p>
        </w:tc>
        <w:tc>
          <w:tcPr>
            <w:tcW w:w="1280" w:type="dxa"/>
            <w:vAlign w:val="bottom"/>
            <w:gridSpan w:val="4"/>
            <w:vMerge w:val="continue"/>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18.50%</w:t>
            </w:r>
          </w:p>
        </w:tc>
        <w:tc>
          <w:tcPr>
            <w:tcW w:w="720" w:type="dxa"/>
            <w:vAlign w:val="bottom"/>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3.50%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3,146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3,086</w:t>
            </w:r>
          </w:p>
        </w:tc>
        <w:tc>
          <w:tcPr>
            <w:tcW w:w="160" w:type="dxa"/>
            <w:vAlign w:val="bottom"/>
          </w:tcPr>
          <w:p>
            <w:pPr>
              <w:spacing w:after="0"/>
              <w:rPr>
                <w:sz w:val="13"/>
                <w:szCs w:val="13"/>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3,130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33"/>
        </w:trPr>
        <w:tc>
          <w:tcPr>
            <w:tcW w:w="1540" w:type="dxa"/>
            <w:vAlign w:val="bottom"/>
            <w:tcBorders>
              <w:right w:val="single" w:sz="8" w:color="CCEEFF"/>
            </w:tcBorders>
            <w:gridSpan w:val="1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STIIIZY, Inc (f/k/a) Shryne</w:t>
            </w:r>
          </w:p>
        </w:tc>
        <w:tc>
          <w:tcPr>
            <w:tcW w:w="12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5/26/2022</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5/26/2027</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shd w:val="clear" w:color="auto" w:fill="CCEEFF"/>
          </w:tcPr>
          <w:p>
            <w:pPr>
              <w:spacing w:after="0"/>
              <w:rPr>
                <w:sz w:val="13"/>
                <w:szCs w:val="13"/>
                <w:color w:val="auto"/>
              </w:rPr>
            </w:pPr>
          </w:p>
        </w:tc>
        <w:tc>
          <w:tcPr>
            <w:tcW w:w="14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Group, Inc</w:t>
            </w:r>
          </w:p>
        </w:tc>
        <w:tc>
          <w:tcPr>
            <w:tcW w:w="1280" w:type="dxa"/>
            <w:vAlign w:val="bottom"/>
            <w:gridSpan w:val="4"/>
            <w:vMerge w:val="continue"/>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17.00%</w:t>
            </w:r>
          </w:p>
        </w:tc>
        <w:tc>
          <w:tcPr>
            <w:tcW w:w="720" w:type="dxa"/>
            <w:vAlign w:val="bottom"/>
            <w:vMerge w:val="continue"/>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40,793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40,504</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40,385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33"/>
        </w:trPr>
        <w:tc>
          <w:tcPr>
            <w:tcW w:w="1540" w:type="dxa"/>
            <w:vAlign w:val="bottom"/>
            <w:gridSpan w:val="13"/>
          </w:tcPr>
          <w:p>
            <w:pPr>
              <w:spacing w:after="0" w:line="133" w:lineRule="exact"/>
              <w:rPr>
                <w:sz w:val="20"/>
                <w:szCs w:val="20"/>
                <w:color w:val="auto"/>
              </w:rPr>
            </w:pPr>
            <w:r>
              <w:rPr>
                <w:rFonts w:ascii="Times New Roman" w:cs="Times New Roman" w:eastAsia="Times New Roman" w:hAnsi="Times New Roman"/>
                <w:sz w:val="12"/>
                <w:szCs w:val="12"/>
                <w:color w:val="auto"/>
              </w:rPr>
              <w:t>Subsero Holdings - Illinois,</w:t>
            </w: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tcPr>
          <w:p>
            <w:pPr>
              <w:spacing w:after="0"/>
              <w:rPr>
                <w:sz w:val="11"/>
                <w:szCs w:val="11"/>
                <w:color w:val="auto"/>
              </w:rPr>
            </w:pP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7/29/2026</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4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Inc</w:t>
            </w:r>
          </w:p>
        </w:tc>
        <w:tc>
          <w:tcPr>
            <w:tcW w:w="1280" w:type="dxa"/>
            <w:vAlign w:val="bottom"/>
            <w:gridSpan w:val="4"/>
            <w:vMerge w:val="continue"/>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16.50%</w:t>
            </w:r>
          </w:p>
        </w:tc>
        <w:tc>
          <w:tcPr>
            <w:tcW w:w="720" w:type="dxa"/>
            <w:vAlign w:val="bottom"/>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2,941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2,873</w:t>
            </w:r>
          </w:p>
        </w:tc>
        <w:tc>
          <w:tcPr>
            <w:tcW w:w="160" w:type="dxa"/>
            <w:vAlign w:val="bottom"/>
          </w:tcPr>
          <w:p>
            <w:pPr>
              <w:spacing w:after="0"/>
              <w:rPr>
                <w:sz w:val="13"/>
                <w:szCs w:val="13"/>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2,882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0.96%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Verano Holdings Corp.</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10/27/2022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10/30/2026</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51,768</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51,760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52,027</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17.28%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(10)(14)</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Total Cannabis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202,673</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203,447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67.56%</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10"/>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Finance and Insurance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Hartford Gold Group,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14.40%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9.85%</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12/17/2025</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162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0.05%</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15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Hartford Gold Group, LLC</w:t>
            </w:r>
          </w:p>
        </w:tc>
        <w:tc>
          <w:tcPr>
            <w:tcW w:w="12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14.75%</w:t>
            </w:r>
          </w:p>
        </w:tc>
        <w:tc>
          <w:tcPr>
            <w:tcW w:w="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9.85%</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1/6/2027</w:t>
            </w: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1,682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1,431</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1,455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0.48%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Minden Holdings,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14.40%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5/31/2026</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2,200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2,197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2"/>
                <w:szCs w:val="12"/>
                <w:b w:val="1"/>
                <w:bCs w:val="1"/>
                <w:color w:val="auto"/>
              </w:rPr>
              <w:t>Total Finance and Insurance</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3,772</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3,811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1.26%</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14"/>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Health Care and Social Assistance</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Sunny Days Enterprises,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Delayed Draw 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20.25%</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3/31/2025</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2,742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2,754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2,797</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0.93%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2"/>
                <w:szCs w:val="12"/>
                <w:b w:val="1"/>
                <w:bCs w:val="1"/>
                <w:color w:val="auto"/>
              </w:rPr>
              <w:t>Total Health Care and Social Assistance</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2,754</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2,797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0.93%</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10"/>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Information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tcBorders>
              <w:right w:val="single" w:sz="8" w:color="CCEEFF"/>
            </w:tcBorders>
            <w:gridSpan w:val="13"/>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Protect Animals With</w:t>
            </w:r>
          </w:p>
        </w:tc>
        <w:tc>
          <w:tcPr>
            <w:tcW w:w="5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00" w:type="dxa"/>
            <w:vAlign w:val="bottom"/>
            <w:shd w:val="clear" w:color="auto" w:fill="CCEEFF"/>
          </w:tcPr>
          <w:p>
            <w:pPr>
              <w:spacing w:after="0"/>
              <w:rPr>
                <w:sz w:val="15"/>
                <w:szCs w:val="15"/>
                <w:color w:val="auto"/>
              </w:rPr>
            </w:pPr>
          </w:p>
        </w:tc>
        <w:tc>
          <w:tcPr>
            <w:tcW w:w="2720" w:type="dxa"/>
            <w:vAlign w:val="bottom"/>
            <w:gridSpan w:val="16"/>
            <w:shd w:val="clear" w:color="auto" w:fill="CCEEFF"/>
          </w:tcPr>
          <w:p>
            <w:pPr>
              <w:spacing w:after="0" w:line="180" w:lineRule="exact"/>
              <w:rPr>
                <w:sz w:val="20"/>
                <w:szCs w:val="20"/>
                <w:color w:val="auto"/>
              </w:rPr>
            </w:pPr>
            <w:r>
              <w:rPr>
                <w:rFonts w:ascii="Times New Roman" w:cs="Times New Roman" w:eastAsia="Times New Roman" w:hAnsi="Times New Roman"/>
                <w:sz w:val="11"/>
                <w:szCs w:val="11"/>
                <w:color w:val="auto"/>
              </w:rPr>
              <w:t xml:space="preserve">Satellites LLC (Halo Collar) </w:t>
            </w:r>
            <w:r>
              <w:rPr>
                <w:rFonts w:ascii="Times New Roman" w:cs="Times New Roman" w:eastAsia="Times New Roman" w:hAnsi="Times New Roman"/>
                <w:sz w:val="20"/>
                <w:szCs w:val="20"/>
                <w:color w:val="auto"/>
                <w:vertAlign w:val="superscript"/>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12.25%</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11/1/2026</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3,663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3,417</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3,407</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08"/>
        </w:trPr>
        <w:tc>
          <w:tcPr>
            <w:tcW w:w="1540" w:type="dxa"/>
            <w:vAlign w:val="bottom"/>
            <w:gridSpan w:val="13"/>
          </w:tcPr>
          <w:p>
            <w:pPr>
              <w:spacing w:after="0" w:line="108" w:lineRule="exact"/>
              <w:rPr>
                <w:sz w:val="20"/>
                <w:szCs w:val="20"/>
                <w:color w:val="auto"/>
              </w:rPr>
            </w:pPr>
            <w:r>
              <w:rPr>
                <w:rFonts w:ascii="Times New Roman" w:cs="Times New Roman" w:eastAsia="Times New Roman" w:hAnsi="Times New Roman"/>
                <w:sz w:val="12"/>
                <w:szCs w:val="12"/>
                <w:color w:val="auto"/>
              </w:rPr>
              <w:t>Protect Animals With</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720" w:type="dxa"/>
            <w:vAlign w:val="bottom"/>
            <w:gridSpan w:val="16"/>
          </w:tcPr>
          <w:p>
            <w:pPr>
              <w:spacing w:after="0" w:line="180" w:lineRule="exact"/>
              <w:rPr>
                <w:sz w:val="20"/>
                <w:szCs w:val="20"/>
                <w:color w:val="auto"/>
              </w:rPr>
            </w:pPr>
            <w:r>
              <w:rPr>
                <w:rFonts w:ascii="Times New Roman" w:cs="Times New Roman" w:eastAsia="Times New Roman" w:hAnsi="Times New Roman"/>
                <w:sz w:val="11"/>
                <w:szCs w:val="11"/>
                <w:color w:val="auto"/>
              </w:rPr>
              <w:t xml:space="preserve">Satellites LLC (Halo Collar) </w:t>
            </w:r>
            <w:r>
              <w:rPr>
                <w:rFonts w:ascii="Times New Roman" w:cs="Times New Roman" w:eastAsia="Times New Roman" w:hAnsi="Times New Roman"/>
                <w:sz w:val="20"/>
                <w:szCs w:val="20"/>
                <w:color w:val="auto"/>
                <w:vertAlign w:val="superscript"/>
              </w:rPr>
              <w:t>Incremental Term Loan</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12.25%</w:t>
            </w:r>
          </w:p>
        </w:tc>
        <w:tc>
          <w:tcPr>
            <w:tcW w:w="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11/1/2026</w:t>
            </w: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2,004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1,870</w:t>
            </w:r>
          </w:p>
        </w:tc>
        <w:tc>
          <w:tcPr>
            <w:tcW w:w="160" w:type="dxa"/>
            <w:vAlign w:val="bottom"/>
          </w:tcPr>
          <w:p>
            <w:pPr>
              <w:spacing w:after="0"/>
              <w:rPr>
                <w:sz w:val="15"/>
                <w:szCs w:val="15"/>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1,864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0.62%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Simspace Corporation</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17.50%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11/1/2025</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6,500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6,573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6,500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Total Information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11,860</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11,771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3.91%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auto"/>
            </w:tcBorders>
            <w:gridSpan w:val="9"/>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7"/>
              </w:rPr>
              <w:t>Public Administration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540" w:type="dxa"/>
            <w:vAlign w:val="bottom"/>
            <w:tcBorders>
              <w:right w:val="single" w:sz="8" w:color="CCEEFF"/>
            </w:tcBorders>
            <w:gridSpan w:val="1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Youth Opportunity</w:t>
            </w:r>
          </w:p>
        </w:tc>
        <w:tc>
          <w:tcPr>
            <w:tcW w:w="12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S</w:t>
            </w: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9/18/2026</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shd w:val="clear" w:color="auto" w:fill="CCEEFF"/>
          </w:tcPr>
          <w:p>
            <w:pPr>
              <w:spacing w:after="0"/>
              <w:rPr>
                <w:sz w:val="13"/>
                <w:szCs w:val="13"/>
                <w:color w:val="auto"/>
              </w:rPr>
            </w:pPr>
          </w:p>
        </w:tc>
        <w:tc>
          <w:tcPr>
            <w:tcW w:w="14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LLC</w:t>
            </w:r>
          </w:p>
        </w:tc>
        <w:tc>
          <w:tcPr>
            <w:tcW w:w="1280" w:type="dxa"/>
            <w:vAlign w:val="bottom"/>
            <w:gridSpan w:val="4"/>
            <w:vMerge w:val="continue"/>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12.28%</w:t>
            </w:r>
          </w:p>
        </w:tc>
        <w:tc>
          <w:tcPr>
            <w:tcW w:w="720" w:type="dxa"/>
            <w:vAlign w:val="bottom"/>
            <w:vMerge w:val="continue"/>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10,375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10,273</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10,323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20" w:type="dxa"/>
            <w:vAlign w:val="bottom"/>
            <w:gridSpan w:val="15"/>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 Public Administration</w:t>
            </w: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20" w:type="dxa"/>
            <w:vAlign w:val="bottom"/>
            <w:gridSpan w:val="15"/>
            <w:vMerge w:val="continue"/>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10,273</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10,323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3.43%</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14"/>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Real Estate and Rental and Leasing</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Workbox Holdings Inc.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5/20/2024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5/31/2029</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1,622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1,406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1,452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0.48%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2"/>
                <w:szCs w:val="12"/>
                <w:b w:val="1"/>
                <w:bCs w:val="1"/>
                <w:color w:val="auto"/>
              </w:rPr>
              <w:t>Total Real Estate and Rental and Leasing</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1,406</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1,452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0.48%</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gridSpan w:val="5"/>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5"/>
              </w:rPr>
              <w:t>Retail Trade</w:t>
            </w:r>
          </w:p>
        </w:tc>
        <w:tc>
          <w:tcPr>
            <w:tcW w:w="580" w:type="dxa"/>
            <w:vAlign w:val="bottom"/>
            <w:gridSpan w:val="5"/>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Aura Home, Inc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12.03%</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9/22/2025</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3,325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3,285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3,275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Total Retail Trade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3,285</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3,275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1.09%</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6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14"/>
          </w:tcPr>
          <w:p>
            <w:pPr>
              <w:spacing w:after="0"/>
              <w:rPr>
                <w:sz w:val="20"/>
                <w:szCs w:val="20"/>
                <w:color w:val="auto"/>
              </w:rPr>
            </w:pPr>
            <w:r>
              <w:rPr>
                <w:rFonts w:ascii="Times New Roman" w:cs="Times New Roman" w:eastAsia="Times New Roman" w:hAnsi="Times New Roman"/>
                <w:sz w:val="12"/>
                <w:szCs w:val="12"/>
                <w:b w:val="1"/>
                <w:bCs w:val="1"/>
                <w:color w:val="auto"/>
              </w:rPr>
              <w:t>Total First Lien Senior Secured U.S. Debt</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236,023</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236,876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78.65%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gridSpan w:val="15"/>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Senior Secured U.S. Notes</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right w:val="single" w:sz="8" w:color="CCEEFF"/>
            </w:tcBorders>
            <w:gridSpan w:val="10"/>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Cannabis</w:t>
            </w: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Ascend Wellness</w:t>
            </w:r>
          </w:p>
        </w:tc>
        <w:tc>
          <w:tcPr>
            <w:tcW w:w="12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Senior Secured Note</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12.75%</w:t>
            </w:r>
          </w:p>
        </w:tc>
        <w:tc>
          <w:tcPr>
            <w:tcW w:w="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7/16/2024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7/16/2029</w:t>
            </w: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3,500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3,331</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3,308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Curaleaf Holdings, Inc.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Secured Note</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10/11/2022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12/15/2026</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4,500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4,142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4,253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(9)(14)</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Total Cannabis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7,473</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7,561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2.51%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10"/>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Finance and Insurance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RTCP, LLC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Secured Note</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15.00%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10/2/2028</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22,000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21,980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22,000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33"/>
        </w:trPr>
        <w:tc>
          <w:tcPr>
            <w:tcW w:w="1540" w:type="dxa"/>
            <w:vAlign w:val="bottom"/>
            <w:gridSpan w:val="13"/>
          </w:tcPr>
          <w:p>
            <w:pPr>
              <w:spacing w:after="0" w:line="133" w:lineRule="exact"/>
              <w:rPr>
                <w:sz w:val="20"/>
                <w:szCs w:val="20"/>
                <w:color w:val="auto"/>
              </w:rPr>
            </w:pPr>
            <w:r>
              <w:rPr>
                <w:rFonts w:ascii="Times New Roman" w:cs="Times New Roman" w:eastAsia="Times New Roman" w:hAnsi="Times New Roman"/>
                <w:sz w:val="12"/>
                <w:szCs w:val="12"/>
                <w:color w:val="auto"/>
              </w:rPr>
              <w:t>West Creek Financial</w:t>
            </w: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auto"/>
              </w:rPr>
              <w:t>Series A Senior Note</w:t>
            </w:r>
          </w:p>
        </w:tc>
        <w:tc>
          <w:tcPr>
            <w:tcW w:w="700" w:type="dxa"/>
            <w:vAlign w:val="bottom"/>
          </w:tcPr>
          <w:p>
            <w:pPr>
              <w:spacing w:after="0"/>
              <w:rPr>
                <w:sz w:val="11"/>
                <w:szCs w:val="11"/>
                <w:color w:val="auto"/>
              </w:rPr>
            </w:pP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auto"/>
              </w:rPr>
              <w:t>F</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10/1/2024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11/29/2027</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4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Holdings, Inc. dba Koalafi</w:t>
            </w:r>
          </w:p>
        </w:tc>
        <w:tc>
          <w:tcPr>
            <w:tcW w:w="1280" w:type="dxa"/>
            <w:vAlign w:val="bottom"/>
            <w:gridSpan w:val="4"/>
            <w:vMerge w:val="continue"/>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18.80%</w:t>
            </w:r>
          </w:p>
        </w:tc>
        <w:tc>
          <w:tcPr>
            <w:tcW w:w="720" w:type="dxa"/>
            <w:vAlign w:val="bottom"/>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rPr>
              <w:t>5,148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6"/>
              </w:rPr>
              <w:t>5,115</w:t>
            </w:r>
          </w:p>
        </w:tc>
        <w:tc>
          <w:tcPr>
            <w:tcW w:w="160" w:type="dxa"/>
            <w:vAlign w:val="bottom"/>
          </w:tcPr>
          <w:p>
            <w:pPr>
              <w:spacing w:after="0"/>
              <w:rPr>
                <w:sz w:val="13"/>
                <w:szCs w:val="13"/>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5,096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Finance and Insurance</w:t>
            </w: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27,095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27,096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9.00%</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14"/>
          </w:tcPr>
          <w:p>
            <w:pPr>
              <w:spacing w:after="0"/>
              <w:rPr>
                <w:sz w:val="20"/>
                <w:szCs w:val="20"/>
                <w:color w:val="auto"/>
              </w:rPr>
            </w:pPr>
            <w:r>
              <w:rPr>
                <w:rFonts w:ascii="Times New Roman" w:cs="Times New Roman" w:eastAsia="Times New Roman" w:hAnsi="Times New Roman"/>
                <w:sz w:val="12"/>
                <w:szCs w:val="12"/>
                <w:b w:val="1"/>
                <w:bCs w:val="1"/>
                <w:color w:val="auto"/>
              </w:rPr>
              <w:t>Total Senior Secured U.S. Notes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34,568</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34,657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11.51%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6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2"/>
                <w:szCs w:val="12"/>
                <w:b w:val="1"/>
                <w:bCs w:val="1"/>
                <w:color w:val="auto"/>
              </w:rPr>
              <w:t>Total U.S. Corporate Debt</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270,590</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271,532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90.17%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gridSpan w:val="15"/>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Canadian Corporate Debt</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5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First Lien Senior Secured Canadian Debt</w:t>
            </w:r>
          </w:p>
        </w:tc>
        <w:tc>
          <w:tcPr>
            <w:tcW w:w="7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bottom w:val="single" w:sz="8" w:color="auto"/>
            </w:tcBorders>
            <w:gridSpan w:val="5"/>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Information</w:t>
            </w:r>
          </w:p>
        </w:tc>
        <w:tc>
          <w:tcPr>
            <w:tcW w:w="480" w:type="dxa"/>
            <w:vAlign w:val="bottom"/>
            <w:tcBorders>
              <w:top w:val="single" w:sz="8" w:color="auto"/>
            </w:tcBorders>
            <w:gridSpan w:val="4"/>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4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auto"/>
              </w:rPr>
              <w:t>Tulip.io Inc.</w:t>
            </w:r>
          </w:p>
        </w:tc>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14.50%</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11/4/2024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11/4/2028</w:t>
            </w:r>
          </w:p>
        </w:tc>
        <w:tc>
          <w:tcPr>
            <w:tcW w:w="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3,014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6"/>
              </w:rPr>
              <w:t>3,014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2,984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0.99%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(8)(14)</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Total Information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3,014</w:t>
            </w:r>
          </w:p>
        </w:tc>
        <w:tc>
          <w:tcPr>
            <w:tcW w:w="1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2,984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0.99%</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First Lien Senior Secured Canadian Debt</w:t>
            </w: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3,014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2,984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0.99%</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Canadian Corporate Debt</w:t>
            </w: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6"/>
              </w:rPr>
              <w:t>3,014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2,984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0.99%</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Debt Investments</w:t>
            </w: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273,604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274,516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91.16%</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115" w:right="29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type w:val="continuous"/>
        </w:sectPr>
      </w:pPr>
    </w:p>
    <w:bookmarkStart w:id="108" w:name="page109"/>
    <w:bookmarkEnd w:id="108"/>
    <w:tbl>
      <w:tblPr>
        <w:tblLayout w:type="fixed"/>
        <w:tblInd w:w="8" w:type="dxa"/>
        <w:tblCellMar>
          <w:top w:w="0" w:type="dxa"/>
          <w:left w:w="0" w:type="dxa"/>
          <w:bottom w:w="0" w:type="dxa"/>
          <w:right w:w="0" w:type="dxa"/>
        </w:tblCellMar>
      </w:tblPr>
      <w:tr>
        <w:trPr>
          <w:trHeight w:val="115"/>
        </w:trPr>
        <w:tc>
          <w:tcPr>
            <w:tcW w:w="1560" w:type="dxa"/>
            <w:vAlign w:val="bottom"/>
            <w:gridSpan w:val="7"/>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Schedule of Investments</w:t>
            </w: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Initial</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128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 of Net</w:t>
            </w: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Tickmark</w:t>
            </w:r>
          </w:p>
        </w:tc>
        <w:tc>
          <w:tcPr>
            <w:tcW w:w="0" w:type="dxa"/>
            <w:vAlign w:val="bottom"/>
          </w:tcPr>
          <w:p>
            <w:pPr>
              <w:spacing w:after="0"/>
              <w:rPr>
                <w:sz w:val="1"/>
                <w:szCs w:val="1"/>
                <w:color w:val="auto"/>
              </w:rPr>
            </w:pPr>
          </w:p>
        </w:tc>
      </w:tr>
      <w:tr>
        <w:trPr>
          <w:trHeight w:val="90"/>
        </w:trPr>
        <w:tc>
          <w:tcPr>
            <w:tcW w:w="1560" w:type="dxa"/>
            <w:vAlign w:val="bottom"/>
            <w:gridSpan w:val="7"/>
            <w:vMerge w:val="restart"/>
          </w:tcPr>
          <w:p>
            <w:pPr>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1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2"/>
                <w:szCs w:val="12"/>
                <w:b w:val="1"/>
                <w:bCs w:val="1"/>
                <w:color w:val="auto"/>
              </w:rPr>
              <w:t>Class Series</w:t>
            </w:r>
          </w:p>
        </w:tc>
        <w:tc>
          <w:tcPr>
            <w:tcW w:w="134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Acquisition Date</w:t>
            </w:r>
          </w:p>
        </w:tc>
        <w:tc>
          <w:tcPr>
            <w:tcW w:w="120" w:type="dxa"/>
            <w:vAlign w:val="bottom"/>
          </w:tcPr>
          <w:p>
            <w:pPr>
              <w:spacing w:after="0"/>
              <w:rPr>
                <w:sz w:val="7"/>
                <w:szCs w:val="7"/>
                <w:color w:val="auto"/>
              </w:rPr>
            </w:pPr>
          </w:p>
        </w:tc>
        <w:tc>
          <w:tcPr>
            <w:tcW w:w="16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120" w:type="dxa"/>
            <w:vAlign w:val="bottom"/>
            <w:vMerge w:val="restart"/>
          </w:tcPr>
          <w:p>
            <w:pPr>
              <w:jc w:val="center"/>
              <w:ind w:right="460"/>
              <w:spacing w:after="0" w:line="180" w:lineRule="exact"/>
              <w:rPr>
                <w:sz w:val="20"/>
                <w:szCs w:val="20"/>
                <w:color w:val="auto"/>
              </w:rPr>
            </w:pPr>
            <w:r>
              <w:rPr>
                <w:rFonts w:ascii="Times New Roman" w:cs="Times New Roman" w:eastAsia="Times New Roman" w:hAnsi="Times New Roman"/>
                <w:sz w:val="12"/>
                <w:szCs w:val="12"/>
                <w:b w:val="1"/>
                <w:bCs w:val="1"/>
                <w:color w:val="auto"/>
                <w:w w:val="92"/>
              </w:rPr>
              <w:t xml:space="preserve">Cost </w:t>
            </w:r>
            <w:r>
              <w:rPr>
                <w:rFonts w:ascii="Times New Roman" w:cs="Times New Roman" w:eastAsia="Times New Roman" w:hAnsi="Times New Roman"/>
                <w:sz w:val="19"/>
                <w:szCs w:val="19"/>
                <w:b w:val="1"/>
                <w:bCs w:val="1"/>
                <w:color w:val="auto"/>
                <w:w w:val="92"/>
                <w:vertAlign w:val="superscript"/>
              </w:rPr>
              <w:t>(17)</w:t>
            </w:r>
          </w:p>
        </w:tc>
        <w:tc>
          <w:tcPr>
            <w:tcW w:w="1280" w:type="dxa"/>
            <w:vAlign w:val="bottom"/>
            <w:vMerge w:val="restart"/>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560" w:type="dxa"/>
            <w:vAlign w:val="bottom"/>
            <w:tcBorders>
              <w:bottom w:val="single" w:sz="8" w:color="auto"/>
            </w:tcBorders>
            <w:gridSpan w:val="7"/>
            <w:vMerge w:val="continue"/>
          </w:tcPr>
          <w:p>
            <w:pPr>
              <w:spacing w:after="0"/>
              <w:rPr>
                <w:sz w:val="7"/>
                <w:szCs w:val="7"/>
                <w:color w:val="auto"/>
              </w:rPr>
            </w:pPr>
          </w:p>
        </w:tc>
        <w:tc>
          <w:tcPr>
            <w:tcW w:w="1620" w:type="dxa"/>
            <w:vAlign w:val="bottom"/>
            <w:tcBorders>
              <w:bottom w:val="single" w:sz="8" w:color="auto"/>
            </w:tcBorders>
            <w:gridSpan w:val="2"/>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gridSpan w:val="2"/>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48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560" w:type="dxa"/>
            <w:vAlign w:val="bottom"/>
            <w:gridSpan w:val="7"/>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U.S. Preferred Stock</w:t>
            </w: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6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Real Estate and Rental and Leasing</w:t>
            </w: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Workbox Holdings Inc.</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A-1 Preferred</w:t>
            </w:r>
          </w:p>
        </w:tc>
        <w:tc>
          <w:tcPr>
            <w:tcW w:w="134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5/20/2024</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500,000</w:t>
            </w: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500</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500</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0.17%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(6)(10)</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3080" w:type="dxa"/>
            <w:vAlign w:val="bottom"/>
            <w:gridSpan w:val="8"/>
          </w:tcPr>
          <w:p>
            <w:pPr>
              <w:ind w:left="100"/>
              <w:spacing w:after="0"/>
              <w:rPr>
                <w:sz w:val="20"/>
                <w:szCs w:val="20"/>
                <w:color w:val="auto"/>
              </w:rPr>
            </w:pPr>
            <w:r>
              <w:rPr>
                <w:rFonts w:ascii="Times New Roman" w:cs="Times New Roman" w:eastAsia="Times New Roman" w:hAnsi="Times New Roman"/>
                <w:sz w:val="12"/>
                <w:szCs w:val="12"/>
                <w:b w:val="1"/>
                <w:bCs w:val="1"/>
                <w:color w:val="auto"/>
              </w:rPr>
              <w:t>Total Real Estate and Rental and Leasing</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500</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500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0.17%</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w w:val="98"/>
              </w:rPr>
              <w:t>Total U.S. Preferred Stock</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500</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500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0.17%</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5"/>
              </w:rPr>
              <w:t>U .S. Warrants</w:t>
            </w:r>
          </w:p>
        </w:tc>
        <w:tc>
          <w:tcPr>
            <w:tcW w:w="800" w:type="dxa"/>
            <w:vAlign w:val="bottom"/>
            <w:tcBorders>
              <w:bottom w:val="single" w:sz="8" w:color="CCEEFF"/>
            </w:tcBorders>
            <w:gridSpan w:val="3"/>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3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60" w:type="dxa"/>
            <w:vAlign w:val="bottom"/>
            <w:gridSpan w:val="7"/>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Real Estate and Rental and Leasing</w:t>
            </w: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Workbox Holdings Inc.</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A-3 Warrants</w:t>
            </w:r>
          </w:p>
        </w:tc>
        <w:tc>
          <w:tcPr>
            <w:tcW w:w="134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5/20/2024</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71,000</w:t>
            </w: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97</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91</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0.03%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(6)(10)</w:t>
            </w:r>
          </w:p>
        </w:tc>
        <w:tc>
          <w:tcPr>
            <w:tcW w:w="0" w:type="dxa"/>
            <w:vAlign w:val="bottom"/>
          </w:tcPr>
          <w:p>
            <w:pPr>
              <w:spacing w:after="0"/>
              <w:rPr>
                <w:sz w:val="1"/>
                <w:szCs w:val="1"/>
                <w:color w:val="auto"/>
              </w:rPr>
            </w:pPr>
          </w:p>
        </w:tc>
      </w:tr>
      <w:tr>
        <w:trPr>
          <w:trHeight w:val="144"/>
        </w:trPr>
        <w:tc>
          <w:tcPr>
            <w:tcW w:w="156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Workbox Holdings Inc.</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A-4 Warrants</w:t>
            </w: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5/20/2024</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105,000</w:t>
            </w:r>
          </w:p>
        </w:tc>
        <w:tc>
          <w:tcPr>
            <w:tcW w:w="260" w:type="dxa"/>
            <w:vAlign w:val="bottom"/>
          </w:tcPr>
          <w:p>
            <w:pPr>
              <w:spacing w:after="0"/>
              <w:rPr>
                <w:sz w:val="12"/>
                <w:szCs w:val="12"/>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146</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134</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0.04%</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30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Total Real Estate and Rental and Leasing</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243</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225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0.07%</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Total U.S. Warrants</w:t>
            </w: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243</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225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0.07%</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40" w:type="dxa"/>
            <w:vAlign w:val="bottom"/>
            <w:tcBorders>
              <w:bottom w:val="single" w:sz="8" w:color="auto"/>
            </w:tcBorders>
            <w:gridSpan w:val="5"/>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7"/>
              </w:rPr>
              <w:t>Canadian Warrants</w:t>
            </w:r>
          </w:p>
        </w:tc>
        <w:tc>
          <w:tcPr>
            <w:tcW w:w="52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6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Information</w:t>
            </w: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Tulip.io Inc.</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Warrants</w:t>
            </w:r>
          </w:p>
        </w:tc>
        <w:tc>
          <w:tcPr>
            <w:tcW w:w="134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11/4/2024</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64,776</w:t>
            </w: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0.00%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(6)(8)(14)</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Total Information</w:t>
            </w: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0.00%</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Total Canadian Warrants</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0.00%</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Equity Investments</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743</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725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0.24%</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INVESTMENTS</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274,347</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275,241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91.40%</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4"/>
              </w:rPr>
              <w:t>Yield</w:t>
            </w:r>
          </w:p>
        </w:tc>
        <w:tc>
          <w:tcPr>
            <w:tcW w:w="112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8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 of Net Assets</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Tickmark</w:t>
            </w:r>
          </w:p>
        </w:tc>
        <w:tc>
          <w:tcPr>
            <w:tcW w:w="0" w:type="dxa"/>
            <w:vAlign w:val="bottom"/>
          </w:tcPr>
          <w:p>
            <w:pPr>
              <w:spacing w:after="0"/>
              <w:rPr>
                <w:sz w:val="1"/>
                <w:szCs w:val="1"/>
                <w:color w:val="auto"/>
              </w:rPr>
            </w:pPr>
          </w:p>
        </w:tc>
      </w:tr>
      <w:tr>
        <w:trPr>
          <w:trHeight w:val="115"/>
        </w:trPr>
        <w:tc>
          <w:tcPr>
            <w:tcW w:w="1560" w:type="dxa"/>
            <w:vAlign w:val="bottom"/>
            <w:tcBorders>
              <w:top w:val="single" w:sz="8" w:color="auto"/>
            </w:tcBorders>
            <w:gridSpan w:val="7"/>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Cash &amp; Cash Equivalents</w:t>
            </w:r>
          </w:p>
        </w:tc>
        <w:tc>
          <w:tcPr>
            <w:tcW w:w="5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Street Institutional US Government Money Market Fund</w:t>
            </w:r>
          </w:p>
        </w:tc>
        <w:tc>
          <w:tcPr>
            <w:tcW w:w="13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4.43%</w:t>
            </w: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23,932</w:t>
            </w:r>
          </w:p>
        </w:tc>
        <w:tc>
          <w:tcPr>
            <w:tcW w:w="1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23,932</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7.95%</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(15)(16)</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308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Total Cash &amp; Cash Equivalents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23,932</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23,932</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7.95%</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8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Total Portfolio Investments and Cash &amp; Cash Equivalents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298,279</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299,174</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99.35%</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Tickmark Legend</w:t>
      </w:r>
    </w:p>
    <w:p>
      <w:pPr>
        <w:spacing w:after="0" w:line="21" w:lineRule="exact"/>
        <w:rPr>
          <w:sz w:val="20"/>
          <w:szCs w:val="20"/>
          <w:color w:val="auto"/>
        </w:rPr>
      </w:pPr>
    </w:p>
    <w:p>
      <w:pPr>
        <w:ind w:left="208" w:right="20" w:hanging="208"/>
        <w:spacing w:after="0" w:line="250" w:lineRule="auto"/>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indicated, all securities are valued using significant unobservable inputs, which are categorized as Level 3 assets under the definition of Financial Accounting Standards Board’s Accounting Standards Codification 820 Fair Value Hierarchy.</w:t>
      </w: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is net of repayments, if any, as per the terms of the debt instrument’s contract.</w:t>
      </w:r>
    </w:p>
    <w:p>
      <w:pPr>
        <w:spacing w:after="0" w:line="6" w:lineRule="exact"/>
        <w:rPr>
          <w:rFonts w:ascii="Times New Roman" w:cs="Times New Roman" w:eastAsia="Times New Roman" w:hAnsi="Times New Roman"/>
          <w:sz w:val="12"/>
          <w:szCs w:val="12"/>
          <w:color w:val="auto"/>
        </w:rPr>
      </w:pPr>
    </w:p>
    <w:p>
      <w:pPr>
        <w:jc w:val="both"/>
        <w:ind w:left="208" w:hanging="208"/>
        <w:spacing w:after="0" w:line="250" w:lineRule="auto"/>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Loan Service Agreements. As of December 31, 2024, rates for 1M S, 3M S and 6M S are 4.53%, 4.69%, and 5.03%, respectively. As of December 31, 2024, the P was 7.50%.</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were valued at fair value. See Note 4 — Fair Value of Financial Instruments in the accompanying notes to the financial statements.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uses the North American Industry Classification System (“NAICS”) code for classifying the industry grouping of its portfolio companies, excluding any portfolio company operating in the cannabis industry.</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 non-income producing investment. As of December 31, 2024, no debt investments are deemed as non-income producing.</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Geographic regions are determined by the respective portfolio company’s headquarters’ location.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respective portfolio company’s headquarters’ is located outside of the United States.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Northeast.</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Midwest.</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West.</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Southeast.</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Southwest.</w:t>
      </w:r>
    </w:p>
    <w:p>
      <w:pPr>
        <w:spacing w:after="0" w:line="6" w:lineRule="exact"/>
        <w:rPr>
          <w:rFonts w:ascii="Times New Roman" w:cs="Times New Roman" w:eastAsia="Times New Roman" w:hAnsi="Times New Roman"/>
          <w:sz w:val="12"/>
          <w:szCs w:val="12"/>
          <w:color w:val="auto"/>
        </w:rPr>
      </w:pPr>
    </w:p>
    <w:p>
      <w:pPr>
        <w:jc w:val="both"/>
        <w:ind w:left="208" w:hanging="208"/>
        <w:spacing w:after="0" w:line="250" w:lineRule="auto"/>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2024 the aggregate fair value of non-qualifying assets is $59,263,833 or 19.14% of the Company’s total assets.</w:t>
      </w: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shown is the annualized seven-day yield as of December 31, 2024.</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Included within ‘Cash and cash equivalents’ on the Consolidated Statements of Assets and Liabilities.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amortized cost represents the original cost adjusted for any accretion of discounts, amortization of premiums and PIK interest or dividends.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 - Fixed</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 - Prime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PIK - Payment-In-Kind</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 SOFR</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See accompanying notes to financial statements.</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5" w:right="299" w:bottom="1440" w:gutter="0" w:footer="0" w:header="0"/>
        </w:sectPr>
      </w:pPr>
    </w:p>
    <w:bookmarkStart w:id="109" w:name="page110"/>
    <w:bookmarkEnd w:id="109"/>
    <w:tbl>
      <w:tblPr>
        <w:tblLayout w:type="fixed"/>
        <w:tblInd w:w="8" w:type="dxa"/>
        <w:tblCellMar>
          <w:top w:w="0" w:type="dxa"/>
          <w:left w:w="0" w:type="dxa"/>
          <w:bottom w:w="0" w:type="dxa"/>
          <w:right w:w="0" w:type="dxa"/>
        </w:tblCellMar>
      </w:tblPr>
      <w:tr>
        <w:trPr>
          <w:trHeight w:val="115"/>
        </w:trPr>
        <w:tc>
          <w:tcPr>
            <w:tcW w:w="1660" w:type="dxa"/>
            <w:vAlign w:val="bottom"/>
            <w:gridSpan w:val="11"/>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gridSpan w:val="3"/>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Schedule of Investments</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All-in</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12"/>
                <w:szCs w:val="12"/>
                <w:color w:val="auto"/>
              </w:rPr>
            </w:pPr>
          </w:p>
        </w:tc>
        <w:tc>
          <w:tcPr>
            <w:tcW w:w="48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 of Net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13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Facility Type</w:t>
            </w:r>
          </w:p>
        </w:tc>
        <w:tc>
          <w:tcPr>
            <w:tcW w:w="6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Rate</w:t>
            </w:r>
          </w:p>
        </w:tc>
        <w:tc>
          <w:tcPr>
            <w:tcW w:w="920" w:type="dxa"/>
            <w:vAlign w:val="bottom"/>
            <w:tcBorders>
              <w:bottom w:val="single" w:sz="8" w:color="auto"/>
            </w:tcBorders>
          </w:tcPr>
          <w:p>
            <w:pPr>
              <w:ind w:left="60"/>
              <w:spacing w:after="0" w:line="164" w:lineRule="exact"/>
              <w:rPr>
                <w:sz w:val="20"/>
                <w:szCs w:val="20"/>
                <w:color w:val="auto"/>
              </w:rPr>
            </w:pPr>
            <w:r>
              <w:rPr>
                <w:rFonts w:ascii="Times New Roman" w:cs="Times New Roman" w:eastAsia="Times New Roman" w:hAnsi="Times New Roman"/>
                <w:sz w:val="12"/>
                <w:szCs w:val="12"/>
                <w:b w:val="1"/>
                <w:bCs w:val="1"/>
                <w:color w:val="auto"/>
              </w:rPr>
              <w:t xml:space="preserve">Bench-mark </w:t>
            </w:r>
            <w:r>
              <w:rPr>
                <w:rFonts w:ascii="Times New Roman" w:cs="Times New Roman" w:eastAsia="Times New Roman" w:hAnsi="Times New Roman"/>
                <w:sz w:val="19"/>
                <w:szCs w:val="19"/>
                <w:b w:val="1"/>
                <w:bCs w:val="1"/>
                <w:color w:val="auto"/>
                <w:vertAlign w:val="superscript"/>
              </w:rPr>
              <w:t>(3)</w:t>
            </w:r>
          </w:p>
        </w:tc>
        <w:tc>
          <w:tcPr>
            <w:tcW w:w="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Spread</w:t>
            </w:r>
          </w:p>
        </w:tc>
        <w:tc>
          <w:tcPr>
            <w:tcW w:w="6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PIK</w:t>
            </w:r>
          </w:p>
        </w:tc>
        <w:tc>
          <w:tcPr>
            <w:tcW w:w="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Floor</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620" w:type="dxa"/>
            <w:vAlign w:val="bottom"/>
            <w:tcBorders>
              <w:bottom w:val="single" w:sz="8" w:color="auto"/>
            </w:tcBorders>
            <w:gridSpan w:val="2"/>
          </w:tcPr>
          <w:p>
            <w:pPr>
              <w:jc w:val="right"/>
              <w:ind w:right="180"/>
              <w:spacing w:after="0" w:line="164" w:lineRule="exact"/>
              <w:rPr>
                <w:sz w:val="20"/>
                <w:szCs w:val="20"/>
                <w:color w:val="auto"/>
              </w:rPr>
            </w:pPr>
            <w:r>
              <w:rPr>
                <w:rFonts w:ascii="Times New Roman" w:cs="Times New Roman" w:eastAsia="Times New Roman" w:hAnsi="Times New Roman"/>
                <w:sz w:val="12"/>
                <w:szCs w:val="12"/>
                <w:b w:val="1"/>
                <w:bCs w:val="1"/>
                <w:color w:val="auto"/>
                <w:w w:val="98"/>
              </w:rPr>
              <w:t xml:space="preserve">Par </w:t>
            </w:r>
            <w:r>
              <w:rPr>
                <w:rFonts w:ascii="Times New Roman" w:cs="Times New Roman" w:eastAsia="Times New Roman" w:hAnsi="Times New Roman"/>
                <w:sz w:val="19"/>
                <w:szCs w:val="19"/>
                <w:b w:val="1"/>
                <w:bCs w:val="1"/>
                <w:color w:val="auto"/>
                <w:w w:val="98"/>
                <w:vertAlign w:val="superscript"/>
              </w:rPr>
              <w:t>(2)</w:t>
            </w:r>
          </w:p>
        </w:tc>
        <w:tc>
          <w:tcPr>
            <w:tcW w:w="640" w:type="dxa"/>
            <w:vAlign w:val="bottom"/>
            <w:tcBorders>
              <w:bottom w:val="single" w:sz="8" w:color="auto"/>
            </w:tcBorders>
            <w:gridSpan w:val="2"/>
          </w:tcPr>
          <w:p>
            <w:pPr>
              <w:jc w:val="right"/>
              <w:ind w:right="80"/>
              <w:spacing w:after="0" w:line="164" w:lineRule="exact"/>
              <w:rPr>
                <w:sz w:val="20"/>
                <w:szCs w:val="20"/>
                <w:color w:val="auto"/>
              </w:rPr>
            </w:pPr>
            <w:r>
              <w:rPr>
                <w:rFonts w:ascii="Times New Roman" w:cs="Times New Roman" w:eastAsia="Times New Roman" w:hAnsi="Times New Roman"/>
                <w:sz w:val="12"/>
                <w:szCs w:val="12"/>
                <w:b w:val="1"/>
                <w:bCs w:val="1"/>
                <w:color w:val="auto"/>
              </w:rPr>
              <w:t xml:space="preserve">Cost </w:t>
            </w:r>
            <w:r>
              <w:rPr>
                <w:rFonts w:ascii="Times New Roman" w:cs="Times New Roman" w:eastAsia="Times New Roman" w:hAnsi="Times New Roman"/>
                <w:sz w:val="19"/>
                <w:szCs w:val="19"/>
                <w:b w:val="1"/>
                <w:bCs w:val="1"/>
                <w:color w:val="auto"/>
                <w:vertAlign w:val="superscript"/>
              </w:rPr>
              <w:t>(14)</w:t>
            </w:r>
          </w:p>
        </w:tc>
        <w:tc>
          <w:tcPr>
            <w:tcW w:w="640" w:type="dxa"/>
            <w:vAlign w:val="bottom"/>
            <w:tcBorders>
              <w:bottom w:val="single" w:sz="8" w:color="auto"/>
            </w:tcBorders>
            <w:gridSpan w:val="2"/>
          </w:tcPr>
          <w:p>
            <w:pPr>
              <w:ind w:left="80"/>
              <w:spacing w:after="0" w:line="164"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9"/>
                <w:szCs w:val="19"/>
                <w:b w:val="1"/>
                <w:bCs w:val="1"/>
                <w:color w:val="auto"/>
                <w:vertAlign w:val="superscript"/>
              </w:rPr>
              <w:t>(4)</w:t>
            </w: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w w:val="97"/>
              </w:rPr>
              <w:t>Tickmark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auto"/>
            </w:tcBorders>
            <w:gridSpan w:val="9"/>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6"/>
              </w:rPr>
              <w:t>Investments at Fair Value</w:t>
            </w:r>
          </w:p>
        </w:tc>
        <w:tc>
          <w:tcPr>
            <w:tcW w:w="3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b w:val="1"/>
                <w:bCs w:val="1"/>
                <w:color w:val="auto"/>
                <w:w w:val="98"/>
              </w:rPr>
              <w:t>US Corporate Debt</w:t>
            </w:r>
          </w:p>
        </w:tc>
        <w:tc>
          <w:tcPr>
            <w:tcW w:w="560" w:type="dxa"/>
            <w:vAlign w:val="bottom"/>
            <w:gridSpan w:val="3"/>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First Lien Senior Secured U.S. Debt</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8"/>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Cannabis</w:t>
            </w:r>
          </w:p>
        </w:tc>
        <w:tc>
          <w:tcPr>
            <w:tcW w:w="380" w:type="dxa"/>
            <w:vAlign w:val="bottom"/>
            <w:tcBorders>
              <w:top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660" w:type="dxa"/>
            <w:vAlign w:val="bottom"/>
            <w:gridSpan w:val="11"/>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Dreamfields Brands, Inc. (d/b/a</w:t>
            </w:r>
          </w:p>
        </w:tc>
        <w:tc>
          <w:tcPr>
            <w:tcW w:w="1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Delayed Draw Term Loan</w:t>
            </w: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5/3/2023</w:t>
            </w:r>
          </w:p>
        </w:tc>
        <w:tc>
          <w:tcPr>
            <w:tcW w:w="660" w:type="dxa"/>
            <w:vAlign w:val="bottom"/>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8"/>
              </w:rPr>
              <w:t>5/3/2026</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0" w:type="dxa"/>
            <w:vAlign w:val="bottom"/>
            <w:shd w:val="clear" w:color="auto" w:fill="CCEEFF"/>
          </w:tcPr>
          <w:p>
            <w:pPr>
              <w:spacing w:after="0"/>
              <w:rPr>
                <w:sz w:val="7"/>
                <w:szCs w:val="7"/>
                <w:color w:val="auto"/>
              </w:rPr>
            </w:pPr>
          </w:p>
        </w:tc>
        <w:tc>
          <w:tcPr>
            <w:tcW w:w="1560" w:type="dxa"/>
            <w:vAlign w:val="bottom"/>
            <w:gridSpan w:val="10"/>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Jeeter)</w:t>
            </w:r>
          </w:p>
        </w:tc>
        <w:tc>
          <w:tcPr>
            <w:tcW w:w="1360" w:type="dxa"/>
            <w:vAlign w:val="bottom"/>
            <w:gridSpan w:val="2"/>
            <w:vMerge w:val="continue"/>
            <w:shd w:val="clear" w:color="auto" w:fill="CCEEFF"/>
          </w:tcPr>
          <w:p>
            <w:pPr>
              <w:spacing w:after="0"/>
              <w:rPr>
                <w:sz w:val="7"/>
                <w:szCs w:val="7"/>
                <w:color w:val="auto"/>
              </w:rPr>
            </w:pPr>
          </w:p>
        </w:tc>
        <w:tc>
          <w:tcPr>
            <w:tcW w:w="6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17.25%</w:t>
            </w:r>
          </w:p>
        </w:tc>
        <w:tc>
          <w:tcPr>
            <w:tcW w:w="9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P</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64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4,320</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4,229</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4,320</w:t>
            </w: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5.05%</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72"/>
        </w:trPr>
        <w:tc>
          <w:tcPr>
            <w:tcW w:w="100" w:type="dxa"/>
            <w:vAlign w:val="bottom"/>
            <w:shd w:val="clear" w:color="auto" w:fill="CCEEFF"/>
          </w:tcPr>
          <w:p>
            <w:pPr>
              <w:spacing w:after="0"/>
              <w:rPr>
                <w:sz w:val="6"/>
                <w:szCs w:val="6"/>
                <w:color w:val="auto"/>
              </w:rPr>
            </w:pPr>
          </w:p>
        </w:tc>
        <w:tc>
          <w:tcPr>
            <w:tcW w:w="1560" w:type="dxa"/>
            <w:vAlign w:val="bottom"/>
            <w:gridSpan w:val="10"/>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660" w:type="dxa"/>
            <w:vAlign w:val="bottom"/>
            <w:gridSpan w:val="11"/>
          </w:tcPr>
          <w:p>
            <w:pPr>
              <w:spacing w:after="0" w:line="133" w:lineRule="exact"/>
              <w:rPr>
                <w:sz w:val="20"/>
                <w:szCs w:val="20"/>
                <w:color w:val="auto"/>
              </w:rPr>
            </w:pPr>
            <w:r>
              <w:rPr>
                <w:rFonts w:ascii="Times New Roman" w:cs="Times New Roman" w:eastAsia="Times New Roman" w:hAnsi="Times New Roman"/>
                <w:sz w:val="12"/>
                <w:szCs w:val="12"/>
                <w:color w:val="auto"/>
              </w:rPr>
              <w:t>STIIIZY, Inc (f/k/a) Shryne</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Term Loan</w:t>
            </w: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5/26/2022</w:t>
            </w:r>
          </w:p>
        </w:tc>
        <w:tc>
          <w:tcPr>
            <w:tcW w:w="66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auto"/>
              </w:rPr>
              <w:t>5/26/2026</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56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Group, Inc</w:t>
            </w:r>
          </w:p>
        </w:tc>
        <w:tc>
          <w:tcPr>
            <w:tcW w:w="1360" w:type="dxa"/>
            <w:vAlign w:val="bottom"/>
            <w:gridSpan w:val="2"/>
            <w:vMerge w:val="continue"/>
          </w:tcPr>
          <w:p>
            <w:pPr>
              <w:spacing w:after="0"/>
              <w:rPr>
                <w:sz w:val="13"/>
                <w:szCs w:val="13"/>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17.00%</w:t>
            </w:r>
          </w:p>
        </w:tc>
        <w:tc>
          <w:tcPr>
            <w:tcW w:w="9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P</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21,065</w:t>
            </w:r>
          </w:p>
        </w:tc>
        <w:tc>
          <w:tcPr>
            <w:tcW w:w="12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20,682</w:t>
            </w:r>
          </w:p>
        </w:tc>
        <w:tc>
          <w:tcPr>
            <w:tcW w:w="160" w:type="dxa"/>
            <w:vAlign w:val="bottom"/>
          </w:tcPr>
          <w:p>
            <w:pPr>
              <w:spacing w:after="0"/>
              <w:rPr>
                <w:sz w:val="13"/>
                <w:szCs w:val="13"/>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20,749</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24.25%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16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Verano Holdings Corp.</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15.00%</w:t>
            </w: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P</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10/27/2022 10/30/2026</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20,937</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20,462</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20,937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24.47%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(9)(11)</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Total Cannabis</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45,373</w:t>
            </w:r>
          </w:p>
        </w:tc>
        <w:tc>
          <w:tcPr>
            <w:tcW w:w="16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46,006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53.77%</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First Lien Senior Secured U.S. Debt</w:t>
            </w: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45,373</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46,006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53.77%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gridSpan w:val="8"/>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8"/>
              </w:rPr>
              <w:t>Senior Secured U.S. Notes</w:t>
            </w:r>
          </w:p>
        </w:tc>
        <w:tc>
          <w:tcPr>
            <w:tcW w:w="3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gridSpan w:val="3"/>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8"/>
              </w:rPr>
              <w:t>Cannabis</w:t>
            </w:r>
          </w:p>
        </w:tc>
        <w:tc>
          <w:tcPr>
            <w:tcW w:w="720" w:type="dxa"/>
            <w:vAlign w:val="bottom"/>
            <w:tcBorders>
              <w:top w:val="single" w:sz="8" w:color="auto"/>
            </w:tcBorders>
            <w:gridSpan w:val="3"/>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Curaleaf Holdings, Inc.</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Secured Note</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8.00%</w:t>
            </w: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F</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10/11/2022</w:t>
            </w:r>
          </w:p>
        </w:tc>
        <w:tc>
          <w:tcPr>
            <w:tcW w:w="6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8"/>
              </w:rPr>
              <w:t>12/15/2026</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4,500</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3,989</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4,140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(8)(11)</w:t>
            </w:r>
          </w:p>
        </w:tc>
        <w:tc>
          <w:tcPr>
            <w:tcW w:w="0" w:type="dxa"/>
            <w:vAlign w:val="bottom"/>
          </w:tcPr>
          <w:p>
            <w:pPr>
              <w:spacing w:after="0"/>
              <w:rPr>
                <w:sz w:val="1"/>
                <w:szCs w:val="1"/>
                <w:color w:val="auto"/>
              </w:rPr>
            </w:pPr>
          </w:p>
        </w:tc>
      </w:tr>
      <w:tr>
        <w:trPr>
          <w:trHeight w:val="144"/>
        </w:trPr>
        <w:tc>
          <w:tcPr>
            <w:tcW w:w="166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PharmaCann, Inc</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Senior Secured Note</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12.00%</w:t>
            </w:r>
          </w:p>
        </w:tc>
        <w:tc>
          <w:tcPr>
            <w:tcW w:w="9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6/30/2022</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6/30/2025</w:t>
            </w:r>
          </w:p>
        </w:tc>
        <w:tc>
          <w:tcPr>
            <w:tcW w:w="60" w:type="dxa"/>
            <w:vAlign w:val="bottom"/>
          </w:tcPr>
          <w:p>
            <w:pPr>
              <w:spacing w:after="0"/>
              <w:rPr>
                <w:sz w:val="12"/>
                <w:szCs w:val="12"/>
                <w:color w:val="auto"/>
              </w:rPr>
            </w:pP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4,250</w:t>
            </w:r>
          </w:p>
        </w:tc>
        <w:tc>
          <w:tcPr>
            <w:tcW w:w="120" w:type="dxa"/>
            <w:vAlign w:val="bottom"/>
          </w:tcPr>
          <w:p>
            <w:pPr>
              <w:spacing w:after="0"/>
              <w:rPr>
                <w:sz w:val="12"/>
                <w:szCs w:val="1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4,109</w:t>
            </w:r>
          </w:p>
        </w:tc>
        <w:tc>
          <w:tcPr>
            <w:tcW w:w="16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3,974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Cannabis</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8,098</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8,114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9.49%</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Total Senior Secured U.S. Notes</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8,098</w:t>
            </w:r>
          </w:p>
        </w:tc>
        <w:tc>
          <w:tcPr>
            <w:tcW w:w="16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8,114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9.49%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7"/>
              </w:rPr>
              <w:t>Total U.S. Corporate Debt</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53,471</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54,120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63.26%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5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Debt Investments</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53,471</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54,120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63.26%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4"/>
              </w:rPr>
              <w:t>Yield</w:t>
            </w:r>
          </w:p>
        </w:tc>
        <w:tc>
          <w:tcPr>
            <w:tcW w:w="120" w:type="dxa"/>
            <w:vAlign w:val="bottom"/>
          </w:tcPr>
          <w:p>
            <w:pPr>
              <w:spacing w:after="0"/>
              <w:rPr>
                <w:sz w:val="13"/>
                <w:szCs w:val="13"/>
                <w:color w:val="auto"/>
              </w:rPr>
            </w:pPr>
          </w:p>
        </w:tc>
        <w:tc>
          <w:tcPr>
            <w:tcW w:w="5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3"/>
                <w:szCs w:val="13"/>
                <w:color w:val="auto"/>
              </w:rPr>
            </w:pPr>
          </w:p>
        </w:tc>
        <w:tc>
          <w:tcPr>
            <w:tcW w:w="48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 of Net Assets</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Tickmark</w:t>
            </w:r>
          </w:p>
        </w:tc>
        <w:tc>
          <w:tcPr>
            <w:tcW w:w="0" w:type="dxa"/>
            <w:vAlign w:val="bottom"/>
          </w:tcPr>
          <w:p>
            <w:pPr>
              <w:spacing w:after="0"/>
              <w:rPr>
                <w:sz w:val="1"/>
                <w:szCs w:val="1"/>
                <w:color w:val="auto"/>
              </w:rPr>
            </w:pPr>
          </w:p>
        </w:tc>
      </w:tr>
      <w:tr>
        <w:trPr>
          <w:trHeight w:val="115"/>
        </w:trPr>
        <w:tc>
          <w:tcPr>
            <w:tcW w:w="1660" w:type="dxa"/>
            <w:vAlign w:val="bottom"/>
            <w:tcBorders>
              <w:top w:val="single" w:sz="8" w:color="auto"/>
            </w:tcBorders>
            <w:gridSpan w:val="11"/>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Cash &amp; Cash Equivalents</w:t>
            </w:r>
          </w:p>
        </w:tc>
        <w:tc>
          <w:tcPr>
            <w:tcW w:w="3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660" w:type="dxa"/>
            <w:vAlign w:val="bottom"/>
            <w:gridSpan w:val="11"/>
          </w:tcPr>
          <w:p>
            <w:pPr>
              <w:spacing w:after="0" w:line="133" w:lineRule="exact"/>
              <w:rPr>
                <w:sz w:val="20"/>
                <w:szCs w:val="20"/>
                <w:color w:val="auto"/>
              </w:rPr>
            </w:pPr>
            <w:r>
              <w:rPr>
                <w:rFonts w:ascii="Times New Roman" w:cs="Times New Roman" w:eastAsia="Times New Roman" w:hAnsi="Times New Roman"/>
                <w:sz w:val="12"/>
                <w:szCs w:val="12"/>
                <w:color w:val="auto"/>
              </w:rPr>
              <w:t>State Street Institutional US</w:t>
            </w: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56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Government Money Market</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56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Fund</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5.32%</w:t>
            </w:r>
          </w:p>
        </w:tc>
        <w:tc>
          <w:tcPr>
            <w:tcW w:w="12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32,612</w:t>
            </w:r>
          </w:p>
        </w:tc>
        <w:tc>
          <w:tcPr>
            <w:tcW w:w="160" w:type="dxa"/>
            <w:vAlign w:val="bottom"/>
          </w:tcPr>
          <w:p>
            <w:pPr>
              <w:spacing w:after="0"/>
              <w:rPr>
                <w:sz w:val="13"/>
                <w:szCs w:val="13"/>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32,612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38.12%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Cash &amp; Cash Equivalents</w:t>
            </w: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32,612</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32,612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38.12%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Portfolio Investments and Cash &amp; Cash Equivalents</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86,083</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86,732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101.38%</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Tickmark Legend</w:t>
      </w:r>
    </w:p>
    <w:p>
      <w:pPr>
        <w:spacing w:after="0" w:line="21" w:lineRule="exact"/>
        <w:rPr>
          <w:sz w:val="20"/>
          <w:szCs w:val="20"/>
          <w:color w:val="auto"/>
        </w:rPr>
      </w:pPr>
    </w:p>
    <w:p>
      <w:pPr>
        <w:ind w:left="208" w:hanging="208"/>
        <w:spacing w:after="0" w:line="250" w:lineRule="auto"/>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indicated, all securities are valued using significant unobservable inputs, which are categorized as Level 3 assets under the definition of Financial Accounting Standards Board’s Accounting Standards Codification 820 Fair Value Hierarchy.</w:t>
      </w: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is net of repayments, if any, as per the terms of the debt instrument’s contract.</w:t>
      </w:r>
    </w:p>
    <w:p>
      <w:pPr>
        <w:spacing w:after="0" w:line="6" w:lineRule="exact"/>
        <w:rPr>
          <w:rFonts w:ascii="Times New Roman" w:cs="Times New Roman" w:eastAsia="Times New Roman" w:hAnsi="Times New Roman"/>
          <w:sz w:val="12"/>
          <w:szCs w:val="12"/>
          <w:color w:val="auto"/>
        </w:rPr>
      </w:pPr>
    </w:p>
    <w:p>
      <w:pPr>
        <w:jc w:val="both"/>
        <w:ind w:left="208" w:hanging="208"/>
        <w:spacing w:after="0" w:line="250" w:lineRule="auto"/>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the interest rate on floating interest rate investments is at benchmark rate plus spread, subject to an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Loan Service Agreements. As of December 31, 2023, rates for 1M S, 3M S and 6M S are 5.34%, 5.36%, and 5.35%, respectively. As of December 31, 2023, the P was 8.50%</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were valued at fair value. See Note 4 — Fair Value of Financial Instruments in the accompanying notes to the financial statements.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uses the North American Industry Classification System (“NAICS”) code for classifying the industry grouping of its portfolio companies, excluding any portfolio company operating in the cannabis industry.</w:t>
      </w:r>
    </w:p>
    <w:p>
      <w:pPr>
        <w:spacing w:after="0" w:line="6" w:lineRule="exact"/>
        <w:rPr>
          <w:rFonts w:ascii="Times New Roman" w:cs="Times New Roman" w:eastAsia="Times New Roman" w:hAnsi="Times New Roman"/>
          <w:sz w:val="12"/>
          <w:szCs w:val="12"/>
          <w:color w:val="auto"/>
        </w:rPr>
      </w:pPr>
    </w:p>
    <w:p>
      <w:pPr>
        <w:ind w:left="208" w:right="20" w:hanging="208"/>
        <w:spacing w:after="0" w:line="250" w:lineRule="auto"/>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 non-income producing investment. As of December 31, 2023, no investments are deemed as non-income producing. All equity and warrant investments are non-income producing as of December 31, 2023 unless otherwise noted</w:t>
      </w: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Geographic regions are determined by the respective portfolio company’s headquarters’ location.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Northeast.</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Midwest.</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company located in the West.</w:t>
      </w:r>
    </w:p>
    <w:p>
      <w:pPr>
        <w:spacing w:after="0" w:line="6" w:lineRule="exact"/>
        <w:rPr>
          <w:rFonts w:ascii="Times New Roman" w:cs="Times New Roman" w:eastAsia="Times New Roman" w:hAnsi="Times New Roman"/>
          <w:sz w:val="12"/>
          <w:szCs w:val="12"/>
          <w:color w:val="auto"/>
        </w:rPr>
      </w:pPr>
    </w:p>
    <w:p>
      <w:pPr>
        <w:jc w:val="both"/>
        <w:ind w:left="208" w:hanging="208"/>
        <w:spacing w:after="0" w:line="250" w:lineRule="auto"/>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2023 the aggregate fair value of non-qualifying assets is $25,077 or 29.3% of the Company’s total assets.</w:t>
      </w: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shown is the annualized seven-day yield as of December 31, 2023.</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Included within ‘Cash and cash equivalents’ on the Consolidated Statements of Assets and Liabilities.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amortized cost represents the original cost adjusted for any accretion of discounts, amortization of premiums and PIK interest or dividends.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 - Fixed</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 - Prime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PIK - Payment-In-Kind</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 SOFR</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See notes to financial statements.</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5"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ORGANIZATION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Chicago Atlantic BDC, Inc. (formerly, 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and has maintained (and intends to continue to maintain) such election in subsequent taxable years. However, there is no guarantee that the Company will qualify to make such an election for any taxable year.</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8, 2022, the Company completed its initial public offering (“IPO”) of 6,071,429 shares of its common stock, par value $0.01, at a price of $14.00 per share. The Company commenced operations on February 8, 2022, receiving approximately $83.3 million in total net proceeds from the offering, after deducting estimated offering expenses.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25, 2022, the underwriters of the IPO exercised their option to purchase an additional 142,857 shares of common stock from the Company. The partial exercise of the over-allotment option closed on March 1, 2022, resulting in additional gross proceeds to the Company of approximately $2 million, before deducting offering expenses payable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4, 2022, the Company’s common stock began trading on the Nasdaq Global Market. Since October 2, 2024, the Company’s common stock trades on the Nasdaq Global Market under the symbol “LIEN.”</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is managed by Chicago Atlantic BDC Advisers, LLC (formerly, Silver Spike Capital, LLC) (the “Adviser”), a registered investment adviser under the Investment Advisers Act of 1940 with the Securities and Exchange Commission (“SEC”). The Adviser has engaged SS&amp;C Technologies, Inc. and ALPS Fund Services, Inc. (“SS&amp;C”), as sub-administrator, to perform administrative services necessary for the Company to operate.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the Company focuses on investments in the cannabis industry, the Company may also invest in growth and technology companies, esoteric and asset-based lending opportunities, and liquidity solutions opportunities.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investment objective is to maximize risk-adjusted returns on equity for its shareholders. The Company seeks to capitalize on, among other things, what it believes to be nascent cannabis industry growth, and drive return on equity by generating current income from its debt investments and capital appreciation from its equity and equity-related investments. The Company intends to achieve its investment objective by investing primarily in secured debt, unsecured debt, equity warrants and direct equity investments in privately held businesses. The Company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February 20, 2024, the Company announced that the Board of Directors of the Company (the “Board”) unanimously approved an expansion of the Company’s investment strategy to permit investments in companies outside of the cannabis and health and wellness sectors that otherwise meet the Company’s investment criteria. The investment strategy change became effective on April 22, 2024.</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See “Note 12 – Loan Portfolio Acquisition” for further information regarding the Loan Portfolio Acquisition.</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 As the Joint Venture caused the automatic termination of the prior investment advisory agreement between the Company and the Adviser (the “Prior Investment Advisory Agreement”), a new investment advisory agreement between the Company and the Adviser (the “New Investment Advisory Agreement”), which was approved by the Board, upon the recommendation of its special committee, and the Company’s stockholders, took effect upon the closing of the Joint Venture. The New Investment Advisory Agreement has the same base management and incentive fee as, and otherwise does not materially differ from, the Prior Investment Advisory Agreement.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October 1, 2024, in connection with the New Investment Advisory Agreement, the Company entered into a new license agreement (the “New License Agreement”) with the Adviser pursuant to which the Adviser has agreed to grant the Company a nonexclusive, royalty-free license to use the name “Chicago Atlantic.” Under the New License Agreement, the Company will have a right to use the “Chicago Atlantic” name, for so long as the Adviser or one of its affiliates remains the Company’s investment adviser. Other than with respect to this limited license, the Company will have no legal right to the “Chicago Atlantic” name. The New License Agreement does not materially differ from the prior license agreement between the Company and the Adviser, other than with respect to the licensed name.</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October 1, 2024, in connection with the New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September 30, 2025. 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connection with the Loan Portfolio Acquisition and the Joint Venture, the Board and the officers of the Company changed as follows: (i) Frederick C. Herbst (Independent Director), John Mazarakis (Partner at Chicago Atlantic), and Jason Papastavrou (Independent Director) joined the Board, to serve until the 2025, 2026, and 2027 annual meetings of stockholders, respectively, and until their respective successors are duly elected and qualified; (ii) Andreas Bodmeier (Partner at Chicago Atlantic) replaced Mr. Gordon as Chief Executive Officer of the Company; (iii) Mr. Gordon became Executive Chairman of the Board and Co-Chief Investment Officer of the Company; (iv) Umesh Mahajan became Co-Chief Investment Officer of the Company in addition to remaining Chief Financial Officer and Secretary of the Company; and (v) Dino Colonna (Partner at the Adviser) became the President of the Company. Each officer of the Company will serve until his successor has been duly elected and qualified, or until the earlier of his resignation or removal.</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SIGNIFICANT ACCOUNTING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 xml:space="preserve">The Company’s financial statements have been prepared in accordance with accounting principles generally accepted in the United States of America (“U.S. GAAP”). The Company is an investment company following the accounting and reporting requirements set forth in the Financial Accounting Standards Board (“FASB”) Accounting Standards Codification (“ASC”) 946, </w:t>
      </w:r>
      <w:r>
        <w:rPr>
          <w:rFonts w:ascii="Times New Roman" w:cs="Times New Roman" w:eastAsia="Times New Roman" w:hAnsi="Times New Roman"/>
          <w:sz w:val="12"/>
          <w:szCs w:val="12"/>
          <w:i w:val="1"/>
          <w:iCs w:val="1"/>
          <w:color w:val="auto"/>
        </w:rPr>
        <w:t>Financial Services—Investment Companies</w:t>
      </w:r>
      <w:r>
        <w:rPr>
          <w:rFonts w:ascii="Times New Roman" w:cs="Times New Roman" w:eastAsia="Times New Roman" w:hAnsi="Times New Roman"/>
          <w:sz w:val="12"/>
          <w:szCs w:val="12"/>
          <w:color w:val="auto"/>
        </w:rPr>
        <w:t xml:space="preserve"> and Articles 6 and 12 of Regulation S-X. The financial statements reflect all adjustments and reclassification that, in the opinion of management, are necessary for the fair presentation of results of operations and financial condition as of and for the periods presented.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Reclassifications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Certain reclassifications have been made in the presentation of prior year financial statements and accompanying notes to conform to the presentation as of and for the year ended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preparation of the financial statements in conformity with U.S. GAAP requires management to make certain estimates and assumptions affecting reported amounts of assets and liabilities at the date of the financial statements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December 31, 2024 and December 31, 2023, cash and cash equivalents consisted of $23.9 million and $32.6 million, respectively, all of which is held in the State Street Institutional U.S. Government Money Market Fund.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Transactions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the fair value of investments are reflected as a component of the net change in unrealized appreciation (depreciation) from investments on the Statements of Operations. The net change in unrealized appreciation (depreciation) primarily reflects the change in fair value of investments as of the last business day of the reporting period, including the reversal of previously recorded unrealized gains or losses with respect to investments realized during the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Investments traded but not yet settled, if any, are reported in payable for investments purchased and receivable for investments sold on the Statements of Assets and Liabilities.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Valuation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investments are recorded at their estimated fair value on the Statements of Assets and Liabilities.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public company method (“GPC”) and the controlling transaction method (“CTM”). The GPC method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GPC.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Adviser undertakes a multi-step valuation process, which includes, among other procedures, the following:</w:t>
      </w:r>
    </w:p>
    <w:p>
      <w:pPr>
        <w:spacing w:after="0" w:line="150" w:lineRule="exact"/>
        <w:rPr>
          <w:sz w:val="20"/>
          <w:szCs w:val="20"/>
          <w:color w:val="auto"/>
        </w:rPr>
      </w:pPr>
    </w:p>
    <w:p>
      <w:pPr>
        <w:ind w:left="640" w:hanging="216"/>
        <w:spacing w:after="0"/>
        <w:tabs>
          <w:tab w:leader="none" w:pos="6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investments for which market quotations are readily available, those investments will typically be valued at the bid price of those market quotations;</w:t>
      </w:r>
    </w:p>
    <w:p>
      <w:pPr>
        <w:spacing w:after="0" w:line="150"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Preliminary valuations are documented and discussed by the Adviser’s valuation committee and, where appropriate, the independent valuation firm(s);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Adviser determines the fair value of each investment.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conduct this valuation process on a quarterly basis.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 xml:space="preserve">We apply FASB ASC Topic 820 - </w:t>
      </w:r>
      <w:r>
        <w:rPr>
          <w:rFonts w:ascii="Times New Roman" w:cs="Times New Roman" w:eastAsia="Times New Roman" w:hAnsi="Times New Roman"/>
          <w:sz w:val="12"/>
          <w:szCs w:val="12"/>
          <w:i w:val="1"/>
          <w:iCs w:val="1"/>
          <w:color w:val="auto"/>
        </w:rPr>
        <w:t>Fair Value Measurement</w:t>
      </w:r>
      <w:r>
        <w:rPr>
          <w:rFonts w:ascii="Times New Roman" w:cs="Times New Roman" w:eastAsia="Times New Roman" w:hAnsi="Times New Roman"/>
          <w:sz w:val="12"/>
          <w:szCs w:val="12"/>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2" w:lineRule="exact"/>
        <w:rPr>
          <w:sz w:val="20"/>
          <w:szCs w:val="20"/>
          <w:color w:val="auto"/>
        </w:rPr>
      </w:pPr>
    </w:p>
    <w:p>
      <w:pPr>
        <w:ind w:left="640" w:hanging="216"/>
        <w:spacing w:after="0"/>
        <w:tabs>
          <w:tab w:leader="none" w:pos="64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 Valuations based on quoted prices in active markets for identical assets or liabilities that we have the ability to access at the measurement date;</w:t>
      </w:r>
    </w:p>
    <w:p>
      <w:pPr>
        <w:spacing w:after="0" w:line="150"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 Valuations based on inputs that are unobservable and significant to the overall fair value measurement.</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 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Securities and Warrants</w:t>
      </w:r>
    </w:p>
    <w:p>
      <w:pPr>
        <w:spacing w:after="0" w:line="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The Company may be issued warrants by portfolio companies as yield enhancements in connection with a related debt investment. These warrants are recorded as assets at estimated fair value on the grant date. The Company determines the cost basis of the warrants or other equity securities received based upon their respective fair values on the date of receipt in proportion to the total fair value of the debt and warrants or other equity securities received. Depending on the facts and circumstances, the Company generally utilizes a combination of one or several forms of the market approach and contingent claim analyses (a form of option analysis) to estimate the fair value of the securities as of the measurement date and determines the cost basis using a relative fair value methodology. As part of its application of the market approach, the Company estimates the enterprise value of a portfolio company utilizing customary pricing multiples, based on the development stage of the underlying issuers, or other appropriate valuation methods, such as considering recent transactions in the equity securities of the portfolio company or third-party valuations that are assessed to be indicative of fair value of the respective portfolio company. If appropriate, based on the facts and circumstances, the Company performs an allocation of the enterprise value to the equity securities utilizing a contingent claim analysis and/or other waterfall calculation by which it allocates the enterprise value across the portfolio company’s warrants and other equity securities in order of their preference relative to one another.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Earnings per share</w:t>
      </w:r>
    </w:p>
    <w:p>
      <w:pPr>
        <w:spacing w:after="0" w:line="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Income</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Interest income is recorded on an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 Income</w:t>
      </w:r>
    </w:p>
    <w:p>
      <w:pPr>
        <w:spacing w:after="0" w:line="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Fee Income</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All transaction fees earned in connection with our investments are recognized as fee income and are generally non-recurring. Such fees typically include fees for services, including administrative, structuring (including with respect to amendments)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Non-Accrual Policy</w:t>
      </w:r>
    </w:p>
    <w:p>
      <w:pPr>
        <w:spacing w:after="0" w:line="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interest receivable is reversed from income in the period that a loan is placed on non-accrual. However, the Company may make exceptions to this policy if the investment has sufficient collateral value and is in the process of collection.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 As of December 31, 2024 and December 31, 2023, there were no investments placed on non-accrual status.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Unearned Revenue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decision to establish an interest reserve is made during the underwriting process and considers the creditworthiness and expertise of the borrower, and the debt coverage provided by the pledged collateral. It is the Company’s policy to recognize income for this interest component as long as the subject loan is performing as originally projected and if there has been no deterioration in the financial condition of the borrower. The Company’s standard accounting policies for interest income recognition are applied to all loans, including those with interest reserves. As of December 31, 2024 and December 31, 2023, the Company recorded $37,752 and $0, respectively, of prepaid interest reserves, which are presented as unearned interest income on the Statements of Assets and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The Company adopted an initial tax year end of December 31, 2021 and was taxed as a corporation for U.S. federal income tax purposes for the tax period ended December 31, 2021. The Company adopted the tax year end of March 31 and elected to be treated for U.S. federal income tax purposes as a RIC under Subchapter M of the Code for the tax period January 1, 2022 through March 31, 2022 and in subsequent years. The Company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For the years ended December 31, 2024 and December 31, 2023, and for the period from April 1, 2022 through December 31, 2022, the Company accrued excise taxes of $120,024, $10,655, and $80,566, respectively. As of December 31, 2024 and December 31, 2023, $88,709 and $10,655, respectively, of accrued excise taxes remained payable.</w:t>
      </w:r>
    </w:p>
    <w:p>
      <w:pPr>
        <w:spacing w:after="0" w:line="13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Based on the analysis of the Company’s tax position, the Company has no uncertain tax positions that met the recognition or measurement criteria as of December 31, 2024 and December 31, 2023. The Company does not anticipate any significant increase or decrease in unrecognized tax benefits for the next twelve months. The Company identifies its major tax jurisdiction as the United States. As of December 31, 2024, the tax years that remain subject to examination by the Internal Revenue Service are from 2022 (commencement of operations) forward.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Distributions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Distributions to common stockholders are recorded on the record date. The amount of taxable income to be paid out as a distribution is determined by our Board on a quarterly basis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Offering Costs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These costs consist primarily of legal fees and other costs incurred in connection with issuances of the Company’s common stock, including the preparation of the Company’s registration statement, registration fees, transfer agent expenses, and other expenses relating to the offering. Offering costs are capitalized as deferred offering costs and, if any, are included in prepaid expenses and other assets on the Statements of Assets and Liabilities. As of December 31, 2024 and December 31, 2023, deferred offering costs were $49,998 and $0, respectively.</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deferred offering costs were charged to capital upon the issuance of shares subsequent to the completion of the Loan Portfolio Acquisition. For the year ended December 31, 2024, $1,214,375 of offering costs were charged to capital. For the year ended December 31, 2023, and for the period from April 1, 2022 through December 31, 2022, there were no offering costs charged to capital. As of December 31, 2024 and December 31, 2023, there were $989,645 and $0, respectively, of offering costs payable by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 expenses related to the Loan Portfolio Acquisition</w:t>
      </w:r>
    </w:p>
    <w:p>
      <w:pPr>
        <w:spacing w:after="0" w:line="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Cumulative transaction expenses related to the Loan Portfolio Acquisition through December 31, 2024 and December 31, 2023 were $6,053,043 and $711,264, respectively, and consisted primarily of legal fees and valuation fees. See “Note 13 – Loan Portfolio Acquisition” for further information regarding the Loan Portfolio Acquisition.</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the years ended December 31, 2024 and December 31, 2023, and for the period from April 1, 2022 through December 31, 2022, the Company incurred transaction expenses related to the Loan Portfolio Acquisition of $5,341,779, $711,264 and $0, respectively. As of December 31, 2024 and December 31, 2023, $2,945,125 and $711,264, respectively, of transaction expenses related to the Loan Portfolio Acquisition remained payable, and are included in transaction fees payable on the Statements of Assets and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Deferred Financing Costs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Deferred financing costs consist of origination expenses incurred in connection with the closing, or anticipated closing, of a credit facility, and may include legal, accounting, and other related expenses. These costs are deferred and amortized as interest expense using the straight-line method over the term of the applicable credit facility. Deferred financing costs, if any, are included in prepaid expenses and other assets on the Statements of Assets and Liabilities. As of December 31, 2024 and December 31, 2023, deferred financing costs were $47,881 and $0,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New Accounting Standards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On January 1, 2024, the Company adopted FASB ASU 2023-07, Segment Reporting (Topic 280): </w:t>
      </w:r>
      <w:r>
        <w:rPr>
          <w:rFonts w:ascii="Times New Roman" w:cs="Times New Roman" w:eastAsia="Times New Roman" w:hAnsi="Times New Roman"/>
          <w:sz w:val="12"/>
          <w:szCs w:val="12"/>
          <w:i w:val="1"/>
          <w:iCs w:val="1"/>
          <w:color w:val="auto"/>
        </w:rPr>
        <w:t>Improvements to Reportable Segment Disclosures.</w:t>
      </w:r>
      <w:r>
        <w:rPr>
          <w:rFonts w:ascii="Times New Roman" w:cs="Times New Roman" w:eastAsia="Times New Roman" w:hAnsi="Times New Roman"/>
          <w:sz w:val="12"/>
          <w:szCs w:val="12"/>
          <w:color w:val="auto"/>
        </w:rPr>
        <w:t xml:space="preserve"> This guidance requires public entities to disclose significant expense categories and amounts for each reportable segment, along with information regarding the composition of “other segment items.” Additionally, the guidance requires the disclosure of the title and position of the entity’s Chief Operating Decision Maker (“CODM”), an explanation of how the CODM utilizes reported profit or loss measures to assess segment performance, and certain segment-related disclosures on an interim basis, which were previously required only annually. The Company adopted ASU 2023-07 effective December 31, 2024 and concluded that the application of this guidance did not have any material impact on its consolidated financial statements. Refer to Note 12 for more information on the effects of the adoption of ASU 2023-07.</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 xml:space="preserve">In December 2023, the FASB issued Accounting Standard Update (“ASU”) No. 2023-09, “Income Taxes (Topic 740): </w:t>
      </w:r>
      <w:r>
        <w:rPr>
          <w:rFonts w:ascii="Times New Roman" w:cs="Times New Roman" w:eastAsia="Times New Roman" w:hAnsi="Times New Roman"/>
          <w:sz w:val="12"/>
          <w:szCs w:val="12"/>
          <w:i w:val="1"/>
          <w:iCs w:val="1"/>
          <w:color w:val="auto"/>
        </w:rPr>
        <w:t>Improvements to Income Tax Disclosures</w:t>
      </w:r>
      <w:r>
        <w:rPr>
          <w:rFonts w:ascii="Times New Roman" w:cs="Times New Roman" w:eastAsia="Times New Roman" w:hAnsi="Times New Roman"/>
          <w:sz w:val="12"/>
          <w:szCs w:val="12"/>
          <w:color w:val="auto"/>
        </w:rPr>
        <w:t xml:space="preserve"> (“ASU 2023-09”),” which improves the transparency of income tax disclosures. ASU 2023-09 is effective for fiscal years beginning after December 15, 2024 and is to be adopted on a prospective basis with the option to apply retrospectively. We are currently evaluating the impact this ASU will have on our financial position and disclosures, but we do not believe that the Company will be materially impacted by the adoption of ASU 2023-09.</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INVESTMENTS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investments in portfolio companies are primarily in the form of debt investments, but may include equity warrants received in connection with debt investments, direct equity investments and derivative investments.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tables summarize the composition of the Company’s portfolio investments by investment type as of December 31, 2024 and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2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at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at</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left="200"/>
              <w:spacing w:after="0" w:line="123"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40" w:type="dxa"/>
            <w:vAlign w:val="bottom"/>
            <w:gridSpan w:val="3"/>
          </w:tcPr>
          <w:p>
            <w:pPr>
              <w:jc w:val="center"/>
              <w:ind w:right="200"/>
              <w:spacing w:after="0" w:line="123"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2"/>
                <w:szCs w:val="12"/>
                <w:b w:val="1"/>
                <w:bCs w:val="1"/>
                <w:color w:val="auto"/>
                <w:w w:val="99"/>
              </w:rPr>
              <w:t>at</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Investment Type</w:t>
            </w: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Principal Balance</w:t>
            </w:r>
          </w:p>
        </w:tc>
        <w:tc>
          <w:tcPr>
            <w:tcW w:w="240" w:type="dxa"/>
            <w:vAlign w:val="bottom"/>
            <w:gridSpan w:val="2"/>
          </w:tcPr>
          <w:p>
            <w:pPr>
              <w:spacing w:after="0"/>
              <w:rPr>
                <w:sz w:val="15"/>
                <w:szCs w:val="15"/>
                <w:color w:val="auto"/>
              </w:rPr>
            </w:pPr>
          </w:p>
        </w:tc>
        <w:tc>
          <w:tcPr>
            <w:tcW w:w="86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8"/>
              </w:rPr>
              <w:t>Balance</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line="180" w:lineRule="exact"/>
              <w:rPr>
                <w:sz w:val="20"/>
                <w:szCs w:val="20"/>
                <w:color w:val="auto"/>
              </w:rPr>
            </w:pPr>
            <w:r>
              <w:rPr>
                <w:rFonts w:ascii="Times New Roman" w:cs="Times New Roman" w:eastAsia="Times New Roman" w:hAnsi="Times New Roman"/>
                <w:sz w:val="12"/>
                <w:szCs w:val="12"/>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220" w:type="dxa"/>
            <w:vAlign w:val="bottom"/>
            <w:gridSpan w:val="2"/>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Cost</w:t>
            </w:r>
          </w:p>
        </w:tc>
        <w:tc>
          <w:tcPr>
            <w:tcW w:w="22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20" w:type="dxa"/>
            <w:vAlign w:val="bottom"/>
            <w:gridSpan w:val="2"/>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242,269,725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239,036,463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239,860,206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87.1%</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35,147,669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34,567,422</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34,656,192</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242,826</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277,417,394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274,346,711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275,241,398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380" w:type="dxa"/>
            <w:vAlign w:val="bottom"/>
            <w:gridSpan w:val="14"/>
          </w:tcPr>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The amortized cost represents the original cost adjusted for any accretion of discounts, amortization of premiums and PIK interest or dividends.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at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at</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left="100"/>
              <w:spacing w:after="0" w:line="123"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40" w:type="dxa"/>
            <w:vAlign w:val="bottom"/>
            <w:gridSpan w:val="3"/>
          </w:tcPr>
          <w:p>
            <w:pPr>
              <w:jc w:val="center"/>
              <w:ind w:right="320"/>
              <w:spacing w:after="0" w:line="123"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2"/>
                <w:szCs w:val="12"/>
                <w:b w:val="1"/>
                <w:bCs w:val="1"/>
                <w:color w:val="auto"/>
                <w:w w:val="99"/>
              </w:rPr>
              <w:t>at</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Investment Type</w:t>
            </w: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6"/>
              </w:rPr>
              <w:t>Principal Balance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line="180" w:lineRule="exact"/>
              <w:rPr>
                <w:sz w:val="20"/>
                <w:szCs w:val="20"/>
                <w:color w:val="auto"/>
              </w:rPr>
            </w:pPr>
            <w:r>
              <w:rPr>
                <w:rFonts w:ascii="Times New Roman" w:cs="Times New Roman" w:eastAsia="Times New Roman" w:hAnsi="Times New Roman"/>
                <w:sz w:val="12"/>
                <w:szCs w:val="12"/>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46,322,064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45,372,626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46,006,000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85.0%</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8,098,691</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8,114,000</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20"/>
        </w:trPr>
        <w:tc>
          <w:tcPr>
            <w:tcW w:w="32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55,072,064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53,471,317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The amortized cost represents the original cost adjusted for any accretion of discounts, amortization of premiums and PIK interest or dividends.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the composition of the Company’s debt portfolio based on rate characteristics as of December 31, 2024 and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20" w:type="dxa"/>
            <w:vAlign w:val="bottom"/>
          </w:tcPr>
          <w:p>
            <w:pPr>
              <w:ind w:left="2840"/>
              <w:spacing w:after="0"/>
              <w:rPr>
                <w:sz w:val="20"/>
                <w:szCs w:val="20"/>
                <w:color w:val="auto"/>
              </w:rPr>
            </w:pPr>
            <w:r>
              <w:rPr>
                <w:rFonts w:ascii="Times New Roman" w:cs="Times New Roman" w:eastAsia="Times New Roman" w:hAnsi="Times New Roman"/>
                <w:sz w:val="12"/>
                <w:szCs w:val="12"/>
                <w:b w:val="1"/>
                <w:bCs w:val="1"/>
                <w:color w:val="auto"/>
              </w:rPr>
              <w:t>Rate Type</w:t>
            </w:r>
          </w:p>
        </w:tc>
        <w:tc>
          <w:tcPr>
            <w:tcW w:w="1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Balance</w:t>
            </w:r>
          </w:p>
        </w:tc>
        <w:tc>
          <w:tcPr>
            <w:tcW w:w="1340" w:type="dxa"/>
            <w:vAlign w:val="bottom"/>
            <w:gridSpan w:val="3"/>
          </w:tcPr>
          <w:p>
            <w:pPr>
              <w:jc w:val="right"/>
              <w:ind w:right="300"/>
              <w:spacing w:after="0" w:line="169" w:lineRule="exact"/>
              <w:rPr>
                <w:sz w:val="20"/>
                <w:szCs w:val="20"/>
                <w:color w:val="auto"/>
              </w:rPr>
            </w:pPr>
            <w:r>
              <w:rPr>
                <w:rFonts w:ascii="Times New Roman" w:cs="Times New Roman" w:eastAsia="Times New Roman" w:hAnsi="Times New Roman"/>
                <w:sz w:val="12"/>
                <w:szCs w:val="12"/>
                <w:b w:val="1"/>
                <w:bCs w:val="1"/>
                <w:color w:val="auto"/>
              </w:rPr>
              <w:t>Amortized Cost</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Time to Maturity</w:t>
            </w:r>
          </w:p>
        </w:tc>
        <w:tc>
          <w:tcPr>
            <w:tcW w:w="0" w:type="dxa"/>
            <w:vAlign w:val="bottom"/>
          </w:tcPr>
          <w:p>
            <w:pPr>
              <w:spacing w:after="0"/>
              <w:rPr>
                <w:sz w:val="1"/>
                <w:szCs w:val="1"/>
                <w:color w:val="auto"/>
              </w:rPr>
            </w:pPr>
          </w:p>
        </w:tc>
      </w:tr>
      <w:tr>
        <w:trPr>
          <w:trHeight w:val="142"/>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Fixed-rate loans</w:t>
            </w:r>
          </w:p>
        </w:tc>
        <w:tc>
          <w:tcPr>
            <w:tcW w:w="1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56,819,862</w:t>
            </w:r>
          </w:p>
        </w:tc>
        <w:tc>
          <w:tcPr>
            <w:tcW w:w="2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55,954,923</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56,158,027</w:t>
            </w:r>
          </w:p>
        </w:tc>
        <w:tc>
          <w:tcPr>
            <w:tcW w:w="1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w w:val="96"/>
              </w:rPr>
              <w:t>2.6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Floating-rate loans (SOFR)</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15,543,708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15,134,388</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15,209,230</w:t>
            </w:r>
          </w:p>
        </w:tc>
        <w:tc>
          <w:tcPr>
            <w:tcW w:w="1020" w:type="dxa"/>
            <w:vAlign w:val="bottom"/>
          </w:tcPr>
          <w:p>
            <w:pPr>
              <w:ind w:left="580"/>
              <w:spacing w:after="0"/>
              <w:rPr>
                <w:sz w:val="20"/>
                <w:szCs w:val="20"/>
                <w:color w:val="auto"/>
              </w:rPr>
            </w:pPr>
            <w:r>
              <w:rPr>
                <w:rFonts w:ascii="Times New Roman" w:cs="Times New Roman" w:eastAsia="Times New Roman" w:hAnsi="Times New Roman"/>
                <w:sz w:val="12"/>
                <w:szCs w:val="12"/>
                <w:color w:val="auto"/>
                <w:w w:val="96"/>
              </w:rPr>
              <w:t>1.4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Floating-rate loans (Prime)</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205,053,824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202,514,574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203,149,141</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w w:val="96"/>
              </w:rPr>
              <w:t>1.6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Total Debt Investments</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277,417,394</w:t>
            </w:r>
          </w:p>
        </w:tc>
        <w:tc>
          <w:tcPr>
            <w:tcW w:w="200" w:type="dxa"/>
            <w:vAlign w:val="bottom"/>
          </w:tcPr>
          <w:p>
            <w:pPr>
              <w:spacing w:after="0"/>
              <w:rPr>
                <w:sz w:val="12"/>
                <w:szCs w:val="12"/>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273,603,885</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274,516,398</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w w:val="98"/>
                <w:vertAlign w:val="superscript"/>
              </w:rPr>
              <w:t>(1)</w:t>
            </w:r>
            <w:r>
              <w:rPr>
                <w:rFonts w:ascii="Times New Roman" w:cs="Times New Roman" w:eastAsia="Times New Roman" w:hAnsi="Times New Roman"/>
                <w:sz w:val="12"/>
                <w:szCs w:val="12"/>
                <w:color w:val="auto"/>
                <w:w w:val="98"/>
              </w:rPr>
              <w:t>The amortized cost represents the original cost adjusted for any accretion of discounts, amortization of premiums and PIK interest</w:t>
            </w: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vMerge w:val="continue"/>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or dividends.</w:t>
            </w:r>
          </w:p>
        </w:tc>
        <w:tc>
          <w:tcPr>
            <w:tcW w:w="2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Pr>
          <w:p>
            <w:pPr>
              <w:ind w:left="2840"/>
              <w:spacing w:after="0"/>
              <w:rPr>
                <w:sz w:val="20"/>
                <w:szCs w:val="20"/>
                <w:color w:val="auto"/>
              </w:rPr>
            </w:pPr>
            <w:r>
              <w:rPr>
                <w:rFonts w:ascii="Times New Roman" w:cs="Times New Roman" w:eastAsia="Times New Roman" w:hAnsi="Times New Roman"/>
                <w:sz w:val="12"/>
                <w:szCs w:val="12"/>
                <w:b w:val="1"/>
                <w:bCs w:val="1"/>
                <w:color w:val="auto"/>
              </w:rPr>
              <w:t>Rate Type</w:t>
            </w:r>
          </w:p>
        </w:tc>
        <w:tc>
          <w:tcPr>
            <w:tcW w:w="1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Balance</w:t>
            </w:r>
          </w:p>
        </w:tc>
        <w:tc>
          <w:tcPr>
            <w:tcW w:w="1340" w:type="dxa"/>
            <w:vAlign w:val="bottom"/>
            <w:gridSpan w:val="3"/>
          </w:tcPr>
          <w:p>
            <w:pPr>
              <w:jc w:val="right"/>
              <w:ind w:right="300"/>
              <w:spacing w:after="0" w:line="169" w:lineRule="exact"/>
              <w:rPr>
                <w:sz w:val="20"/>
                <w:szCs w:val="20"/>
                <w:color w:val="auto"/>
              </w:rPr>
            </w:pPr>
            <w:r>
              <w:rPr>
                <w:rFonts w:ascii="Times New Roman" w:cs="Times New Roman" w:eastAsia="Times New Roman" w:hAnsi="Times New Roman"/>
                <w:sz w:val="12"/>
                <w:szCs w:val="12"/>
                <w:b w:val="1"/>
                <w:bCs w:val="1"/>
                <w:color w:val="auto"/>
              </w:rPr>
              <w:t>Amortized Cost</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Time to Maturity</w:t>
            </w:r>
          </w:p>
        </w:tc>
        <w:tc>
          <w:tcPr>
            <w:tcW w:w="0" w:type="dxa"/>
            <w:vAlign w:val="bottom"/>
          </w:tcPr>
          <w:p>
            <w:pPr>
              <w:spacing w:after="0"/>
              <w:rPr>
                <w:sz w:val="1"/>
                <w:szCs w:val="1"/>
                <w:color w:val="auto"/>
              </w:rPr>
            </w:pPr>
          </w:p>
        </w:tc>
      </w:tr>
      <w:tr>
        <w:trPr>
          <w:trHeight w:val="142"/>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Fixed-rate loans</w:t>
            </w: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8,750,000</w:t>
            </w:r>
          </w:p>
        </w:tc>
        <w:tc>
          <w:tcPr>
            <w:tcW w:w="2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8,098,691</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8,114,000</w:t>
            </w:r>
          </w:p>
        </w:tc>
        <w:tc>
          <w:tcPr>
            <w:tcW w:w="1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w w:val="96"/>
              </w:rPr>
              <w:t>2.2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Floating-rate loans (Prime)</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46,322,064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45,372,626</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46,006,000</w:t>
            </w:r>
          </w:p>
        </w:tc>
        <w:tc>
          <w:tcPr>
            <w:tcW w:w="1020" w:type="dxa"/>
            <w:vAlign w:val="bottom"/>
          </w:tcPr>
          <w:p>
            <w:pPr>
              <w:ind w:left="580"/>
              <w:spacing w:after="0"/>
              <w:rPr>
                <w:sz w:val="20"/>
                <w:szCs w:val="20"/>
                <w:color w:val="auto"/>
              </w:rPr>
            </w:pPr>
            <w:r>
              <w:rPr>
                <w:rFonts w:ascii="Times New Roman" w:cs="Times New Roman" w:eastAsia="Times New Roman" w:hAnsi="Times New Roman"/>
                <w:sz w:val="12"/>
                <w:szCs w:val="12"/>
                <w:color w:val="auto"/>
                <w:w w:val="96"/>
              </w:rPr>
              <w:t>2.6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Debt Investments</w:t>
            </w: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55,072,064</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53,471,317</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The amortized cost represents the original cost adjusted for any accretion of discounts, amortization of premiums and PIK interest or dividends.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Company’s portfolio investments are primarily in companies conducting business in or supporting the cannabis industries. The Company uses NAICS for classifying the industry groupings of its portfolio companies, excluding any portfolio company operating in the cannabis industry. The following tables summarize the composition of the Company’s portfolio investments by industry as of December 31, 2024 and 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6"/>
              </w:rPr>
              <w:t>Amortized Cost</w:t>
            </w:r>
            <w:r>
              <w:rPr>
                <w:rFonts w:ascii="Times New Roman" w:cs="Times New Roman" w:eastAsia="Times New Roman" w:hAnsi="Times New Roman"/>
                <w:sz w:val="19"/>
                <w:szCs w:val="19"/>
                <w:b w:val="1"/>
                <w:bCs w:val="1"/>
                <w:color w:val="auto"/>
                <w:w w:val="96"/>
                <w:vertAlign w:val="superscript"/>
              </w:rPr>
              <w:t>(1)</w:t>
            </w:r>
          </w:p>
        </w:tc>
        <w:tc>
          <w:tcPr>
            <w:tcW w:w="220" w:type="dxa"/>
            <w:vAlign w:val="bottom"/>
            <w:gridSpan w:val="2"/>
            <w:vMerge w:val="restart"/>
          </w:tcPr>
          <w:p>
            <w:pPr>
              <w:spacing w:after="0"/>
              <w:rPr>
                <w:sz w:val="11"/>
                <w:szCs w:val="11"/>
                <w:color w:val="auto"/>
              </w:rPr>
            </w:pPr>
          </w:p>
        </w:tc>
        <w:tc>
          <w:tcPr>
            <w:tcW w:w="1340" w:type="dxa"/>
            <w:vAlign w:val="bottom"/>
            <w:gridSpan w:val="3"/>
          </w:tcPr>
          <w:p>
            <w:pPr>
              <w:jc w:val="right"/>
              <w:ind w:right="44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220" w:type="dxa"/>
            <w:vAlign w:val="bottom"/>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20" w:type="dxa"/>
            <w:vAlign w:val="bottom"/>
            <w:gridSpan w:val="2"/>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Cannabis</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210,144,841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211,007,307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76.7%</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Finance and Insurance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30,866,942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30,907,369</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Information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14,873,810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14,754,624</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Public Administration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10,273,444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10,322,928</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Retail Trade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3,285,390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3,275,125</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Health Care and Social Assistance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2,753,852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2,796,946</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 Estate and Rental and Leasing</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2,148,432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2,177,099</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274,346,711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275,241,398</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w w:val="99"/>
                <w:vertAlign w:val="superscript"/>
              </w:rPr>
              <w:t>(1)</w:t>
            </w:r>
            <w:r>
              <w:rPr>
                <w:rFonts w:ascii="Times New Roman" w:cs="Times New Roman" w:eastAsia="Times New Roman" w:hAnsi="Times New Roman"/>
                <w:sz w:val="12"/>
                <w:szCs w:val="12"/>
                <w:color w:val="auto"/>
                <w:w w:val="99"/>
              </w:rPr>
              <w:t>The amortized cost represents the original cost adjusted for any accretion of discounts, amortization of premiums and PIK</w:t>
            </w: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gridSpan w:val="2"/>
            <w:vMerge w:val="continue"/>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or dividends.</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Amortized Cost</w:t>
            </w:r>
            <w:r>
              <w:rPr>
                <w:rFonts w:ascii="Times New Roman" w:cs="Times New Roman" w:eastAsia="Times New Roman" w:hAnsi="Times New Roman"/>
                <w:sz w:val="19"/>
                <w:szCs w:val="19"/>
                <w:b w:val="1"/>
                <w:bCs w:val="1"/>
                <w:color w:val="auto"/>
                <w:vertAlign w:val="superscript"/>
              </w:rPr>
              <w:t>(1)</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40" w:type="dxa"/>
            <w:vAlign w:val="bottom"/>
            <w:gridSpan w:val="3"/>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Cannabis</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53,471,317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53,471,317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54,120,000</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The amortized cost represents the original cost adjusted for any accretion of discounts, amortization of premiums and PIK interest or dividends.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geographic composition is determined by the location of the principal place of business of each portfolio company.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the composition of the Company’s portfolio investments by geographic region as of December 31, 2024 and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Amortized Cost</w:t>
            </w:r>
            <w:r>
              <w:rPr>
                <w:rFonts w:ascii="Times New Roman" w:cs="Times New Roman" w:eastAsia="Times New Roman" w:hAnsi="Times New Roman"/>
                <w:sz w:val="19"/>
                <w:szCs w:val="19"/>
                <w:b w:val="1"/>
                <w:bCs w:val="1"/>
                <w:color w:val="auto"/>
                <w:vertAlign w:val="superscript"/>
              </w:rPr>
              <w:t>(1)</w:t>
            </w:r>
          </w:p>
        </w:tc>
        <w:tc>
          <w:tcPr>
            <w:tcW w:w="1340" w:type="dxa"/>
            <w:vAlign w:val="bottom"/>
            <w:gridSpan w:val="3"/>
          </w:tcPr>
          <w:p>
            <w:pPr>
              <w:jc w:val="right"/>
              <w:ind w:right="44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80" w:type="dxa"/>
            <w:vAlign w:val="bottom"/>
          </w:tcPr>
          <w:p>
            <w:pPr>
              <w:ind w:left="2440"/>
              <w:spacing w:after="0"/>
              <w:rPr>
                <w:sz w:val="20"/>
                <w:szCs w:val="20"/>
                <w:color w:val="auto"/>
              </w:rPr>
            </w:pPr>
            <w:r>
              <w:rPr>
                <w:rFonts w:ascii="Times New Roman" w:cs="Times New Roman" w:eastAsia="Times New Roman" w:hAnsi="Times New Roman"/>
                <w:sz w:val="12"/>
                <w:szCs w:val="12"/>
                <w:b w:val="1"/>
                <w:bCs w:val="1"/>
                <w:color w:val="auto"/>
              </w:rPr>
              <w:t>Geographic Region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60" w:type="dxa"/>
            <w:vAlign w:val="bottom"/>
          </w:tcPr>
          <w:p>
            <w:pPr>
              <w:spacing w:after="0"/>
              <w:rPr>
                <w:sz w:val="13"/>
                <w:szCs w:val="13"/>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42"/>
        </w:trPr>
        <w:tc>
          <w:tcPr>
            <w:tcW w:w="5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United States: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Midwest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88,999,405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89,624,122</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32.6%</w:t>
            </w:r>
          </w:p>
        </w:tc>
        <w:tc>
          <w:tcPr>
            <w:tcW w:w="0" w:type="dxa"/>
            <w:vAlign w:val="bottom"/>
          </w:tcPr>
          <w:p>
            <w:pPr>
              <w:spacing w:after="0"/>
              <w:rPr>
                <w:sz w:val="1"/>
                <w:szCs w:val="1"/>
                <w:color w:val="auto"/>
              </w:rPr>
            </w:pPr>
          </w:p>
        </w:tc>
      </w:tr>
      <w:tr>
        <w:trPr>
          <w:trHeight w:val="144"/>
        </w:trPr>
        <w:tc>
          <w:tcPr>
            <w:tcW w:w="5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West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86,686,279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86,660,218</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31.5%</w:t>
            </w: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Northeast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52,963,212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53,223,047</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r>
        <w:trPr>
          <w:trHeight w:val="144"/>
        </w:trPr>
        <w:tc>
          <w:tcPr>
            <w:tcW w:w="5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Southwest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21,980,052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22,000,000</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Southeast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20,703,496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20,749,887</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Canada</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3,014,267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2,984,124</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274,346,711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275,241,398</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w w:val="99"/>
                <w:vertAlign w:val="superscript"/>
              </w:rPr>
              <w:t>(1)</w:t>
            </w:r>
            <w:r>
              <w:rPr>
                <w:rFonts w:ascii="Times New Roman" w:cs="Times New Roman" w:eastAsia="Times New Roman" w:hAnsi="Times New Roman"/>
                <w:sz w:val="12"/>
                <w:szCs w:val="12"/>
                <w:color w:val="auto"/>
                <w:w w:val="99"/>
              </w:rPr>
              <w:t>The amortized cost represents the original cost adjusted for any accretion of discounts, amortization of premiums and PIK</w:t>
            </w: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gridSpan w:val="2"/>
            <w:vMerge w:val="continue"/>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or dividends.</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r>
              <w:rPr>
                <w:rFonts w:ascii="Times New Roman" w:cs="Times New Roman" w:eastAsia="Times New Roman" w:hAnsi="Times New Roman"/>
                <w:sz w:val="19"/>
                <w:szCs w:val="19"/>
                <w:b w:val="1"/>
                <w:bCs w:val="1"/>
                <w:color w:val="auto"/>
                <w:vertAlign w:val="superscript"/>
              </w:rPr>
              <w:t>(1)</w:t>
            </w:r>
          </w:p>
        </w:tc>
        <w:tc>
          <w:tcPr>
            <w:tcW w:w="1340" w:type="dxa"/>
            <w:vAlign w:val="bottom"/>
            <w:gridSpan w:val="3"/>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80" w:type="dxa"/>
            <w:vAlign w:val="bottom"/>
          </w:tcPr>
          <w:p>
            <w:pPr>
              <w:ind w:left="2440"/>
              <w:spacing w:after="0"/>
              <w:rPr>
                <w:sz w:val="20"/>
                <w:szCs w:val="20"/>
                <w:color w:val="auto"/>
              </w:rPr>
            </w:pPr>
            <w:r>
              <w:rPr>
                <w:rFonts w:ascii="Times New Roman" w:cs="Times New Roman" w:eastAsia="Times New Roman" w:hAnsi="Times New Roman"/>
                <w:sz w:val="12"/>
                <w:szCs w:val="12"/>
                <w:b w:val="1"/>
                <w:bCs w:val="1"/>
                <w:color w:val="auto"/>
              </w:rPr>
              <w:t>Geographic Region</w:t>
            </w:r>
          </w:p>
        </w:tc>
        <w:tc>
          <w:tcPr>
            <w:tcW w:w="12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6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42"/>
        </w:trPr>
        <w:tc>
          <w:tcPr>
            <w:tcW w:w="5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United States: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West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24,910,798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25,069,000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46.4%</w:t>
            </w:r>
          </w:p>
        </w:tc>
        <w:tc>
          <w:tcPr>
            <w:tcW w:w="0" w:type="dxa"/>
            <w:vAlign w:val="bottom"/>
          </w:tcPr>
          <w:p>
            <w:pPr>
              <w:spacing w:after="0"/>
              <w:rPr>
                <w:sz w:val="1"/>
                <w:szCs w:val="1"/>
                <w:color w:val="auto"/>
              </w:rPr>
            </w:pPr>
          </w:p>
        </w:tc>
      </w:tr>
      <w:tr>
        <w:trPr>
          <w:trHeight w:val="144"/>
        </w:trPr>
        <w:tc>
          <w:tcPr>
            <w:tcW w:w="5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Midwest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24,571,197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24,911,000</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46.0%</w:t>
            </w: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Northeast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3,989,322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4,140,000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53,471,317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54,120,000</w:t>
            </w:r>
          </w:p>
        </w:tc>
        <w:tc>
          <w:tcPr>
            <w:tcW w:w="1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The amortized cost represents the original cost adjusted for any accretion of discounts, amortization of premiums and PIK interest or dividends.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Risk Factors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the ordinary course of business, the Company manages a variety of risks including market risk, concentration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9" w:name="page120"/>
    <w:bookmarkEnd w:id="119"/>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Concentration risk is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 Investing in portfolio companies involved in the cannabis industry subjects us to the following risks:</w:t>
      </w:r>
    </w:p>
    <w:p>
      <w:pPr>
        <w:spacing w:after="0" w:line="119" w:lineRule="exact"/>
        <w:rPr>
          <w:sz w:val="20"/>
          <w:szCs w:val="20"/>
          <w:color w:val="auto"/>
        </w:rPr>
      </w:pPr>
    </w:p>
    <w:p>
      <w:pPr>
        <w:ind w:left="328" w:hanging="328"/>
        <w:spacing w:after="0"/>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cannabis industry is extremely speculative and raises a host of legality issues, making it subject to inherent risk;</w:t>
      </w:r>
    </w:p>
    <w:p>
      <w:pPr>
        <w:spacing w:after="0" w:line="150" w:lineRule="exact"/>
        <w:rPr>
          <w:rFonts w:ascii="Times New Roman" w:cs="Times New Roman" w:eastAsia="Times New Roman" w:hAnsi="Times New Roman"/>
          <w:sz w:val="12"/>
          <w:szCs w:val="12"/>
          <w:color w:val="auto"/>
        </w:rPr>
      </w:pPr>
    </w:p>
    <w:p>
      <w:pPr>
        <w:ind w:left="328"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11" w:lineRule="exact"/>
        <w:rPr>
          <w:rFonts w:ascii="Times New Roman" w:cs="Times New Roman" w:eastAsia="Times New Roman" w:hAnsi="Times New Roman"/>
          <w:sz w:val="12"/>
          <w:szCs w:val="12"/>
          <w:color w:val="auto"/>
        </w:rPr>
      </w:pPr>
    </w:p>
    <w:p>
      <w:pPr>
        <w:ind w:left="328" w:right="20"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11"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50" w:lineRule="exact"/>
        <w:rPr>
          <w:rFonts w:ascii="Times New Roman" w:cs="Times New Roman" w:eastAsia="Times New Roman" w:hAnsi="Times New Roman"/>
          <w:sz w:val="12"/>
          <w:szCs w:val="12"/>
          <w:color w:val="auto"/>
        </w:rPr>
      </w:pPr>
    </w:p>
    <w:p>
      <w:pPr>
        <w:ind w:left="328" w:right="20"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11"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Assets collateralizing loans to cannabis businesses may be forfeited to the U.S. federal government in connection with government enforcement actions under U.S. federal law;</w:t>
      </w:r>
    </w:p>
    <w:p>
      <w:pPr>
        <w:spacing w:after="0" w:line="150" w:lineRule="exact"/>
        <w:rPr>
          <w:rFonts w:ascii="Times New Roman" w:cs="Times New Roman" w:eastAsia="Times New Roman" w:hAnsi="Times New Roman"/>
          <w:sz w:val="12"/>
          <w:szCs w:val="12"/>
          <w:color w:val="auto"/>
        </w:rPr>
      </w:pPr>
    </w:p>
    <w:p>
      <w:pPr>
        <w:ind w:left="328"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11" w:lineRule="exact"/>
        <w:rPr>
          <w:rFonts w:ascii="Times New Roman" w:cs="Times New Roman" w:eastAsia="Times New Roman" w:hAnsi="Times New Roman"/>
          <w:sz w:val="12"/>
          <w:szCs w:val="12"/>
          <w:color w:val="auto"/>
        </w:rPr>
      </w:pPr>
    </w:p>
    <w:p>
      <w:pPr>
        <w:ind w:left="328"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11" w:lineRule="exact"/>
        <w:rPr>
          <w:rFonts w:ascii="Times New Roman" w:cs="Times New Roman" w:eastAsia="Times New Roman" w:hAnsi="Times New Roman"/>
          <w:sz w:val="12"/>
          <w:szCs w:val="12"/>
          <w:color w:val="auto"/>
        </w:rPr>
      </w:pPr>
    </w:p>
    <w:p>
      <w:pPr>
        <w:ind w:left="328" w:right="20"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11" w:lineRule="exact"/>
        <w:rPr>
          <w:rFonts w:ascii="Times New Roman" w:cs="Times New Roman" w:eastAsia="Times New Roman" w:hAnsi="Times New Roman"/>
          <w:sz w:val="12"/>
          <w:szCs w:val="12"/>
          <w:color w:val="auto"/>
        </w:rPr>
      </w:pPr>
    </w:p>
    <w:p>
      <w:pPr>
        <w:ind w:left="328" w:right="20"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11" w:lineRule="exact"/>
        <w:rPr>
          <w:rFonts w:ascii="Times New Roman" w:cs="Times New Roman" w:eastAsia="Times New Roman" w:hAnsi="Times New Roman"/>
          <w:sz w:val="12"/>
          <w:szCs w:val="12"/>
          <w:color w:val="auto"/>
        </w:rPr>
      </w:pPr>
    </w:p>
    <w:p>
      <w:pPr>
        <w:ind w:left="328" w:right="20"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11" w:lineRule="exact"/>
        <w:rPr>
          <w:rFonts w:ascii="Times New Roman" w:cs="Times New Roman" w:eastAsia="Times New Roman" w:hAnsi="Times New Roman"/>
          <w:sz w:val="12"/>
          <w:szCs w:val="12"/>
          <w:color w:val="auto"/>
        </w:rPr>
      </w:pPr>
    </w:p>
    <w:p>
      <w:pPr>
        <w:ind w:left="328" w:right="20" w:hanging="328"/>
        <w:spacing w:after="0" w:line="279" w:lineRule="auto"/>
        <w:tabs>
          <w:tab w:leader="none" w:pos="32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11"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As of December 31, 2024 and December 31, 2023, we had three portfolio companies that represented 45.1% and 85.0%, respectively, of the fair values of our portfolio. As of December 31, 2024 and December 31, 2023, our largest portfolio company represented 18.9% and 38.7%, respectively, of the total fair values of our investments in portfolio companies.</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the foregoing could have an adverse impact on our and our portfolio companies’ businesses, financial condition and results of operations.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Interest rate risk refers to the change in earnings that may result from changes in the level of interest rates. To the extent that the Company borrows money to make investments, including under any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 FAIR VALUE OF FINANCIAL INSTRUMENTS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December 31, 2024 and December 31, 2023, the Company’s portfolio investments consisted primarily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 determination of each portfolio investment categorized as Level 3 required one or more unobservable inputs.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and volatility assumptions. The significant unobservable inputs used in the fair value measurement of the Company’s equity and warrant investments may vary and may include EBITDA multiples, revenue multiples and asset multiples.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investments measured at fair value by investment type on a recurring basis as of December 31, 2024 and December 31, 2023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Fair Value Measurements at December 31, 2024 Using</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4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Quoted prices in</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8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rPr>
              <w:t>Active Markets for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8"/>
              </w:rPr>
              <w:t>Significant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Significant Other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Identical Assets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rPr>
              <w:t>Observable Inputs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4340" w:type="dxa"/>
            <w:vAlign w:val="bottom"/>
          </w:tcPr>
          <w:p>
            <w:pPr>
              <w:ind w:left="27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60" w:type="dxa"/>
            <w:vAlign w:val="bottom"/>
          </w:tcPr>
          <w:p>
            <w:pPr>
              <w:spacing w:after="0"/>
              <w:rPr>
                <w:sz w:val="13"/>
                <w:szCs w:val="13"/>
                <w:color w:val="auto"/>
              </w:rPr>
            </w:pPr>
          </w:p>
        </w:tc>
        <w:tc>
          <w:tcPr>
            <w:tcW w:w="108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Inputs (Level 3)</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1660" w:type="dxa"/>
            <w:vAlign w:val="bottom"/>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4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239,860,206</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239,860,206</w:t>
            </w:r>
          </w:p>
        </w:tc>
        <w:tc>
          <w:tcPr>
            <w:tcW w:w="120" w:type="dxa"/>
            <w:vAlign w:val="bottom"/>
            <w:shd w:val="clear" w:color="auto" w:fill="CCEEFF"/>
          </w:tcPr>
          <w:p>
            <w:pPr>
              <w:spacing w:after="0"/>
              <w:rPr>
                <w:sz w:val="12"/>
                <w:szCs w:val="12"/>
                <w:color w:val="auto"/>
              </w:rPr>
            </w:pP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34,656,192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34,656,192</w:t>
            </w: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500,000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500,000</w:t>
            </w: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Warrants</w:t>
            </w:r>
          </w:p>
        </w:tc>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225,000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225,000</w:t>
            </w:r>
          </w:p>
        </w:tc>
      </w:tr>
      <w:tr>
        <w:trPr>
          <w:trHeight w:val="18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6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275,241,398</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275,241,398</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55"/>
        </w:trPr>
        <w:tc>
          <w:tcPr>
            <w:tcW w:w="4340" w:type="dxa"/>
            <w:vAlign w:val="bottom"/>
          </w:tcPr>
          <w:p>
            <w:pPr>
              <w:spacing w:after="0"/>
              <w:rPr>
                <w:sz w:val="24"/>
                <w:szCs w:val="24"/>
                <w:color w:val="auto"/>
              </w:rPr>
            </w:pPr>
          </w:p>
        </w:tc>
        <w:tc>
          <w:tcPr>
            <w:tcW w:w="16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120</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4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2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62"/>
        </w:trPr>
        <w:tc>
          <w:tcPr>
            <w:tcW w:w="660" w:type="dxa"/>
            <w:vAlign w:val="bottom"/>
            <w:tcBorders>
              <w:top w:val="single" w:sz="8" w:color="0000EE"/>
            </w:tcBorders>
          </w:tcPr>
          <w:p>
            <w:pPr>
              <w:spacing w:after="0"/>
              <w:rPr>
                <w:sz w:val="22"/>
                <w:szCs w:val="22"/>
                <w:color w:val="auto"/>
              </w:rPr>
            </w:pPr>
          </w:p>
        </w:tc>
        <w:tc>
          <w:tcPr>
            <w:tcW w:w="3320" w:type="dxa"/>
            <w:vAlign w:val="bottom"/>
          </w:tcPr>
          <w:p>
            <w:pPr>
              <w:spacing w:after="0"/>
              <w:rPr>
                <w:sz w:val="22"/>
                <w:szCs w:val="22"/>
                <w:color w:val="auto"/>
              </w:rPr>
            </w:pPr>
          </w:p>
        </w:tc>
        <w:tc>
          <w:tcPr>
            <w:tcW w:w="3060" w:type="dxa"/>
            <w:vAlign w:val="bottom"/>
            <w:gridSpan w:val="2"/>
          </w:tcPr>
          <w:p>
            <w:pPr>
              <w:jc w:val="right"/>
              <w:ind w:right="662"/>
              <w:spacing w:after="0"/>
              <w:rPr>
                <w:sz w:val="20"/>
                <w:szCs w:val="20"/>
                <w:color w:val="auto"/>
              </w:rPr>
            </w:pPr>
            <w:r>
              <w:rPr>
                <w:rFonts w:ascii="Times New Roman" w:cs="Times New Roman" w:eastAsia="Times New Roman" w:hAnsi="Times New Roman"/>
                <w:sz w:val="12"/>
                <w:szCs w:val="12"/>
                <w:b w:val="1"/>
                <w:bCs w:val="1"/>
                <w:color w:val="auto"/>
              </w:rPr>
              <w:t>Chicago Atlantic BDC, Inc.</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59"/>
        </w:trPr>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060" w:type="dxa"/>
            <w:vAlign w:val="bottom"/>
            <w:gridSpan w:val="2"/>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Fair Value Measurements at December 31, 2023 Using</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27"/>
        </w:trPr>
        <w:tc>
          <w:tcPr>
            <w:tcW w:w="6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40" w:type="dxa"/>
            <w:vAlign w:val="bottom"/>
          </w:tcPr>
          <w:p>
            <w:pPr>
              <w:jc w:val="center"/>
              <w:ind w:left="22"/>
              <w:spacing w:after="0" w:line="128" w:lineRule="exact"/>
              <w:rPr>
                <w:sz w:val="20"/>
                <w:szCs w:val="20"/>
                <w:color w:val="auto"/>
              </w:rPr>
            </w:pPr>
            <w:r>
              <w:rPr>
                <w:rFonts w:ascii="Times New Roman" w:cs="Times New Roman" w:eastAsia="Times New Roman" w:hAnsi="Times New Roman"/>
                <w:sz w:val="12"/>
                <w:szCs w:val="12"/>
                <w:b w:val="1"/>
                <w:bCs w:val="1"/>
                <w:color w:val="auto"/>
                <w:w w:val="99"/>
              </w:rPr>
              <w:t>Quoted prices in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8"/>
              </w:rPr>
              <w:t>Active Markets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8"/>
              </w:rPr>
              <w:t>Significant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Significant Other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rPr>
              <w:t>for Identical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rPr>
              <w:t>Observable Inputs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660" w:type="dxa"/>
            <w:vAlign w:val="bottom"/>
          </w:tcPr>
          <w:p>
            <w:pPr>
              <w:spacing w:after="0"/>
              <w:rPr>
                <w:sz w:val="13"/>
                <w:szCs w:val="13"/>
                <w:color w:val="auto"/>
              </w:rPr>
            </w:pPr>
          </w:p>
        </w:tc>
        <w:tc>
          <w:tcPr>
            <w:tcW w:w="3320" w:type="dxa"/>
            <w:vAlign w:val="bottom"/>
          </w:tcPr>
          <w:p>
            <w:pPr>
              <w:ind w:left="21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2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9"/>
              </w:rPr>
              <w:t>Assets (Level 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Inputs (Level 3)</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202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46,006,000</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46,006,000</w:t>
            </w:r>
          </w:p>
        </w:tc>
        <w:tc>
          <w:tcPr>
            <w:tcW w:w="120" w:type="dxa"/>
            <w:vAlign w:val="bottom"/>
            <w:shd w:val="clear" w:color="auto" w:fill="CCEEFF"/>
          </w:tcPr>
          <w:p>
            <w:pPr>
              <w:spacing w:after="0"/>
              <w:rPr>
                <w:sz w:val="12"/>
                <w:szCs w:val="12"/>
                <w:color w:val="auto"/>
              </w:rPr>
            </w:pPr>
          </w:p>
        </w:tc>
      </w:tr>
      <w:tr>
        <w:trPr>
          <w:trHeight w:val="144"/>
        </w:trPr>
        <w:tc>
          <w:tcPr>
            <w:tcW w:w="3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2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8,114,000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8,114,000</w:t>
            </w:r>
          </w:p>
        </w:tc>
      </w:tr>
      <w:tr>
        <w:trPr>
          <w:trHeight w:val="182"/>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0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following tables provide a summary of the significant unobservable inputs used to fair value the Level 3 portfolio investments as of December 31, 2024 and December 31, 2023. The methodology for the determination of the fair value of the Company’s investments is discussed in “Note 2 – Significant Accounting Policies”. Discount rate ranges are shown as spread over PRIME, SOFR and/or Treasuries, as applicable, for senior secured first lien term loans, as of December 31, 2024 and December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Fair Value as</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Valuation</w:t>
            </w:r>
          </w:p>
        </w:tc>
        <w:tc>
          <w:tcPr>
            <w:tcW w:w="12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Unobservable</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Weighted</w:t>
            </w:r>
          </w:p>
        </w:tc>
      </w:tr>
      <w:tr>
        <w:trPr>
          <w:trHeight w:val="164"/>
        </w:trPr>
        <w:tc>
          <w:tcPr>
            <w:tcW w:w="23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2"/>
                <w:szCs w:val="12"/>
                <w:b w:val="1"/>
                <w:bCs w:val="1"/>
                <w:color w:val="auto"/>
              </w:rPr>
              <w:t>Investment Type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of 12/31/2024</w:t>
            </w:r>
          </w:p>
        </w:tc>
        <w:tc>
          <w:tcPr>
            <w:tcW w:w="10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Techniques/Methodologies</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Input</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Range</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w w:val="92"/>
              </w:rPr>
              <w:t xml:space="preserve">Average </w:t>
            </w:r>
            <w:r>
              <w:rPr>
                <w:rFonts w:ascii="Times New Roman" w:cs="Times New Roman" w:eastAsia="Times New Roman" w:hAnsi="Times New Roman"/>
                <w:sz w:val="19"/>
                <w:szCs w:val="19"/>
                <w:b w:val="1"/>
                <w:bCs w:val="1"/>
                <w:color w:val="auto"/>
                <w:w w:val="92"/>
                <w:vertAlign w:val="superscript"/>
              </w:rPr>
              <w:t>(1)</w:t>
            </w:r>
          </w:p>
        </w:tc>
        <w:tc>
          <w:tcPr>
            <w:tcW w:w="140" w:type="dxa"/>
            <w:vAlign w:val="bottom"/>
          </w:tcPr>
          <w:p>
            <w:pPr>
              <w:spacing w:after="0"/>
              <w:rPr>
                <w:sz w:val="14"/>
                <w:szCs w:val="14"/>
                <w:color w:val="auto"/>
              </w:rPr>
            </w:pPr>
          </w:p>
        </w:tc>
      </w:tr>
      <w:tr>
        <w:trPr>
          <w:trHeight w:val="14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239,860,206</w:t>
            </w:r>
          </w:p>
        </w:tc>
        <w:tc>
          <w:tcPr>
            <w:tcW w:w="100" w:type="dxa"/>
            <w:vAlign w:val="bottom"/>
            <w:shd w:val="clear" w:color="auto" w:fill="CCEEFF"/>
          </w:tcPr>
          <w:p>
            <w:pPr>
              <w:spacing w:after="0"/>
              <w:rPr>
                <w:sz w:val="12"/>
                <w:szCs w:val="1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Discounted Cash Flow</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Discount Rate</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9.1% - 28.6%</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13.4%</w:t>
            </w:r>
          </w:p>
        </w:tc>
      </w:tr>
      <w:tr>
        <w:trPr>
          <w:trHeight w:val="144"/>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34,656,192</w:t>
            </w:r>
          </w:p>
        </w:tc>
        <w:tc>
          <w:tcPr>
            <w:tcW w:w="10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Discounted Cash Flow</w:t>
            </w:r>
          </w:p>
        </w:tc>
        <w:tc>
          <w:tcPr>
            <w:tcW w:w="12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Discount Rate</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7.4% - 17.2%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w:t>
            </w:r>
          </w:p>
        </w:tc>
      </w:tr>
      <w:tr>
        <w:trPr>
          <w:trHeight w:val="14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shd w:val="clear" w:color="auto" w:fill="CCEEFF"/>
          </w:tcPr>
          <w:p>
            <w:pPr>
              <w:spacing w:after="0"/>
              <w:rPr>
                <w:sz w:val="12"/>
                <w:szCs w:val="1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Market Approach</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Current Value</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2.50x</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2.50x</w:t>
            </w:r>
          </w:p>
        </w:tc>
      </w:tr>
      <w:tr>
        <w:trPr>
          <w:trHeight w:val="144"/>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Warrants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Option Pricing Model</w:t>
            </w:r>
          </w:p>
        </w:tc>
        <w:tc>
          <w:tcPr>
            <w:tcW w:w="12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Volatility Factor</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47.2 %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47.2 %</w:t>
            </w:r>
          </w:p>
        </w:tc>
      </w:tr>
      <w:tr>
        <w:trPr>
          <w:trHeight w:val="16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275,241,398</w:t>
            </w:r>
          </w:p>
        </w:tc>
        <w:tc>
          <w:tcPr>
            <w:tcW w:w="10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
        </w:trPr>
        <w:tc>
          <w:tcPr>
            <w:tcW w:w="2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weighted average is calculated based on the fair value of each investment.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Fair Value as</w:t>
            </w: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Valuation</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Unobservable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Weighted</w:t>
            </w:r>
          </w:p>
        </w:tc>
      </w:tr>
      <w:tr>
        <w:trPr>
          <w:trHeight w:val="164"/>
        </w:trPr>
        <w:tc>
          <w:tcPr>
            <w:tcW w:w="23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2"/>
                <w:szCs w:val="12"/>
                <w:b w:val="1"/>
                <w:bCs w:val="1"/>
                <w:color w:val="auto"/>
              </w:rPr>
              <w:t>Investment Type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of 12/31/2023</w:t>
            </w:r>
          </w:p>
        </w:tc>
        <w:tc>
          <w:tcPr>
            <w:tcW w:w="12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Techniques/Methodologies</w:t>
            </w:r>
          </w:p>
        </w:tc>
        <w:tc>
          <w:tcPr>
            <w:tcW w:w="12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Input</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Range</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w w:val="92"/>
              </w:rPr>
              <w:t xml:space="preserve">Average </w:t>
            </w:r>
            <w:r>
              <w:rPr>
                <w:rFonts w:ascii="Times New Roman" w:cs="Times New Roman" w:eastAsia="Times New Roman" w:hAnsi="Times New Roman"/>
                <w:sz w:val="19"/>
                <w:szCs w:val="19"/>
                <w:b w:val="1"/>
                <w:bCs w:val="1"/>
                <w:color w:val="auto"/>
                <w:w w:val="92"/>
                <w:vertAlign w:val="superscript"/>
              </w:rPr>
              <w:t>(1)</w:t>
            </w:r>
          </w:p>
        </w:tc>
        <w:tc>
          <w:tcPr>
            <w:tcW w:w="120" w:type="dxa"/>
            <w:vAlign w:val="bottom"/>
          </w:tcPr>
          <w:p>
            <w:pPr>
              <w:spacing w:after="0"/>
              <w:rPr>
                <w:sz w:val="14"/>
                <w:szCs w:val="14"/>
                <w:color w:val="auto"/>
              </w:rPr>
            </w:pPr>
          </w:p>
        </w:tc>
      </w:tr>
      <w:tr>
        <w:trPr>
          <w:trHeight w:val="14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Senior Secured Loans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46,006,000</w:t>
            </w: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Discounted Cash Flow</w:t>
            </w: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Discount Rate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4"/>
              </w:rPr>
              <w:t>- 14.0%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12.20%</w:t>
            </w:r>
          </w:p>
        </w:tc>
      </w:tr>
      <w:tr>
        <w:trPr>
          <w:trHeight w:val="144"/>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8,114,000</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Discounted Cash Flow</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Discount Rate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4"/>
              </w:rPr>
              <w:t>- 13.7%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10.50%</w:t>
            </w:r>
          </w:p>
        </w:tc>
      </w:tr>
      <w:tr>
        <w:trPr>
          <w:trHeight w:val="182"/>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54,120,000</w:t>
            </w:r>
          </w:p>
        </w:tc>
        <w:tc>
          <w:tcPr>
            <w:tcW w:w="1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weighted average is calculated based on the fair value of each investment.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provide a summary of changes in the fair value of the Company’s Level 3 portfolio investments for the years ended December 31, 2024 and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First Lien Senior</w:t>
            </w:r>
          </w:p>
        </w:tc>
        <w:tc>
          <w:tcPr>
            <w:tcW w:w="120" w:type="dxa"/>
            <w:vAlign w:val="bottom"/>
          </w:tcPr>
          <w:p>
            <w:pPr>
              <w:spacing w:after="0"/>
              <w:rPr>
                <w:sz w:val="12"/>
                <w:szCs w:val="12"/>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Senior Secured</w:t>
            </w:r>
          </w:p>
        </w:tc>
        <w:tc>
          <w:tcPr>
            <w:tcW w:w="180" w:type="dxa"/>
            <w:vAlign w:val="bottom"/>
          </w:tcPr>
          <w:p>
            <w:pPr>
              <w:spacing w:after="0"/>
              <w:rPr>
                <w:sz w:val="12"/>
                <w:szCs w:val="12"/>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Secured Debt</w:t>
            </w:r>
          </w:p>
        </w:tc>
        <w:tc>
          <w:tcPr>
            <w:tcW w:w="120" w:type="dxa"/>
            <w:vAlign w:val="bottom"/>
          </w:tcPr>
          <w:p>
            <w:pPr>
              <w:spacing w:after="0"/>
              <w:rPr>
                <w:sz w:val="13"/>
                <w:szCs w:val="13"/>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80" w:type="dxa"/>
            <w:vAlign w:val="bottom"/>
          </w:tcPr>
          <w:p>
            <w:pPr>
              <w:spacing w:after="0"/>
              <w:rPr>
                <w:sz w:val="13"/>
                <w:szCs w:val="13"/>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46,006,000</w:t>
            </w: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8,114,000</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54,120,000</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Purchase of investments</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209,436,202</w:t>
            </w: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30,336,610</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500,000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242,826</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240,515,638</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(accretion of discounts) and amortization of premiums</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836,005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265,290</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1,101,295</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PIK interest capitalized</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679,962</w:t>
            </w: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63,813</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743,775</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sales of investments and principal repayments</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(17,288,331)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(4,122,500)</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(21,410,831)</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Net realized gain (loss) on investments</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(74,483)</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(74,483)</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190,368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(17,826)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246,004</w:t>
            </w:r>
          </w:p>
        </w:tc>
      </w:tr>
      <w:tr>
        <w:trPr>
          <w:trHeight w:val="20"/>
        </w:trPr>
        <w:tc>
          <w:tcPr>
            <w:tcW w:w="4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239,860,206</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34,656,192</w:t>
            </w:r>
          </w:p>
        </w:tc>
        <w:tc>
          <w:tcPr>
            <w:tcW w:w="2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500,000</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225,000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275,241,398</w:t>
            </w: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4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33"/>
        </w:trPr>
        <w:tc>
          <w:tcPr>
            <w:tcW w:w="4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change in unrealized appreciation/depreciation on Level 3 investments still held as of</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190,368</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73,462</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(17,826)</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246,004</w:t>
            </w:r>
          </w:p>
        </w:tc>
      </w:tr>
      <w:tr>
        <w:trPr>
          <w:trHeight w:val="377"/>
        </w:trPr>
        <w:tc>
          <w:tcPr>
            <w:tcW w:w="4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color w:val="auto"/>
              </w:rPr>
              <w:t>121</w:t>
            </w: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4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62"/>
        </w:trPr>
        <w:tc>
          <w:tcPr>
            <w:tcW w:w="660" w:type="dxa"/>
            <w:vAlign w:val="bottom"/>
            <w:tcBorders>
              <w:top w:val="single" w:sz="8" w:color="0000EE"/>
            </w:tcBorders>
          </w:tcPr>
          <w:p>
            <w:pPr>
              <w:spacing w:after="0"/>
              <w:rPr>
                <w:sz w:val="22"/>
                <w:szCs w:val="22"/>
                <w:color w:val="auto"/>
              </w:rPr>
            </w:pPr>
          </w:p>
        </w:tc>
        <w:tc>
          <w:tcPr>
            <w:tcW w:w="6300" w:type="dxa"/>
            <w:vAlign w:val="bottom"/>
          </w:tcPr>
          <w:p>
            <w:pPr>
              <w:jc w:val="center"/>
              <w:ind w:left="3560"/>
              <w:spacing w:after="0"/>
              <w:rPr>
                <w:sz w:val="20"/>
                <w:szCs w:val="20"/>
                <w:color w:val="auto"/>
              </w:rPr>
            </w:pPr>
            <w:r>
              <w:rPr>
                <w:rFonts w:ascii="Times New Roman" w:cs="Times New Roman" w:eastAsia="Times New Roman" w:hAnsi="Times New Roman"/>
                <w:sz w:val="12"/>
                <w:szCs w:val="12"/>
                <w:b w:val="1"/>
                <w:bCs w:val="1"/>
                <w:color w:val="auto"/>
                <w:w w:val="99"/>
              </w:rPr>
              <w:t>Chicago Atlantic BDC, Inc.</w:t>
            </w: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59"/>
        </w:trPr>
        <w:tc>
          <w:tcPr>
            <w:tcW w:w="660" w:type="dxa"/>
            <w:vAlign w:val="bottom"/>
          </w:tcPr>
          <w:p>
            <w:pPr>
              <w:spacing w:after="0"/>
              <w:rPr>
                <w:sz w:val="13"/>
                <w:szCs w:val="13"/>
                <w:color w:val="auto"/>
              </w:rPr>
            </w:pPr>
          </w:p>
        </w:tc>
        <w:tc>
          <w:tcPr>
            <w:tcW w:w="6300" w:type="dxa"/>
            <w:vAlign w:val="bottom"/>
          </w:tcPr>
          <w:p>
            <w:pPr>
              <w:jc w:val="center"/>
              <w:ind w:left="3560"/>
              <w:spacing w:after="0"/>
              <w:rPr>
                <w:sz w:val="20"/>
                <w:szCs w:val="20"/>
                <w:color w:val="auto"/>
              </w:rPr>
            </w:pPr>
            <w:r>
              <w:rPr>
                <w:rFonts w:ascii="Times New Roman" w:cs="Times New Roman" w:eastAsia="Times New Roman" w:hAnsi="Times New Roman"/>
                <w:sz w:val="12"/>
                <w:szCs w:val="12"/>
                <w:b w:val="1"/>
                <w:bCs w:val="1"/>
                <w:color w:val="auto"/>
                <w:w w:val="99"/>
              </w:rPr>
              <w:t>Notes to Financial Statements</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66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First Lien Senior Secured Debt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8"/>
              </w:rPr>
              <w:t>Senior Secured Notes</w:t>
            </w:r>
          </w:p>
        </w:tc>
        <w:tc>
          <w:tcPr>
            <w:tcW w:w="240" w:type="dxa"/>
            <w:vAlign w:val="bottom"/>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6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40,660,633</w:t>
            </w: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9,593,917</w:t>
            </w: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50,254,550</w:t>
            </w:r>
          </w:p>
        </w:tc>
        <w:tc>
          <w:tcPr>
            <w:tcW w:w="120" w:type="dxa"/>
            <w:vAlign w:val="bottom"/>
            <w:shd w:val="clear" w:color="auto" w:fill="CCEEFF"/>
          </w:tcPr>
          <w:p>
            <w:pPr>
              <w:spacing w:after="0"/>
              <w:rPr>
                <w:sz w:val="12"/>
                <w:szCs w:val="12"/>
                <w:color w:val="auto"/>
              </w:rPr>
            </w:pPr>
          </w:p>
        </w:tc>
      </w:tr>
      <w:tr>
        <w:trPr>
          <w:trHeight w:val="144"/>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 of investments</w:t>
            </w:r>
          </w:p>
        </w:tc>
        <w:tc>
          <w:tcPr>
            <w:tcW w:w="5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8,442,000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8,442,000</w:t>
            </w:r>
          </w:p>
        </w:tc>
      </w:tr>
      <w:tr>
        <w:trPr>
          <w:trHeight w:val="144"/>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(accretion of discounts) and amortization of premiums</w:t>
            </w: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557,079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253,475</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810,554</w:t>
            </w:r>
          </w:p>
        </w:tc>
      </w:tr>
      <w:tr>
        <w:trPr>
          <w:trHeight w:val="144"/>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PIK interest capitalized</w:t>
            </w:r>
          </w:p>
        </w:tc>
        <w:tc>
          <w:tcPr>
            <w:tcW w:w="5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115,725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115,725</w:t>
            </w:r>
          </w:p>
        </w:tc>
      </w:tr>
      <w:tr>
        <w:trPr>
          <w:trHeight w:val="144"/>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sales of investments and principal repayments</w:t>
            </w:r>
          </w:p>
        </w:tc>
        <w:tc>
          <w:tcPr>
            <w:tcW w:w="5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(4,614,093)</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(1,600,000)</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(6,214,093)</w:t>
            </w:r>
          </w:p>
        </w:tc>
      </w:tr>
      <w:tr>
        <w:trPr>
          <w:trHeight w:val="144"/>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realized gain (loss) on investments</w:t>
            </w:r>
          </w:p>
        </w:tc>
        <w:tc>
          <w:tcPr>
            <w:tcW w:w="5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(210,767)</w:t>
            </w:r>
          </w:p>
        </w:tc>
        <w:tc>
          <w:tcPr>
            <w:tcW w:w="2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(210,767)</w:t>
            </w:r>
          </w:p>
        </w:tc>
      </w:tr>
      <w:tr>
        <w:trPr>
          <w:trHeight w:val="144"/>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844,656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77,375</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922,031</w:t>
            </w:r>
          </w:p>
        </w:tc>
      </w:tr>
      <w:tr>
        <w:trPr>
          <w:trHeight w:val="20"/>
        </w:trPr>
        <w:tc>
          <w:tcPr>
            <w:tcW w:w="660" w:type="dxa"/>
            <w:vAlign w:val="bottom"/>
            <w:shd w:val="clear" w:color="auto" w:fill="CCEEFF"/>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46,006,000</w:t>
            </w:r>
          </w:p>
        </w:tc>
        <w:tc>
          <w:tcPr>
            <w:tcW w:w="220" w:type="dxa"/>
            <w:vAlign w:val="bottom"/>
          </w:tcPr>
          <w:p>
            <w:pPr>
              <w:spacing w:after="0"/>
              <w:rPr>
                <w:sz w:val="12"/>
                <w:szCs w:val="12"/>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8,114,000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54,120,000</w:t>
            </w:r>
          </w:p>
        </w:tc>
      </w:tr>
      <w:tr>
        <w:trPr>
          <w:trHeight w:val="20"/>
        </w:trPr>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660" w:type="dxa"/>
            <w:vAlign w:val="bottom"/>
            <w:shd w:val="clear" w:color="auto" w:fill="CCEEFF"/>
          </w:tcPr>
          <w:p>
            <w:pPr>
              <w:spacing w:after="0"/>
              <w:rPr>
                <w:sz w:val="10"/>
                <w:szCs w:val="10"/>
                <w:color w:val="auto"/>
              </w:rPr>
            </w:pPr>
          </w:p>
        </w:tc>
        <w:tc>
          <w:tcPr>
            <w:tcW w:w="6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spacing w:after="0"/>
              <w:rPr>
                <w:sz w:val="10"/>
                <w:szCs w:val="10"/>
                <w:color w:val="auto"/>
              </w:rPr>
            </w:pPr>
          </w:p>
        </w:tc>
      </w:tr>
      <w:tr>
        <w:trPr>
          <w:trHeight w:val="144"/>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change in unrealized appreciation/depreciation on Level 3 investments still held as of December 31, 2023</w:t>
            </w: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844,656</w:t>
            </w:r>
          </w:p>
        </w:tc>
        <w:tc>
          <w:tcPr>
            <w:tcW w:w="220" w:type="dxa"/>
            <w:vAlign w:val="bottom"/>
          </w:tcPr>
          <w:p>
            <w:pPr>
              <w:spacing w:after="0"/>
              <w:rPr>
                <w:sz w:val="12"/>
                <w:szCs w:val="12"/>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77,375</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922,031</w:t>
            </w:r>
          </w:p>
        </w:tc>
      </w:tr>
      <w:tr>
        <w:trPr>
          <w:trHeight w:val="286"/>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5 — RELATED PARTY TRANSACTIONS</w:t>
            </w:r>
          </w:p>
        </w:tc>
        <w:tc>
          <w:tcPr>
            <w:tcW w:w="5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Investment Advisory Agreement</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Pursuant to the investment advisory agreement between the Company and the Adviser (the “Investment Advisory Agreement”), fees payable to the Adviser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the Adviser if the Company’s entire investment portfolio was liquidated at its fair value as of the balance sheet date even though the Adviser is not entitled to an Incentive Fee on Capital Gains with respect to unrealized capital appreciation unless and until such gains are actually realized.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management fee is payable quarterly in arrears. For the years ended December 31, 2024 and December 31, 2023, and for the period from April 1, 2022 through December 31, 2022, the Company incurred $1,504,239, $1,013,764 and $336,432, respectively, of management fees. As of December 31, 2024 and December 31, 2023, $758,362 and $257,121, respectively, remained payable on the Statements of Assets and Liabilities. For the years ended December 31, 2024 and December 31, 2023, and for the period from April 1, 2022 through December 31, 2022, the Company incurred $2,327,448, $1,511,253 and $0, respectively, of income based incentive fees. As of December 31, 2024 and December 31, 2023, $1,998,945 and $1,511,253, respectively, remained payable on the Statements of Assets and Liabilities. For the years ended December 31, 2024 and December 31, 2023, and for the period from April 1, 2022 through December 31, 2022, the Company incurred $34,304, $87,583 and $0, respectively, of capital gains incentive fees. As of December 31, 2024 and December 31, 2023, $121,887 and $87,583, respectively, remained payable on the Statements of Assets and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Expense Limitation Agreement</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October 1, 2024, in connection with the New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the period ending September 30, 2025.</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23" w:name="page124"/>
    <w:bookmarkEnd w:id="123"/>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Administration Agreement</w:t>
      </w:r>
    </w:p>
    <w:p>
      <w:pPr>
        <w:spacing w:after="0" w:line="15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Pursuant to the administration agreement between the Company and the Adviser (the “Administration Agreement”), the Company is to reimburse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SS&amp;C, the sub-administrator. The Company is generally not responsible for the compensation of the Adviser’s employees or any overhead expenses. However, we may reimburse the Adviser for an allocable portion of the compensation paid by the Adviser to our CCO and CFO and their respective staffs (based on a percentage of time such individuals devote, on an estimated basis, to our business affairs).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License Agreement</w:t>
      </w:r>
    </w:p>
    <w:p>
      <w:pPr>
        <w:spacing w:after="0" w:line="15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has also entered into a license agreement with the Adviser pursuant to which the Adviser has agreed to grant the Company a nonexclusive, royalty-free license to use the name “Chicago Atlantic.” Under this agreement, the Company will have a right to use the “Chicago Atlantic” name, for so long as the Adviser or one of its affiliates remains the Company’s investment adviser. Other than with respect to this limited license, the Company will have no legal right to the “Chicago Atlantic” name.</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Related Party Fees &amp; Expenses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summarizes the related parties fees and expenses incurred by the Company for the years ended December 31, 2024 and December 31, 2023 and for the period from April 1, 2022 through December 31, 2022.</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For the period from</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April 1, 2022</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41"/>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Affiliate Payments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Income-based incentive fees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2,327,448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1,511,253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Management fee</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1,504,239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1,013,764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336,432</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gains incentive fees</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34,304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87,583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Total management and incentive fees earned</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3,865,991</w:t>
            </w:r>
          </w:p>
        </w:tc>
        <w:tc>
          <w:tcPr>
            <w:tcW w:w="2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2,612,600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336,432</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 reimbursable to the Adviser</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4,565,991</w:t>
            </w:r>
          </w:p>
        </w:tc>
        <w:tc>
          <w:tcPr>
            <w:tcW w:w="2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2,612,600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336,432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8" w:hanging="208"/>
        <w:spacing w:after="0"/>
        <w:tabs>
          <w:tab w:leader="none" w:pos="20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November 8, 2022, our Board approved a change in our fiscal year end from March 31 to December 31.</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General administrative expenses reimbursable to the Adviser are included in due to affiliates on the accompanying Statements of Assets and Liabilities as of December 31, 2024 and December 31, 2023. Total amounts payable to the Adviser and its affiliates as of December 31, 2024 are $905,129, of which $820,797 and $84,332, represent general and administrative expenses reimbursable to the Adviser and amounts due to Chicago Atlantic Admin, LLC, respectively. There were no amounts payable as of December 31, 2023.</w:t>
      </w:r>
    </w:p>
    <w:p>
      <w:pPr>
        <w:spacing w:after="0" w:line="119"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2024 and December 31, 2023, and for the period from April 1, 2022 through December 31, 2022, the Company reimbursed the Adviser $102,828, $6,192 and $12,145, respectively, for expenses paid on the Company’s behalf.</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Affiliated Loan Administrative and Collateral Agent</w:t>
      </w:r>
    </w:p>
    <w:p>
      <w:pPr>
        <w:spacing w:after="0" w:line="10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Chicago Atlantic Admin, LLC (the “Loan Administrator”), serves as a loan administrator and collateral agent for certain loans within the Company’s investment portfolio. Among other customary responsibilities as described in each respective loan document, the Loan Administrator is responsible for: (a) the collection of interest, loan fees, and principal payments from portfolio companies, and (b) the subsequent disbursement of the allocable portion of such collections to the lender(s), including the Company. The Loan Administrator is a wholly-owned subsidiary of Chicago Atlantic Group, LP.</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Interest and principal payments from our portfolio companies which were received by the Loan Administrator prior to December 31, 2024, but which were not remitted to the Company until after December 31, 2024, are included in due from affiliates on the Statement of Assets and Liabilities. As of December 31, 2024, the due from affiliates balance of $2,361,019 consists of $1,559,758 and $801,261 in interest and principal payments receivable, respectively. The amounts due from affiliate as of December 31, 2024 were collected in January 2025.</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There were no amounts due from affiliates as of December 31, 2023.</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Co-Investments</w:t>
      </w:r>
    </w:p>
    <w:p>
      <w:pPr>
        <w:spacing w:after="0" w:line="15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From time to time, the Company may co-invest with other investment vehicles managed by its affiliates, in accordance with the Company’s co-investment exemptive order and the Adviser’s co-investment allocation policies. The Company is not obligated to provide, nor has it provided, any financial support to the other managed investment vehicles. As such, the Company’s risk is limited to the carrying value of its investment in any such co-investment. As of December 31, 2024 and December 31, 2023, $272,816,695 and $0, respectively, of the Company’s investments were co-investments with affiliates of the Company.</w:t>
      </w: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Related Party Transactions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years ended December 31, 2024 and December 31, 2023, and for the period from April 1, 2022 through December 31, 2022, the Company paid $0, $0 and $2,086, respectively, for expenses on the Adviser’s behalf.</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Adviser was the seed investor of the Company and provided initial funding to the Company by purchasing approximately 4.5 million shares of the Company’s common stock in the Company’s initial public offering. The Adviser provided this “seed capital” to the Company for the purpose of facilitating the launch and initial operation of the Company, as opposed to for long term investment purposes. In addition, CALP purchased approximately 16.6 million shares of the Company’s common stock in connection with the Loan Portfolio Acquisition with the intention of distributing such shares of the Company’s common stock to CALP’s members within six months of the Loan Portfolio Acquisition. The Adviser and CALP do not expect to hold the Company’s common stock indefinitely, and may sell the Company’s common stock, or distribute the Company’s common stock to their members (who may, in turn, sell the Company’s common stock subject to certain holding period requirements), at a future point in time. In order for the Adviser’s or CALP’s sales of the shares of the Company not to be deemed to have been made “on the basis of” material nonpublic information, such sales may be made pursuant to a pre-approved trading plan that complies with Rule 10b5-1 under the Exchange Act and that may obligate the Adviser or CALP to make recurring sales of the Company’s common stock on a periodic basis. Sales of substantial amounts of the Company’s common stock, including by the Adviser, CALP, their members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2024, the Adviser and CALP collectively hold approximately 80% of the Company’s voting stock and have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Adviser absorbed $1.23 million, representing the cost of the sales load (i.e., underwriting discounts and commissions) incurred by the Company in connection with the initial public offering of its common stock. The Company will not incur any additional expenses in connection with this transaction.</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2024 and December 31, 2023, the Adviser and certain related parties received dividend distributions from the Company relating to their shares held. Refer to “Note 7 – Common Stock” for further details on the Company’s dividend reinvestment plan and the distributions declared. The Company did not make any distributions during the period from April 1, 2022 through December 31,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 COMMITMENTS AND CONTINGENCIES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Arrangements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Company’s commitments and contingencies include unfunded commitments to extend credit, typically in the form of delayed draw term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includes only those commitments that are available at the request of the portfolio company and are unencumbered by milestones or additional lending provisions. As of December 31, 2024 and December 31, 2023, the Company had the following unfunded commitments on existing loans: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12"/>
                <w:szCs w:val="12"/>
                <w:color w:val="auto"/>
              </w:rPr>
            </w:pP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Unfunded delayed draw loan commitments</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1,250,000</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undrawn commitments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1,250,000</w:t>
            </w:r>
          </w:p>
        </w:tc>
        <w:tc>
          <w:tcPr>
            <w:tcW w:w="22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did not have any other off-balance sheet commitments or liabilities as of December 31, 2024 or December 31, 2023.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December 31, 2024, there were no material legal matters or material litigation pending of which the Company is aware.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100,000,000 shares of $0.01 par value common stock were authorized.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Loan Portfolio Acquisition</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On October 1, 2024, the Company completed its previously announced acquisition of a portfolio of loans (the “Loan Portfolio”) from Chicago Atlantic Loan Portfolio, LLC (“CALP”)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Distributions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distributions declared and paid by the Company during the years ended December 31, 2024 and December 31,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Dividends</w:t>
            </w:r>
          </w:p>
        </w:tc>
      </w:tr>
      <w:tr>
        <w:trPr>
          <w:trHeight w:val="159"/>
        </w:trPr>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Declaration Date</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Record Date</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Payment Date</w:t>
            </w:r>
          </w:p>
        </w:tc>
        <w:tc>
          <w:tcPr>
            <w:tcW w:w="100" w:type="dxa"/>
            <w:vAlign w:val="bottom"/>
          </w:tcPr>
          <w:p>
            <w:pPr>
              <w:spacing w:after="0"/>
              <w:rPr>
                <w:sz w:val="13"/>
                <w:szCs w:val="13"/>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Paid</w:t>
            </w:r>
          </w:p>
        </w:tc>
      </w:tr>
      <w:tr>
        <w:trPr>
          <w:trHeight w:val="142"/>
        </w:trPr>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August 10, 2023</w:t>
            </w:r>
          </w:p>
        </w:tc>
        <w:tc>
          <w:tcPr>
            <w:tcW w:w="120" w:type="dxa"/>
            <w:vAlign w:val="bottom"/>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September 15, 2023</w:t>
            </w:r>
          </w:p>
        </w:tc>
        <w:tc>
          <w:tcPr>
            <w:tcW w:w="100" w:type="dxa"/>
            <w:vAlign w:val="bottom"/>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29, 2023</w:t>
            </w:r>
          </w:p>
        </w:tc>
        <w:tc>
          <w:tcPr>
            <w:tcW w:w="1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1,429,375</w:t>
            </w:r>
          </w:p>
        </w:tc>
        <w:tc>
          <w:tcPr>
            <w:tcW w:w="40" w:type="dxa"/>
            <w:vAlign w:val="bottom"/>
            <w:shd w:val="clear" w:color="auto" w:fill="CCEEFF"/>
          </w:tcPr>
          <w:p>
            <w:pPr>
              <w:spacing w:after="0"/>
              <w:rPr>
                <w:sz w:val="12"/>
                <w:szCs w:val="12"/>
                <w:color w:val="auto"/>
              </w:rPr>
            </w:pPr>
          </w:p>
        </w:tc>
      </w:tr>
      <w:tr>
        <w:trPr>
          <w:trHeight w:val="144"/>
        </w:trPr>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August 10, 2023</w:t>
            </w:r>
          </w:p>
        </w:tc>
        <w:tc>
          <w:tcPr>
            <w:tcW w:w="1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Special</w:t>
            </w:r>
          </w:p>
        </w:tc>
        <w:tc>
          <w:tcPr>
            <w:tcW w:w="10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September 15, 2023</w:t>
            </w:r>
          </w:p>
        </w:tc>
        <w:tc>
          <w:tcPr>
            <w:tcW w:w="1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September 29, 2023</w:t>
            </w:r>
          </w:p>
        </w:tc>
        <w:tc>
          <w:tcPr>
            <w:tcW w:w="960" w:type="dxa"/>
            <w:vAlign w:val="bottom"/>
            <w:gridSpan w:val="2"/>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2,485,869</w:t>
            </w:r>
          </w:p>
        </w:tc>
      </w:tr>
      <w:tr>
        <w:trPr>
          <w:trHeight w:val="144"/>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November 9, 2023</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20, 2023</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December 29, 2023</w:t>
            </w:r>
          </w:p>
        </w:tc>
        <w:tc>
          <w:tcPr>
            <w:tcW w:w="96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1,553,676</w:t>
            </w:r>
          </w:p>
        </w:tc>
      </w:tr>
      <w:tr>
        <w:trPr>
          <w:trHeight w:val="144"/>
        </w:trPr>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November 9, 2023</w:t>
            </w:r>
          </w:p>
        </w:tc>
        <w:tc>
          <w:tcPr>
            <w:tcW w:w="1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Special</w:t>
            </w:r>
          </w:p>
        </w:tc>
        <w:tc>
          <w:tcPr>
            <w:tcW w:w="10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20, 2023</w:t>
            </w:r>
          </w:p>
        </w:tc>
        <w:tc>
          <w:tcPr>
            <w:tcW w:w="1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December 29, 2023</w:t>
            </w:r>
          </w:p>
        </w:tc>
        <w:tc>
          <w:tcPr>
            <w:tcW w:w="960" w:type="dxa"/>
            <w:vAlign w:val="bottom"/>
            <w:gridSpan w:val="2"/>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2,796,617</w:t>
            </w:r>
          </w:p>
        </w:tc>
      </w:tr>
      <w:tr>
        <w:trPr>
          <w:trHeight w:val="144"/>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8, 2024</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March 20, 2024</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28, 2024</w:t>
            </w:r>
          </w:p>
        </w:tc>
        <w:tc>
          <w:tcPr>
            <w:tcW w:w="96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1,553,736</w:t>
            </w:r>
          </w:p>
        </w:tc>
      </w:tr>
      <w:tr>
        <w:trPr>
          <w:trHeight w:val="144"/>
        </w:trPr>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May 9, 2024</w:t>
            </w:r>
          </w:p>
        </w:tc>
        <w:tc>
          <w:tcPr>
            <w:tcW w:w="1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June 20, 2024</w:t>
            </w:r>
          </w:p>
        </w:tc>
        <w:tc>
          <w:tcPr>
            <w:tcW w:w="1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June 28, 2024</w:t>
            </w:r>
          </w:p>
        </w:tc>
        <w:tc>
          <w:tcPr>
            <w:tcW w:w="960" w:type="dxa"/>
            <w:vAlign w:val="bottom"/>
            <w:gridSpan w:val="2"/>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0.25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1,553,738</w:t>
            </w:r>
          </w:p>
        </w:tc>
      </w:tr>
      <w:tr>
        <w:trPr>
          <w:trHeight w:val="144"/>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August 8, 2024</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September 19, 2024</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27, 2024</w:t>
            </w:r>
          </w:p>
        </w:tc>
        <w:tc>
          <w:tcPr>
            <w:tcW w:w="96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1,553,741</w:t>
            </w:r>
          </w:p>
        </w:tc>
      </w:tr>
      <w:tr>
        <w:trPr>
          <w:trHeight w:val="155"/>
        </w:trPr>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9, 2024</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19, 2024</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December 27, 2024</w:t>
            </w:r>
          </w:p>
        </w:tc>
        <w:tc>
          <w:tcPr>
            <w:tcW w:w="960" w:type="dxa"/>
            <w:vAlign w:val="bottom"/>
            <w:gridSpan w:val="2"/>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0.34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7,758,925</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 Reinvestment Plan</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Company’s dividend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DRIP is administered by its transfer agent on behalf of the Company’s record holders and participating brokerage firms. Brokerage firms and other financial intermediaries may decide not to participate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Company’s DRIP but may provide a similar dividend reinvestment plan for their clients. During the years ended December 31, 2024 and December 31, 2023, the Company issued the following shares of common stock under the DRIP:</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Declaration Date</w:t>
            </w:r>
          </w:p>
        </w:tc>
        <w:tc>
          <w:tcPr>
            <w:tcW w:w="10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Record Date</w:t>
            </w:r>
          </w:p>
        </w:tc>
        <w:tc>
          <w:tcPr>
            <w:tcW w:w="1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Payment Date</w:t>
            </w:r>
          </w:p>
        </w:tc>
        <w:tc>
          <w:tcPr>
            <w:tcW w:w="10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42"/>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8, 2024</w:t>
            </w:r>
          </w:p>
        </w:tc>
        <w:tc>
          <w:tcPr>
            <w:tcW w:w="100" w:type="dxa"/>
            <w:vAlign w:val="bottom"/>
            <w:shd w:val="clear" w:color="auto" w:fill="CCEEFF"/>
          </w:tcPr>
          <w:p>
            <w:pPr>
              <w:spacing w:after="0"/>
              <w:rPr>
                <w:sz w:val="12"/>
                <w:szCs w:val="12"/>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shd w:val="clear" w:color="auto" w:fill="CCEEFF"/>
          </w:tcPr>
          <w:p>
            <w:pPr>
              <w:spacing w:after="0"/>
              <w:rPr>
                <w:sz w:val="12"/>
                <w:szCs w:val="12"/>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20, 2024</w:t>
            </w:r>
          </w:p>
        </w:tc>
        <w:tc>
          <w:tcPr>
            <w:tcW w:w="100" w:type="dxa"/>
            <w:vAlign w:val="bottom"/>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March 28, 2024</w:t>
            </w:r>
          </w:p>
        </w:tc>
        <w:tc>
          <w:tcPr>
            <w:tcW w:w="10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40" w:type="dxa"/>
            <w:vAlign w:val="bottom"/>
            <w:shd w:val="clear" w:color="auto" w:fill="CCEEFF"/>
          </w:tcPr>
          <w:p>
            <w:pPr>
              <w:spacing w:after="0"/>
              <w:rPr>
                <w:sz w:val="12"/>
                <w:szCs w:val="12"/>
                <w:color w:val="auto"/>
              </w:rPr>
            </w:pPr>
          </w:p>
        </w:tc>
      </w:tr>
      <w:tr>
        <w:trPr>
          <w:trHeight w:val="144"/>
        </w:trPr>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May 9, 2024</w:t>
            </w:r>
          </w:p>
        </w:tc>
        <w:tc>
          <w:tcPr>
            <w:tcW w:w="10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June 20, 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June 28, 2024</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August 8, 2024</w:t>
            </w:r>
          </w:p>
        </w:tc>
        <w:tc>
          <w:tcPr>
            <w:tcW w:w="10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19, 2024</w:t>
            </w: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September 27, 2024</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w:t>
            </w:r>
          </w:p>
        </w:tc>
      </w:tr>
      <w:tr>
        <w:trPr>
          <w:trHeight w:val="155"/>
        </w:trPr>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9, 2024</w:t>
            </w:r>
          </w:p>
        </w:tc>
        <w:tc>
          <w:tcPr>
            <w:tcW w:w="10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19, 2024</w:t>
            </w:r>
          </w:p>
        </w:tc>
        <w:tc>
          <w:tcPr>
            <w:tcW w:w="1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27, 2024</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19</w:t>
            </w: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Declaration Date</w:t>
            </w:r>
          </w:p>
        </w:tc>
        <w:tc>
          <w:tcPr>
            <w:tcW w:w="10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Record Date</w:t>
            </w:r>
          </w:p>
        </w:tc>
        <w:tc>
          <w:tcPr>
            <w:tcW w:w="1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Payment Date</w:t>
            </w:r>
          </w:p>
        </w:tc>
        <w:tc>
          <w:tcPr>
            <w:tcW w:w="10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42"/>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August 10, 2023</w:t>
            </w:r>
          </w:p>
        </w:tc>
        <w:tc>
          <w:tcPr>
            <w:tcW w:w="100" w:type="dxa"/>
            <w:vAlign w:val="bottom"/>
            <w:shd w:val="clear" w:color="auto" w:fill="CCEEFF"/>
          </w:tcPr>
          <w:p>
            <w:pPr>
              <w:spacing w:after="0"/>
              <w:rPr>
                <w:sz w:val="12"/>
                <w:szCs w:val="12"/>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shd w:val="clear" w:color="auto" w:fill="CCEEFF"/>
          </w:tcPr>
          <w:p>
            <w:pPr>
              <w:spacing w:after="0"/>
              <w:rPr>
                <w:sz w:val="12"/>
                <w:szCs w:val="12"/>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15, 2023</w:t>
            </w:r>
          </w:p>
        </w:tc>
        <w:tc>
          <w:tcPr>
            <w:tcW w:w="100" w:type="dxa"/>
            <w:vAlign w:val="bottom"/>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September 29, 2023</w:t>
            </w:r>
          </w:p>
        </w:tc>
        <w:tc>
          <w:tcPr>
            <w:tcW w:w="10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 w:type="dxa"/>
            <w:vAlign w:val="bottom"/>
            <w:shd w:val="clear" w:color="auto" w:fill="CCEEFF"/>
          </w:tcPr>
          <w:p>
            <w:pPr>
              <w:spacing w:after="0"/>
              <w:rPr>
                <w:sz w:val="12"/>
                <w:szCs w:val="12"/>
                <w:color w:val="auto"/>
              </w:rPr>
            </w:pPr>
          </w:p>
        </w:tc>
      </w:tr>
      <w:tr>
        <w:trPr>
          <w:trHeight w:val="144"/>
        </w:trPr>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August 10, 2023</w:t>
            </w:r>
          </w:p>
        </w:tc>
        <w:tc>
          <w:tcPr>
            <w:tcW w:w="10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Special</w:t>
            </w:r>
          </w:p>
        </w:tc>
        <w:tc>
          <w:tcPr>
            <w:tcW w:w="12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September 15, 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September 29, 2023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November 9, 2023</w:t>
            </w:r>
          </w:p>
        </w:tc>
        <w:tc>
          <w:tcPr>
            <w:tcW w:w="10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Quarterly</w:t>
            </w:r>
          </w:p>
        </w:tc>
        <w:tc>
          <w:tcPr>
            <w:tcW w:w="12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20, 2023</w:t>
            </w: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29, 2023</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w:t>
            </w:r>
          </w:p>
        </w:tc>
      </w:tr>
      <w:tr>
        <w:trPr>
          <w:trHeight w:val="155"/>
        </w:trPr>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November 9, 2023</w:t>
            </w:r>
          </w:p>
        </w:tc>
        <w:tc>
          <w:tcPr>
            <w:tcW w:w="10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Special</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20, 2023</w:t>
            </w:r>
          </w:p>
        </w:tc>
        <w:tc>
          <w:tcPr>
            <w:tcW w:w="1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29, 2023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r>
      <w:tr>
        <w:trPr>
          <w:trHeight w:val="368"/>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0" w:type="dxa"/>
            <w:vAlign w:val="bottom"/>
            <w:gridSpan w:val="2"/>
          </w:tcPr>
          <w:p>
            <w:pPr>
              <w:jc w:val="right"/>
              <w:ind w:right="1880"/>
              <w:spacing w:after="0"/>
              <w:rPr>
                <w:sz w:val="20"/>
                <w:szCs w:val="20"/>
                <w:color w:val="auto"/>
              </w:rPr>
            </w:pPr>
            <w:r>
              <w:rPr>
                <w:rFonts w:ascii="Times New Roman" w:cs="Times New Roman" w:eastAsia="Times New Roman" w:hAnsi="Times New Roman"/>
                <w:sz w:val="10"/>
                <w:szCs w:val="10"/>
                <w:color w:val="auto"/>
              </w:rPr>
              <w:t>125</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126" w:name="page127"/>
    <w:bookmarkEnd w:id="126"/>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8 — INDEMNIFICATION</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9 — EARNINGS PER SHARE</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computation of the weighted average basic and diluted net increase (decrease) in net assets per share resulting from operations for the years ended December 31, 2024 and December 31, 2023, and for the period from April 1, 2022 through December 31, 2022:</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For the period</w:t>
            </w:r>
          </w:p>
        </w:tc>
      </w:tr>
      <w:tr>
        <w:trPr>
          <w:trHeight w:val="144"/>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from</w:t>
            </w:r>
          </w:p>
        </w:tc>
      </w:tr>
      <w:tr>
        <w:trPr>
          <w:trHeight w:val="144"/>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April 1, 2022</w:t>
            </w:r>
          </w:p>
        </w:tc>
      </w:tr>
      <w:tr>
        <w:trPr>
          <w:trHeight w:val="144"/>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through</w:t>
            </w:r>
          </w:p>
        </w:tc>
      </w:tr>
      <w:tr>
        <w:trPr>
          <w:trHeight w:val="144"/>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7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Pr>
          <w:p>
            <w:pPr>
              <w:spacing w:after="0"/>
              <w:rPr>
                <w:sz w:val="13"/>
                <w:szCs w:val="13"/>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9,622,538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7,340,108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1,923,639</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 - basic and diluted</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10,343,621</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6,214,682</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6,214,672</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 - basic and diluted</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0.93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0.31</w:t>
            </w:r>
          </w:p>
        </w:tc>
      </w:tr>
    </w:tbl>
    <w:p>
      <w:pPr>
        <w:spacing w:after="0" w:line="133" w:lineRule="exact"/>
        <w:rPr>
          <w:sz w:val="20"/>
          <w:szCs w:val="20"/>
          <w:color w:val="auto"/>
        </w:rPr>
      </w:pPr>
    </w:p>
    <w:p>
      <w:pPr>
        <w:ind w:left="208" w:hanging="208"/>
        <w:spacing w:after="0"/>
        <w:tabs>
          <w:tab w:leader="none" w:pos="20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November 8, 2022, our Board approved a change in our fiscal year end from March 31 to December 31.</w:t>
      </w:r>
    </w:p>
    <w:p>
      <w:pPr>
        <w:spacing w:after="0" w:line="2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10 — INCOME TAXES</w:t>
      </w:r>
    </w:p>
    <w:p>
      <w:pPr>
        <w:spacing w:after="0" w:line="15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Company adopted a tax year end of March 31 and elected to be treated as a regulated investment company (“RIC”) for U.S. federal income tax purposes under Subchapter M of the Code.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22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GAAP. The final determination of the source of all distributions in 2024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Because federal income tax regulations differ from GAAP, distributions in accordance with tax regulations may differ from net investment income (loss)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has not recorded a liability for any uncertain tax positions pursuant to the provisions of ASC 740, Income Taxes as of December 31, 2024 and December 31, 2023.</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the normal course of business, the Company is subject to examination by federal and certain state and local tax regulators.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For tax purposes, net realized capital losses may be carried over to offset future capital gains, if any. RICs are permitted to carry forward capital losses for an indefinite period, and such losses will retain their character as either short-term or long-term capital losses. As of March 31, 2024, the Company’s most recent tax year end, the Company had $210,767 of capital loss carryforwards, all of which is short-term.</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Company’s taxable income for each period is an estimate and will not be finally determined until the Company files its tax return for each year. Therefore, the final taxable income earned in each year and carried forward for distribution in the following year may be different than this estimate.</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2024 and December 31, 2023, the Company reclassified for book purposes amounts arising from permanent book to tax differences primarily related to net operating loss forfeiture and non-deductible excise tax paid for income tax purposes.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8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(decrease) in additional paid in capital</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(10,676)</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121,099</w:t>
            </w:r>
          </w:p>
        </w:tc>
        <w:tc>
          <w:tcPr>
            <w:tcW w:w="120" w:type="dxa"/>
            <w:vAlign w:val="bottom"/>
            <w:shd w:val="clear" w:color="auto" w:fill="CCEEFF"/>
          </w:tcPr>
          <w:p>
            <w:pPr>
              <w:spacing w:after="0"/>
              <w:rPr>
                <w:sz w:val="12"/>
                <w:szCs w:val="12"/>
                <w:color w:val="auto"/>
              </w:rPr>
            </w:pPr>
          </w:p>
        </w:tc>
      </w:tr>
      <w:tr>
        <w:trPr>
          <w:trHeight w:val="155"/>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Increase (decrease) in distributable earnings (accumulated loss)</w:t>
            </w:r>
          </w:p>
        </w:tc>
        <w:tc>
          <w:tcPr>
            <w:tcW w:w="8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10,676</w:t>
            </w:r>
          </w:p>
        </w:tc>
        <w:tc>
          <w:tcPr>
            <w:tcW w:w="8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(121,099)</w:t>
            </w:r>
          </w:p>
        </w:tc>
      </w:tr>
    </w:tbl>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For income tax purposes, distributions paid to shareholders are reported as ordinary income, return of capital, long-term capital gains, or a combination thereof. The tax character of distributions paid for the period from April 1, 2024 through December 31, 2024, and the tax year from April 1, 2023 through March 31, 2024,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For the period from April 1,</w:t>
            </w:r>
          </w:p>
        </w:tc>
        <w:tc>
          <w:tcPr>
            <w:tcW w:w="340" w:type="dxa"/>
            <w:vAlign w:val="bottom"/>
          </w:tcPr>
          <w:p>
            <w:pPr>
              <w:spacing w:after="0"/>
              <w:rPr>
                <w:sz w:val="12"/>
                <w:szCs w:val="12"/>
                <w:color w:val="auto"/>
              </w:rPr>
            </w:pPr>
          </w:p>
        </w:tc>
        <w:tc>
          <w:tcPr>
            <w:tcW w:w="250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For the tax year from April 1,</w:t>
            </w:r>
          </w:p>
        </w:tc>
      </w:tr>
      <w:tr>
        <w:trPr>
          <w:trHeight w:val="159"/>
        </w:trPr>
        <w:tc>
          <w:tcPr>
            <w:tcW w:w="5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2024 through December 31, 2024</w:t>
            </w:r>
          </w:p>
        </w:tc>
        <w:tc>
          <w:tcPr>
            <w:tcW w:w="340" w:type="dxa"/>
            <w:vAlign w:val="bottom"/>
          </w:tcPr>
          <w:p>
            <w:pPr>
              <w:spacing w:after="0"/>
              <w:rPr>
                <w:sz w:val="13"/>
                <w:szCs w:val="13"/>
                <w:color w:val="auto"/>
              </w:rPr>
            </w:pPr>
          </w:p>
        </w:tc>
        <w:tc>
          <w:tcPr>
            <w:tcW w:w="250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2023 through March 31, 2024</w:t>
            </w:r>
          </w:p>
        </w:tc>
      </w:tr>
      <w:tr>
        <w:trPr>
          <w:trHeight w:val="14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Ordinary income</w:t>
            </w: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10,866,404</w:t>
            </w:r>
          </w:p>
        </w:tc>
        <w:tc>
          <w:tcPr>
            <w:tcW w:w="20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9,819,273</w:t>
            </w:r>
          </w:p>
        </w:tc>
        <w:tc>
          <w:tcPr>
            <w:tcW w:w="120" w:type="dxa"/>
            <w:vAlign w:val="bottom"/>
            <w:shd w:val="clear" w:color="auto" w:fill="CCEEFF"/>
          </w:tcPr>
          <w:p>
            <w:pPr>
              <w:spacing w:after="0"/>
              <w:rPr>
                <w:sz w:val="12"/>
                <w:szCs w:val="12"/>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Long-term capital gain</w:t>
            </w:r>
          </w:p>
        </w:tc>
        <w:tc>
          <w:tcPr>
            <w:tcW w:w="300" w:type="dxa"/>
            <w:vAlign w:val="bottom"/>
          </w:tcPr>
          <w:p>
            <w:pPr>
              <w:spacing w:after="0"/>
              <w:rPr>
                <w:sz w:val="12"/>
                <w:szCs w:val="1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Return of capital</w:t>
            </w:r>
          </w:p>
        </w:tc>
        <w:tc>
          <w:tcPr>
            <w:tcW w:w="300" w:type="dxa"/>
            <w:vAlign w:val="bottom"/>
            <w:shd w:val="clear" w:color="auto" w:fill="CCEEFF"/>
          </w:tcPr>
          <w:p>
            <w:pPr>
              <w:spacing w:after="0"/>
              <w:rPr>
                <w:sz w:val="12"/>
                <w:szCs w:val="12"/>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55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Distributions</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10,866,404</w:t>
            </w:r>
          </w:p>
        </w:tc>
        <w:tc>
          <w:tcPr>
            <w:tcW w:w="20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9,819,273</w:t>
            </w:r>
          </w:p>
        </w:tc>
      </w:tr>
      <w:tr>
        <w:trPr>
          <w:trHeight w:val="20"/>
        </w:trPr>
        <w:tc>
          <w:tcPr>
            <w:tcW w:w="5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March 31, 2024 and March 31, 2023,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March 31, 2023</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Undistributed ordinary income</w:t>
            </w: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1,782,017</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3,418,714</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Net unrealized appreciation (depreciation) on investments</w:t>
            </w: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1,248,303</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713,009</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loss carry forwards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(210,767)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temporary differences</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(3,393,536)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(399,948)</w:t>
            </w:r>
          </w:p>
        </w:tc>
      </w:tr>
      <w:tr>
        <w:trPr>
          <w:trHeight w:val="18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(573,983)</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3,731,775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tax cost basis and the estimated aggregate gross unrealized appreciation and depreciation from investments and cash equivalents for federal income tax purposes for the fiscal years ended December 31, 2024 and 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8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cost of investments and cash equivalents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298,279,117</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86,082,952</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Unrealized appreciation</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1,285,099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784,052</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depreciation</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(390,412)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(135,369)</w:t>
            </w:r>
          </w:p>
        </w:tc>
      </w:tr>
      <w:tr>
        <w:trPr>
          <w:trHeight w:val="20"/>
        </w:trPr>
        <w:tc>
          <w:tcPr>
            <w:tcW w:w="87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Net unrealized appreciation (depreciation) from investments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894,687</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648,683</w:t>
            </w:r>
          </w:p>
        </w:tc>
      </w:tr>
      <w:tr>
        <w:trPr>
          <w:trHeight w:val="20"/>
        </w:trPr>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differences between book-basis and tax-basis unrealized appreciation (depreciation) from investments.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8" w:name="page129"/>
    <w:bookmarkEnd w:id="128"/>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11 — FINANCIAL HIGHLIGHTS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was formed on January 25, 2021 and the effective date of our registration statement was February 3, 2022. Prior to February 3, 2022, the Company had no operations, except for matters relating to our formation and organization as a BDC. The following presents financial highlights for the years ended December 31, 2024 and December 31, 2023, the period from April 1, 2022 through December 31, 2022 and the period from February 3, 2022 to March 31, 2022:</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For the period</w:t>
            </w:r>
          </w:p>
        </w:tc>
        <w:tc>
          <w:tcPr>
            <w:tcW w:w="10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For the period</w:t>
            </w:r>
          </w:p>
        </w:tc>
        <w:tc>
          <w:tcPr>
            <w:tcW w:w="0" w:type="dxa"/>
            <w:vAlign w:val="bottom"/>
          </w:tcPr>
          <w:p>
            <w:pPr>
              <w:spacing w:after="0"/>
              <w:rPr>
                <w:sz w:val="1"/>
                <w:szCs w:val="1"/>
                <w:color w:val="auto"/>
              </w:rPr>
            </w:pPr>
          </w:p>
        </w:tc>
      </w:tr>
      <w:tr>
        <w:trPr>
          <w:trHeight w:val="141"/>
        </w:trPr>
        <w:tc>
          <w:tcPr>
            <w:tcW w:w="5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from April 1,</w:t>
            </w:r>
          </w:p>
        </w:tc>
        <w:tc>
          <w:tcPr>
            <w:tcW w:w="10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from February 3,</w:t>
            </w:r>
          </w:p>
        </w:tc>
        <w:tc>
          <w:tcPr>
            <w:tcW w:w="0" w:type="dxa"/>
            <w:vAlign w:val="bottom"/>
          </w:tcPr>
          <w:p>
            <w:pPr>
              <w:spacing w:after="0"/>
              <w:rPr>
                <w:sz w:val="1"/>
                <w:szCs w:val="1"/>
                <w:color w:val="auto"/>
              </w:rPr>
            </w:pPr>
          </w:p>
        </w:tc>
      </w:tr>
      <w:tr>
        <w:trPr>
          <w:trHeight w:val="127"/>
        </w:trPr>
        <w:tc>
          <w:tcPr>
            <w:tcW w:w="59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2022 through</w:t>
            </w:r>
          </w:p>
        </w:tc>
        <w:tc>
          <w:tcPr>
            <w:tcW w:w="100" w:type="dxa"/>
            <w:vAlign w:val="bottom"/>
          </w:tcPr>
          <w:p>
            <w:pPr>
              <w:spacing w:after="0"/>
              <w:rPr>
                <w:sz w:val="11"/>
                <w:szCs w:val="11"/>
                <w:color w:val="auto"/>
              </w:rPr>
            </w:pPr>
          </w:p>
        </w:tc>
        <w:tc>
          <w:tcPr>
            <w:tcW w:w="11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rPr>
              <w:t>2022 through</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December 31, 2022*</w:t>
            </w:r>
          </w:p>
        </w:tc>
        <w:tc>
          <w:tcPr>
            <w:tcW w:w="1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March 31, 2022</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Per share data:</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asset value at beginning of period</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Net investment income (loss) </w:t>
            </w:r>
            <w:r>
              <w:rPr>
                <w:rFonts w:ascii="Times New Roman" w:cs="Times New Roman" w:eastAsia="Times New Roman" w:hAnsi="Times New Roman"/>
                <w:sz w:val="19"/>
                <w:szCs w:val="19"/>
                <w:color w:val="auto"/>
                <w:vertAlign w:val="superscript"/>
              </w:rPr>
              <w:t>(1)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1.07</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0.35</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71"/>
        </w:trPr>
        <w:tc>
          <w:tcPr>
            <w:tcW w:w="5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Net realized and unrealized gains/(losses) on investments </w:t>
            </w:r>
            <w:r>
              <w:rPr>
                <w:rFonts w:ascii="Times New Roman" w:cs="Times New Roman" w:eastAsia="Times New Roman" w:hAnsi="Times New Roman"/>
                <w:sz w:val="19"/>
                <w:szCs w:val="19"/>
                <w:color w:val="auto"/>
                <w:vertAlign w:val="superscript"/>
              </w:rPr>
              <w:t>(1)</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(0.05)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40" w:type="dxa"/>
            <w:vAlign w:val="bottom"/>
          </w:tcPr>
          <w:p>
            <w:pPr>
              <w:spacing w:after="0" w:line="169" w:lineRule="exact"/>
              <w:rPr>
                <w:sz w:val="20"/>
                <w:szCs w:val="20"/>
                <w:color w:val="auto"/>
              </w:rPr>
            </w:pPr>
            <w:r>
              <w:rPr>
                <w:rFonts w:ascii="Times New Roman" w:cs="Times New Roman" w:eastAsia="Times New Roman" w:hAnsi="Times New Roman"/>
                <w:sz w:val="12"/>
                <w:szCs w:val="12"/>
                <w:color w:val="auto"/>
              </w:rPr>
              <w:t xml:space="preserve">Net increase/(decrease) in net assets resulting from operations </w:t>
            </w:r>
            <w:r>
              <w:rPr>
                <w:rFonts w:ascii="Times New Roman" w:cs="Times New Roman" w:eastAsia="Times New Roman" w:hAnsi="Times New Roman"/>
                <w:sz w:val="19"/>
                <w:szCs w:val="19"/>
                <w:color w:val="auto"/>
                <w:vertAlign w:val="superscript"/>
              </w:rPr>
              <w:t>(1)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0"/>
                <w:szCs w:val="10"/>
                <w:color w:val="auto"/>
              </w:rPr>
              <w:t xml:space="preserve">Offering costs </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(0.27)</w:t>
            </w:r>
          </w:p>
        </w:tc>
        <w:tc>
          <w:tcPr>
            <w:tcW w:w="0" w:type="dxa"/>
            <w:vAlign w:val="bottom"/>
          </w:tcPr>
          <w:p>
            <w:pPr>
              <w:spacing w:after="0"/>
              <w:rPr>
                <w:sz w:val="1"/>
                <w:szCs w:val="1"/>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Permanent tax adjustments</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(0.05)</w:t>
            </w: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shares issued</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(0.34)</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Distributions from net investment income (loss) </w:t>
            </w:r>
            <w:r>
              <w:rPr>
                <w:rFonts w:ascii="Times New Roman" w:cs="Times New Roman" w:eastAsia="Times New Roman" w:hAnsi="Times New Roman"/>
                <w:sz w:val="19"/>
                <w:szCs w:val="19"/>
                <w:color w:val="auto"/>
                <w:vertAlign w:val="superscript"/>
              </w:rPr>
              <w:t>(3)</w:t>
            </w:r>
          </w:p>
        </w:tc>
        <w:tc>
          <w:tcPr>
            <w:tcW w:w="2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(1.09)</w:t>
            </w:r>
          </w:p>
        </w:tc>
        <w:tc>
          <w:tcPr>
            <w:tcW w:w="2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(1.32)</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asset value at end of period</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Net assets at end of period</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301,162,578</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85,552,618</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86,475,729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84,552,090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outstanding at end of period</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22,820,386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6,214,941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6,214,672</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6,214,672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net assets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138,475,878</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88,187,537</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84,885,270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83,301,328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Per share market value at end of period</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8.44</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9.80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Total return based on market value </w:t>
            </w:r>
            <w:r>
              <w:rPr>
                <w:rFonts w:ascii="Times New Roman" w:cs="Times New Roman" w:eastAsia="Times New Roman" w:hAnsi="Times New Roman"/>
                <w:sz w:val="16"/>
                <w:szCs w:val="16"/>
                <w:color w:val="auto"/>
                <w:vertAlign w:val="superscript"/>
              </w:rPr>
              <w:t>(4)</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59.20%</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(13.88%)</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(26.32%)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0" w:type="dxa"/>
            <w:vAlign w:val="bottom"/>
          </w:tcPr>
          <w:p>
            <w:pPr>
              <w:spacing w:after="0"/>
              <w:rPr>
                <w:sz w:val="1"/>
                <w:szCs w:val="1"/>
                <w:color w:val="auto"/>
              </w:rPr>
            </w:pPr>
          </w:p>
        </w:tc>
      </w:tr>
      <w:tr>
        <w:trPr>
          <w:trHeight w:val="144"/>
        </w:trPr>
        <w:tc>
          <w:tcPr>
            <w:tcW w:w="594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Total return based on net asset value </w:t>
            </w:r>
            <w:r>
              <w:rPr>
                <w:rFonts w:ascii="Times New Roman" w:cs="Times New Roman" w:eastAsia="Times New Roman" w:hAnsi="Times New Roman"/>
                <w:sz w:val="16"/>
                <w:szCs w:val="16"/>
                <w:color w:val="auto"/>
                <w:vertAlign w:val="superscript"/>
              </w:rPr>
              <w:t>(4)</w:t>
            </w:r>
          </w:p>
        </w:tc>
        <w:tc>
          <w:tcPr>
            <w:tcW w:w="2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5.66%</w:t>
            </w:r>
          </w:p>
        </w:tc>
        <w:tc>
          <w:tcPr>
            <w:tcW w:w="24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13.65%</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2.20%</w:t>
            </w:r>
          </w:p>
        </w:tc>
        <w:tc>
          <w:tcPr>
            <w:tcW w:w="10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Ratio/Supplemental data:</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Ratio of expenses to average net assets</w:t>
            </w:r>
            <w:r>
              <w:rPr>
                <w:rFonts w:ascii="Times New Roman" w:cs="Times New Roman" w:eastAsia="Times New Roman" w:hAnsi="Times New Roman"/>
                <w:sz w:val="16"/>
                <w:szCs w:val="16"/>
                <w:color w:val="auto"/>
                <w:vertAlign w:val="superscript"/>
              </w:rPr>
              <w:t>(5)</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6.01%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0.22%</w:t>
            </w:r>
          </w:p>
        </w:tc>
        <w:tc>
          <w:tcPr>
            <w:tcW w:w="0" w:type="dxa"/>
            <w:vAlign w:val="bottom"/>
          </w:tcPr>
          <w:p>
            <w:pPr>
              <w:spacing w:after="0"/>
              <w:rPr>
                <w:sz w:val="1"/>
                <w:szCs w:val="1"/>
                <w:color w:val="auto"/>
              </w:rPr>
            </w:pPr>
          </w:p>
        </w:tc>
      </w:tr>
      <w:tr>
        <w:trPr>
          <w:trHeight w:val="144"/>
        </w:trPr>
        <w:tc>
          <w:tcPr>
            <w:tcW w:w="594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Ratio of net investment income (loss) to average net assets</w:t>
            </w:r>
            <w:r>
              <w:rPr>
                <w:rFonts w:ascii="Times New Roman" w:cs="Times New Roman" w:eastAsia="Times New Roman" w:hAnsi="Times New Roman"/>
                <w:sz w:val="16"/>
                <w:szCs w:val="16"/>
                <w:color w:val="auto"/>
                <w:vertAlign w:val="superscript"/>
              </w:rPr>
              <w:t>(5)</w:t>
            </w:r>
          </w:p>
        </w:tc>
        <w:tc>
          <w:tcPr>
            <w:tcW w:w="2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6.83%</w:t>
            </w:r>
          </w:p>
        </w:tc>
        <w:tc>
          <w:tcPr>
            <w:tcW w:w="24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7.52%</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2.59%</w:t>
            </w:r>
          </w:p>
        </w:tc>
        <w:tc>
          <w:tcPr>
            <w:tcW w:w="10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Portfolio turnover</w:t>
            </w:r>
            <w:r>
              <w:rPr>
                <w:rFonts w:ascii="Times New Roman" w:cs="Times New Roman" w:eastAsia="Times New Roman" w:hAnsi="Times New Roman"/>
                <w:sz w:val="16"/>
                <w:szCs w:val="16"/>
                <w:color w:val="auto"/>
                <w:vertAlign w:val="superscript"/>
              </w:rPr>
              <w:t>(5)</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21.70%</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10.94%</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N/A</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8" w:hanging="68"/>
        <w:spacing w:after="0"/>
        <w:tabs>
          <w:tab w:leader="none" w:pos="68" w:val="left"/>
        </w:tabs>
        <w:numPr>
          <w:ilvl w:val="0"/>
          <w:numId w:val="7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On November 8, 2022, our Board approved a change in our fiscal year end from March 31 to December 31.</w:t>
      </w:r>
    </w:p>
    <w:p>
      <w:pPr>
        <w:ind w:left="148" w:hanging="148"/>
        <w:spacing w:after="0" w:line="186" w:lineRule="auto"/>
        <w:tabs>
          <w:tab w:leader="none" w:pos="148" w:val="left"/>
        </w:tabs>
        <w:numPr>
          <w:ilvl w:val="0"/>
          <w:numId w:val="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The per share data was derived by using the weighted average shares outstanding during the periods presented.</w:t>
      </w:r>
    </w:p>
    <w:p>
      <w:pPr>
        <w:spacing w:after="0" w:line="1" w:lineRule="exact"/>
        <w:rPr>
          <w:rFonts w:ascii="Times New Roman" w:cs="Times New Roman" w:eastAsia="Times New Roman" w:hAnsi="Times New Roman"/>
          <w:sz w:val="17"/>
          <w:szCs w:val="17"/>
          <w:color w:val="auto"/>
          <w:vertAlign w:val="superscript"/>
        </w:rPr>
      </w:pPr>
    </w:p>
    <w:p>
      <w:pPr>
        <w:ind w:left="148" w:hanging="148"/>
        <w:spacing w:after="0" w:line="198" w:lineRule="auto"/>
        <w:tabs>
          <w:tab w:leader="none" w:pos="148" w:val="left"/>
        </w:tabs>
        <w:numPr>
          <w:ilvl w:val="0"/>
          <w:numId w:val="7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The Adviser has absorbed the cost of the sales load (i.e, underwriting discounts and commissions) incurred by the Company in connection with the initial public offering of its common stock.</w:t>
      </w:r>
    </w:p>
    <w:p>
      <w:pPr>
        <w:spacing w:after="0" w:line="28" w:lineRule="exact"/>
        <w:rPr>
          <w:rFonts w:ascii="Times New Roman" w:cs="Times New Roman" w:eastAsia="Times New Roman" w:hAnsi="Times New Roman"/>
          <w:sz w:val="15"/>
          <w:szCs w:val="15"/>
          <w:color w:val="auto"/>
          <w:vertAlign w:val="superscript"/>
        </w:rPr>
      </w:pPr>
    </w:p>
    <w:p>
      <w:pPr>
        <w:ind w:left="148" w:hanging="148"/>
        <w:spacing w:after="0" w:line="198" w:lineRule="auto"/>
        <w:tabs>
          <w:tab w:leader="none" w:pos="148" w:val="left"/>
        </w:tabs>
        <w:numPr>
          <w:ilvl w:val="0"/>
          <w:numId w:val="7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The amount shown may not correspond for the period as it includes the effect of the timing of the distribution and the issuance of common stock.</w:t>
      </w:r>
    </w:p>
    <w:p>
      <w:pPr>
        <w:spacing w:after="0" w:line="1" w:lineRule="exact"/>
        <w:rPr>
          <w:rFonts w:ascii="Times New Roman" w:cs="Times New Roman" w:eastAsia="Times New Roman" w:hAnsi="Times New Roman"/>
          <w:sz w:val="15"/>
          <w:szCs w:val="15"/>
          <w:color w:val="auto"/>
          <w:vertAlign w:val="superscript"/>
        </w:rPr>
      </w:pPr>
    </w:p>
    <w:p>
      <w:pPr>
        <w:jc w:val="both"/>
        <w:ind w:left="8" w:hanging="8"/>
        <w:spacing w:after="0" w:line="219" w:lineRule="auto"/>
        <w:tabs>
          <w:tab w:leader="none" w:pos="155" w:val="left"/>
        </w:tabs>
        <w:numPr>
          <w:ilvl w:val="0"/>
          <w:numId w:val="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p>
      <w:pPr>
        <w:ind w:left="148" w:hanging="148"/>
        <w:spacing w:after="0" w:line="200" w:lineRule="auto"/>
        <w:tabs>
          <w:tab w:leader="none" w:pos="148" w:val="left"/>
        </w:tabs>
        <w:numPr>
          <w:ilvl w:val="0"/>
          <w:numId w:val="7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Ratio is not annualized.</w:t>
      </w:r>
    </w:p>
    <w:p>
      <w:pPr>
        <w:spacing w:after="0" w:line="2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SEGMENT REPORTING</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 xml:space="preserve">In November 2023, the FASB issued ASU 2023-07, Segment Reporting (“ASC 280”): </w:t>
      </w:r>
      <w:r>
        <w:rPr>
          <w:rFonts w:ascii="Times New Roman" w:cs="Times New Roman" w:eastAsia="Times New Roman" w:hAnsi="Times New Roman"/>
          <w:sz w:val="12"/>
          <w:szCs w:val="12"/>
          <w:i w:val="1"/>
          <w:iCs w:val="1"/>
          <w:color w:val="auto"/>
        </w:rPr>
        <w:t>Improvements to Reportable Segment Disclosures</w:t>
      </w:r>
      <w:r>
        <w:rPr>
          <w:rFonts w:ascii="Times New Roman" w:cs="Times New Roman" w:eastAsia="Times New Roman" w:hAnsi="Times New Roman"/>
          <w:sz w:val="12"/>
          <w:szCs w:val="12"/>
          <w:color w:val="auto"/>
        </w:rPr>
        <w:t>. ASC 280 establishes standards for reporting information about operating segments on a basis consistent with the Company’s internal organizational structure as well as information about geographical areas, business segments and major customers in financial statements for details of the Company’s business segments.</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uses the management approach to determine reportable operating segments. The Company operates through a single operating and reporting segment with an investment objective of maximizing risk-adjusted returns on equity for its shareholders. The management approach considers the internal organization and reporting used by the Company’s Chief Executive Officer, Chief Financial Officer, and Co-Chief Investment Officers, which comprise the chief operating decision maker (“CODM”) for making decisions, allocating resources and assessing performance. The CODM assesses the performance of, and makes operating decisions for, the Company primarily based on the Company’s net asset value, net investment income, and net increase (decrease) in net assets resulting from operations. In addition to other factors and metrics, the CODM utilizes net increase (decrease) in net assets resulting from operations as a key determinant of the amount of dividends to be distributed to the Company’s stockholders.</w:t>
      </w:r>
    </w:p>
    <w:p>
      <w:pPr>
        <w:spacing w:after="0" w:line="13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the Company’s operations comprise of a single reporting segment, the segment assets are reflected on the accompanying Statement of Assets and Liabilities as “total assets” and the significant segment expenses are listed on the accompanying Statements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 LOAN PORTFOLIO ACQUISITION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Loan Portfolio Acquisition has been accounted for as an asset acquisition by the Company, with the Loan Portfolio accounted for at fair value both at the acquisition date and prospectively. The transaction costs incurred by the Company for the asset acquisition were expensed as incurred, because the acquired assets consist of a loan portfolio that is accounted for prospectively at fair value. In addition to transaction costs, there were deferred offering costs associated with the issuance of equity securities which were capitalized and charged to capital upon the issuance of shares of the Company’s common stock concurrently with the completion of the Loan Portfolio 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 SUBSEQUENT EVENTS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Agreement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11, 2025, the Company entered into a senior secured revolving credit agreement (the “Credit Agreement”) among the Company, as borrower, Western Alliance Trust Company, N.A. (“WATC”), as administrative agent, Western Alliance Bank, as an issuing bank and as the initial lender, and the other lenders party thereto from time to time.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Agreement also provides for the issuance of letters of credit in an aggregate face amount of up to $5,000,000.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Availability under the Credit Agreement (the “Revolving Period”) will terminate on February 11, 2027, and the Credit Agreement has a scheduled maturity date of March 31, 2028.</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Borrowings under the Credit Agreement bear interest at the annual rate of one-month term Secured Overnight Financing Rate plus 3.00%. The Company will pay a commitment fee of 0.50% per annum on the average daily unused portion of commitments under the Credit Agreement during the Revolving Period. The Company also will be required to pay letter of credit participation fees and a fronting fee on the average daily amount of the lenders’ exposure with respect to any letters of credit issued at the request of the Company under the Credit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25, 2025, the Company has $0 and $100,000,000 outstanding and available, respectively, under the Credit Agreement.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connection with the Company entering into the Credit Agreement, the Board approved a clarification, as proposed by the Company and the Adviser, of the Expense Limitation Agreement, that the interest expense, fees, and other costs associated with the Credit Agreement, and any future interest expense, fees, and other costs associated with raising debt and/or equity capital for the Company are not subject to, and do not count towards, the expense cap of 2.15% per annum under the Expense Limitation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Custody Agreements</w:t>
      </w:r>
    </w:p>
    <w:p>
      <w:pPr>
        <w:spacing w:after="0" w:line="15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1"/>
          <w:szCs w:val="11"/>
          <w:color w:val="auto"/>
        </w:rPr>
        <w:t>Additionally, on February 11, 2025, WATC and the Company entered into a custody agreement (the “WATC Custody Agreement”), pursuant to which WATC was appointed to serve as the Company’s custodian to hold securities, loans, cash, and other assets on behalf of the Company. Either party may terminate the WATC Custody Agreement at any time upon sixty (60) days’ prior written notice. In addition, Western Alliance Bank (“WAB”) and the Company entered into two substantively identical custody agreements (the “WAB Custody Agreements” and together with the WATC Custody Agreement, the “Custody Agreements”), pursuant to which WAB was appointed to hold and act as the Company’s custodian with respect to all Deposit Accounts (as defined in the WAB Custody Agreements) for funds of the Company placed through the ICS Deposit Placement Agreement (included with the WAB Custody Agreements).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Distributions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March 13, 2025, the Board approved a cash dividend of $0.34 per common share. The dividend is payable on April 11, 2025 to stockholders of record on March 28, 2025.</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annual report on Form 10-K and determined that our disclosure controls and procedures are effective as of the end of the period covered by this annual report on Form 10- 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Management’s Report on Internal Control Over Financial Reporting</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Internal Control— Integrated Framework (2013) issued by the Committee of Sponsoring Organizations of the Treadway Commission (2013 COSO Framework). Based on our evaluation under the framework in Internal Control—Integrated Framework (2013), management concluded that our internal control over financial reporting was effective as of December 31, 2024.</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Attestation Report of the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annual report on Form 10-K does not include an attestation report of the Company’s registered public accounting firm pursuant to the rules of the Securities and Exchange Commission.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(as defined in Rules 13a-15(f) and 15d-15(f) under the Exchange Act) that occurred during the quarter ended December 31, 2024 that have materially affected, or are reasonably likely to materially affect, our internal control over financial reporting.</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During the three months ended December 31, 2024,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9C.  Disclosure Regarding Foreign Jurisdictions that Prevent Inspections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10 is hereby incorporated by reference from our definitive Proxy Statement relating to our 2025 Annual Meeting of Stockholders, to be filed with the Securities and Exchange Commission within 120 days following the end of our fiscal year.</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has adopted a code of business conduct and ethics that applies to directors, officers and employees. The code of business conduct and ethics is available on the Company’s website at lien.chicagoatlantic.com /corporate-governance/documents-and-charters. The Company will report any amendments to or waivers of a required provision of the code of business conduct and ethics on the Company’s website or in a Current Report on Form 8-K.</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 also maintains insider trading policies and procedures governing the purchase, sale, and/or other dispositions of the Company’s securities by directors, officers and the Company, and has implemented processes that it believes are reasonably designed to promote compliance with insider trading laws, rules, and regulations, and any listing standards applicable to the Company. A copy of the Company’s insider trading policies and procedures is filed as Exhibit 19 to this Annual Report on Form 10-K.</w:t>
      </w:r>
    </w:p>
    <w:p>
      <w:pPr>
        <w:spacing w:after="0" w:line="11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Executive Compensation</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11 is hereby incorporated by reference from our definitive Proxy Statement relating to our 2025 Annual Meeting of Stockholders, to be filed with the Securities and Exchange Commission within 120 days following the end of our fiscal year.</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12 is hereby incorporated by reference from our definitive Proxy Statement relating to our 2025 Annual Meeting of Stockholders, to be filed with the Securities and Exchange Commission within 120 days following the end of our fiscal year.</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13 is hereby incorporated by reference from our definitive Proxy Statement relating to our 2025 Annual Meeting of Stockholders, to be filed with the Securities and Exchange Commission within 120 days following the end of our fiscal year.</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14 is hereby incorporated by reference from our definitive Proxy Statement relating to our 2025 Annual Meeting of Stockholders, to be filed with the Securities and Exchange Commission within 120 days following the end of our fiscal year.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3" w:name="page134"/>
    <w:bookmarkEnd w:id="133"/>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Exhibits and Financial Statement Schedules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financial statements of the “Company” are filed herewith:</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Report of Independent Registered Public Accounting Firm</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Statements of Assets and Liabilities as of December 31, 2024 and December 31, 2023</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Statements of Operations for the Years Ended December 31, 2024 and December 31, 2023, the Period Ended December 31, 2022 and the Year Ended March 31, 2022</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Statements of Changes in Net Assets for the Years Ended December 31, 2024 and December 31, 2023, the Period Ended December 31, 2022 and the Year Ended March 31, 2022</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Statements of Cash Flows for the Years Ended December 31, 2024 and December 31, 2023, the Period Ended December 31, 2022 and the Year Ended March 31, 2022</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Notes to Financial Statements</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exhibits are filed as part of this annual report on Form 10-K or hereby incorporated by reference to exhibits previously filed with the SEC:</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4"/>
              </w:rPr>
              <w:t>Exhibit</w:t>
            </w:r>
          </w:p>
        </w:tc>
        <w:tc>
          <w:tcPr>
            <w:tcW w:w="740" w:type="dxa"/>
            <w:vAlign w:val="bottom"/>
            <w:gridSpan w:val="2"/>
          </w:tcPr>
          <w:p>
            <w:pPr>
              <w:spacing w:after="0"/>
              <w:rPr>
                <w:sz w:val="12"/>
                <w:szCs w:val="1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8"/>
              </w:rPr>
              <w:t>Description of Exhibit</w:t>
            </w:r>
          </w:p>
        </w:tc>
        <w:tc>
          <w:tcPr>
            <w:tcW w:w="9040" w:type="dxa"/>
            <w:vAlign w:val="bottom"/>
          </w:tcPr>
          <w:p>
            <w:pPr>
              <w:spacing w:after="0"/>
              <w:rPr>
                <w:sz w:val="12"/>
                <w:szCs w:val="12"/>
                <w:color w:val="auto"/>
              </w:rPr>
            </w:pPr>
          </w:p>
        </w:tc>
      </w:tr>
      <w:tr>
        <w:trPr>
          <w:trHeight w:val="131"/>
        </w:trPr>
        <w:tc>
          <w:tcPr>
            <w:tcW w:w="112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Number</w:t>
            </w:r>
          </w:p>
        </w:tc>
        <w:tc>
          <w:tcPr>
            <w:tcW w:w="1140" w:type="dxa"/>
            <w:vAlign w:val="bottom"/>
          </w:tcPr>
          <w:p>
            <w:pPr>
              <w:spacing w:after="0"/>
              <w:rPr>
                <w:sz w:val="11"/>
                <w:szCs w:val="11"/>
                <w:color w:val="auto"/>
              </w:rPr>
            </w:pPr>
          </w:p>
        </w:tc>
        <w:tc>
          <w:tcPr>
            <w:tcW w:w="9040" w:type="dxa"/>
            <w:vAlign w:val="bottom"/>
          </w:tcPr>
          <w:p>
            <w:pPr>
              <w:spacing w:after="0"/>
              <w:rPr>
                <w:sz w:val="11"/>
                <w:szCs w:val="11"/>
                <w:color w:val="auto"/>
              </w:rPr>
            </w:pPr>
          </w:p>
        </w:tc>
      </w:tr>
      <w:tr>
        <w:trPr>
          <w:trHeight w:val="117"/>
        </w:trPr>
        <w:tc>
          <w:tcPr>
            <w:tcW w:w="140" w:type="dxa"/>
            <w:vAlign w:val="bottom"/>
            <w:tcBorders>
              <w:top w:val="single" w:sz="8" w:color="auto"/>
            </w:tcBorders>
            <w:shd w:val="clear" w:color="auto" w:fill="CCEEFF"/>
          </w:tcPr>
          <w:p>
            <w:pPr>
              <w:spacing w:after="0" w:line="117" w:lineRule="exact"/>
              <w:rPr>
                <w:rFonts w:ascii="Times New Roman" w:cs="Times New Roman" w:eastAsia="Times New Roman" w:hAnsi="Times New Roman"/>
                <w:sz w:val="11"/>
                <w:szCs w:val="11"/>
                <w:color w:val="0000EE"/>
                <w:w w:val="72"/>
              </w:rPr>
            </w:pPr>
            <w:hyperlink r:id="rId147">
              <w:r>
                <w:rPr>
                  <w:rFonts w:ascii="Times New Roman" w:cs="Times New Roman" w:eastAsia="Times New Roman" w:hAnsi="Times New Roman"/>
                  <w:sz w:val="11"/>
                  <w:szCs w:val="11"/>
                  <w:color w:val="0000EE"/>
                  <w:w w:val="72"/>
                </w:rPr>
                <w:t>2.</w:t>
              </w:r>
              <w:r>
                <w:rPr>
                  <w:rFonts w:ascii="Times New Roman" w:cs="Times New Roman" w:eastAsia="Times New Roman" w:hAnsi="Times New Roman"/>
                  <w:sz w:val="11"/>
                  <w:szCs w:val="11"/>
                  <w:u w:val="single" w:color="auto"/>
                  <w:color w:val="0000EE"/>
                  <w:w w:val="72"/>
                </w:rPr>
                <w:t>1</w:t>
              </w:r>
            </w:hyperlink>
          </w:p>
        </w:tc>
        <w:tc>
          <w:tcPr>
            <w:tcW w:w="240" w:type="dxa"/>
            <w:vAlign w:val="bottom"/>
            <w:tcBorders>
              <w:top w:val="single" w:sz="8" w:color="auto"/>
              <w:left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1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9"/>
                <w:szCs w:val="9"/>
                <w:color w:val="auto"/>
              </w:rPr>
              <w:t xml:space="preserve">Purchase Agreement by and between Silver Spike Investment Corp. and Chicago Atlantic Loan Portfolio, LLC dated as of February 18, 2024 </w:t>
            </w:r>
            <w:r>
              <w:rPr>
                <w:rFonts w:ascii="Times New Roman" w:cs="Times New Roman" w:eastAsia="Times New Roman" w:hAnsi="Times New Roman"/>
                <w:sz w:val="13"/>
                <w:szCs w:val="13"/>
                <w:color w:val="auto"/>
                <w:vertAlign w:val="superscript"/>
              </w:rPr>
              <w:t>(1)</w:t>
            </w:r>
          </w:p>
        </w:tc>
      </w:tr>
      <w:tr>
        <w:trPr>
          <w:trHeight w:val="27"/>
        </w:trPr>
        <w:tc>
          <w:tcPr>
            <w:tcW w:w="140" w:type="dxa"/>
            <w:vAlign w:val="bottom"/>
            <w:shd w:val="clear" w:color="auto" w:fill="0000EE"/>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040" w:type="dxa"/>
            <w:vAlign w:val="bottom"/>
            <w:shd w:val="clear" w:color="auto" w:fill="CCEEFF"/>
          </w:tcPr>
          <w:p>
            <w:pPr>
              <w:spacing w:after="0"/>
              <w:rPr>
                <w:sz w:val="2"/>
                <w:szCs w:val="2"/>
                <w:color w:val="auto"/>
              </w:rPr>
            </w:pPr>
          </w:p>
        </w:tc>
      </w:tr>
      <w:tr>
        <w:trPr>
          <w:trHeight w:val="117"/>
        </w:trPr>
        <w:tc>
          <w:tcPr>
            <w:tcW w:w="140" w:type="dxa"/>
            <w:vAlign w:val="bottom"/>
          </w:tcPr>
          <w:p>
            <w:pPr>
              <w:spacing w:after="0" w:line="117" w:lineRule="exact"/>
              <w:rPr>
                <w:rFonts w:ascii="Times New Roman" w:cs="Times New Roman" w:eastAsia="Times New Roman" w:hAnsi="Times New Roman"/>
                <w:sz w:val="11"/>
                <w:szCs w:val="11"/>
                <w:color w:val="0000EE"/>
                <w:w w:val="72"/>
              </w:rPr>
            </w:pPr>
            <w:hyperlink r:id="rId148">
              <w:r>
                <w:rPr>
                  <w:rFonts w:ascii="Times New Roman" w:cs="Times New Roman" w:eastAsia="Times New Roman" w:hAnsi="Times New Roman"/>
                  <w:sz w:val="11"/>
                  <w:szCs w:val="11"/>
                  <w:color w:val="0000EE"/>
                  <w:w w:val="72"/>
                </w:rPr>
                <w:t>3.</w:t>
              </w:r>
              <w:r>
                <w:rPr>
                  <w:rFonts w:ascii="Times New Roman" w:cs="Times New Roman" w:eastAsia="Times New Roman" w:hAnsi="Times New Roman"/>
                  <w:sz w:val="11"/>
                  <w:szCs w:val="11"/>
                  <w:u w:val="single" w:color="auto"/>
                  <w:color w:val="0000EE"/>
                  <w:w w:val="72"/>
                </w:rPr>
                <w:t>1</w:t>
              </w:r>
            </w:hyperlink>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9"/>
                <w:szCs w:val="9"/>
                <w:color w:val="auto"/>
              </w:rPr>
              <w:t xml:space="preserve">Articles of Amendment and Restatement of the Company </w:t>
            </w:r>
            <w:r>
              <w:rPr>
                <w:rFonts w:ascii="Times New Roman" w:cs="Times New Roman" w:eastAsia="Times New Roman" w:hAnsi="Times New Roman"/>
                <w:sz w:val="13"/>
                <w:szCs w:val="13"/>
                <w:color w:val="auto"/>
                <w:vertAlign w:val="superscript"/>
              </w:rPr>
              <w:t>(2)</w:t>
            </w:r>
          </w:p>
        </w:tc>
      </w:tr>
      <w:tr>
        <w:trPr>
          <w:trHeight w:val="27"/>
        </w:trPr>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117"/>
        </w:trPr>
        <w:tc>
          <w:tcPr>
            <w:tcW w:w="140" w:type="dxa"/>
            <w:vAlign w:val="bottom"/>
            <w:shd w:val="clear" w:color="auto" w:fill="CCEEFF"/>
          </w:tcPr>
          <w:p>
            <w:pPr>
              <w:spacing w:after="0" w:line="117" w:lineRule="exact"/>
              <w:rPr>
                <w:rFonts w:ascii="Times New Roman" w:cs="Times New Roman" w:eastAsia="Times New Roman" w:hAnsi="Times New Roman"/>
                <w:sz w:val="11"/>
                <w:szCs w:val="11"/>
                <w:color w:val="0000EE"/>
                <w:w w:val="72"/>
              </w:rPr>
            </w:pPr>
            <w:hyperlink r:id="rId149">
              <w:r>
                <w:rPr>
                  <w:rFonts w:ascii="Times New Roman" w:cs="Times New Roman" w:eastAsia="Times New Roman" w:hAnsi="Times New Roman"/>
                  <w:sz w:val="11"/>
                  <w:szCs w:val="11"/>
                  <w:color w:val="0000EE"/>
                  <w:w w:val="72"/>
                </w:rPr>
                <w:t>3.</w:t>
              </w:r>
              <w:r>
                <w:rPr>
                  <w:rFonts w:ascii="Times New Roman" w:cs="Times New Roman" w:eastAsia="Times New Roman" w:hAnsi="Times New Roman"/>
                  <w:sz w:val="11"/>
                  <w:szCs w:val="11"/>
                  <w:u w:val="single" w:color="auto"/>
                  <w:color w:val="0000EE"/>
                  <w:w w:val="72"/>
                </w:rPr>
                <w:t>2</w:t>
              </w:r>
            </w:hyperlink>
          </w:p>
        </w:tc>
        <w:tc>
          <w:tcPr>
            <w:tcW w:w="2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1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9"/>
                <w:szCs w:val="9"/>
                <w:color w:val="auto"/>
              </w:rPr>
              <w:t xml:space="preserve">Articles of Amendment of the Company </w:t>
            </w:r>
            <w:r>
              <w:rPr>
                <w:rFonts w:ascii="Times New Roman" w:cs="Times New Roman" w:eastAsia="Times New Roman" w:hAnsi="Times New Roman"/>
                <w:sz w:val="13"/>
                <w:szCs w:val="13"/>
                <w:color w:val="auto"/>
                <w:vertAlign w:val="superscript"/>
              </w:rPr>
              <w:t>(3)</w:t>
            </w:r>
          </w:p>
        </w:tc>
      </w:tr>
      <w:tr>
        <w:trPr>
          <w:trHeight w:val="27"/>
        </w:trPr>
        <w:tc>
          <w:tcPr>
            <w:tcW w:w="140" w:type="dxa"/>
            <w:vAlign w:val="bottom"/>
            <w:shd w:val="clear" w:color="auto" w:fill="0000EE"/>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040" w:type="dxa"/>
            <w:vAlign w:val="bottom"/>
            <w:shd w:val="clear" w:color="auto" w:fill="CCEEFF"/>
          </w:tcPr>
          <w:p>
            <w:pPr>
              <w:spacing w:after="0"/>
              <w:rPr>
                <w:sz w:val="2"/>
                <w:szCs w:val="2"/>
                <w:color w:val="auto"/>
              </w:rPr>
            </w:pPr>
          </w:p>
        </w:tc>
      </w:tr>
      <w:tr>
        <w:trPr>
          <w:trHeight w:val="117"/>
        </w:trPr>
        <w:tc>
          <w:tcPr>
            <w:tcW w:w="140" w:type="dxa"/>
            <w:vAlign w:val="bottom"/>
          </w:tcPr>
          <w:p>
            <w:pPr>
              <w:spacing w:after="0" w:line="117" w:lineRule="exact"/>
              <w:rPr>
                <w:rFonts w:ascii="Times New Roman" w:cs="Times New Roman" w:eastAsia="Times New Roman" w:hAnsi="Times New Roman"/>
                <w:sz w:val="11"/>
                <w:szCs w:val="11"/>
                <w:color w:val="0000EE"/>
                <w:w w:val="72"/>
              </w:rPr>
            </w:pPr>
            <w:hyperlink r:id="rId150">
              <w:r>
                <w:rPr>
                  <w:rFonts w:ascii="Times New Roman" w:cs="Times New Roman" w:eastAsia="Times New Roman" w:hAnsi="Times New Roman"/>
                  <w:sz w:val="11"/>
                  <w:szCs w:val="11"/>
                  <w:color w:val="0000EE"/>
                  <w:w w:val="72"/>
                </w:rPr>
                <w:t>3.</w:t>
              </w:r>
              <w:r>
                <w:rPr>
                  <w:rFonts w:ascii="Times New Roman" w:cs="Times New Roman" w:eastAsia="Times New Roman" w:hAnsi="Times New Roman"/>
                  <w:sz w:val="11"/>
                  <w:szCs w:val="11"/>
                  <w:u w:val="single" w:color="auto"/>
                  <w:color w:val="0000EE"/>
                  <w:w w:val="72"/>
                </w:rPr>
                <w:t>3</w:t>
              </w:r>
            </w:hyperlink>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9"/>
                <w:szCs w:val="9"/>
                <w:color w:val="auto"/>
              </w:rPr>
              <w:t xml:space="preserve">Amended and Restated Bylaws of the Company </w:t>
            </w:r>
            <w:r>
              <w:rPr>
                <w:rFonts w:ascii="Times New Roman" w:cs="Times New Roman" w:eastAsia="Times New Roman" w:hAnsi="Times New Roman"/>
                <w:sz w:val="13"/>
                <w:szCs w:val="13"/>
                <w:color w:val="auto"/>
                <w:vertAlign w:val="superscript"/>
              </w:rPr>
              <w:t>(4)</w:t>
            </w:r>
          </w:p>
        </w:tc>
      </w:tr>
      <w:tr>
        <w:trPr>
          <w:trHeight w:val="27"/>
        </w:trPr>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117"/>
        </w:trPr>
        <w:tc>
          <w:tcPr>
            <w:tcW w:w="140" w:type="dxa"/>
            <w:vAlign w:val="bottom"/>
            <w:shd w:val="clear" w:color="auto" w:fill="CCEEFF"/>
          </w:tcPr>
          <w:p>
            <w:pPr>
              <w:spacing w:after="0" w:line="117" w:lineRule="exact"/>
              <w:rPr>
                <w:rFonts w:ascii="Times New Roman" w:cs="Times New Roman" w:eastAsia="Times New Roman" w:hAnsi="Times New Roman"/>
                <w:sz w:val="11"/>
                <w:szCs w:val="11"/>
                <w:color w:val="0000EE"/>
                <w:w w:val="72"/>
              </w:rPr>
            </w:pPr>
            <w:hyperlink r:id="rId151">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1</w:t>
              </w:r>
            </w:hyperlink>
          </w:p>
        </w:tc>
        <w:tc>
          <w:tcPr>
            <w:tcW w:w="2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1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9"/>
                <w:szCs w:val="9"/>
                <w:color w:val="auto"/>
              </w:rPr>
              <w:t xml:space="preserve">Description of Securities </w:t>
            </w:r>
            <w:r>
              <w:rPr>
                <w:rFonts w:ascii="Times New Roman" w:cs="Times New Roman" w:eastAsia="Times New Roman" w:hAnsi="Times New Roman"/>
                <w:sz w:val="13"/>
                <w:szCs w:val="13"/>
                <w:color w:val="auto"/>
                <w:vertAlign w:val="superscript"/>
              </w:rPr>
              <w:t>(5)</w:t>
            </w:r>
          </w:p>
        </w:tc>
      </w:tr>
      <w:tr>
        <w:trPr>
          <w:trHeight w:val="27"/>
        </w:trPr>
        <w:tc>
          <w:tcPr>
            <w:tcW w:w="140" w:type="dxa"/>
            <w:vAlign w:val="bottom"/>
            <w:shd w:val="clear" w:color="auto" w:fill="0000EE"/>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040" w:type="dxa"/>
            <w:vAlign w:val="bottom"/>
            <w:shd w:val="clear" w:color="auto" w:fill="CCEEFF"/>
          </w:tcPr>
          <w:p>
            <w:pPr>
              <w:spacing w:after="0"/>
              <w:rPr>
                <w:sz w:val="2"/>
                <w:szCs w:val="2"/>
                <w:color w:val="auto"/>
              </w:rPr>
            </w:pPr>
          </w:p>
        </w:tc>
      </w:tr>
      <w:tr>
        <w:trPr>
          <w:trHeight w:val="124"/>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2">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1</w:t>
              </w:r>
            </w:hyperlink>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9"/>
                <w:szCs w:val="9"/>
                <w:color w:val="auto"/>
              </w:rPr>
              <w:t xml:space="preserve">Dividend Reinvestment Plan </w:t>
            </w:r>
            <w:r>
              <w:rPr>
                <w:rFonts w:ascii="Times New Roman" w:cs="Times New Roman" w:eastAsia="Times New Roman" w:hAnsi="Times New Roman"/>
                <w:sz w:val="13"/>
                <w:szCs w:val="13"/>
                <w:color w:val="auto"/>
                <w:vertAlign w:val="superscript"/>
              </w:rPr>
              <w:t>(6)</w:t>
            </w:r>
          </w:p>
        </w:tc>
      </w:tr>
      <w:tr>
        <w:trPr>
          <w:trHeight w:val="124"/>
        </w:trPr>
        <w:tc>
          <w:tcPr>
            <w:tcW w:w="140" w:type="dxa"/>
            <w:vAlign w:val="bottom"/>
            <w:tcBorders>
              <w:bottom w:val="single" w:sz="8" w:color="0000EE"/>
            </w:tcBorders>
            <w:shd w:val="clear" w:color="auto" w:fill="CCEEFF"/>
          </w:tcPr>
          <w:p>
            <w:pPr>
              <w:spacing w:after="0"/>
              <w:rPr>
                <w:rFonts w:ascii="Times New Roman" w:cs="Times New Roman" w:eastAsia="Times New Roman" w:hAnsi="Times New Roman"/>
                <w:sz w:val="8"/>
                <w:szCs w:val="8"/>
                <w:color w:val="0000EE"/>
                <w:w w:val="71"/>
              </w:rPr>
            </w:pPr>
            <w:hyperlink r:id="rId153">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2</w:t>
              </w:r>
            </w:hyperlink>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9"/>
                <w:szCs w:val="9"/>
                <w:color w:val="auto"/>
              </w:rPr>
              <w:t xml:space="preserve">Investment Advisory Agreement by and between the Company and Chicago Atlantic BDC Advisers, LLC </w:t>
            </w:r>
            <w:r>
              <w:rPr>
                <w:rFonts w:ascii="Times New Roman" w:cs="Times New Roman" w:eastAsia="Times New Roman" w:hAnsi="Times New Roman"/>
                <w:sz w:val="13"/>
                <w:szCs w:val="13"/>
                <w:color w:val="auto"/>
                <w:vertAlign w:val="superscript"/>
              </w:rPr>
              <w:t>(7)</w:t>
            </w:r>
          </w:p>
        </w:tc>
      </w:tr>
      <w:tr>
        <w:trPr>
          <w:trHeight w:val="124"/>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4">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3</w:t>
              </w:r>
            </w:hyperlink>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9"/>
                <w:szCs w:val="9"/>
                <w:color w:val="auto"/>
              </w:rPr>
              <w:t xml:space="preserve">WATC Custody Agreement </w:t>
            </w:r>
            <w:r>
              <w:rPr>
                <w:rFonts w:ascii="Times New Roman" w:cs="Times New Roman" w:eastAsia="Times New Roman" w:hAnsi="Times New Roman"/>
                <w:sz w:val="13"/>
                <w:szCs w:val="13"/>
                <w:color w:val="auto"/>
                <w:vertAlign w:val="superscript"/>
              </w:rPr>
              <w:t>(8)</w:t>
            </w:r>
          </w:p>
        </w:tc>
      </w:tr>
      <w:tr>
        <w:trPr>
          <w:trHeight w:val="124"/>
        </w:trPr>
        <w:tc>
          <w:tcPr>
            <w:tcW w:w="140" w:type="dxa"/>
            <w:vAlign w:val="bottom"/>
            <w:tcBorders>
              <w:bottom w:val="single" w:sz="8" w:color="0000EE"/>
            </w:tcBorders>
            <w:shd w:val="clear" w:color="auto" w:fill="CCEEFF"/>
          </w:tcPr>
          <w:p>
            <w:pPr>
              <w:spacing w:after="0"/>
              <w:rPr>
                <w:rFonts w:ascii="Times New Roman" w:cs="Times New Roman" w:eastAsia="Times New Roman" w:hAnsi="Times New Roman"/>
                <w:sz w:val="8"/>
                <w:szCs w:val="8"/>
                <w:color w:val="0000EE"/>
                <w:w w:val="71"/>
              </w:rPr>
            </w:pPr>
            <w:hyperlink r:id="rId155">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4</w:t>
              </w:r>
            </w:hyperlink>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9"/>
                <w:szCs w:val="9"/>
                <w:color w:val="auto"/>
              </w:rPr>
              <w:t>WAB Custody Agreement</w:t>
            </w:r>
            <w:r>
              <w:rPr>
                <w:rFonts w:ascii="Times New Roman" w:cs="Times New Roman" w:eastAsia="Times New Roman" w:hAnsi="Times New Roman"/>
                <w:sz w:val="13"/>
                <w:szCs w:val="13"/>
                <w:color w:val="auto"/>
                <w:vertAlign w:val="superscript"/>
              </w:rPr>
              <w:t>(9)</w:t>
            </w:r>
          </w:p>
        </w:tc>
      </w:tr>
      <w:tr>
        <w:trPr>
          <w:trHeight w:val="124"/>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6">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5</w:t>
              </w:r>
            </w:hyperlink>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9"/>
                <w:szCs w:val="9"/>
                <w:color w:val="auto"/>
              </w:rPr>
              <w:t xml:space="preserve">Administration Agreement by and between Registrant and Chicago Atlantic BDC Advisers, LLC </w:t>
            </w:r>
            <w:r>
              <w:rPr>
                <w:rFonts w:ascii="Times New Roman" w:cs="Times New Roman" w:eastAsia="Times New Roman" w:hAnsi="Times New Roman"/>
                <w:sz w:val="13"/>
                <w:szCs w:val="13"/>
                <w:color w:val="auto"/>
                <w:vertAlign w:val="superscript"/>
              </w:rPr>
              <w:t>(10)</w:t>
            </w:r>
          </w:p>
        </w:tc>
      </w:tr>
      <w:tr>
        <w:trPr>
          <w:trHeight w:val="124"/>
        </w:trPr>
        <w:tc>
          <w:tcPr>
            <w:tcW w:w="140" w:type="dxa"/>
            <w:vAlign w:val="bottom"/>
            <w:tcBorders>
              <w:bottom w:val="single" w:sz="8" w:color="0000EE"/>
            </w:tcBorders>
            <w:shd w:val="clear" w:color="auto" w:fill="CCEEFF"/>
          </w:tcPr>
          <w:p>
            <w:pPr>
              <w:spacing w:after="0"/>
              <w:rPr>
                <w:rFonts w:ascii="Times New Roman" w:cs="Times New Roman" w:eastAsia="Times New Roman" w:hAnsi="Times New Roman"/>
                <w:sz w:val="8"/>
                <w:szCs w:val="8"/>
                <w:color w:val="0000EE"/>
                <w:w w:val="71"/>
              </w:rPr>
            </w:pPr>
            <w:hyperlink r:id="rId157">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6</w:t>
              </w:r>
            </w:hyperlink>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9"/>
                <w:szCs w:val="9"/>
                <w:color w:val="auto"/>
              </w:rPr>
              <w:t xml:space="preserve">License Agreement by and between Registrant and Chicago Atlantic BDC Advisers, LLC </w:t>
            </w:r>
            <w:r>
              <w:rPr>
                <w:rFonts w:ascii="Times New Roman" w:cs="Times New Roman" w:eastAsia="Times New Roman" w:hAnsi="Times New Roman"/>
                <w:sz w:val="13"/>
                <w:szCs w:val="13"/>
                <w:color w:val="auto"/>
                <w:vertAlign w:val="superscript"/>
              </w:rPr>
              <w:t>(11)</w:t>
            </w:r>
          </w:p>
        </w:tc>
      </w:tr>
      <w:tr>
        <w:trPr>
          <w:trHeight w:val="124"/>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58">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7</w:t>
              </w:r>
            </w:hyperlink>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9"/>
                <w:szCs w:val="9"/>
                <w:color w:val="auto"/>
              </w:rPr>
              <w:t xml:space="preserve">Services Agreement </w:t>
            </w:r>
            <w:r>
              <w:rPr>
                <w:rFonts w:ascii="Times New Roman" w:cs="Times New Roman" w:eastAsia="Times New Roman" w:hAnsi="Times New Roman"/>
                <w:sz w:val="13"/>
                <w:szCs w:val="13"/>
                <w:color w:val="auto"/>
                <w:vertAlign w:val="superscript"/>
              </w:rPr>
              <w:t>(12)</w:t>
            </w:r>
          </w:p>
        </w:tc>
      </w:tr>
      <w:tr>
        <w:trPr>
          <w:trHeight w:val="124"/>
        </w:trPr>
        <w:tc>
          <w:tcPr>
            <w:tcW w:w="140" w:type="dxa"/>
            <w:vAlign w:val="bottom"/>
            <w:tcBorders>
              <w:bottom w:val="single" w:sz="8" w:color="0000EE"/>
            </w:tcBorders>
            <w:shd w:val="clear" w:color="auto" w:fill="CCEEFF"/>
          </w:tcPr>
          <w:p>
            <w:pPr>
              <w:spacing w:after="0"/>
              <w:rPr>
                <w:rFonts w:ascii="Times New Roman" w:cs="Times New Roman" w:eastAsia="Times New Roman" w:hAnsi="Times New Roman"/>
                <w:sz w:val="8"/>
                <w:szCs w:val="8"/>
                <w:color w:val="0000EE"/>
                <w:w w:val="71"/>
              </w:rPr>
            </w:pPr>
            <w:hyperlink r:id="rId159">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8</w:t>
              </w:r>
            </w:hyperlink>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9"/>
                <w:szCs w:val="9"/>
                <w:color w:val="auto"/>
              </w:rPr>
              <w:t xml:space="preserve">Expense Limitation Agreement, dated October 1, 2024, between the Company and Chicago Atlantic BDC Advisers, LLC </w:t>
            </w:r>
            <w:r>
              <w:rPr>
                <w:rFonts w:ascii="Times New Roman" w:cs="Times New Roman" w:eastAsia="Times New Roman" w:hAnsi="Times New Roman"/>
                <w:sz w:val="13"/>
                <w:szCs w:val="13"/>
                <w:color w:val="auto"/>
                <w:vertAlign w:val="superscript"/>
              </w:rPr>
              <w:t>(13)</w:t>
            </w:r>
          </w:p>
        </w:tc>
      </w:tr>
      <w:tr>
        <w:trPr>
          <w:trHeight w:val="124"/>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60">
              <w:r>
                <w:rPr>
                  <w:rFonts w:ascii="Times New Roman" w:cs="Times New Roman" w:eastAsia="Times New Roman" w:hAnsi="Times New Roman"/>
                  <w:sz w:val="8"/>
                  <w:szCs w:val="8"/>
                  <w:color w:val="0000EE"/>
                  <w:w w:val="71"/>
                </w:rPr>
                <w:t>10.</w:t>
              </w:r>
              <w:r>
                <w:rPr>
                  <w:rFonts w:ascii="Times New Roman" w:cs="Times New Roman" w:eastAsia="Times New Roman" w:hAnsi="Times New Roman"/>
                  <w:sz w:val="8"/>
                  <w:szCs w:val="8"/>
                  <w:u w:val="single" w:color="auto"/>
                  <w:color w:val="0000EE"/>
                  <w:w w:val="71"/>
                </w:rPr>
                <w:t>9</w:t>
              </w:r>
            </w:hyperlink>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9"/>
                <w:szCs w:val="9"/>
                <w:color w:val="auto"/>
              </w:rPr>
              <w:t xml:space="preserve">Credit Agreement </w:t>
            </w:r>
            <w:r>
              <w:rPr>
                <w:rFonts w:ascii="Times New Roman" w:cs="Times New Roman" w:eastAsia="Times New Roman" w:hAnsi="Times New Roman"/>
                <w:sz w:val="13"/>
                <w:szCs w:val="13"/>
                <w:color w:val="auto"/>
                <w:vertAlign w:val="superscript"/>
              </w:rPr>
              <w:t>(14)</w:t>
            </w:r>
          </w:p>
        </w:tc>
      </w:tr>
      <w:tr>
        <w:trPr>
          <w:trHeight w:val="124"/>
        </w:trPr>
        <w:tc>
          <w:tcPr>
            <w:tcW w:w="14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8"/>
                <w:szCs w:val="8"/>
                <w:color w:val="0000EE"/>
                <w:w w:val="71"/>
              </w:rPr>
              <w:t>14.</w:t>
            </w:r>
            <w:r>
              <w:rPr>
                <w:rFonts w:ascii="Times New Roman" w:cs="Times New Roman" w:eastAsia="Times New Roman" w:hAnsi="Times New Roman"/>
                <w:sz w:val="8"/>
                <w:szCs w:val="8"/>
                <w:u w:val="single" w:color="auto"/>
                <w:color w:val="0000EE"/>
                <w:w w:val="71"/>
              </w:rPr>
              <w:t>1</w:t>
            </w:r>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Code of Ethics of the Company*</w:t>
            </w:r>
          </w:p>
        </w:tc>
      </w:tr>
      <w:tr>
        <w:trPr>
          <w:trHeight w:val="124"/>
        </w:trPr>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8"/>
                <w:szCs w:val="8"/>
                <w:color w:val="0000EE"/>
                <w:w w:val="71"/>
              </w:rPr>
              <w:t>14.</w:t>
            </w:r>
            <w:r>
              <w:rPr>
                <w:rFonts w:ascii="Times New Roman" w:cs="Times New Roman" w:eastAsia="Times New Roman" w:hAnsi="Times New Roman"/>
                <w:sz w:val="8"/>
                <w:szCs w:val="8"/>
                <w:u w:val="single" w:color="auto"/>
                <w:color w:val="0000EE"/>
                <w:w w:val="71"/>
              </w:rPr>
              <w:t>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Code of Ethics of Chicago Atlantic BDC Advisers, LLC*</w:t>
            </w:r>
          </w:p>
        </w:tc>
      </w:tr>
      <w:tr>
        <w:trPr>
          <w:trHeight w:val="124"/>
        </w:trPr>
        <w:tc>
          <w:tcPr>
            <w:tcW w:w="14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8"/>
                <w:szCs w:val="8"/>
                <w:color w:val="0000EE"/>
                <w:w w:val="71"/>
              </w:rPr>
              <w:t>19.</w:t>
            </w:r>
            <w:r>
              <w:rPr>
                <w:rFonts w:ascii="Times New Roman" w:cs="Times New Roman" w:eastAsia="Times New Roman" w:hAnsi="Times New Roman"/>
                <w:sz w:val="8"/>
                <w:szCs w:val="8"/>
                <w:u w:val="single" w:color="auto"/>
                <w:color w:val="0000EE"/>
                <w:w w:val="71"/>
              </w:rPr>
              <w:t>1</w:t>
            </w:r>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Insider Trading Policies and Procedures of the Company*</w:t>
            </w:r>
          </w:p>
        </w:tc>
      </w:tr>
      <w:tr>
        <w:trPr>
          <w:trHeight w:val="124"/>
        </w:trPr>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8"/>
                <w:szCs w:val="8"/>
                <w:color w:val="0000EE"/>
                <w:w w:val="71"/>
              </w:rPr>
              <w:t>24.</w:t>
            </w:r>
            <w:r>
              <w:rPr>
                <w:rFonts w:ascii="Times New Roman" w:cs="Times New Roman" w:eastAsia="Times New Roman" w:hAnsi="Times New Roman"/>
                <w:sz w:val="8"/>
                <w:szCs w:val="8"/>
                <w:u w:val="single" w:color="auto"/>
                <w:color w:val="0000EE"/>
                <w:w w:val="71"/>
              </w:rPr>
              <w:t>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Power of Attorney (included on signature page hereto)</w:t>
            </w:r>
          </w:p>
        </w:tc>
      </w:tr>
      <w:tr>
        <w:trPr>
          <w:trHeight w:val="124"/>
        </w:trPr>
        <w:tc>
          <w:tcPr>
            <w:tcW w:w="14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8"/>
                <w:szCs w:val="8"/>
                <w:color w:val="0000EE"/>
                <w:w w:val="71"/>
              </w:rPr>
              <w:t>31.</w:t>
            </w:r>
            <w:r>
              <w:rPr>
                <w:rFonts w:ascii="Times New Roman" w:cs="Times New Roman" w:eastAsia="Times New Roman" w:hAnsi="Times New Roman"/>
                <w:sz w:val="8"/>
                <w:szCs w:val="8"/>
                <w:u w:val="single" w:color="auto"/>
                <w:color w:val="0000EE"/>
                <w:w w:val="71"/>
              </w:rPr>
              <w:t>1</w:t>
            </w:r>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Certification of Principal Executive Officer Pursuant to Rules 13a-14(a) and 15d-14(a) under the Securities Exchange Act of 1934, as Adopted Pursuant to Section 302 of the Sarbanes-Oxley Act of 2002*</w:t>
            </w:r>
          </w:p>
        </w:tc>
      </w:tr>
      <w:tr>
        <w:trPr>
          <w:trHeight w:val="124"/>
        </w:trPr>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8"/>
                <w:szCs w:val="8"/>
                <w:color w:val="0000EE"/>
                <w:w w:val="71"/>
              </w:rPr>
              <w:t>31.</w:t>
            </w:r>
            <w:r>
              <w:rPr>
                <w:rFonts w:ascii="Times New Roman" w:cs="Times New Roman" w:eastAsia="Times New Roman" w:hAnsi="Times New Roman"/>
                <w:sz w:val="8"/>
                <w:szCs w:val="8"/>
                <w:u w:val="single" w:color="auto"/>
                <w:color w:val="0000EE"/>
                <w:w w:val="71"/>
              </w:rPr>
              <w:t>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Certification of Principal Financial Officer Pursuant to Rules 13a-14(a) and 15d-14(a) under the Securities Exchange Act of 1934, as Adopted Pursuant to Section 302 of the Sarbanes-Oxley Act of 2002*</w:t>
            </w:r>
          </w:p>
        </w:tc>
      </w:tr>
      <w:tr>
        <w:trPr>
          <w:trHeight w:val="124"/>
        </w:trPr>
        <w:tc>
          <w:tcPr>
            <w:tcW w:w="14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8"/>
                <w:szCs w:val="8"/>
                <w:color w:val="0000EE"/>
                <w:w w:val="71"/>
              </w:rPr>
              <w:t>32.</w:t>
            </w:r>
            <w:r>
              <w:rPr>
                <w:rFonts w:ascii="Times New Roman" w:cs="Times New Roman" w:eastAsia="Times New Roman" w:hAnsi="Times New Roman"/>
                <w:sz w:val="8"/>
                <w:szCs w:val="8"/>
                <w:u w:val="single" w:color="auto"/>
                <w:color w:val="0000EE"/>
                <w:w w:val="71"/>
              </w:rPr>
              <w:t>1</w:t>
            </w:r>
          </w:p>
        </w:tc>
        <w:tc>
          <w:tcPr>
            <w:tcW w:w="240" w:type="dxa"/>
            <w:vAlign w:val="bottom"/>
            <w:tcBorders>
              <w:left w:val="single" w:sz="8" w:color="CCEEFF"/>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18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Certification of Principal Executive Officer Pursuant to 18 U.S.C. Section 1350, as Adopted Pursuant to Section 906 of the Sarbanes-Oxley Act of 2002*</w:t>
            </w:r>
          </w:p>
        </w:tc>
      </w:tr>
      <w:tr>
        <w:trPr>
          <w:trHeight w:val="117"/>
        </w:trPr>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8"/>
                <w:szCs w:val="8"/>
                <w:color w:val="0000EE"/>
                <w:w w:val="71"/>
              </w:rPr>
              <w:t>32.</w:t>
            </w:r>
            <w:r>
              <w:rPr>
                <w:rFonts w:ascii="Times New Roman" w:cs="Times New Roman" w:eastAsia="Times New Roman" w:hAnsi="Times New Roman"/>
                <w:sz w:val="8"/>
                <w:szCs w:val="8"/>
                <w:u w:val="single" w:color="auto"/>
                <w:color w:val="0000EE"/>
                <w:w w:val="71"/>
              </w:rPr>
              <w:t>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18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Certification of Principal Financial Officer Pursuant to 18 U.S.C. Section 1350, as Adopted Pursuant to Section 906 of the Sarbanes-Oxley Act of 2002*</w:t>
            </w:r>
          </w:p>
        </w:tc>
      </w:tr>
    </w:tbl>
    <w:p>
      <w:pPr>
        <w:spacing w:after="0" w:line="151" w:lineRule="exact"/>
        <w:rPr>
          <w:sz w:val="20"/>
          <w:szCs w:val="20"/>
          <w:color w:val="auto"/>
        </w:rPr>
      </w:pPr>
    </w:p>
    <w:p>
      <w:pPr>
        <w:ind w:left="328" w:hanging="328"/>
        <w:spacing w:after="0"/>
        <w:tabs>
          <w:tab w:leader="none" w:pos="328"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150" w:lineRule="exact"/>
        <w:rPr>
          <w:sz w:val="20"/>
          <w:szCs w:val="20"/>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2.1 of the Company’s current report on Form 8-K filed on February 23, 2024.</w:t>
      </w:r>
    </w:p>
    <w:p>
      <w:pPr>
        <w:spacing w:after="0" w:line="1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3.1 of the Company’s annual report on Form 10-K/A, filed on June 30, 2022.</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3.2 of the Company’s quarterly report on Form 10-Q filed on November 8, 2024.</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3.2 of the Company’s annual report on Form 10-K/A, filed on June 30, 2022.</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4.1 of the Company’s annual report on Form 10-K/A, filed on June 30, 2022.</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of the Company’s annual report on Form 10-K/A, filed on June 30, 2022.</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of the Company’s current report on Form 8-K filed on October 7, 2024.</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of the Company’s current report on Form 8-K filed on February 18, 2025.</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10.3 of the Company’s current report on Form 8-K filed on February 18, 2025.</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10.4 of the Company’s annual report on Form 10-K/A, filed on June 30, 2022.</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of the Company’s current report on Form 8-K filed on October 7, 2024.</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10.6 of the Company’s annual report on Form 10-K/A, filed on June 30, 2022.</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10.3 of the Company’s current report on Form 8-K filed on October 7, 2024.</w:t>
      </w:r>
    </w:p>
    <w:p>
      <w:pPr>
        <w:spacing w:after="0" w:line="6"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of the Company’s current report on Form 8-K filed on February 18, 2025.</w:t>
      </w:r>
    </w:p>
    <w:p>
      <w:pPr>
        <w:spacing w:after="0" w:line="13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Form 10-K Summary</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 applicable.</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as amended, the registrant has duly caused this report to be signed on its behalf by the undersigned, thereunto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CHICAGO ATLANTIC BDC, INC.</w:t>
      </w:r>
    </w:p>
    <w:p>
      <w:pPr>
        <w:spacing w:after="0" w:line="21"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Dated: March 31, 2025</w:t>
      </w:r>
      <w:r>
        <w:rPr>
          <w:sz w:val="20"/>
          <w:szCs w:val="20"/>
          <w:color w:val="auto"/>
        </w:rPr>
        <w:tab/>
      </w:r>
      <w:r>
        <w:rPr>
          <w:rFonts w:ascii="Times New Roman" w:cs="Times New Roman" w:eastAsia="Times New Roman" w:hAnsi="Times New Roman"/>
          <w:sz w:val="12"/>
          <w:szCs w:val="12"/>
          <w:color w:val="auto"/>
        </w:rPr>
        <w:t>By:</w:t>
        <w:tab/>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3810</wp:posOffset>
            </wp:positionV>
            <wp:extent cx="337185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Peter Sack</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3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Each person whose signature appears below constitutes and appoints Peter Sack, Scott Gordon, Martin Rodgers and Umesh Mahajan, and each of them, such person’s true and lawful attorney-in-fact and agent, with full power of substitution and revocation, for such person and in such person’s name, place and stead, in any and all capacities, to sign one or more Annual Reports on Form 10-K for the year ended December 31, 2024,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this report has been signed below by the following persons on behalf of the registrant in the capacities indicated on March 31, 2025.</w:t>
      </w:r>
    </w:p>
    <w:p>
      <w:pPr>
        <w:sectPr>
          <w:pgSz w:w="11900" w:h="16838" w:orient="portrait"/>
          <w:cols w:equalWidth="0" w:num="1">
            <w:col w:w="11300"/>
          </w:cols>
          <w:pgMar w:left="300" w:top="124" w:right="299" w:bottom="1440" w:gutter="0" w:footer="0" w:header="0"/>
        </w:sectPr>
      </w:pPr>
    </w:p>
    <w:p>
      <w:pPr>
        <w:spacing w:after="0" w:line="14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085975"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2085975" cy="11430"/>
                    </a:xfrm>
                    <a:prstGeom prst="rect">
                      <a:avLst/>
                    </a:prstGeom>
                    <a:noFill/>
                  </pic:spPr>
                </pic:pic>
              </a:graphicData>
            </a:graphic>
          </wp:anchor>
        </w:drawing>
      </w:r>
    </w:p>
    <w:p>
      <w:pPr>
        <w:spacing w:after="0" w:line="161"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Scott Gordon</w:t>
      </w:r>
    </w:p>
    <w:p>
      <w:pPr>
        <w:spacing w:after="0" w:line="15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Vivek Bunty Bohra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Vivek Bunty Bohra</w:t>
      </w:r>
    </w:p>
    <w:p>
      <w:pPr>
        <w:spacing w:after="0" w:line="15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Michael W. Chorske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Michael W. Chorske</w:t>
      </w:r>
    </w:p>
    <w:p>
      <w:pPr>
        <w:spacing w:after="0" w:line="15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Americo Da Corte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Americo Da Corte</w:t>
      </w:r>
    </w:p>
    <w:p>
      <w:pPr>
        <w:spacing w:after="0" w:line="15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John Mazarakis</w:t>
      </w:r>
    </w:p>
    <w:p>
      <w:pPr>
        <w:spacing w:after="0" w:line="15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Patrick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Patrick McCauley</w:t>
      </w:r>
    </w:p>
    <w:p>
      <w:pPr>
        <w:spacing w:after="0" w:line="15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Supurna VedBrat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Supurna VedBrat</w:t>
      </w:r>
    </w:p>
    <w:p>
      <w:pPr>
        <w:spacing w:after="0" w:line="15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1"/>
          <w:szCs w:val="11"/>
          <w:color w:val="auto"/>
        </w:rPr>
        <w:t>/s/ Tracey Brophy Warson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154555"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1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Tracey Brophy Warson</w:t>
      </w:r>
    </w:p>
    <w:p>
      <w:pPr>
        <w:spacing w:after="0" w:line="15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Peter Sack</w:t>
      </w:r>
    </w:p>
    <w:p>
      <w:pPr>
        <w:spacing w:after="0" w:line="303"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/s/ Martin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154555"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2"/>
          <w:szCs w:val="12"/>
          <w:color w:val="auto"/>
        </w:rPr>
        <w:t>Martin Rodgers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19050</wp:posOffset>
            </wp:positionV>
            <wp:extent cx="5023485"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5023485" cy="11430"/>
                    </a:xfrm>
                    <a:prstGeom prst="rect">
                      <a:avLst/>
                    </a:prstGeom>
                    <a:noFill/>
                  </pic:spPr>
                </pic:pic>
              </a:graphicData>
            </a:graphic>
          </wp:anchor>
        </w:drawing>
      </w:r>
    </w:p>
    <w:p>
      <w:pPr>
        <w:spacing w:after="0" w:line="170"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2"/>
          <w:szCs w:val="12"/>
          <w:color w:val="auto"/>
        </w:rPr>
        <w:t>Director, Executive Chairman of the</w:t>
      </w:r>
    </w:p>
    <w:p>
      <w:pPr>
        <w:spacing w:after="0" w:line="17"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2"/>
          <w:szCs w:val="12"/>
          <w:color w:val="auto"/>
        </w:rPr>
        <w:t>Board of Directors, and Co-Chief Investment Officer</w:t>
      </w:r>
    </w:p>
    <w:p>
      <w:pPr>
        <w:spacing w:after="0" w:line="15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Director</w:t>
      </w:r>
    </w:p>
    <w:p>
      <w:pPr>
        <w:spacing w:after="0" w:line="30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Director</w:t>
      </w:r>
    </w:p>
    <w:p>
      <w:pPr>
        <w:spacing w:after="0" w:line="3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Director</w:t>
      </w:r>
    </w:p>
    <w:p>
      <w:pPr>
        <w:spacing w:after="0" w:line="30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Director</w:t>
      </w:r>
    </w:p>
    <w:p>
      <w:pPr>
        <w:spacing w:after="0" w:line="3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Director</w:t>
      </w:r>
    </w:p>
    <w:p>
      <w:pPr>
        <w:spacing w:after="0" w:line="3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Director</w:t>
      </w:r>
    </w:p>
    <w:p>
      <w:pPr>
        <w:spacing w:after="0" w:line="3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Director</w:t>
      </w:r>
    </w:p>
    <w:p>
      <w:pPr>
        <w:spacing w:after="0" w:line="303"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33"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50"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7"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pacing w:after="0" w:line="360" w:lineRule="exact"/>
        <w:rPr>
          <w:sz w:val="20"/>
          <w:szCs w:val="20"/>
          <w:color w:val="auto"/>
        </w:rPr>
      </w:pPr>
    </w:p>
    <w:p>
      <w:pPr>
        <w:sectPr>
          <w:pgSz w:w="11900" w:h="16838" w:orient="portrait"/>
          <w:cols w:equalWidth="0" w:num="2">
            <w:col w:w="5340" w:space="720"/>
            <w:col w:w="5240"/>
          </w:cols>
          <w:pgMar w:left="300" w:top="124" w:right="299" w:bottom="1440" w:gutter="0" w:footer="0" w:header="0"/>
          <w:type w:val="continuous"/>
        </w:sectPr>
      </w:pP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7804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type w:val="continuous"/>
        </w:sectPr>
      </w:pPr>
    </w:p>
    <w:bookmarkStart w:id="135" w:name="page136"/>
    <w:bookmarkEnd w:id="135"/>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14.1</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404040"/>
        </w:rPr>
        <w:t>Conduct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6452870</wp:posOffset>
            </wp:positionH>
            <wp:positionV relativeFrom="paragraph">
              <wp:posOffset>45085</wp:posOffset>
            </wp:positionV>
            <wp:extent cx="72009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Chicago Atlantic BDC, Inc. Code of Ethics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Purpose of the Code of Ethics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Chicago Atlantic BDC, Inc. (the “Company”) has adopted this 1940 Act Code of Ethics to set forth guidelines and procedures that promote ethical practices and conduct by all of the Company’s Access Persons, as defined below, and to ensure compliance with the Federal Securities Laws. To the extent that any such individual is subject to compliance with the separately maintained Code of Ethics of the Adviser, Sub-Administrator or underwriter, as applicable, whose Codes of Ethics complies with Rule 17j-1, compliance by such individuals with the provisions of the Code of Ethics of the applicable service provider (the Adviser, Sub-Administrator or underwriter) shall constitute compliance with this 1940 Act Code of Ethics. The 1940 Act Code of Ethics is based on the principle that, each Access Person of the Company will conduct such activities in accordance with to the following principles:</w:t>
      </w:r>
    </w:p>
    <w:p>
      <w:pPr>
        <w:spacing w:after="0" w:line="122" w:lineRule="exact"/>
        <w:rPr>
          <w:sz w:val="20"/>
          <w:szCs w:val="20"/>
          <w:color w:val="auto"/>
        </w:rPr>
      </w:pPr>
    </w:p>
    <w:p>
      <w:pPr>
        <w:ind w:left="540" w:hanging="224"/>
        <w:spacing w:after="0"/>
        <w:tabs>
          <w:tab w:leader="none" w:pos="5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dutiful in placing the interests of the Company’s shareholders first and before their own;</w:t>
      </w:r>
    </w:p>
    <w:p>
      <w:pPr>
        <w:spacing w:after="0" w:line="150" w:lineRule="exact"/>
        <w:rPr>
          <w:rFonts w:ascii="Times New Roman" w:cs="Times New Roman" w:eastAsia="Times New Roman" w:hAnsi="Times New Roman"/>
          <w:sz w:val="12"/>
          <w:szCs w:val="12"/>
          <w:color w:val="auto"/>
        </w:rPr>
      </w:pPr>
    </w:p>
    <w:p>
      <w:pPr>
        <w:ind w:left="540" w:right="200" w:hanging="224"/>
        <w:spacing w:after="0" w:line="279" w:lineRule="auto"/>
        <w:tabs>
          <w:tab w:leader="none" w:pos="5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personal securities transactions must be conducted consistent with this 1940 Act Code of Ethics and in such a manner as to avoid any actual or potential conflict of interest or any abuse of an individual's position of the Company and responsibility; and</w:t>
      </w:r>
    </w:p>
    <w:p>
      <w:pPr>
        <w:spacing w:after="0" w:line="111"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adhere to the fundamental standard that Access Persons shall not take inappropriate advantage of their position.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violation of this 1940 Act Code of Ethics must be reported promptly to Alexander Woodcock, the Company CCO. Failure to do so will be deemed a violation of the 1940 Act Code of Ethics.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Requirement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Rule 17j-1(b) of the Investment Company Act of 1940 (the “1940 Act”), it is unlawful for any Access Person to:</w:t>
      </w:r>
    </w:p>
    <w:p>
      <w:pPr>
        <w:spacing w:after="0" w:line="150" w:lineRule="exact"/>
        <w:rPr>
          <w:sz w:val="20"/>
          <w:szCs w:val="20"/>
          <w:color w:val="auto"/>
        </w:rPr>
      </w:pPr>
    </w:p>
    <w:p>
      <w:pPr>
        <w:ind w:left="540" w:hanging="224"/>
        <w:spacing w:after="0"/>
        <w:tabs>
          <w:tab w:leader="none" w:pos="5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 any device, scheme or artifice to defraud the Company;</w:t>
      </w:r>
    </w:p>
    <w:p>
      <w:pPr>
        <w:spacing w:after="0" w:line="150" w:lineRule="exact"/>
        <w:rPr>
          <w:rFonts w:ascii="Times New Roman" w:cs="Times New Roman" w:eastAsia="Times New Roman" w:hAnsi="Times New Roman"/>
          <w:sz w:val="12"/>
          <w:szCs w:val="12"/>
          <w:color w:val="auto"/>
        </w:rPr>
      </w:pPr>
    </w:p>
    <w:p>
      <w:pPr>
        <w:ind w:left="540" w:right="280" w:hanging="224"/>
        <w:spacing w:after="0" w:line="279" w:lineRule="auto"/>
        <w:tabs>
          <w:tab w:leader="none" w:pos="5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untrue statement of a material fact to the Company or fail to state a material fact necessary in order to make the statements made to the Company, in light of the circumstances under which they were made, not misleading;</w:t>
      </w:r>
    </w:p>
    <w:p>
      <w:pPr>
        <w:spacing w:after="0" w:line="111"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any act, practice, or course of business which operates or would operate as a fraud or deceit upon the Company; or</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any manipulative practice with respect to the Company, in connection with the purchase or sale (directly or indirectly) by such Access Person of a security "held or to be acquired" by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Definitions </w:t>
      </w:r>
      <w:r>
        <w:rPr>
          <w:rFonts w:ascii="Times New Roman" w:cs="Times New Roman" w:eastAsia="Times New Roman" w:hAnsi="Times New Roman"/>
          <w:sz w:val="12"/>
          <w:szCs w:val="12"/>
          <w:color w:val="auto"/>
        </w:rPr>
        <w:t>- All definitions shall have the same meaning as explained in Rule 17j-1 or Section 2(a) of the 1940 Act and are summarized below.</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Access Person</w:t>
      </w:r>
      <w:r>
        <w:rPr>
          <w:rFonts w:ascii="Times New Roman" w:cs="Times New Roman" w:eastAsia="Times New Roman" w:hAnsi="Times New Roman"/>
          <w:sz w:val="12"/>
          <w:szCs w:val="12"/>
          <w:color w:val="auto"/>
        </w:rPr>
        <w:t>– Any officers, Directors, general partner or employee of the Company or of Chicago Atlantic BDC Advisers, LLC (the “Adviser”) (or of any entity in a control relationship to the Company or Adviser) who, in connection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his/her regular functions or duties, makes, participates in, or obtains information regarding the purchase or sale of Covered Securities by the Company, or whose functions relate to the making of any recommendations with respect to such purchases or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78040" cy="325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78040" cy="325755"/>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2"/>
          <w:szCs w:val="12"/>
          <w:color w:val="auto"/>
        </w:rPr>
        <w:t>Conduct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6452870</wp:posOffset>
            </wp:positionH>
            <wp:positionV relativeFrom="paragraph">
              <wp:posOffset>50800</wp:posOffset>
            </wp:positionV>
            <wp:extent cx="72009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182"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Automatic Investment Plan </w:t>
      </w:r>
      <w:r>
        <w:rPr>
          <w:rFonts w:ascii="Times New Roman" w:cs="Times New Roman" w:eastAsia="Times New Roman" w:hAnsi="Times New Roman"/>
          <w:sz w:val="12"/>
          <w:szCs w:val="12"/>
          <w:color w:val="auto"/>
        </w:rPr>
        <w:t>– A program in which regular periodic purchases (or withdrawals) are made automatically in (or from) investment accounts in accordance with a predetermined schedule and allocation. An Automatic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Investment Plan includes a dividend reinvestment plan.</w:t>
      </w:r>
    </w:p>
    <w:p>
      <w:pPr>
        <w:spacing w:after="0" w:line="10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Beneficial Ownership </w:t>
      </w:r>
      <w:r>
        <w:rPr>
          <w:rFonts w:ascii="Times New Roman" w:cs="Times New Roman" w:eastAsia="Times New Roman" w:hAnsi="Times New Roman"/>
          <w:sz w:val="12"/>
          <w:szCs w:val="12"/>
          <w:color w:val="auto"/>
        </w:rPr>
        <w:t>– in general and subject to the specific provisions of Rule 16a- 1(a)(2) under the Exchange Act having or sharing, directly or indirectly, through any contract arrangement, understanding, relationship, or otherwise,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 direct or indirect “pecuniary interest”in the security.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Connected Persons </w:t>
      </w:r>
      <w:r>
        <w:rPr>
          <w:rFonts w:ascii="Times New Roman" w:cs="Times New Roman" w:eastAsia="Times New Roman" w:hAnsi="Times New Roman"/>
          <w:sz w:val="12"/>
          <w:szCs w:val="12"/>
          <w:color w:val="auto"/>
        </w:rPr>
        <w:t>– Adult children or parents living at home, and any relative, person or entity for whom the Access Person directs the investments or securities trading unless otherwise specified.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Control </w:t>
      </w:r>
      <w:r>
        <w:rPr>
          <w:rFonts w:ascii="Times New Roman" w:cs="Times New Roman" w:eastAsia="Times New Roman" w:hAnsi="Times New Roman"/>
          <w:sz w:val="12"/>
          <w:szCs w:val="12"/>
          <w:color w:val="auto"/>
        </w:rPr>
        <w:t>- shall have the same meaning as that set forth in Section 2(a)(9) of the Exchange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Covered Security </w:t>
      </w:r>
      <w:r>
        <w:rPr>
          <w:rFonts w:ascii="Times New Roman" w:cs="Times New Roman" w:eastAsia="Times New Roman" w:hAnsi="Times New Roman"/>
          <w:sz w:val="12"/>
          <w:szCs w:val="12"/>
          <w:color w:val="auto"/>
        </w:rPr>
        <w:t>– shall be any security except that it does not include:</w:t>
      </w:r>
    </w:p>
    <w:p>
      <w:pPr>
        <w:spacing w:after="0" w:line="152" w:lineRule="exact"/>
        <w:rPr>
          <w:sz w:val="20"/>
          <w:szCs w:val="20"/>
          <w:color w:val="auto"/>
        </w:rPr>
      </w:pPr>
    </w:p>
    <w:p>
      <w:pPr>
        <w:ind w:left="540" w:hanging="224"/>
        <w:spacing w:after="0"/>
        <w:tabs>
          <w:tab w:leader="none" w:pos="5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obligations of the Government of the United States;</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Bankers’ acceptances, bank certificates of deposit, commercial paper and high-quality short-term debt instruments, including repurchase agreements; and</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issued by open-end funds (excluding open-end exchange traded funds).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De Minimis Security </w:t>
      </w:r>
      <w:r>
        <w:rPr>
          <w:rFonts w:ascii="Times New Roman" w:cs="Times New Roman" w:eastAsia="Times New Roman" w:hAnsi="Times New Roman"/>
          <w:sz w:val="12"/>
          <w:szCs w:val="12"/>
          <w:color w:val="auto"/>
        </w:rPr>
        <w:t>- securities issued by any company included in the Standard and Poor's 500 Stock Indexand in an amount less than $10,000.</w:t>
      </w:r>
    </w:p>
    <w:p>
      <w:pPr>
        <w:spacing w:after="0" w:line="15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Exchange Traded Fund (“ETF”) </w:t>
      </w:r>
      <w:r>
        <w:rPr>
          <w:rFonts w:ascii="Times New Roman" w:cs="Times New Roman" w:eastAsia="Times New Roman" w:hAnsi="Times New Roman"/>
          <w:sz w:val="12"/>
          <w:szCs w:val="12"/>
          <w:color w:val="auto"/>
        </w:rPr>
        <w:t>- an open-end registered investment company that is not a unit investment trust, and that operates pursuant to an order from the SEC exempting it from certain provisions of the 1940 Act permitting it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 securities that trade on the secondary market. Examples of open-end exchange-traded funds include, but are not limited to: Select Sector SPDRS; iShares; PowerShares; etc.</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Independent Directors </w:t>
      </w:r>
      <w:r>
        <w:rPr>
          <w:rFonts w:ascii="Times New Roman" w:cs="Times New Roman" w:eastAsia="Times New Roman" w:hAnsi="Times New Roman"/>
          <w:sz w:val="12"/>
          <w:szCs w:val="12"/>
          <w:color w:val="auto"/>
        </w:rPr>
        <w:t>- those directors of the Company that would not be deemed an “interested person” of the Company, as defined in Section 2(a)(19)(A) of the 1940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Initial Public Offering </w:t>
      </w:r>
      <w:r>
        <w:rPr>
          <w:rFonts w:ascii="Times New Roman" w:cs="Times New Roman" w:eastAsia="Times New Roman" w:hAnsi="Times New Roman"/>
          <w:sz w:val="12"/>
          <w:szCs w:val="12"/>
          <w:color w:val="auto"/>
        </w:rPr>
        <w:t>- an offering of securities registered under the Securities Act, the issuer of which, immediately before the registration, was not subject to the reporting requirements of Sections 13 or 15(d) of the Securities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Limited Offering </w:t>
      </w:r>
      <w:r>
        <w:rPr>
          <w:rFonts w:ascii="Times New Roman" w:cs="Times New Roman" w:eastAsia="Times New Roman" w:hAnsi="Times New Roman"/>
          <w:sz w:val="12"/>
          <w:szCs w:val="12"/>
          <w:color w:val="auto"/>
        </w:rPr>
        <w:t>- an offering that is exempt from registration pursuant to Section 4(2) or Section 4(6) or pursuant to Rule 504, Rule 505, or Rule 506 under the Securities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Purchase or Sale of a Covered Security </w:t>
      </w:r>
      <w:r>
        <w:rPr>
          <w:rFonts w:ascii="Times New Roman" w:cs="Times New Roman" w:eastAsia="Times New Roman" w:hAnsi="Times New Roman"/>
          <w:sz w:val="12"/>
          <w:szCs w:val="12"/>
          <w:color w:val="auto"/>
        </w:rPr>
        <w:t>- includes, among other things, the writing of an option to purchase or sell a Covered Security.</w:t>
      </w:r>
    </w:p>
    <w:p>
      <w:pPr>
        <w:spacing w:after="0" w:line="15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Restricted Director </w:t>
      </w:r>
      <w:r>
        <w:rPr>
          <w:rFonts w:ascii="Times New Roman" w:cs="Times New Roman" w:eastAsia="Times New Roman" w:hAnsi="Times New Roman"/>
          <w:sz w:val="12"/>
          <w:szCs w:val="12"/>
          <w:color w:val="auto"/>
        </w:rPr>
        <w:t>- each director of the Company who is not also a director, officer, partner, employee or controlling person of any one or more of the Company's investmentadvisers, administrator, custodian, transfer agent,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underwriter.</w:t>
      </w:r>
    </w:p>
    <w:p>
      <w:pPr>
        <w:spacing w:after="0" w:line="397" w:lineRule="exact"/>
        <w:rPr>
          <w:sz w:val="20"/>
          <w:szCs w:val="20"/>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Covered Security which, within the most recent fifteen (15) days:</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has been held by the Company; or</w:t>
      </w:r>
    </w:p>
    <w:p>
      <w:pPr>
        <w:spacing w:after="0" w:line="16"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being or has been considered by the Company or its Adviser for purchase by the Company;and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78040" cy="325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78040" cy="32575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2"/>
          <w:szCs w:val="12"/>
          <w:color w:val="auto"/>
        </w:rPr>
        <w:t>Conduct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6457950</wp:posOffset>
            </wp:positionH>
            <wp:positionV relativeFrom="paragraph">
              <wp:posOffset>50800</wp:posOffset>
            </wp:positionV>
            <wp:extent cx="72009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184" w:lineRule="exact"/>
        <w:rPr>
          <w:sz w:val="20"/>
          <w:szCs w:val="20"/>
          <w:color w:val="auto"/>
        </w:rPr>
      </w:pPr>
    </w:p>
    <w:p>
      <w:pPr>
        <w:ind w:left="608" w:hanging="212"/>
        <w:spacing w:after="0"/>
        <w:tabs>
          <w:tab w:leader="none" w:pos="608"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option to purchase or sell, and any security convertible into or exchangeable for, a Covered Security.</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Policies of the Company Regarding Personal Securities Transactions General</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No Access Person of the Company shall engage in any act, practice or course of business that would violate the provisions of Rule 17j-1 as set forth above, or in connection with any personal investment activity, engage in conduct inconsistent with this 1940 Act Code of Ethics.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Specific Policies</w:t>
      </w:r>
    </w:p>
    <w:p>
      <w:pPr>
        <w:spacing w:after="0" w:line="152" w:lineRule="exact"/>
        <w:rPr>
          <w:sz w:val="20"/>
          <w:szCs w:val="20"/>
          <w:color w:val="auto"/>
        </w:rPr>
      </w:pPr>
    </w:p>
    <w:p>
      <w:pPr>
        <w:ind w:left="208" w:hanging="208"/>
        <w:spacing w:after="0"/>
        <w:tabs>
          <w:tab w:leader="none" w:pos="20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Restrictions on personal securities transactions by Access Persons, other than Restricted Directors.</w:t>
      </w:r>
    </w:p>
    <w:p>
      <w:pPr>
        <w:spacing w:after="0" w:line="152" w:lineRule="exact"/>
        <w:rPr>
          <w:rFonts w:ascii="Times New Roman" w:cs="Times New Roman" w:eastAsia="Times New Roman" w:hAnsi="Times New Roman"/>
          <w:sz w:val="12"/>
          <w:szCs w:val="12"/>
          <w:color w:val="auto"/>
        </w:rPr>
      </w:pPr>
    </w:p>
    <w:p>
      <w:pPr>
        <w:ind w:left="428" w:hanging="212"/>
        <w:spacing w:after="0" w:line="279" w:lineRule="auto"/>
        <w:tabs>
          <w:tab w:leader="none" w:pos="42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provided below, no Access Person who is not a Restricted Director may buy or sell Covered Securities for his or her personal portfolio or the portfolio of a member of his or her immediate family without obtaining authorization from the CCO of the Adviser prior to effecting such security transaction.</w:t>
      </w:r>
    </w:p>
    <w:p>
      <w:pPr>
        <w:spacing w:after="0" w:line="107" w:lineRule="exact"/>
        <w:rPr>
          <w:sz w:val="20"/>
          <w:szCs w:val="20"/>
          <w:color w:val="auto"/>
        </w:rPr>
      </w:pPr>
    </w:p>
    <w:p>
      <w:pPr>
        <w:ind w:left="208"/>
        <w:spacing w:after="0" w:line="286" w:lineRule="auto"/>
        <w:rPr>
          <w:sz w:val="20"/>
          <w:szCs w:val="20"/>
          <w:color w:val="auto"/>
        </w:rPr>
      </w:pPr>
      <w:r>
        <w:rPr>
          <w:rFonts w:ascii="Times New Roman" w:cs="Times New Roman" w:eastAsia="Times New Roman" w:hAnsi="Times New Roman"/>
          <w:sz w:val="12"/>
          <w:szCs w:val="12"/>
          <w:b w:val="1"/>
          <w:bCs w:val="1"/>
          <w:color w:val="auto"/>
        </w:rPr>
        <w:t>Note</w:t>
      </w:r>
      <w:r>
        <w:rPr>
          <w:rFonts w:ascii="Times New Roman" w:cs="Times New Roman" w:eastAsia="Times New Roman" w:hAnsi="Times New Roman"/>
          <w:sz w:val="12"/>
          <w:szCs w:val="12"/>
          <w:color w:val="auto"/>
        </w:rPr>
        <w:t>: If an Access Person has questions as to whether purchasing or selling a security for his or her personal portfolio or the portfolio of a member of his or her immediate family requires prior authorization, the Access Person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should consult the Adviser’s CCO for clearance or denial of clearance to trade prior to effecting any securities transactions.</w:t>
      </w:r>
    </w:p>
    <w:p>
      <w:pPr>
        <w:spacing w:after="0" w:line="107" w:lineRule="exact"/>
        <w:rPr>
          <w:sz w:val="20"/>
          <w:szCs w:val="20"/>
          <w:color w:val="auto"/>
        </w:rPr>
      </w:pPr>
    </w:p>
    <w:p>
      <w:pPr>
        <w:ind w:left="428" w:right="20" w:hanging="212"/>
        <w:spacing w:after="0" w:line="279" w:lineRule="auto"/>
        <w:tabs>
          <w:tab w:leader="none" w:pos="42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Pre-clearance approval under paragraph (a) will expire at the close of business on the trading day after the date on which the authorization is received, and the Access Person is required to renew clearance for the transaction if the trade is not completed before the authority expires.</w:t>
      </w:r>
    </w:p>
    <w:p>
      <w:pPr>
        <w:spacing w:after="0" w:line="111" w:lineRule="exact"/>
        <w:rPr>
          <w:rFonts w:ascii="Times New Roman" w:cs="Times New Roman" w:eastAsia="Times New Roman" w:hAnsi="Times New Roman"/>
          <w:sz w:val="12"/>
          <w:szCs w:val="12"/>
          <w:color w:val="auto"/>
        </w:rPr>
      </w:pPr>
    </w:p>
    <w:p>
      <w:pPr>
        <w:jc w:val="both"/>
        <w:ind w:left="428" w:hanging="212"/>
        <w:spacing w:after="0" w:line="265" w:lineRule="auto"/>
        <w:tabs>
          <w:tab w:leader="none" w:pos="42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clearance will be given to an Access Person other than a Restricted Director to purchase or sell any Covered Security (1) on a day when the Company has a pending "buy" or"sell" order in that same Covered Security until that pending "buy" or "sell" order is executed or withdrawnor (2) when the Company CCO has been advised by the Adviser that the same Covered Security is being considered for purchase or sale for any portfolio of the Company.</w:t>
      </w:r>
    </w:p>
    <w:p>
      <w:pPr>
        <w:spacing w:after="0" w:line="11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pre-clearance requirement contained above shall not apply to the following securities ("Exempt Securities"):</w:t>
      </w:r>
    </w:p>
    <w:p>
      <w:pPr>
        <w:spacing w:after="0" w:line="150"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that are not Covered Securities;</w:t>
      </w:r>
    </w:p>
    <w:p>
      <w:pPr>
        <w:spacing w:after="0" w:line="150"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 Minimis Securities;</w:t>
      </w:r>
    </w:p>
    <w:p>
      <w:pPr>
        <w:spacing w:after="0" w:line="150"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purchased or sold in any account over which the Access Person has no direct or indirect influence or control;</w:t>
      </w:r>
    </w:p>
    <w:p>
      <w:pPr>
        <w:spacing w:after="0" w:line="150"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purchased or sold in a transaction which is non-volitional on the part of either the Access Person or the Company;</w:t>
      </w:r>
    </w:p>
    <w:p>
      <w:pPr>
        <w:spacing w:after="0" w:line="150"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acquired as a part of an Automatic Investment Plan;</w:t>
      </w:r>
    </w:p>
    <w:p>
      <w:pPr>
        <w:spacing w:after="0" w:line="150"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acquired upon the exercise of rights issued by an issuer pro rata to all holders of a class of its securities, to the extent such rights were acquired from such issuer, and sales of such rights so acquired; and</w:t>
      </w:r>
    </w:p>
    <w:p>
      <w:pPr>
        <w:spacing w:after="0" w:line="150" w:lineRule="exact"/>
        <w:rPr>
          <w:rFonts w:ascii="Times New Roman" w:cs="Times New Roman" w:eastAsia="Times New Roman" w:hAnsi="Times New Roman"/>
          <w:sz w:val="12"/>
          <w:szCs w:val="12"/>
          <w:color w:val="auto"/>
        </w:rPr>
      </w:pPr>
    </w:p>
    <w:p>
      <w:pPr>
        <w:ind w:left="868" w:right="340" w:hanging="220"/>
        <w:spacing w:after="0" w:line="265" w:lineRule="auto"/>
        <w:tabs>
          <w:tab w:leader="none" w:pos="86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which the Company's funds are not permitted to purchase under the investment objectives and policies set forth in the Company's then current prospectus(es) under the Securities Act or the Company's registration statement on Form N-2, provided that prior to a transaction by an Access Person such securities have been approved for inclusion in a list of securities which are not permissible for purchase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78040" cy="3257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78040" cy="325755"/>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2"/>
          <w:szCs w:val="12"/>
          <w:color w:val="auto"/>
        </w:rPr>
        <w:t>Conduct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6457950</wp:posOffset>
            </wp:positionH>
            <wp:positionV relativeFrom="paragraph">
              <wp:posOffset>50800</wp:posOffset>
            </wp:positionV>
            <wp:extent cx="72009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184" w:lineRule="exact"/>
        <w:rPr>
          <w:sz w:val="20"/>
          <w:szCs w:val="20"/>
          <w:color w:val="auto"/>
        </w:rPr>
      </w:pPr>
    </w:p>
    <w:p>
      <w:pPr>
        <w:ind w:left="428" w:hanging="212"/>
        <w:spacing w:after="0" w:line="279" w:lineRule="auto"/>
        <w:tabs>
          <w:tab w:leader="none" w:pos="428"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pre-clearance requirement contained shall apply to all purchases of a beneficial interest in any security through an Initial Public Offering or a Limited Offering by any Access Person who is also classified as Investment Personnel. A record of any decision and the reason supporting such decision to approve the acquisition by investment personnel of Initial Public Offerings or Limited Offerings shall be made by the CCO.</w:t>
      </w:r>
    </w:p>
    <w:p>
      <w:pPr>
        <w:spacing w:after="0" w:line="10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Restrictions on personal securities transactions by Restricted Directors.</w:t>
      </w:r>
    </w:p>
    <w:p>
      <w:pPr>
        <w:spacing w:after="0" w:line="15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recognizes that a Restricted Director does not have on-going, day- to-day involvement with the operations of the Company. In addition, it has been the practice of the Company to give information about securities purchased or sold by the Company or considered for purchase or sale by the Companyto Restricted Directors in materials circulated more than 15 days after such securities are purchased or sold by the Company or are considered for purchase or sale by the Company. Accordingly, the Company believes that less stringent controls are appropriate for Restricted Directors, as follows:</w:t>
      </w:r>
    </w:p>
    <w:p>
      <w:pPr>
        <w:spacing w:after="0" w:line="119" w:lineRule="exact"/>
        <w:rPr>
          <w:sz w:val="20"/>
          <w:szCs w:val="20"/>
          <w:color w:val="auto"/>
        </w:rPr>
      </w:pPr>
    </w:p>
    <w:p>
      <w:pPr>
        <w:jc w:val="both"/>
        <w:ind w:left="428" w:hanging="212"/>
        <w:spacing w:after="0" w:line="265" w:lineRule="auto"/>
        <w:tabs>
          <w:tab w:leader="none" w:pos="428"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pre-clearance requirement detailed above shall only apply to a Restricted Director if he or she knew or, in the ordinary course of fulfilling his or her official duties as a director, should have known, that during the 15-day period before the transaction in a Covered Security (other than an Exempt Security) or at the time of the transaction that the Covered Security purchased or sold by him or her other than an Exempt Security was also purchased or sold by theCompany or considered for the purchase or sale by the Company.</w:t>
      </w:r>
    </w:p>
    <w:p>
      <w:pPr>
        <w:spacing w:after="0" w:line="118" w:lineRule="exact"/>
        <w:rPr>
          <w:rFonts w:ascii="Times New Roman" w:cs="Times New Roman" w:eastAsia="Times New Roman" w:hAnsi="Times New Roman"/>
          <w:sz w:val="12"/>
          <w:szCs w:val="12"/>
          <w:color w:val="auto"/>
        </w:rPr>
      </w:pPr>
    </w:p>
    <w:p>
      <w:pPr>
        <w:jc w:val="both"/>
        <w:ind w:left="428" w:hanging="212"/>
        <w:spacing w:after="0" w:line="259" w:lineRule="auto"/>
        <w:tabs>
          <w:tab w:leader="none" w:pos="428"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pre-clearance provisions of the preceding paragraph apply, no clearance will be given to a Restricted Director to purchase or sell any Covered Security (1) on a day when any portfolio of the Company has a pending "buy" or "sell" order in that same Covered Security until that order is executedor withdrawn or (2) when a CCO has been advised by the Adviser that the same Covered Security is being considered for purchase or sale for any</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portfolio of the Company.</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Reporting Requirements</w:t>
      </w:r>
    </w:p>
    <w:p>
      <w:pPr>
        <w:spacing w:after="0" w:line="13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CCO or designee shall monitor all personal trading activity of all Access Persons as deemed appropriate and covered by this 1940 Act Code of Ethics. An Access Person of a Company who is also an Access Person of the Company’s principal underwriter, affiliates or Adviser may submit such reporting requirements via the forms prescribed by any such separate code of ethics provided that the associated forms comply with the requirements ofRule 17j-1(d)(1) of the 1940 Act.</w:t>
      </w:r>
    </w:p>
    <w:p>
      <w:pPr>
        <w:spacing w:after="0" w:line="117"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2"/>
          <w:szCs w:val="12"/>
          <w:i w:val="1"/>
          <w:iCs w:val="1"/>
          <w:u w:val="single" w:color="auto"/>
          <w:color w:val="auto"/>
        </w:rPr>
        <w:t>Initial/Ongoing Disclosure of Personal Brokerage Accounts</w:t>
      </w:r>
      <w:r>
        <w:rPr>
          <w:rFonts w:ascii="Times New Roman" w:cs="Times New Roman" w:eastAsia="Times New Roman" w:hAnsi="Times New Roman"/>
          <w:sz w:val="12"/>
          <w:szCs w:val="12"/>
          <w:color w:val="auto"/>
        </w:rPr>
        <w:t>. Within ten (10) days of the commencement of employment or at the commencement of a relationship with the Company, all Access Persons, except Independent Directors,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required to submit to the Company CCO a report stating the names and account numbers of all of their personal brokerage accounts, brokerage accounts of any Connected Person, and any brokerage accounts which they control or in which they or a Connected Person has Beneficial Ownership. Such report must contain the date on which it is submitted and the information in the report must be current as of a date no more than forty- five (45) days prior to that date. In addition, if a new brokerage account is opened during the course of the year, the Company CCO must be notified immediately. The information required by the above paragraph must be provided to the Company CCO on an annual basis. Disclosure of an account shall cover, at a minimum, all accounts at a broker-dealer, bank or other institution opened during the quarter and provide the following information:</w:t>
      </w:r>
    </w:p>
    <w:p>
      <w:pPr>
        <w:spacing w:after="0" w:line="124" w:lineRule="exact"/>
        <w:rPr>
          <w:sz w:val="20"/>
          <w:szCs w:val="20"/>
          <w:color w:val="auto"/>
        </w:rPr>
      </w:pPr>
    </w:p>
    <w:p>
      <w:pPr>
        <w:ind w:left="548" w:hanging="224"/>
        <w:spacing w:after="0"/>
        <w:tabs>
          <w:tab w:leader="none" w:pos="54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broker, dealer or bank with whom the Access Person has established the account;</w:t>
      </w:r>
    </w:p>
    <w:p>
      <w:pPr>
        <w:spacing w:after="0" w:line="16" w:lineRule="exact"/>
        <w:rPr>
          <w:rFonts w:ascii="Times New Roman" w:cs="Times New Roman" w:eastAsia="Times New Roman" w:hAnsi="Times New Roman"/>
          <w:sz w:val="12"/>
          <w:szCs w:val="12"/>
          <w:color w:val="auto"/>
        </w:rPr>
      </w:pPr>
    </w:p>
    <w:p>
      <w:pPr>
        <w:ind w:left="548" w:hanging="224"/>
        <w:spacing w:after="0"/>
        <w:tabs>
          <w:tab w:leader="none" w:pos="54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the account was established;</w:t>
      </w:r>
    </w:p>
    <w:p>
      <w:pPr>
        <w:spacing w:after="0" w:line="6" w:lineRule="exact"/>
        <w:rPr>
          <w:rFonts w:ascii="Times New Roman" w:cs="Times New Roman" w:eastAsia="Times New Roman" w:hAnsi="Times New Roman"/>
          <w:sz w:val="12"/>
          <w:szCs w:val="12"/>
          <w:color w:val="auto"/>
        </w:rPr>
      </w:pPr>
    </w:p>
    <w:p>
      <w:pPr>
        <w:ind w:left="548" w:hanging="224"/>
        <w:spacing w:after="0"/>
        <w:tabs>
          <w:tab w:leader="none" w:pos="54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that the report is submitted by the Access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178040" cy="3257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78040" cy="325755"/>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2"/>
          <w:szCs w:val="12"/>
          <w:color w:val="auto"/>
        </w:rPr>
        <w:t>Conduct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6452870</wp:posOffset>
            </wp:positionH>
            <wp:positionV relativeFrom="paragraph">
              <wp:posOffset>50800</wp:posOffset>
            </wp:positionV>
            <wp:extent cx="720090"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184" w:lineRule="exact"/>
        <w:rPr>
          <w:sz w:val="20"/>
          <w:szCs w:val="20"/>
          <w:color w:val="auto"/>
        </w:rPr>
      </w:pPr>
    </w:p>
    <w:p>
      <w:pPr>
        <w:ind w:left="540" w:hanging="224"/>
        <w:spacing w:after="0"/>
        <w:tabs>
          <w:tab w:leader="none" w:pos="54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these accounts is required to furnish duplicate confirmations and statements to the Chief Compliance Officer. Such statements and confirms as an Access Person of the Company may be sent to the Adviser.</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u w:val="single" w:color="auto"/>
          <w:color w:val="auto"/>
        </w:rPr>
        <w:t>Holdings Report.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Within ten (10) days of becoming an Access Person (and with information that is currentas of a date no more than forty-five (45) days prior to the date that the person becomes an Access Person), each Access Person,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except Independent Directors, must submit (i) a holdings report that must contain, at a minimum, the title and type of security, and as applicable, the exchange ticker symbol or CUSIP number, number of shares, and principal amount of each Covered Security in which the Access Person has any direct or indirect Beneficial Ownership and (ii) the name of any broker, dealer or bank with whom the Access Person maintained an account in which any securities were held for the Access Person’s direct or indirect benefit as of the date they became an Access Person. This report must state the date on which it is submitted.</w:t>
      </w:r>
    </w:p>
    <w:p>
      <w:pPr>
        <w:spacing w:after="0" w:line="12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2"/>
          <w:szCs w:val="12"/>
          <w:i w:val="1"/>
          <w:iCs w:val="1"/>
          <w:u w:val="single" w:color="auto"/>
          <w:color w:val="auto"/>
        </w:rPr>
        <w:t>Quarterly Transaction Reports.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 Access Persons, except Independent Directors, shall report to the Company CCO or designee the following information with respect to transactions in a Covered Security in which such person has,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reason of such transaction acquires, any direct or indirect Beneficial Ownership in the Covered Security:</w:t>
      </w:r>
    </w:p>
    <w:p>
      <w:pPr>
        <w:spacing w:after="0" w:line="109" w:lineRule="exact"/>
        <w:rPr>
          <w:sz w:val="20"/>
          <w:szCs w:val="20"/>
          <w:color w:val="auto"/>
        </w:rPr>
      </w:pPr>
    </w:p>
    <w:p>
      <w:pPr>
        <w:ind w:left="540" w:hanging="224"/>
        <w:spacing w:after="0"/>
        <w:tabs>
          <w:tab w:leader="none" w:pos="5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the transaction, the title, and as applicable, the exchange ticker symbol or CUSIP number, interest rate and maturity date, number of shares, and the principal amount of each Covered Security;</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nature of the transaction (i.e., purchase, sale or any other type of acquisition or disposition),</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the Covered Security at which the transaction was effected</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broker, dealer, or bank with or through whom the transaction was effected; and</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the Access Person submits the report.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Reports pursuant to this section of this 1940 Act Code of Ethics shall be made no later than thirty (30) days after the end of the calendar quarter in which the transaction to which the report relates was effected and shall include a certification that the reporting person has reported all personal securities transactions required to be disclosed or reported pursuant to the requirements of this 1940 Code of Ethics. Confirmations and brokerage statements sent directly to the appropriate address noted above is an acceptable form of a quarterly transaction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Review of Reports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CCO, or designee, shall be responsible for reviewing the reports received, maintaining a recordof the names of the persons responsible for reviewing these reports, and as appropriate and reporting to the Board:</w:t>
      </w:r>
    </w:p>
    <w:p>
      <w:pPr>
        <w:spacing w:after="0" w:line="150" w:lineRule="exact"/>
        <w:rPr>
          <w:sz w:val="20"/>
          <w:szCs w:val="20"/>
          <w:color w:val="auto"/>
        </w:rPr>
      </w:pPr>
    </w:p>
    <w:p>
      <w:pPr>
        <w:ind w:left="540" w:hanging="224"/>
        <w:spacing w:after="0"/>
        <w:tabs>
          <w:tab w:leader="none" w:pos="54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that appears to evidence a possible violation of this 1940 Act Code of Ethics; and</w:t>
      </w:r>
    </w:p>
    <w:p>
      <w:pPr>
        <w:spacing w:after="0" w:line="150" w:lineRule="exact"/>
        <w:rPr>
          <w:rFonts w:ascii="Times New Roman" w:cs="Times New Roman" w:eastAsia="Times New Roman" w:hAnsi="Times New Roman"/>
          <w:sz w:val="12"/>
          <w:szCs w:val="12"/>
          <w:color w:val="auto"/>
        </w:rPr>
      </w:pPr>
    </w:p>
    <w:p>
      <w:pPr>
        <w:ind w:left="540" w:hanging="224"/>
        <w:spacing w:after="0"/>
        <w:tabs>
          <w:tab w:leader="none" w:pos="54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apparent violations of the reporting requirements stated herein.</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CCO shall review the reports referenced hereunder and shall determine whether the policies established in sections IV and V of this 1940 Act Code of Ethics have been violated, and what sanctions, if any, should be imposed on the violator. Sanctions include but are not limited to a letter of censure, suspension or termination of the employment of the violator, or the unwinding of the transaction and the disgorgement of any profits.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Company CCO and the Board of the Company shall review the operation of this 1940 Act Code of Ethics at least annually. All material violations of this 1940 Act Code of Ethics and any sanctions imposed with respect thereto shall periodically be reported to the Board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3257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78040" cy="32575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2"/>
          <w:szCs w:val="12"/>
          <w:color w:val="auto"/>
        </w:rPr>
        <w:t>Conduct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6452870</wp:posOffset>
            </wp:positionH>
            <wp:positionV relativeFrom="paragraph">
              <wp:posOffset>50800</wp:posOffset>
            </wp:positionV>
            <wp:extent cx="72009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Each Access Person will be required to certify annually that he/she has read and understood the provisions of this Code and will abide by them. Each Access Person will further certify that he/she has disclosed or reported all personal securities transactions required to be reported under the Code. A form of such certification is attached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 certify that I have read and understand the Code of Ethics of and recognize that I am subject to it.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102235</wp:posOffset>
            </wp:positionV>
            <wp:extent cx="129159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1291590" cy="1143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102235</wp:posOffset>
            </wp:positionV>
            <wp:extent cx="1434465"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1434465" cy="1143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102235</wp:posOffset>
            </wp:positionV>
            <wp:extent cx="1720215"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1720215" cy="11430"/>
                    </a:xfrm>
                    <a:prstGeom prst="rect">
                      <a:avLst/>
                    </a:prstGeom>
                    <a:noFill/>
                  </pic:spPr>
                </pic:pic>
              </a:graphicData>
            </a:graphic>
          </wp:anchor>
        </w:drawing>
      </w:r>
    </w:p>
    <w:p>
      <w:pPr>
        <w:spacing w:after="0" w:line="29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Before the Board of Directors of the Company may approve the Code of Ethics, the Company must certify to the Board that the Company has adopted procedures reasonably necessary to prevent Access Persons from violating this Code. Such certification shall be submitted to the Board of Directors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500380</wp:posOffset>
            </wp:positionV>
            <wp:extent cx="717804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168910</wp:posOffset>
            </wp:positionV>
            <wp:extent cx="4663440"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4663440" cy="29146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196215</wp:posOffset>
            </wp:positionV>
            <wp:extent cx="1520190" cy="11887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1520190" cy="118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06384E"/>
        </w:rPr>
        <w:t>CHICAGO ATLANTIC BDC ADVISERS, LLC</w:t>
      </w:r>
    </w:p>
    <w:p>
      <w:pPr>
        <w:spacing w:after="0" w:line="14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Code of Ethics</w:t>
      </w:r>
    </w:p>
    <w:p>
      <w:pPr>
        <w:spacing w:after="0" w:line="1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2"/>
          <w:szCs w:val="12"/>
          <w:color w:val="575757"/>
        </w:rPr>
        <w:t>600 Madison Avenue,</w:t>
      </w:r>
    </w:p>
    <w:p>
      <w:pPr>
        <w:spacing w:after="0" w:line="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2"/>
          <w:szCs w:val="12"/>
          <w:color w:val="575757"/>
        </w:rPr>
        <w:t>Suite 1800</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2"/>
          <w:szCs w:val="12"/>
          <w:color w:val="auto"/>
        </w:rPr>
        <w:t>New York, NY 10022</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1"/>
          <w:szCs w:val="11"/>
          <w:color w:val="575757"/>
        </w:rPr>
        <w:t xml:space="preserve">Collin Whitten, CCO: </w:t>
      </w:r>
      <w:r>
        <w:rPr>
          <w:rFonts w:ascii="Times New Roman" w:cs="Times New Roman" w:eastAsia="Times New Roman" w:hAnsi="Times New Roman"/>
          <w:sz w:val="11"/>
          <w:szCs w:val="11"/>
          <w:u w:val="single" w:color="auto"/>
          <w:color w:val="000000"/>
        </w:rPr>
        <w:t>collin@silverspikecap.com</w:t>
      </w:r>
    </w:p>
    <w:p>
      <w:pPr>
        <w:spacing w:after="0" w:line="1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color w:val="auto"/>
        </w:rPr>
        <w:t>October 2024</w:t>
      </w:r>
    </w:p>
    <w:p>
      <w:pPr>
        <w:spacing w:after="0" w:line="26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21590</wp:posOffset>
            </wp:positionV>
            <wp:extent cx="7178040" cy="11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59"/>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6960" w:type="dxa"/>
            <w:vAlign w:val="bottom"/>
          </w:tcPr>
          <w:p>
            <w:pPr>
              <w:spacing w:after="0"/>
              <w:rPr>
                <w:sz w:val="13"/>
                <w:szCs w:val="13"/>
                <w:color w:val="auto"/>
              </w:rPr>
            </w:pP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1)</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Introduction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2)</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Standards of Business Conduct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3)</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Policy Statement on Insider Trading</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4)</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Procedures To Implement Policy Against Insider Trading</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5)</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Personal Account Dealings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6)</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Gifts and Entertainment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7)</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Political Contributions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w:t>
            </w:r>
          </w:p>
        </w:tc>
      </w:tr>
      <w:tr>
        <w:trPr>
          <w:trHeight w:val="288"/>
        </w:trPr>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9"/>
              </w:rPr>
              <w:t>8)</w:t>
            </w:r>
          </w:p>
        </w:tc>
        <w:tc>
          <w:tcPr>
            <w:tcW w:w="4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Outside Business Activities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r>
      <w:tr>
        <w:trPr>
          <w:trHeight w:val="370"/>
        </w:trPr>
        <w:tc>
          <w:tcPr>
            <w:tcW w:w="1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960" w:type="dxa"/>
            <w:vAlign w:val="bottom"/>
          </w:tcPr>
          <w:p>
            <w:pPr>
              <w:jc w:val="right"/>
              <w:ind w:right="5581"/>
              <w:spacing w:after="0"/>
              <w:rPr>
                <w:sz w:val="20"/>
                <w:szCs w:val="20"/>
                <w:color w:val="auto"/>
              </w:rPr>
            </w:pPr>
            <w:r>
              <w:rPr>
                <w:rFonts w:ascii="Times New Roman" w:cs="Times New Roman" w:eastAsia="Times New Roman" w:hAnsi="Times New Roman"/>
                <w:sz w:val="10"/>
                <w:szCs w:val="10"/>
                <w:color w:val="auto"/>
              </w:rPr>
              <w:t>2</w:t>
            </w:r>
          </w:p>
        </w:tc>
      </w:tr>
      <w:tr>
        <w:trPr>
          <w:trHeight w:val="26"/>
        </w:trPr>
        <w:tc>
          <w:tcPr>
            <w:tcW w:w="1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b w:val="1"/>
          <w:bCs w:val="1"/>
          <w:color w:val="auto"/>
        </w:rPr>
        <w:t>1) Introduction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This Code of Ethics (the “Code”) has been developed by Chicago Atlantic BDC Advisers, LLC (“CA BDC Advisers,” or “Firm”) to provide a set of rules and principles to ensure the Firm and its Supervised Persons meet the obligation to place Clients’ interests before those of the Firm and its Supervised Persons and to ensure all conflicts of interest are managed fairly.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Adherence to the Code of Ethics and related restrictions on personal investing is considered a basic condition of employment for Supervised Persons of CA BDC Advisers.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All Supervised Persons are required to follow ethical principles of openness, integrity, honesty, and trust. All Supervised Persons are expected to follow this Code and comply with all applicable laws. While not expected to know the details of each law governing CA BDC Advisers’ business, all Supervised Persons are expected to be familiar with the company-wide policies and procedures as they apply to their role at CA BDC Advisers and when in doubt, to seek advice from supervisors, or other appropriate personnel.</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Should any questions about this Code, or any of CA BDC Advisers’ other policies, or how to comply with the law in a certain situation arise, it is required that Supervised Persons immediately bring questions to the Chief Executive Officer (“CEO”) or Chief Compliance Officer (“CCO”).</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Although CA BDC Advisers will not retaliate against anyone for making a good faith report, failure to report violations may lead to appropriate disciplinary action.</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Failure to adhere to these standards could expose a Supervised Person to sanctions imposed by CA BDC Advisers, regulators, or law enforcement officials. Sanctions may include disgorgement of profits, suspension or termination of employment, or criminal or civil penalties. If there is any doubt as to whether a Federal or State securities law applies, Supervised Persons should consult with the CCO.</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CA BDC Advisers will hold new employee training that will cover topics covered in this Code. CA BDC Advisers will remind Supervised Persons on an ongoing basis of their obligations under this Code and will require annual recertification that each Supervised Person has re-read, understands and has complied with the Code.</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60" w:type="dxa"/>
            <w:vAlign w:val="bottom"/>
            <w:tcBorders>
              <w:top w:val="single" w:sz="8" w:color="auto"/>
              <w:left w:val="single" w:sz="8" w:color="auto"/>
              <w:bottom w:val="single" w:sz="8" w:color="auto"/>
              <w:right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Test Procedure</w:t>
            </w:r>
          </w:p>
        </w:tc>
        <w:tc>
          <w:tcPr>
            <w:tcW w:w="28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Frequency</w:t>
            </w:r>
          </w:p>
        </w:tc>
        <w:tc>
          <w:tcPr>
            <w:tcW w:w="28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Assignee</w:t>
            </w: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CA BDC Advisers held new employee training that covered topics</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Collin Whitten</w:t>
            </w: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covered in the Code of Ethics.</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CA BDC Advisers received certification that each Supervised Person</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Collin Whitten</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has re-read, understands and has complied with</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Code of Ethics.</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286"/>
        </w:trPr>
        <w:tc>
          <w:tcPr>
            <w:tcW w:w="5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 Standards of Business Conduct</w:t>
            </w:r>
          </w:p>
        </w:tc>
        <w:tc>
          <w:tcPr>
            <w:tcW w:w="282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Supervised Persons must at all times comply with the following standards of business conduct to ensure CA BDC Advisers meets its fiduciary obligations and those of its Supervised Persons:</w:t>
      </w:r>
    </w:p>
    <w:p>
      <w:pPr>
        <w:spacing w:after="0" w:line="150" w:lineRule="exact"/>
        <w:rPr>
          <w:sz w:val="20"/>
          <w:szCs w:val="20"/>
          <w:color w:val="auto"/>
        </w:rPr>
      </w:pPr>
    </w:p>
    <w:p>
      <w:pPr>
        <w:jc w:val="both"/>
        <w:ind w:left="540" w:hanging="215"/>
        <w:spacing w:after="0" w:line="256" w:lineRule="auto"/>
        <w:tabs>
          <w:tab w:leader="none" w:pos="54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Clients Come First. Supervised Persons owe Clients a duty of loyalty and must avoid serving the Adviser’s or their own personal interests ahead of the Clients'. A Supervised Person may not induce or cause a Client to take action, or not to take action, for the Firm’s or the Supervised Person’s own benefit rather than for the benefit of the Client. The Firm must make full and fair disclosure of all material facts related to the investment, particularly where the interests of the Firm or a Supervised Person may conflict with those of a Client.</w:t>
      </w:r>
    </w:p>
    <w:p>
      <w:pPr>
        <w:spacing w:after="0" w:line="1" w:lineRule="exact"/>
        <w:rPr>
          <w:rFonts w:ascii="Times New Roman" w:cs="Times New Roman" w:eastAsia="Times New Roman" w:hAnsi="Times New Roman"/>
          <w:sz w:val="12"/>
          <w:szCs w:val="12"/>
          <w:color w:val="auto"/>
        </w:rPr>
      </w:pPr>
    </w:p>
    <w:p>
      <w:pPr>
        <w:ind w:left="540" w:right="20" w:hanging="215"/>
        <w:spacing w:after="0" w:line="250" w:lineRule="auto"/>
        <w:tabs>
          <w:tab w:leader="none" w:pos="54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Avoid Taking Advantage. Supervised Persons may not trade on the basis of inside information, usurp investment opportunities that should properly be made available to the Firm's Clients, or otherwise use their knowledge of the Firm’s investment activities to profit on such activities at the expense of the Firm’s Clients.</w:t>
      </w:r>
    </w:p>
    <w:p>
      <w:pPr>
        <w:ind w:left="540" w:hanging="215"/>
        <w:spacing w:after="0" w:line="250" w:lineRule="auto"/>
        <w:tabs>
          <w:tab w:leader="none" w:pos="54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Avoid Inappropriate Relationships. In addition, Supervised Persons must avoid engaging in outside business activities and the receipt of investment opportunities, perquisites, or gifts from persons seeking to do business with the Firm that could call into question a Supervised Person’s ability to exercise independent judgment in the best interests of the Firm’s Clients.</w:t>
      </w:r>
    </w:p>
    <w:p>
      <w:pPr>
        <w:ind w:left="540" w:hanging="215"/>
        <w:spacing w:after="0"/>
        <w:tabs>
          <w:tab w:leader="none" w:pos="54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Applicable Law. Supervised Persons must comply with all laws that apply to the business of the Firm.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Doubtful situations should always be resolved in favor of the Client. Technical compliance with the Code’s procedures will not automatically insulate from scrutiny any activities that indicate an abuse of these governing principles.</w:t>
      </w:r>
    </w:p>
    <w:p>
      <w:pPr>
        <w:spacing w:after="0" w:line="146"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3)</w:t>
      </w:r>
      <w:r>
        <w:rPr>
          <w:sz w:val="20"/>
          <w:szCs w:val="20"/>
          <w:color w:val="auto"/>
        </w:rPr>
        <w:tab/>
      </w:r>
      <w:r>
        <w:rPr>
          <w:rFonts w:ascii="Times New Roman" w:cs="Times New Roman" w:eastAsia="Times New Roman" w:hAnsi="Times New Roman"/>
          <w:sz w:val="11"/>
          <w:szCs w:val="11"/>
          <w:b w:val="1"/>
          <w:bCs w:val="1"/>
          <w:color w:val="auto"/>
        </w:rPr>
        <w:t>Policy Statement on Insider Trading</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Section 204A of the Advisers Act requires that all investment advisers establish, maintain, and enforce written policies and procedures reasonably designed, taking into consideration the nature of the business, to prevent the misuse of material, non- public information by the adviser or any person associated with the adviser.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4" w:name="page145"/>
    <w:bookmarkEnd w:id="144"/>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CA BDC Advisers forbids any Supervised Persons from trading, either personally or on behalf of others, including Funds, based upon Material Non-Public Information (“MNPI”) about a publicly traded security, or communicating MNPI to others in violation of the law. This conduct is frequently referred to as “insider trading.” CA BDC Advisers’ policy applies to every Supervised Person and extends to activities within and outside their duties at CA BDC Advisers.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term “insider trading” is not defined in the federal securities laws, but generally is used to refer to the use of MNPI to trade in securities (whether or not one is an “insider”) or the communications of MNPI to others.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While the law concerning insider trading is not static, it is generally understood that the law prohibits:</w:t>
      </w:r>
    </w:p>
    <w:p>
      <w:pPr>
        <w:spacing w:after="0" w:line="17" w:lineRule="exact"/>
        <w:rPr>
          <w:sz w:val="20"/>
          <w:szCs w:val="20"/>
          <w:color w:val="auto"/>
        </w:rPr>
      </w:pPr>
    </w:p>
    <w:p>
      <w:pPr>
        <w:ind w:left="540" w:hanging="215"/>
        <w:spacing w:after="0"/>
        <w:tabs>
          <w:tab w:leader="none" w:pos="5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by an insider, while in possession of MNPI;</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by a non-insider, while in possession of MNPI, where the information either was disclosed to the non-insider in violation of an insider’s duty to keep it confidential or was misappropriated; or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communicating MNPI to others (i.e. “tipping”).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elements of insider trading and the penalties for such unlawful conduct are discussed below. If, after reviewing this policy statement, any Supervised Person has any questions they should consult the CCO.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Who is an Insider?</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concept of “insider” is broad. It includes officers, directors and employees of a company. In addition, a person can be a “temporary insider” if they enter into a special confidential relationship in the conduct of a company’s affairs and as a result are given access to information solely for the company’s purposes. A temporary insider can include, among others, a company’s attorneys, accountants, consultants, bank lending officers, and the employees of such organizations. In addition, CA BDC Advisers may become a temporary insider of a company it advises or for which it performs other services. According to the Supreme Court, the company must expect the outsider to keep the disclosed non-public information confidential and the relationship must at least imply such a duty before the outsider will be considered an insider.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Material Information?</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2"/>
          <w:szCs w:val="12"/>
          <w:color w:val="auto"/>
        </w:rPr>
        <w:t>“Material information” generally is defined as information for which there is a substantial likelihood that a reasonable investor would consider it important in making their investment decisions, or information that is reasonably certain to have a substantial effect on the price of a company’s securities. Information that Supervised Persons should consider material includes, but is not limited to:</w:t>
      </w:r>
    </w:p>
    <w:p>
      <w:pPr>
        <w:spacing w:after="0" w:line="1" w:lineRule="exact"/>
        <w:rPr>
          <w:sz w:val="20"/>
          <w:szCs w:val="20"/>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 or acquisition proposals or agreements;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news of a significant sale of assets or the disposition of a subsidiary;</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liquidation problems;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 contract awards;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gain or loss of a substantial customer or supplier;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pricing changes or discount policies;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notice of issuance of patents;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new products, processes or discoveries;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 litigation or regulatory inquiries;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management developments;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estimates (or results);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previously released earnings estimates;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current financial performance;</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dividend amounts or policies or the declaration of a stock split or the offering of additional securities; and/or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write-offs or restatements.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Non-Public Information?</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Information is non-public until it has been effectively communicated to the marketplace. One must be able to point to some fact to show that the information is generally public. For example, information found in a report filed with the SEC, or appearing in Dow Jones, Reuters Economic Services, the Wall Street Journal or other publications of general circulation would be considered public. Common examples of non-public information include information provided to a select group of analysts that is not made available to the investment community at large, information about a company that has not been disseminated by such company in a press release, or information received as a “tip” from a person who owes a duty of trust or confidentiality with respect to such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Penalties for Insider Trading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violation of this policy statement can be expected to result in serious sanctions by CA BDC Advisers, which may include dismissal of the persons involved.</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Penalties for trading on or communicating MNPI are severe, both for individuals involved in such unlawful conduct and their employers. A person can be subject to some or all of the penalties below even if they do not personally benefit from the violation. Penalties include:</w:t>
      </w:r>
    </w:p>
    <w:p>
      <w:pPr>
        <w:spacing w:after="0" w:line="1" w:lineRule="exact"/>
        <w:rPr>
          <w:sz w:val="20"/>
          <w:szCs w:val="20"/>
          <w:color w:val="auto"/>
        </w:rPr>
      </w:pPr>
    </w:p>
    <w:p>
      <w:pPr>
        <w:ind w:left="540" w:hanging="215"/>
        <w:spacing w:after="0"/>
        <w:tabs>
          <w:tab w:leader="none" w:pos="5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civil injunctions;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treble damages (triple the amount of compensatory/actual damages);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disgorgement of profits;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jail sentences;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for the person who committed the violation of up to three times the profit gain or loss avoided, whether or not the person actually benefited; and</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for the employer or other controlling person of up to the greater of $100,000 or three times the amount of the profit gained or loss avoided.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5" w:name="page146"/>
    <w:bookmarkEnd w:id="145"/>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4)</w:t>
      </w:r>
      <w:r>
        <w:rPr>
          <w:sz w:val="20"/>
          <w:szCs w:val="20"/>
          <w:color w:val="auto"/>
        </w:rPr>
        <w:tab/>
      </w:r>
      <w:r>
        <w:rPr>
          <w:rFonts w:ascii="Times New Roman" w:cs="Times New Roman" w:eastAsia="Times New Roman" w:hAnsi="Times New Roman"/>
          <w:sz w:val="11"/>
          <w:szCs w:val="11"/>
          <w:b w:val="1"/>
          <w:bCs w:val="1"/>
          <w:color w:val="auto"/>
        </w:rPr>
        <w:t>Procedures To Implement Policy Against Insider Trading</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following procedures have been established to aid Supervised Persons in avoiding insider trading and to aid CA BDC Advisers in preventing, detecting and imposing sanctions against insider trading. Every Supervised Person must follow these procedures or risk serious sanctions, including dismissal, substantial personal liability and criminal penalties. If employees have any questions about these procedures, they should consult the CCO.</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Identifying Insider Information</w:t>
      </w:r>
    </w:p>
    <w:p>
      <w:pPr>
        <w:spacing w:after="0" w:line="154" w:lineRule="exact"/>
        <w:rPr>
          <w:sz w:val="20"/>
          <w:szCs w:val="20"/>
          <w:color w:val="auto"/>
        </w:rPr>
      </w:pPr>
    </w:p>
    <w:p>
      <w:pPr>
        <w:ind w:left="548" w:right="20" w:hanging="215"/>
        <w:spacing w:after="0" w:line="259" w:lineRule="auto"/>
        <w:tabs>
          <w:tab w:leader="none" w:pos="548"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engaging in personal trading or trading for Funds in the securities of a company which has publicly traded securities (even if the information relates to such company’s non-publicly traded securities), Supervised Persons should ask the following questions about any information that may be MNPI prior to communicating such information to any person other than the CCO:</w:t>
      </w:r>
    </w:p>
    <w:p>
      <w:pPr>
        <w:spacing w:after="0" w:line="1" w:lineRule="exact"/>
        <w:rPr>
          <w:rFonts w:ascii="Times New Roman" w:cs="Times New Roman" w:eastAsia="Times New Roman" w:hAnsi="Times New Roman"/>
          <w:sz w:val="12"/>
          <w:szCs w:val="12"/>
          <w:color w:val="auto"/>
        </w:rPr>
      </w:pPr>
    </w:p>
    <w:p>
      <w:pPr>
        <w:ind w:left="1068" w:right="20" w:hanging="222"/>
        <w:spacing w:after="0" w:line="250" w:lineRule="auto"/>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information material? Is this information that an investor would consider important in making his or her investment decisions? Is this information that would substantially affect the market price of the securities if generally disclosed?</w:t>
      </w:r>
    </w:p>
    <w:p>
      <w:pPr>
        <w:ind w:left="1068" w:hanging="222"/>
        <w:spacing w:after="0" w:line="250" w:lineRule="auto"/>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information non-public? To whom has this information been provided? Has the information been effectively communicated to the marketplace (e.g., by being published in Reuters, the Wall Street Journal or other publications of general circulation or made available broadly to security holders)?</w:t>
      </w:r>
    </w:p>
    <w:p>
      <w:pPr>
        <w:ind w:left="1068" w:hanging="222"/>
        <w:spacing w:after="0"/>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this information been obtained from a company or from another source (including an immediate family member) as a result of a breach of a duty of trust or confidence by that source?</w:t>
      </w:r>
    </w:p>
    <w:p>
      <w:pPr>
        <w:spacing w:after="0" w:line="6" w:lineRule="exact"/>
        <w:rPr>
          <w:rFonts w:ascii="Times New Roman" w:cs="Times New Roman" w:eastAsia="Times New Roman" w:hAnsi="Times New Roman"/>
          <w:sz w:val="12"/>
          <w:szCs w:val="12"/>
          <w:color w:val="auto"/>
        </w:rPr>
      </w:pPr>
    </w:p>
    <w:p>
      <w:pPr>
        <w:ind w:left="548" w:right="20" w:hanging="215"/>
        <w:spacing w:after="0" w:line="250" w:lineRule="auto"/>
        <w:tabs>
          <w:tab w:leader="none" w:pos="548"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after consideration of the above, there is a possibility that the information could be material and non-public, or if there are questions as to whether the information is material and non-public, the following steps should be taken:</w:t>
      </w:r>
    </w:p>
    <w:p>
      <w:pPr>
        <w:ind w:left="1068" w:hanging="222"/>
        <w:spacing w:after="0"/>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matter should be reported immediately to the CCO.</w:t>
      </w:r>
    </w:p>
    <w:p>
      <w:pPr>
        <w:spacing w:after="0" w:line="6" w:lineRule="exact"/>
        <w:rPr>
          <w:rFonts w:ascii="Times New Roman" w:cs="Times New Roman" w:eastAsia="Times New Roman" w:hAnsi="Times New Roman"/>
          <w:sz w:val="12"/>
          <w:szCs w:val="12"/>
          <w:color w:val="auto"/>
        </w:rPr>
      </w:pPr>
    </w:p>
    <w:p>
      <w:pPr>
        <w:ind w:left="1068" w:hanging="222"/>
        <w:spacing w:after="0"/>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should not be purchased or sold personally or on behalf of a Fund or for any of the Supervised Person’s Personal Accounts;</w:t>
      </w:r>
    </w:p>
    <w:p>
      <w:pPr>
        <w:spacing w:after="0" w:line="6" w:lineRule="exact"/>
        <w:rPr>
          <w:rFonts w:ascii="Times New Roman" w:cs="Times New Roman" w:eastAsia="Times New Roman" w:hAnsi="Times New Roman"/>
          <w:sz w:val="12"/>
          <w:szCs w:val="12"/>
          <w:color w:val="auto"/>
        </w:rPr>
      </w:pPr>
    </w:p>
    <w:p>
      <w:pPr>
        <w:ind w:left="1068" w:hanging="222"/>
        <w:spacing w:after="0"/>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should not be communicated inside or outside CA BDC Advisers, other than to the CCO.</w:t>
      </w:r>
    </w:p>
    <w:p>
      <w:pPr>
        <w:spacing w:after="0" w:line="6" w:lineRule="exact"/>
        <w:rPr>
          <w:rFonts w:ascii="Times New Roman" w:cs="Times New Roman" w:eastAsia="Times New Roman" w:hAnsi="Times New Roman"/>
          <w:sz w:val="12"/>
          <w:szCs w:val="12"/>
          <w:color w:val="auto"/>
        </w:rPr>
      </w:pPr>
    </w:p>
    <w:p>
      <w:pPr>
        <w:ind w:left="548" w:hanging="215"/>
        <w:spacing w:after="0"/>
        <w:tabs>
          <w:tab w:leader="none" w:pos="548"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CCO has reviewed the issue or consulted with counsel (as the CCO deems appropriate), the CCO will determine whether to:</w:t>
      </w:r>
    </w:p>
    <w:p>
      <w:pPr>
        <w:spacing w:after="0" w:line="6" w:lineRule="exact"/>
        <w:rPr>
          <w:rFonts w:ascii="Times New Roman" w:cs="Times New Roman" w:eastAsia="Times New Roman" w:hAnsi="Times New Roman"/>
          <w:sz w:val="12"/>
          <w:szCs w:val="12"/>
          <w:color w:val="auto"/>
        </w:rPr>
      </w:pPr>
    </w:p>
    <w:p>
      <w:pPr>
        <w:ind w:left="1068" w:hanging="222"/>
        <w:spacing w:after="0"/>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the restriction on trading in such securities (by placing the security on the Restricted List (as defined below);</w:t>
      </w:r>
    </w:p>
    <w:p>
      <w:pPr>
        <w:spacing w:after="0" w:line="6" w:lineRule="exact"/>
        <w:rPr>
          <w:rFonts w:ascii="Times New Roman" w:cs="Times New Roman" w:eastAsia="Times New Roman" w:hAnsi="Times New Roman"/>
          <w:sz w:val="12"/>
          <w:szCs w:val="12"/>
          <w:color w:val="auto"/>
        </w:rPr>
      </w:pPr>
    </w:p>
    <w:p>
      <w:pPr>
        <w:ind w:left="1068" w:hanging="222"/>
        <w:spacing w:after="0"/>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trading in such securities and communication of the information (either in Personal Accounts or Fund accounts);</w:t>
      </w:r>
    </w:p>
    <w:p>
      <w:pPr>
        <w:spacing w:after="0" w:line="6" w:lineRule="exact"/>
        <w:rPr>
          <w:rFonts w:ascii="Times New Roman" w:cs="Times New Roman" w:eastAsia="Times New Roman" w:hAnsi="Times New Roman"/>
          <w:sz w:val="12"/>
          <w:szCs w:val="12"/>
          <w:color w:val="auto"/>
        </w:rPr>
      </w:pPr>
    </w:p>
    <w:p>
      <w:pPr>
        <w:ind w:left="1068" w:hanging="222"/>
        <w:spacing w:after="0" w:line="250" w:lineRule="auto"/>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an “ethical wall” to limit the information to certain Supervised Persons and instruct the Supervised Person that they may communicate the information only to Supervised Persons that are appropriately “walled off” by confidentiality agreement or otherwise; or</w:t>
      </w:r>
    </w:p>
    <w:p>
      <w:pPr>
        <w:ind w:left="1068" w:hanging="222"/>
        <w:spacing w:after="0"/>
        <w:tabs>
          <w:tab w:leader="none" w:pos="106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any other action the CCO deems appropriate.</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Restricting Access to MNPI</w:t>
      </w:r>
    </w:p>
    <w:p>
      <w:pPr>
        <w:spacing w:after="0" w:line="21"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If a Supervised Person is in possession of information that they have identified as material and non-public, such information may not be communicated to anyone, including persons within CA BDC Advisers, except as permitted by the CCO (who may authorize other Supervised Persons to be put behind an “ethical wall”). In addition, care should be taken so that such information is secure. For example, files containing MNPI should be sealed; access to computer files containing MNPI should be restricted.</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Resolving Issues Concerning Insider Trading</w:t>
      </w:r>
    </w:p>
    <w:p>
      <w:pPr>
        <w:spacing w:after="0" w:line="2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If after consideration of the items set forth above doubt remains as to whether such information is material or non-public, or if there is any unresolved question as to the applicability or interpretation of the foregoing procedures, or as to the propriety of any action, it must be discussed with the CCO before trading or communicating the information to anyone.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Officers, Directors and Employees of Public Companies</w:t>
      </w:r>
    </w:p>
    <w:p>
      <w:pPr>
        <w:spacing w:after="0" w:line="21"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Certain Investors may serve as officers or on the Boards of publicly traded companies, which could potentially fall within CA BDC Advisers’ investment universe. As such, Supervised Persons must be careful in speaking to such Investors to ensure that CA BDC Advisers does not receive any material, non-public information. In the event any Supervised Person receives material, non- public information, such Supervised Person is required to follow the guidelines and procedures relating to the handling and sharing of such information as contained in this manual.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78040" cy="4914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78040" cy="491490"/>
                    </a:xfrm>
                    <a:prstGeom prst="rect">
                      <a:avLst/>
                    </a:prstGeom>
                    <a:noFill/>
                  </pic:spPr>
                </pic:pic>
              </a:graphicData>
            </a:graphic>
          </wp:anchor>
        </w:drawing>
      </w:r>
    </w:p>
    <w:p>
      <w:pPr>
        <w:spacing w:after="0" w:line="11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4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Test Procedure</w:t>
            </w:r>
          </w:p>
        </w:tc>
        <w:tc>
          <w:tcPr>
            <w:tcW w:w="34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2"/>
                <w:szCs w:val="12"/>
                <w:b w:val="1"/>
                <w:bCs w:val="1"/>
                <w:color w:val="auto"/>
              </w:rPr>
              <w:t>Frequency</w:t>
            </w:r>
          </w:p>
        </w:tc>
        <w:tc>
          <w:tcPr>
            <w:tcW w:w="33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2"/>
                <w:szCs w:val="12"/>
                <w:b w:val="1"/>
                <w:bCs w:val="1"/>
                <w:color w:val="auto"/>
              </w:rPr>
              <w:t>Assignee</w:t>
            </w:r>
          </w:p>
        </w:tc>
      </w:tr>
      <w:tr>
        <w:trPr>
          <w:trHeight w:val="143"/>
        </w:trPr>
        <w:tc>
          <w:tcPr>
            <w:tcW w:w="4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 the period under review:</w:t>
            </w:r>
          </w:p>
        </w:tc>
        <w:tc>
          <w:tcPr>
            <w:tcW w:w="34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Quarterly</w:t>
            </w:r>
          </w:p>
        </w:tc>
        <w:tc>
          <w:tcPr>
            <w:tcW w:w="33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CCO</w:t>
            </w:r>
          </w:p>
        </w:tc>
      </w:tr>
    </w:tbl>
    <w:p>
      <w:pPr>
        <w:ind w:left="468" w:hanging="234"/>
        <w:spacing w:after="0"/>
        <w:tabs>
          <w:tab w:leader="none" w:pos="468"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verify that CA BDC Advisers has maintained a restricted list of publicly traded investments.</w:t>
      </w:r>
    </w:p>
    <w:p>
      <w:pPr>
        <w:spacing w:after="0" w:line="4" w:lineRule="exact"/>
        <w:rPr>
          <w:rFonts w:ascii="Times New Roman" w:cs="Times New Roman" w:eastAsia="Times New Roman" w:hAnsi="Times New Roman"/>
          <w:sz w:val="12"/>
          <w:szCs w:val="12"/>
          <w:color w:val="auto"/>
        </w:rPr>
      </w:pPr>
    </w:p>
    <w:p>
      <w:pPr>
        <w:ind w:left="448" w:right="5780" w:hanging="214"/>
        <w:spacing w:after="0" w:line="260" w:lineRule="auto"/>
        <w:tabs>
          <w:tab w:leader="none" w:pos="462"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verify that no Supervised Person at CA BDC Advisers has traded an investment that was on the restricted list.</w:t>
      </w:r>
    </w:p>
    <w:p>
      <w:pPr>
        <w:spacing w:after="0" w:line="13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Personal Account Dealings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Rule 204A-1 of the Investment Advisers Act of 1940 requires certain Supervised Persons of a Registered Investment Adviser, deemed “Access Persons” to report their personal Securities Transactions and holdings. Rule 204A-1 defines an Access Person as any Supervised Person who has access to nonpublic information regarding clients' purchase or sale of securities, who is involved in making securities recommendations to clients, or who has access to such recommendations that are nonpublic.</w:t>
      </w: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6" w:name="page147"/>
    <w:bookmarkEnd w:id="146"/>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CA BDC Advisers has deemed all Supervised Persons as Access Persons. Therefore, all Supervised Persons of CA BDC Advisers are both Supervised Persons and Access Persons, and all sections of this Code apply to all Supervised Persons. This Code covers the personal investments of all Supervised Persons and their Immediate Family Members (e.g., persons sharing the same household as the Supervised Person, see Appendix A for further detail) as required by Rule 204A-1. Therefore, each Supervised Person and their Immediate Family Members must conduct all personal investments consistent with this Code.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Rule 204A-1 has certain requirements for all Registered Investment Advisers. Their Access Persons must</w:t>
      </w:r>
    </w:p>
    <w:p>
      <w:pPr>
        <w:spacing w:after="0" w:line="17" w:lineRule="exact"/>
        <w:rPr>
          <w:sz w:val="20"/>
          <w:szCs w:val="20"/>
          <w:color w:val="auto"/>
        </w:rPr>
      </w:pPr>
    </w:p>
    <w:p>
      <w:pPr>
        <w:ind w:left="540" w:hanging="215"/>
        <w:spacing w:after="0"/>
        <w:tabs>
          <w:tab w:leader="none" w:pos="54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 securities holdings, at the time the person becomes an access person and at least once a year thereafter; and</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 each quarter their personal Securities Transactions no later than 30 days after the close of the calendar quarter.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Initial Account and Holdings Disclosure Requirement:</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Within 10 calendar days of a Supervised Person’s start date, the Supervised Person is required to disclose all brokerage accounts in which they have Beneficial Ownership, including but not limited to accounts owned by Immediate Family Members. Supervised Persons must allow brokers or financial institutions to provide duplicate confirmations and statements directly to CA BDC Advisers in accounts that can hold Reportable Securities (see Exceptions below for Discretionary Management by Third Parties). If a Supervised Person’s broker is unwilling or unable to provide duplicate confirmations and statements, the Supervised Person is required to provide them to CA BDC Advisers’ CCO.</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Within 10 calendar days of a Supervised Person’s start date, all holdings in Reportable Securities that are beneficially owned by the Supervised Person must be disclosed, excluding those managed by a Third Party. Holdings information must be current as of 45 days prior to the Supervised Person’s start 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Ongoing Disclosure Requirements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Accounts: </w:t>
      </w:r>
      <w:r>
        <w:rPr>
          <w:rFonts w:ascii="Times New Roman" w:cs="Times New Roman" w:eastAsia="Times New Roman" w:hAnsi="Times New Roman"/>
          <w:sz w:val="12"/>
          <w:szCs w:val="12"/>
          <w:color w:val="auto"/>
        </w:rPr>
        <w:t>Supervised Persons must promptly disclose any newly opened accounts under their Beneficial Ownership, including those owned by Immediate Family Members, that have the ability to hold Reportable Securities.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Transactions/Holdings: </w:t>
      </w:r>
      <w:r>
        <w:rPr>
          <w:rFonts w:ascii="Times New Roman" w:cs="Times New Roman" w:eastAsia="Times New Roman" w:hAnsi="Times New Roman"/>
          <w:sz w:val="12"/>
          <w:szCs w:val="12"/>
          <w:color w:val="auto"/>
        </w:rPr>
        <w:t>Supervised Persons must ensure that the CCO receives duplicate statements and trade confirmations for all Reportable Securities (see Exceptions below for Discretionary Management by Third Parties) in one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three ways listed below:</w:t>
      </w:r>
    </w:p>
    <w:p>
      <w:pPr>
        <w:spacing w:after="0" w:line="107" w:lineRule="exact"/>
        <w:rPr>
          <w:sz w:val="20"/>
          <w:szCs w:val="20"/>
          <w:color w:val="auto"/>
        </w:rPr>
      </w:pPr>
    </w:p>
    <w:p>
      <w:pPr>
        <w:ind w:left="540" w:right="20" w:hanging="215"/>
        <w:spacing w:after="0" w:line="259" w:lineRule="auto"/>
        <w:tabs>
          <w:tab w:leader="none" w:pos="5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Electronic feeds – Supervised Persons are encouraged to deal through brokers that provide Compliance with trade confirmations and holdings via electronic feed. This provides Compliance with the most timely and accurate account information.</w:t>
      </w:r>
    </w:p>
    <w:p>
      <w:pPr>
        <w:spacing w:after="0" w:line="1" w:lineRule="exact"/>
        <w:rPr>
          <w:rFonts w:ascii="Times New Roman" w:cs="Times New Roman" w:eastAsia="Times New Roman" w:hAnsi="Times New Roman"/>
          <w:sz w:val="12"/>
          <w:szCs w:val="12"/>
          <w:color w:val="auto"/>
        </w:rPr>
      </w:pPr>
    </w:p>
    <w:p>
      <w:pPr>
        <w:ind w:left="540" w:right="20" w:hanging="215"/>
        <w:spacing w:after="0" w:line="250" w:lineRule="auto"/>
        <w:tabs>
          <w:tab w:leader="none" w:pos="5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 delivery of duplicate confirmations and statements – In jurisdictions where applicable, Supervised Persons should allow for brokers to provide delivery of duplicate confirmations and statements directly to Compliance. Compliance staff will enter trade details for Supervised Persons that utilize this option.</w:t>
      </w:r>
    </w:p>
    <w:p>
      <w:pPr>
        <w:ind w:left="540" w:hanging="215"/>
        <w:spacing w:after="0" w:line="260" w:lineRule="auto"/>
        <w:tabs>
          <w:tab w:leader="none" w:pos="5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Supervised Person upload of confirmations and statements – If neither of the above options is possible, Supervised Persons are required to enter trade details into the Firm’s compliance management system, MyComplianceOffice (“ACA Compliance Alpha”) and upload the trade confirmation (or quarterly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Attestation Requirements:</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b w:val="1"/>
          <w:bCs w:val="1"/>
          <w:color w:val="auto"/>
        </w:rPr>
        <w:t>Annually:</w:t>
      </w:r>
    </w:p>
    <w:p>
      <w:pPr>
        <w:spacing w:after="0" w:line="6" w:lineRule="exact"/>
        <w:rPr>
          <w:sz w:val="20"/>
          <w:szCs w:val="20"/>
          <w:color w:val="auto"/>
        </w:rPr>
      </w:pPr>
    </w:p>
    <w:p>
      <w:pPr>
        <w:ind w:left="540" w:hanging="215"/>
        <w:spacing w:after="0"/>
        <w:tabs>
          <w:tab w:leader="none" w:pos="54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 Attestation (For Accounts that have the ability to hold Reportable Securities)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Holdings Attestation (For Reportable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Quarterly:</w:t>
      </w:r>
    </w:p>
    <w:p>
      <w:pPr>
        <w:spacing w:after="0" w:line="21" w:lineRule="exact"/>
        <w:rPr>
          <w:sz w:val="20"/>
          <w:szCs w:val="20"/>
          <w:color w:val="auto"/>
        </w:rPr>
      </w:pPr>
    </w:p>
    <w:p>
      <w:pPr>
        <w:ind w:left="540" w:hanging="215"/>
        <w:spacing w:after="0"/>
        <w:tabs>
          <w:tab w:leader="none" w:pos="5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Trades Attestation (For Reportable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Private Placements and Initial Public Offerings (IPOs)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Supervised Persons must request pre-approval prior to investing in a private placement or limited offering by submitting a request in ACA Compliance Alpha.</w:t>
      </w:r>
    </w:p>
    <w:p>
      <w:pPr>
        <w:spacing w:after="0" w:line="1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No Supervised Person shall acquire any security issued in any limited or private offering (please note that hedge funds are sold as limited or private offerings) unless CA BDC Advisers gives express prior written approval. In determining whether approval should be given, CA BDC Advisers may take into account, among other factors, whether the investment opportunity should be reserved for a Client and whether the opportunity is offered to the individual by virtue of his or her position with CA BDC Advisers.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Rule 204A-1 requires Access Persons to request approval before investing in an Initial Public Offering ("IPO"). Supervised Persons must submit this request in ACA Compliance Alpha.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Exceptions: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Rule 204A-1 permits two exceptions that are applicable to CA BDC Advisers related to personal securities reporting in Reportable Securities. No disclosures are required:</w:t>
      </w:r>
    </w:p>
    <w:p>
      <w:pPr>
        <w:spacing w:after="0" w:line="139" w:lineRule="exact"/>
        <w:rPr>
          <w:sz w:val="20"/>
          <w:szCs w:val="20"/>
          <w:color w:val="auto"/>
        </w:rPr>
      </w:pPr>
    </w:p>
    <w:p>
      <w:pPr>
        <w:ind w:left="540" w:hanging="215"/>
        <w:spacing w:after="0"/>
        <w:tabs>
          <w:tab w:leader="none" w:pos="54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transactions effected pursuant to an Automatic Investment Plan; or</w:t>
      </w:r>
    </w:p>
    <w:p>
      <w:pPr>
        <w:spacing w:after="0" w:line="1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securities held in accounts over which the access person had no direct or indirect influence or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order to rely upon this provision, Supervised Persons are required to certify on a periodic basis that they do not have ability to influence or control investment decisions made for the managed account.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Restrictions for Personal Account Dealings Established by CA BDC Advisers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CA BDC Advisers maintains a Restricted List that is available to all Supervised Persons and is maintained electronically by the CCO or Designee. CA BDC Advisers believes the use of a Restricted List is appropriate due to the nature of its investments in order to prevent the use of nonpublic information by CA BDC Advisers or its Supervised Persons. CA BDC Advisers believes the use of a Restricted List will be infrequent. Supervised Persons are responsible for ensuring they do not trade in a security on the Restricted List.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color w:val="auto"/>
        </w:rPr>
        <w:t>Once a company is on the Restricted List, any trading in a Client or Supervised Person account will be restricted until the security has been removed from the list.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 BDC Advisers utilizes its Restricted List to prohibit insider trading by CA BDC Advisers and its Supervised Persons. Employee holdings are reviewed quarterly against the Restricted List for non-compliance.</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60" w:type="dxa"/>
            <w:vAlign w:val="bottom"/>
            <w:tcBorders>
              <w:top w:val="single" w:sz="8" w:color="auto"/>
              <w:left w:val="single" w:sz="8" w:color="auto"/>
              <w:bottom w:val="single" w:sz="8" w:color="auto"/>
              <w:right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Test Procedure</w:t>
            </w:r>
          </w:p>
        </w:tc>
        <w:tc>
          <w:tcPr>
            <w:tcW w:w="28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Frequency</w:t>
            </w:r>
          </w:p>
        </w:tc>
        <w:tc>
          <w:tcPr>
            <w:tcW w:w="28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Assignee</w:t>
            </w: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all Supervised Persons and their Immediate Family Members:</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Quarterly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(1)  reported securities holdings, at least once a year.</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(2)  disclose each quarter their personal Securities Transactions no later than 30 days after the close of the</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2"/>
                <w:szCs w:val="12"/>
                <w:color w:val="auto"/>
              </w:rPr>
              <w:t>calendar quarter.</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all employees have attested to not investing in IPOs that have not been</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Quarterly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pre-approved.</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within 10 calendar days of a Supervised Persons start date, the</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Quarterly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Supervised Person has disclosed all brokerage</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accounts and all holdings in reportable securities.</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all Supervised Persons have attested to accounts they hold and</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Quarterly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holdings in those accounts, as well as their trade</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activity.</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all Supervised Persons have requested pre-approval prior to investing</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in a private placement or limited offering by submitting a request in ACA Compliance Alpha. Note that this</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review is completed when an employee submits their annual attestation of investments, including private</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placements. Any new private placements should have a corresponding approval documented. Note where the</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documentation is saved</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of non-compliance, if applicable.</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all Access Persons that have invested in an IPO have submitted a</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Quarterly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request to do so in ACA Compliance Alpha before</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investing.</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Supervised Persons have certified that they do not have ability to</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Quarterly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influence or control investment decisions made for any</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applicable managed accounts.</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286"/>
        </w:trPr>
        <w:tc>
          <w:tcPr>
            <w:tcW w:w="5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Gifts and Entertainment</w:t>
            </w:r>
          </w:p>
        </w:tc>
        <w:tc>
          <w:tcPr>
            <w:tcW w:w="282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Gifts or Entertainment may create an actual or apparent conflict of interest, which could affect (or appear to affect) the recipient’s independent business judgment.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Supervised Persons are required to follow the standards below regarding the acceptance or giving of gifts and entertainment with respect to all Business Partners. Supervised Persons are expected to avoid any gifts or entertainment that:</w:t>
      </w:r>
    </w:p>
    <w:p>
      <w:pPr>
        <w:spacing w:after="0" w:line="150" w:lineRule="exact"/>
        <w:rPr>
          <w:sz w:val="20"/>
          <w:szCs w:val="20"/>
          <w:color w:val="auto"/>
        </w:rPr>
      </w:pPr>
    </w:p>
    <w:p>
      <w:pPr>
        <w:ind w:left="540" w:hanging="215"/>
        <w:spacing w:after="0"/>
        <w:tabs>
          <w:tab w:leader="none" w:pos="54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could create an apparent or actual conflict;</w:t>
      </w:r>
    </w:p>
    <w:p>
      <w:pPr>
        <w:spacing w:after="0" w:line="1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excessive or would reflect unfavorably on CA BDC Advisers or its Clients; or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be inappropriate or disreputable in nature.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Supervised Persons may not take advantage of their position by requesting a gift or discount. They must not:</w:t>
      </w:r>
    </w:p>
    <w:p>
      <w:pPr>
        <w:spacing w:after="0" w:line="150" w:lineRule="exact"/>
        <w:rPr>
          <w:sz w:val="20"/>
          <w:szCs w:val="20"/>
          <w:color w:val="auto"/>
        </w:rPr>
      </w:pPr>
    </w:p>
    <w:p>
      <w:pPr>
        <w:ind w:left="540" w:hanging="215"/>
        <w:spacing w:after="0"/>
        <w:tabs>
          <w:tab w:leader="none" w:pos="54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 cash, cash equivalents, loans or personal services on behalf of CA BDC Advisers, even if these fall within the limits outlined above. This includes gift cards or certificates if they can be redeemed for cash; or</w:t>
      </w:r>
    </w:p>
    <w:p>
      <w:pPr>
        <w:spacing w:after="0" w:line="1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 special discounts unless they are available to all other Supervised Persons (e.g., a discount coupon from a retail store).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8" w:name="page149"/>
    <w:bookmarkEnd w:id="148"/>
    <w:p>
      <w:pPr>
        <w:jc w:val="both"/>
        <w:spacing w:after="0" w:line="279" w:lineRule="auto"/>
        <w:rPr>
          <w:sz w:val="20"/>
          <w:szCs w:val="20"/>
          <w:color w:val="auto"/>
        </w:rPr>
      </w:pPr>
      <w:r>
        <w:rPr>
          <w:rFonts w:ascii="Times New Roman" w:cs="Times New Roman" w:eastAsia="Times New Roman" w:hAnsi="Times New Roman"/>
          <w:sz w:val="12"/>
          <w:szCs w:val="12"/>
          <w:color w:val="auto"/>
        </w:rPr>
        <w:t>Modest gifts and favors, which would not be regarded by others as improper, may be accepted or given on an occasional basis. Entertainment that satisfies these requirements and conforms to generally accepted business practices is also permissible.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Where there is a law or rule that applies to the conduct of a particular business or the acceptance of gifts of even nominal value, the law or rule must be followed.</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“Gift” is anything of value that is given with the intent or perceived intent to foster a legitimate business relationship. Gifts can include merchandise such as wine, gift baskets, or event tickets if the giver does not attend. No Supervised Person may receive any gift, service or other thing of excessive value from any person or entity that does business with or on behalf of CA BDC Advisers. No Supervised Person may give or offer any gift of excessive value, determined to be amounts in excess of $500, to existing Clients, prospective clients, or any entity that does business with or on behalf of CA BDC Advisers without pre-approval by the CCO. Supervised Persons may not accept a Gift of cash or a cash-equivalent in any amount.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“Entertainment” is a meeting, meal, or other activity where both the Supervised Person and the business partner are present and have the opportunity to discuss business or any participant’s employer bears the cost. It does not include events that have been organized by CA BDC Advisers directly, such as receptions following an industry gathering or multi-client entertainment. If the business partner will not be present for the event, it will be considered a Gift.</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No Supervised Person may provide or accept extravagant or excessive entertainment to or from a Client, prospective client, or any person or entity that does or seeks to do business with or on behalf of CA BDC Advisers. A Supervised Person may provide or accept a business entertainment event, such as dinner, a sporting event, golf outings, etc. provided that such activities involve no more than customary amenities and the person or entity providing the entertainment is present.</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While there is no maximum amount for how much may be spent or received by a Supervised Person for entertainment, Supervised Persons are expected to use good judgement and refrain from giving or accepting any entertainment that is or may be perceived as lavish or extravagant. The CCO will review expenses for excessive or extravagant entertainment expenses.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Business Partner,”</w:t>
      </w:r>
      <w:r>
        <w:rPr>
          <w:rFonts w:ascii="Times New Roman" w:cs="Times New Roman" w:eastAsia="Times New Roman" w:hAnsi="Times New Roman"/>
          <w:sz w:val="12"/>
          <w:szCs w:val="12"/>
          <w:color w:val="auto"/>
        </w:rPr>
        <w:t xml:space="preserve"> for the purpose of this Code, includes all current Clients, portfolio companies, and vendors with which CA BDC Advisers conducts business, any potential clients, portfolio companies, or vendors with whom CA BDC Advisers could engage in business, any registered broker-dealers, and any firms under contract to do business with CA BDC Advisers.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Exempt from Disclosure of Gifts and Entertainment Requirement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purposes of disclosure of gifts and entertainment the following are exempt:</w:t>
      </w:r>
    </w:p>
    <w:p>
      <w:pPr>
        <w:spacing w:after="0" w:line="6" w:lineRule="exact"/>
        <w:rPr>
          <w:sz w:val="20"/>
          <w:szCs w:val="20"/>
          <w:color w:val="auto"/>
        </w:rPr>
      </w:pPr>
    </w:p>
    <w:p>
      <w:pPr>
        <w:ind w:left="540" w:hanging="215"/>
        <w:spacing w:after="0"/>
        <w:tabs>
          <w:tab w:leader="none" w:pos="54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Usual and customary promotional items (e.g., t-shirts, caps, or pens marked with the vendor’s logo);</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Gifts ($500 or less) or entertainment of nominal value;</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Attendance and participation at industry sponsored events; or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Usual and customary gifts given to or by Supervised Persons based on a personal relationship (e.g., the vendor and Supervised Person have a family relationship that preceded interaction at the Firm).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Approval Process</w:t>
      </w:r>
    </w:p>
    <w:p>
      <w:pPr>
        <w:spacing w:after="0" w:line="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Any Gift or Entertainment whose value exceeds the relevant stated limit listed above, or that is otherwise impermissible due to other listed restrictions, constitutes violation of the Code. Any request for an exception must be entered into ACA Compliance Alpha and CA BDC Advisers’ CCO, or Designee, will review and approve or deny any exceptions to the Code.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Anti-Corruption and Anti-Bribery</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Under the Foreign Corrupt Practices Act (“FCPA”) CA BDC Advisers could face potentially serious civil and/or criminal penalties for offering, promising, paying, or authorizing any bribe, kickback or similar improper payment to any foreign official, foreign political party or official or candidate for foreign political office in order to assist CA BDC Advisers in obtaining, retaining, or directing business, including investments in the Funds. As a matter of policy, CA BDC Advisers strictly complies with the FCPA. All Supervised Persons are expected to carefully read this policy and to contact the CCO with any questions.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Under the FCPA, a "foreign official" includes any officer or employee of a foreign government or any department, agency or instrumentality thereof. Importantly, all government employees are covered by this definition, as are employees of government-owned business entities and sovereign wealth funds. The FCPA does permit certain small "facilitating" or "expediting" payments to foreign officials to ensure that they perform routine, nondiscretionary governmental duties (e.g. obtaining permits, licenses, or other official documents; processing governmental papers, such as visas and work orders; providing police protection, mail pick- up and delivery; providing phone service, power and water supply, loading and unloading cargo, or protecting perishable products; and scheduling inspections associated with contract performance or transit of goods across country). The FCPA also permits payment or reimbursement of reasonable and bona fide expenses of a foreign official (e.g., travel and lodging expenses) relating to the promotion, demonstration or explanation of a product or service or to the execution or performance of a contract with a foreign government. However, it should be noted that these are narrowly defined exceptions and defenses. The FCPA also prohibits payments to third parties, such as a placement agent, with knowledge that all or a portion of the payment will be passed on to a foreign official. Actual knowledge is not required; constructive knowledge, or the expectation that a person should reasonably know something, is sufficient.</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order to minimize the chance that CA BDC Advisers could violate the FCPA or similar foreign laws, Supervised Persons must obtain the written approval of the CCO prior to making any payment or giving certain gifts or other thing of value (including paying for entertainment or travel related expenses), or offering to do the same, to any:</w:t>
      </w:r>
    </w:p>
    <w:p>
      <w:pPr>
        <w:spacing w:after="0" w:line="111" w:lineRule="exact"/>
        <w:rPr>
          <w:sz w:val="20"/>
          <w:szCs w:val="20"/>
          <w:color w:val="auto"/>
        </w:rPr>
      </w:pPr>
    </w:p>
    <w:p>
      <w:pPr>
        <w:ind w:left="540" w:hanging="215"/>
        <w:spacing w:after="0"/>
        <w:tabs>
          <w:tab w:leader="none" w:pos="54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official of a foreign government;</w:t>
      </w:r>
    </w:p>
    <w:p>
      <w:pPr>
        <w:spacing w:after="0" w:line="1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 of any government-controlled foreign business;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sovereign wealth fund, employee or representatives of a sovereign wealth fund, or third party associated with a sovereign wealth fund’s investment process or investment due diligence; or</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9" w:name="page150"/>
    <w:bookmarkEnd w:id="149"/>
    <w:p>
      <w:pPr>
        <w:ind w:left="540" w:hanging="215"/>
        <w:spacing w:after="0"/>
        <w:tabs>
          <w:tab w:leader="none" w:pos="54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political party or official or candidate for foreign political office.</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This policy applies without regard to the purpose or motivation behind the giving of such payment, gift, or other thing of value. The CCO may consult with legal counsel or outside compliance consultants to determine if such payments, gifts or entertainment would implicate FCPA concerns (or other legal concerns). As a general matter, the giving of any such payments, gifts, or other things of value will not be permitted.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CCO will document any exceptions to this general policy.</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addition, in the future, to the extent CA BDC Advisers utilizes placement agents or other intermediaries to solicit Investors in foreign countries, the CCO will review placement agent agreements for appropriate written representations, including, among other things, that the placement agent or other intermediary will act in accordance with U.S. and foreign laws, including the FCPA. CA BDC Advisers also requires placement agents or other intermediaries that solicit investors in foreign countries to disclose to CA BDC Advisers any relationships with foreign government officials in the country in which it will operate. The CCO must expressly authorize the placement agents or intermediaries to solicit investments in foreign countries. Further, CA BDC Advisers requires that placement agents immediately notify the CCO if they have reason to believe an employee of the placement agent has engaged in activities that violate the FCPA. The CCO may work with legal counsel or outside compliance consultants to determine the appropriate course of action if so notified. Finally, on a periodic basis, the CCO will require such placement agents or intermediaries to renew appropriate representations relating to compliance with the FCPA.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 BDC Advisers reviews its policies and procedures with respect to the FCPA with Supervised Persons as part of CA BDC Advisers’ periodic compliance training.</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60" w:type="dxa"/>
            <w:vAlign w:val="bottom"/>
            <w:tcBorders>
              <w:top w:val="single" w:sz="8" w:color="auto"/>
              <w:left w:val="single" w:sz="8" w:color="auto"/>
              <w:bottom w:val="single" w:sz="8" w:color="auto"/>
              <w:right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Test Procedure</w:t>
            </w:r>
          </w:p>
        </w:tc>
        <w:tc>
          <w:tcPr>
            <w:tcW w:w="28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Frequency</w:t>
            </w:r>
          </w:p>
        </w:tc>
        <w:tc>
          <w:tcPr>
            <w:tcW w:w="28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Assignee</w:t>
            </w: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the CCO reviewed expenses for excessive or extravagant entertainment</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Quarterly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expenses. To the extent that expenses are requested for reimbursement, state where</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documentation of such review exists.</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document any known non-compliance.</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For the period under review, note any requests for gift limit exception entered into ACA Compliance Alpha and</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confirmed approval of CA BDC Advisers’</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CCO, or Designee.</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40"/>
              <w:spacing w:after="0" w:line="132" w:lineRule="exact"/>
              <w:rPr>
                <w:sz w:val="20"/>
                <w:szCs w:val="20"/>
                <w:color w:val="auto"/>
              </w:rPr>
            </w:pPr>
            <w:r>
              <w:rPr>
                <w:rFonts w:ascii="Times New Roman" w:cs="Times New Roman" w:eastAsia="Times New Roman" w:hAnsi="Times New Roman"/>
                <w:sz w:val="12"/>
                <w:szCs w:val="12"/>
                <w:color w:val="auto"/>
              </w:rPr>
              <w:t>For the period under review, document any exception to the no gifts to Foreign Officials rule. If applicable, state</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55"/>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where the written approval of the CCO is located.</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if CA BDC Advisers utilized placement agents or other intermediaries to solicit</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Investors in foreign countries, verify that the CCO reviewed placement agent agreements for appropriate written</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representations. State where the CCO has expressly authorized the placement agents to solicit investments in</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foreign countries. To the extent applicable, ensure that the CCO has required such placement agents to renew</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appropriate representations</w:t>
            </w: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relating to compliance with the FCPA.</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286"/>
        </w:trPr>
        <w:tc>
          <w:tcPr>
            <w:tcW w:w="5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Political Contributions</w:t>
            </w:r>
          </w:p>
        </w:tc>
        <w:tc>
          <w:tcPr>
            <w:tcW w:w="282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 BDC Advisers has implemented the following restrictions to adhere to the “Pay-to-Play” Rule (Rule 206(4)-5) and to mitigate any associated risks.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Supervised Persons and their Immediate Family are prohibited from making political contributions without preapproval by the CCO. Preapproval for contributions to individual candidates, incumbents, political action committees, and similar vehicles must be requested in ACA Compliance Alpha.</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Upon commencement of employment, the CCO, or an appropriate Designee, will request reporting of all recent political contributions. The disclosure should include contributions made by Immediate Family as well. The report should include the individual or election committee receiving the contribution, the office for which the individual is running, the current elected office held (if any), the dollar amount of the contribution or value of the donated item and whether or not the Supervised Person is eligible to vote for the candidate.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0" w:name="page151"/>
    <w:bookmarkEnd w:id="150"/>
    <w:tbl>
      <w:tblPr>
        <w:tblLayout w:type="fixed"/>
        <w:tblInd w:w="10" w:type="dxa"/>
        <w:tblCellMar>
          <w:top w:w="0" w:type="dxa"/>
          <w:left w:w="0" w:type="dxa"/>
          <w:bottom w:w="0" w:type="dxa"/>
          <w:right w:w="0" w:type="dxa"/>
        </w:tblCellMar>
      </w:tblPr>
      <w:tr>
        <w:trPr>
          <w:trHeight w:val="162"/>
        </w:trPr>
        <w:tc>
          <w:tcPr>
            <w:tcW w:w="5660" w:type="dxa"/>
            <w:vAlign w:val="bottom"/>
            <w:tcBorders>
              <w:top w:val="single" w:sz="8" w:color="auto"/>
              <w:left w:val="single" w:sz="8" w:color="auto"/>
              <w:bottom w:val="single" w:sz="8" w:color="auto"/>
              <w:right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Test Procedure</w:t>
            </w:r>
          </w:p>
        </w:tc>
        <w:tc>
          <w:tcPr>
            <w:tcW w:w="28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Frequency</w:t>
            </w:r>
          </w:p>
        </w:tc>
        <w:tc>
          <w:tcPr>
            <w:tcW w:w="28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Assignee</w:t>
            </w:r>
          </w:p>
        </w:tc>
      </w:tr>
      <w:tr>
        <w:trPr>
          <w:trHeight w:val="142"/>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For the period under review, note if there were any political contribution preapprovals.</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CCO</w:t>
            </w:r>
          </w:p>
        </w:tc>
      </w:tr>
      <w:tr>
        <w:trPr>
          <w:trHeight w:val="131"/>
        </w:trPr>
        <w:tc>
          <w:tcPr>
            <w:tcW w:w="566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confirm that all new hires submitted their attestation of all recent political</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55"/>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contributions of themselves and their Immediate Family in ACA Compliance Alpha.</w:t>
            </w: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286"/>
        </w:trPr>
        <w:tc>
          <w:tcPr>
            <w:tcW w:w="5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Outside Business Activities</w:t>
            </w:r>
          </w:p>
        </w:tc>
        <w:tc>
          <w:tcPr>
            <w:tcW w:w="282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Supervised Persons must not engage in activities that create, or appear to create, conflict of interest or otherwise might jeopardize the integrity or reputation of CA BDC Advisers. Supervised Persons are prohibited from receiving compensation from third parties for speaking engagements on investment-related topics. Additionally, certain outside business activities (“OBAs”) require pre- approval. Supervised Persons should promptly notify the CCO of any other circumstances arising that may create, or appear to create, a conflict of interest or otherwise may jeopardize the integrity or reputation of the Firm or its clients.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Without receiving approval via ACA Compliance Alpha, no Supervised Person shall:</w:t>
      </w:r>
    </w:p>
    <w:p>
      <w:pPr>
        <w:spacing w:after="0" w:line="17" w:lineRule="exact"/>
        <w:rPr>
          <w:sz w:val="20"/>
          <w:szCs w:val="20"/>
          <w:color w:val="auto"/>
        </w:rPr>
      </w:pPr>
    </w:p>
    <w:p>
      <w:pPr>
        <w:ind w:left="540" w:right="20" w:hanging="215"/>
        <w:spacing w:after="0" w:line="260" w:lineRule="auto"/>
        <w:tabs>
          <w:tab w:leader="none" w:pos="54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 directly or indirectly, compensation of any nature as a bonus, commission, fee, gratuity, or other consideration in connection with any transaction on behalf of the Firm or a Client from any Person, firm, corporation or association, other than the Firm or an affiliate thereof; or</w:t>
      </w:r>
    </w:p>
    <w:p>
      <w:pPr>
        <w:spacing w:after="0" w:line="122" w:lineRule="exact"/>
        <w:rPr>
          <w:rFonts w:ascii="Times New Roman" w:cs="Times New Roman" w:eastAsia="Times New Roman" w:hAnsi="Times New Roman"/>
          <w:sz w:val="12"/>
          <w:szCs w:val="12"/>
          <w:color w:val="auto"/>
        </w:rPr>
      </w:pPr>
    </w:p>
    <w:p>
      <w:pPr>
        <w:ind w:left="540" w:hanging="215"/>
        <w:spacing w:after="0" w:line="279" w:lineRule="auto"/>
        <w:tabs>
          <w:tab w:leader="none" w:pos="54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directly or indirectly, any equity or other ownership or financial interest in any other organization engaged in any securities, financial or related business, except for (i) a minority equity or other ownership or other financial interest in any business that is publicly traded, or (ii) an equity or other ownership or financial interest through any account over which the Supervised Person has no direct or indirect influence or control.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Supervised Persons must receive approval via ACA Compliance Alpha prior to engaging in any outside business activity:</w:t>
      </w:r>
    </w:p>
    <w:p>
      <w:pPr>
        <w:spacing w:after="0" w:line="17" w:lineRule="exact"/>
        <w:rPr>
          <w:sz w:val="20"/>
          <w:szCs w:val="20"/>
          <w:color w:val="auto"/>
        </w:rPr>
      </w:pPr>
    </w:p>
    <w:p>
      <w:pPr>
        <w:ind w:left="540" w:hanging="215"/>
        <w:spacing w:after="0"/>
        <w:tabs>
          <w:tab w:leader="none" w:pos="54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involves a significant amount of time or provides a significant amount of income;</w:t>
      </w:r>
    </w:p>
    <w:p>
      <w:pPr>
        <w:spacing w:after="0" w:line="139"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is investment-related, including activities on behalf of a non-profit;</w:t>
      </w:r>
    </w:p>
    <w:p>
      <w:pPr>
        <w:spacing w:after="0" w:line="150"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involves service on the board of directors of a publicly traded company (will generally not be permitted);</w:t>
      </w:r>
    </w:p>
    <w:p>
      <w:pPr>
        <w:spacing w:after="0" w:line="150"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involves serving as an employee, independent contractor, sole proprietor, officer, director or partner of a for-profit business;</w:t>
      </w:r>
    </w:p>
    <w:p>
      <w:pPr>
        <w:spacing w:after="0" w:line="150"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involves serving as a director, officer or executive management of a non-profit entity or performing investment- related functions on its behalf; or</w:t>
      </w:r>
    </w:p>
    <w:p>
      <w:pPr>
        <w:spacing w:after="0" w:line="150" w:lineRule="exact"/>
        <w:rPr>
          <w:rFonts w:ascii="Times New Roman" w:cs="Times New Roman" w:eastAsia="Times New Roman" w:hAnsi="Times New Roman"/>
          <w:sz w:val="12"/>
          <w:szCs w:val="12"/>
          <w:color w:val="auto"/>
        </w:rPr>
      </w:pPr>
    </w:p>
    <w:p>
      <w:pPr>
        <w:ind w:left="540" w:right="440" w:hanging="215"/>
        <w:spacing w:after="0" w:line="279" w:lineRule="auto"/>
        <w:tabs>
          <w:tab w:leader="none" w:pos="54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involves engaging in any other outside employment or activity (paid or unpaid) that may give rise to a conflict with CA BDC Advisers, one of its Funds, or Fund Investors or other risk (e.g., operating a blog that provides financial advice).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all times, the interests of the Firm and its Clients take priority over the outside business activities of Supervised Persons. An outside business activity may never:</w:t>
      </w:r>
    </w:p>
    <w:p>
      <w:pPr>
        <w:spacing w:after="0" w:line="17" w:lineRule="exact"/>
        <w:rPr>
          <w:sz w:val="20"/>
          <w:szCs w:val="20"/>
          <w:color w:val="auto"/>
        </w:rPr>
      </w:pPr>
    </w:p>
    <w:p>
      <w:pPr>
        <w:ind w:left="540" w:hanging="215"/>
        <w:spacing w:after="0"/>
        <w:tabs>
          <w:tab w:leader="none" w:pos="54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 a substantial risk of confusing Clients or the public as to the capacity in which the Supervised Person is acting;</w:t>
      </w:r>
    </w:p>
    <w:p>
      <w:pPr>
        <w:spacing w:after="0" w:line="139"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pose a reputational risk for the Firm;</w:t>
      </w:r>
    </w:p>
    <w:p>
      <w:pPr>
        <w:spacing w:after="0" w:line="150"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inappropriately influence a Supervised Person’s business dealings or otherwise create a conflict of interest vis-à-vis the interests of CA BDC Advisers or its Funds, or a Fund Investor; or</w:t>
      </w:r>
    </w:p>
    <w:p>
      <w:pPr>
        <w:spacing w:after="0" w:line="150"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involve use of information relating to CA BDC Advisers, any Fund or other proprietary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Immediate Family</w:t>
      </w:r>
    </w:p>
    <w:p>
      <w:pPr>
        <w:spacing w:after="0" w:line="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While CA BDC Advisers does not require pre-approval of the OBAs undertaken by a Supervised Person’s Immediate Family, the Supervised Person must contact the CCO if they believe the outside activity by their Immediate Family could create or appear to create a conflict of interest or otherwise may jeopardize the integrity and reputation of CA BDC Advisers.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560" w:type="dxa"/>
            <w:vAlign w:val="bottom"/>
            <w:tcBorders>
              <w:top w:val="single" w:sz="8" w:color="auto"/>
              <w:left w:val="single" w:sz="8" w:color="auto"/>
              <w:bottom w:val="single" w:sz="8" w:color="auto"/>
            </w:tcBorders>
          </w:tcPr>
          <w:p>
            <w:pPr>
              <w:ind w:left="2420"/>
              <w:spacing w:after="0"/>
              <w:rPr>
                <w:sz w:val="20"/>
                <w:szCs w:val="20"/>
                <w:color w:val="auto"/>
              </w:rPr>
            </w:pPr>
            <w:r>
              <w:rPr>
                <w:rFonts w:ascii="Times New Roman" w:cs="Times New Roman" w:eastAsia="Times New Roman" w:hAnsi="Times New Roman"/>
                <w:sz w:val="12"/>
                <w:szCs w:val="12"/>
                <w:b w:val="1"/>
                <w:bCs w:val="1"/>
                <w:color w:val="auto"/>
              </w:rPr>
              <w:t>Test Procedure</w:t>
            </w:r>
          </w:p>
        </w:tc>
        <w:tc>
          <w:tcPr>
            <w:tcW w:w="100" w:type="dxa"/>
            <w:vAlign w:val="bottom"/>
            <w:tcBorders>
              <w:top w:val="single" w:sz="8" w:color="auto"/>
              <w:bottom w:val="single" w:sz="8" w:color="auto"/>
              <w:right w:val="single" w:sz="8" w:color="auto"/>
            </w:tcBorders>
          </w:tcPr>
          <w:p>
            <w:pPr>
              <w:spacing w:after="0"/>
              <w:rPr>
                <w:sz w:val="14"/>
                <w:szCs w:val="14"/>
                <w:color w:val="auto"/>
              </w:rPr>
            </w:pPr>
          </w:p>
        </w:tc>
        <w:tc>
          <w:tcPr>
            <w:tcW w:w="2820" w:type="dxa"/>
            <w:vAlign w:val="bottom"/>
            <w:tcBorders>
              <w:top w:val="single" w:sz="8" w:color="auto"/>
              <w:bottom w:val="single" w:sz="8" w:color="auto"/>
              <w:right w:val="single" w:sz="8" w:color="auto"/>
            </w:tcBorders>
          </w:tcPr>
          <w:p>
            <w:pPr>
              <w:jc w:val="right"/>
              <w:ind w:right="1720"/>
              <w:spacing w:after="0"/>
              <w:rPr>
                <w:sz w:val="20"/>
                <w:szCs w:val="20"/>
                <w:color w:val="auto"/>
              </w:rPr>
            </w:pPr>
            <w:r>
              <w:rPr>
                <w:rFonts w:ascii="Times New Roman" w:cs="Times New Roman" w:eastAsia="Times New Roman" w:hAnsi="Times New Roman"/>
                <w:sz w:val="12"/>
                <w:szCs w:val="12"/>
                <w:b w:val="1"/>
                <w:bCs w:val="1"/>
                <w:color w:val="auto"/>
              </w:rPr>
              <w:t>Frequency</w:t>
            </w:r>
          </w:p>
        </w:tc>
        <w:tc>
          <w:tcPr>
            <w:tcW w:w="282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2"/>
                <w:szCs w:val="12"/>
                <w:b w:val="1"/>
                <w:bCs w:val="1"/>
                <w:color w:val="auto"/>
              </w:rPr>
              <w:t>Assignee</w:t>
            </w:r>
          </w:p>
        </w:tc>
      </w:tr>
      <w:tr>
        <w:trPr>
          <w:trHeight w:val="131"/>
        </w:trPr>
        <w:tc>
          <w:tcPr>
            <w:tcW w:w="5560" w:type="dxa"/>
            <w:vAlign w:val="bottom"/>
            <w:tcBorders>
              <w:lef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For the period under review, note if any requests for outside business activities were granted pre-approval. For</w:t>
            </w:r>
          </w:p>
        </w:tc>
        <w:tc>
          <w:tcPr>
            <w:tcW w:w="10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jc w:val="right"/>
              <w:ind w:right="2240"/>
              <w:spacing w:after="0" w:line="132" w:lineRule="exact"/>
              <w:rPr>
                <w:sz w:val="20"/>
                <w:szCs w:val="20"/>
                <w:color w:val="auto"/>
              </w:rPr>
            </w:pPr>
            <w:r>
              <w:rPr>
                <w:rFonts w:ascii="Times New Roman" w:cs="Times New Roman" w:eastAsia="Times New Roman" w:hAnsi="Times New Roman"/>
                <w:sz w:val="12"/>
                <w:szCs w:val="12"/>
                <w:color w:val="auto"/>
              </w:rPr>
              <w:t>Annually</w:t>
            </w:r>
          </w:p>
        </w:tc>
        <w:tc>
          <w:tcPr>
            <w:tcW w:w="28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CCO</w:t>
            </w:r>
          </w:p>
        </w:tc>
      </w:tr>
      <w:tr>
        <w:trPr>
          <w:trHeight w:val="144"/>
        </w:trPr>
        <w:tc>
          <w:tcPr>
            <w:tcW w:w="5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the period under review, note any instance and the conclusion of the instance, where a Supervised Person</w:t>
            </w:r>
          </w:p>
        </w:tc>
        <w:tc>
          <w:tcPr>
            <w:tcW w:w="1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44"/>
        </w:trPr>
        <w:tc>
          <w:tcPr>
            <w:tcW w:w="55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contacted the CCO because the OBA of their Immediate Family could create or appear to create a conflict of</w:t>
            </w:r>
          </w:p>
        </w:tc>
        <w:tc>
          <w:tcPr>
            <w:tcW w:w="1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r>
      <w:tr>
        <w:trPr>
          <w:trHeight w:val="155"/>
        </w:trPr>
        <w:tc>
          <w:tcPr>
            <w:tcW w:w="55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r>
      <w:tr>
        <w:trPr>
          <w:trHeight w:val="368"/>
        </w:trPr>
        <w:tc>
          <w:tcPr>
            <w:tcW w:w="5560" w:type="dxa"/>
            <w:vAlign w:val="bottom"/>
          </w:tcPr>
          <w:p>
            <w:pPr>
              <w:spacing w:after="0"/>
              <w:rPr>
                <w:sz w:val="24"/>
                <w:szCs w:val="24"/>
                <w:color w:val="auto"/>
              </w:rPr>
            </w:pPr>
          </w:p>
        </w:tc>
        <w:tc>
          <w:tcPr>
            <w:tcW w:w="2920" w:type="dxa"/>
            <w:vAlign w:val="bottom"/>
            <w:gridSpan w:val="2"/>
          </w:tcPr>
          <w:p>
            <w:pPr>
              <w:jc w:val="right"/>
              <w:ind w:right="2720"/>
              <w:spacing w:after="0"/>
              <w:rPr>
                <w:sz w:val="20"/>
                <w:szCs w:val="20"/>
                <w:color w:val="auto"/>
              </w:rPr>
            </w:pPr>
            <w:r>
              <w:rPr>
                <w:rFonts w:ascii="Times New Roman" w:cs="Times New Roman" w:eastAsia="Times New Roman" w:hAnsi="Times New Roman"/>
                <w:sz w:val="10"/>
                <w:szCs w:val="10"/>
                <w:color w:val="auto"/>
              </w:rPr>
              <w:t>10</w:t>
            </w:r>
          </w:p>
        </w:tc>
        <w:tc>
          <w:tcPr>
            <w:tcW w:w="2820" w:type="dxa"/>
            <w:vAlign w:val="bottom"/>
          </w:tcPr>
          <w:p>
            <w:pPr>
              <w:spacing w:after="0"/>
              <w:rPr>
                <w:sz w:val="24"/>
                <w:szCs w:val="24"/>
                <w:color w:val="auto"/>
              </w:rPr>
            </w:pP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0" w:right="2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2"/>
          <w:szCs w:val="12"/>
          <w:b w:val="1"/>
          <w:bCs w:val="1"/>
          <w:color w:val="auto"/>
        </w:rPr>
        <w:t>Appendix A - Glossary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Access Person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Access Persons are Supervised Persons who:</w:t>
      </w:r>
    </w:p>
    <w:p>
      <w:pPr>
        <w:spacing w:after="0" w:line="21" w:lineRule="exact"/>
        <w:rPr>
          <w:sz w:val="20"/>
          <w:szCs w:val="20"/>
          <w:color w:val="auto"/>
        </w:rPr>
      </w:pPr>
    </w:p>
    <w:p>
      <w:pPr>
        <w:ind w:left="540" w:hanging="215"/>
        <w:spacing w:after="0"/>
        <w:tabs>
          <w:tab w:leader="none" w:pos="5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access to non-public information regarding CA BDC Advisers’ Funds, or non-public information regarding the portfolio holdings of any of CA BDC Advisers’ Funds, or any CA BDC Advisers services;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involved in making investment recommendations to Clients, or have access to such recommendations that are non- public;</w:t>
      </w:r>
    </w:p>
    <w:p>
      <w:pPr>
        <w:spacing w:after="0" w:line="6" w:lineRule="exact"/>
        <w:rPr>
          <w:rFonts w:ascii="Times New Roman" w:cs="Times New Roman" w:eastAsia="Times New Roman" w:hAnsi="Times New Roman"/>
          <w:sz w:val="12"/>
          <w:szCs w:val="12"/>
          <w:color w:val="auto"/>
        </w:rPr>
      </w:pPr>
    </w:p>
    <w:p>
      <w:pPr>
        <w:ind w:left="540" w:hanging="215"/>
        <w:spacing w:after="0" w:line="250" w:lineRule="auto"/>
        <w:tabs>
          <w:tab w:leader="none" w:pos="5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their regular functions or duties, make, participate in or obtain information regarding transactions in CA BDC Advisers’ Funds or their functions relate to the making of any recommendations with respect to CA BDC Advisers’ Funds;</w:t>
      </w:r>
    </w:p>
    <w:p>
      <w:pPr>
        <w:ind w:left="540" w:right="20" w:hanging="215"/>
        <w:spacing w:after="0" w:line="250" w:lineRule="auto"/>
        <w:tabs>
          <w:tab w:leader="none" w:pos="5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personnel, such as client service representatives, administrative and technical staff, who may qualify as Access Persons if their job functions give them access to material non-pubic information or client or fund information;</w:t>
      </w:r>
    </w:p>
    <w:p>
      <w:pPr>
        <w:ind w:left="540" w:hanging="215"/>
        <w:spacing w:after="0"/>
        <w:tabs>
          <w:tab w:leader="none" w:pos="5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any other person designated by the CCO as necessary.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Account </w:t>
      </w:r>
      <w:r>
        <w:rPr>
          <w:rFonts w:ascii="Times New Roman" w:cs="Times New Roman" w:eastAsia="Times New Roman" w:hAnsi="Times New Roman"/>
          <w:sz w:val="12"/>
          <w:szCs w:val="12"/>
          <w:color w:val="auto"/>
        </w:rPr>
        <w:t>– Any accounts in which Securities (as defined below) transactions can be effected including:</w:t>
      </w:r>
    </w:p>
    <w:p>
      <w:pPr>
        <w:spacing w:after="0" w:line="21" w:lineRule="exact"/>
        <w:rPr>
          <w:sz w:val="20"/>
          <w:szCs w:val="20"/>
          <w:color w:val="auto"/>
        </w:rPr>
      </w:pPr>
    </w:p>
    <w:p>
      <w:pPr>
        <w:ind w:left="540" w:hanging="215"/>
        <w:spacing w:after="0"/>
        <w:tabs>
          <w:tab w:leader="none" w:pos="5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accounts held by any Supervised Person;</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accounts of the Supervised Person’s Immediate Family members (any relative by blood or marriage) living in the Supervised Person’s household or is financially dependent;</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accounts held by any other related individual over whose account the Supervised Person has discretionary control;</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account where the Supervised Person has discretionary control and materially contributes; and</w:t>
      </w:r>
    </w:p>
    <w:p>
      <w:pPr>
        <w:spacing w:after="0" w:line="6" w:lineRule="exact"/>
        <w:rPr>
          <w:rFonts w:ascii="Times New Roman" w:cs="Times New Roman" w:eastAsia="Times New Roman" w:hAnsi="Times New Roman"/>
          <w:sz w:val="12"/>
          <w:szCs w:val="12"/>
          <w:color w:val="auto"/>
        </w:rPr>
      </w:pPr>
    </w:p>
    <w:p>
      <w:pPr>
        <w:ind w:left="540" w:right="120" w:hanging="215"/>
        <w:spacing w:after="0" w:line="260" w:lineRule="auto"/>
        <w:tabs>
          <w:tab w:leader="none" w:pos="5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account in which the Supervised Person has a direct or indirect beneficial interest, such as trusts and custodial accounts or other accounts in which the Supervised Person has a beneficial interest or exercises investment discretion.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Advisers Act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refers to the Investment Advisers Act of 1940, as amended</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Automatic Investment Plan </w:t>
      </w:r>
      <w:r>
        <w:rPr>
          <w:rFonts w:ascii="Times New Roman" w:cs="Times New Roman" w:eastAsia="Times New Roman" w:hAnsi="Times New Roman"/>
          <w:sz w:val="12"/>
          <w:szCs w:val="12"/>
          <w:color w:val="auto"/>
        </w:rPr>
        <w:t>– A program in which regular periodic purchases (or withdrawals) are made automatically in (or from) investment accounts in accordance with a predetermined schedule and allocation. An Automatic</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Investment Plan includes a dividend reinvestment plan.</w:t>
      </w:r>
    </w:p>
    <w:p>
      <w:pPr>
        <w:spacing w:after="0" w:line="1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Beneficial Ownership </w:t>
      </w:r>
      <w:r>
        <w:rPr>
          <w:rFonts w:ascii="Times New Roman" w:cs="Times New Roman" w:eastAsia="Times New Roman" w:hAnsi="Times New Roman"/>
          <w:sz w:val="12"/>
          <w:szCs w:val="12"/>
          <w:color w:val="auto"/>
        </w:rPr>
        <w:t>– The Code applies to all accounts and securities beneficially owned by you as well as accounts under your direct or indirect influence or control. Essentially, this means that if you have the ability to profit,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directly or indirectly, or share in any profit from a transaction, you have Beneficial Ownership. If you are unsure if an account or investment falls under your beneficial ownership, contact the CCO for further guidance.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Practical Application of Beneficial Ownership:</w:t>
      </w:r>
    </w:p>
    <w:p>
      <w:pPr>
        <w:spacing w:after="0" w:line="154" w:lineRule="exact"/>
        <w:rPr>
          <w:sz w:val="20"/>
          <w:szCs w:val="20"/>
          <w:color w:val="auto"/>
        </w:rPr>
      </w:pPr>
    </w:p>
    <w:p>
      <w:pPr>
        <w:ind w:left="540" w:hanging="215"/>
        <w:spacing w:after="0"/>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live with your parents: If you live in your parents’ house but do not financially support your parents, your parents’ accounts and securities are not beneficially owned by you and do not require disclosure.</w:t>
      </w:r>
    </w:p>
    <w:p>
      <w:pPr>
        <w:spacing w:after="0" w:line="1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parent lives with you: If you provide financial support to your parent, your parent’s accounts and securities are beneficially owned by you and require disclosure.</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an adult child living in your home: If you provide financial support to your child, your child’s accounts and securities are beneficially owned by you and require disclosure.</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a college-age child: If your child is in college and you still claim the child as a dependent for tax purposes, you are the beneficial owner of their accounts and securities.</w:t>
      </w:r>
    </w:p>
    <w:p>
      <w:pPr>
        <w:spacing w:after="0" w:line="6" w:lineRule="exact"/>
        <w:rPr>
          <w:rFonts w:ascii="Times New Roman" w:cs="Times New Roman" w:eastAsia="Times New Roman" w:hAnsi="Times New Roman"/>
          <w:sz w:val="12"/>
          <w:szCs w:val="12"/>
          <w:color w:val="auto"/>
        </w:rPr>
      </w:pPr>
    </w:p>
    <w:p>
      <w:pPr>
        <w:ind w:left="540" w:hanging="215"/>
        <w:spacing w:after="0" w:line="250" w:lineRule="auto"/>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child has an UGMA/UTMA account: If you (or your spouse) are the custodian for the minor child, the child’s accounts are beneficially owned by you. If someone other than you (or your spouse) is the custodian for your minor child’s account, the account is not beneficially owned by you.</w:t>
      </w:r>
    </w:p>
    <w:p>
      <w:pPr>
        <w:ind w:left="540" w:hanging="215"/>
        <w:spacing w:after="0" w:line="250" w:lineRule="auto"/>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a domestic partner or similar cohabitation arrangement: If you contribute to the maintenance of a household and the financial support of a partner, your partner’s accounts and securities are beneficially owned by you and require disclosure.</w:t>
      </w:r>
    </w:p>
    <w:p>
      <w:pPr>
        <w:ind w:left="540" w:hanging="215"/>
        <w:spacing w:after="0"/>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a roommate: Generally, roommates are presumed to be temporary and therefore you have no beneficial ownership in one another’s accounts and securities.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power of attorney: If you have been granted power of attorney over an account, you are not the beneficial owner of the account until the time that the power of attorney has been activated.</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the trustee and/or the beneficiary of a trust: Due to the complexity and variety of trust agreements, these situations require case-by-case review by the CCO.</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Chief Compliance Officer (“CCO”) </w:t>
      </w:r>
      <w:r>
        <w:rPr>
          <w:rFonts w:ascii="Times New Roman" w:cs="Times New Roman" w:eastAsia="Times New Roman" w:hAnsi="Times New Roman"/>
          <w:sz w:val="12"/>
          <w:szCs w:val="12"/>
          <w:color w:val="auto"/>
        </w:rPr>
        <w:t>– The CCO as referenced is Collin Whitten, so designated by CA BDC Advisers. The CCO may designate additional individuals, where appropriate, to operate in the capacity of the CCO as outlined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this Code.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Client </w:t>
      </w:r>
      <w:r>
        <w:rPr>
          <w:rFonts w:ascii="Times New Roman" w:cs="Times New Roman" w:eastAsia="Times New Roman" w:hAnsi="Times New Roman"/>
          <w:sz w:val="12"/>
          <w:szCs w:val="12"/>
          <w:color w:val="auto"/>
        </w:rPr>
        <w:t>– CA BDC Advisers funds and investors within those funds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Code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refers to this Code of Ethics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Designee </w:t>
      </w:r>
      <w:r>
        <w:rPr>
          <w:rFonts w:ascii="Times New Roman" w:cs="Times New Roman" w:eastAsia="Times New Roman" w:hAnsi="Times New Roman"/>
          <w:sz w:val="12"/>
          <w:szCs w:val="12"/>
          <w:color w:val="auto"/>
        </w:rPr>
        <w:t>–a member assigned by the CCO to assist with the monitoring and enforcement of CA BDC Advisers’ Compliance Program. The CCO may appoint employees of CA BDC Advisers, a third-party consultant and/or any other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individual or entity the CCO deems appropriate.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Firm </w:t>
      </w:r>
      <w:r>
        <w:rPr>
          <w:rFonts w:ascii="Times New Roman" w:cs="Times New Roman" w:eastAsia="Times New Roman" w:hAnsi="Times New Roman"/>
          <w:sz w:val="12"/>
          <w:szCs w:val="12"/>
          <w:color w:val="auto"/>
        </w:rPr>
        <w:t>– refers to Chicago Atlantic BDC Advisers, LLC</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p>
      <w:pPr>
        <w:jc w:val="both"/>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Foreign Corrupt Practices Act (“FCPA”)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refers to the Foreign Corrupt Practices Act of 1977, as amended. The FCPA was enacted for the purpose of making it unlawful for certain classes of persons and entities to make payments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foreign government officials to assist in obtaining or retaining business. Specifically, the anti-bribery provisions of the FCPA prohibit the willful use of the mails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Fund </w:t>
      </w:r>
      <w:r>
        <w:rPr>
          <w:rFonts w:ascii="Times New Roman" w:cs="Times New Roman" w:eastAsia="Times New Roman" w:hAnsi="Times New Roman"/>
          <w:sz w:val="12"/>
          <w:szCs w:val="12"/>
          <w:color w:val="auto"/>
        </w:rPr>
        <w:t>- Any fund or business development company managed by CA BDC Advisers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Immediate Family Member of a Supervised Person </w:t>
      </w:r>
      <w:r>
        <w:rPr>
          <w:rFonts w:ascii="Times New Roman" w:cs="Times New Roman" w:eastAsia="Times New Roman" w:hAnsi="Times New Roman"/>
          <w:sz w:val="12"/>
          <w:szCs w:val="12"/>
          <w:color w:val="auto"/>
        </w:rPr>
        <w:t>– means:</w:t>
      </w:r>
    </w:p>
    <w:p>
      <w:pPr>
        <w:spacing w:after="0" w:line="21" w:lineRule="exact"/>
        <w:rPr>
          <w:sz w:val="20"/>
          <w:szCs w:val="20"/>
          <w:color w:val="auto"/>
        </w:rPr>
      </w:pPr>
    </w:p>
    <w:p>
      <w:pPr>
        <w:ind w:left="540" w:right="20" w:hanging="215"/>
        <w:spacing w:after="0" w:line="250" w:lineRule="auto"/>
        <w:tabs>
          <w:tab w:leader="none" w:pos="5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following persons sharing the same household with the Supervised Person (which does not include temporary house guests): a person’s child, stepchild, grandchild, parent, stepparent, grandparent, spouse, sibling, mother-in-law, father-in-law, son-in-law, daughter-in-law, brother-in-law, sister-in-law, legal guardian, adoptive relative, or domestic partner;</w:t>
      </w:r>
    </w:p>
    <w:p>
      <w:pPr>
        <w:ind w:left="540" w:hanging="215"/>
        <w:spacing w:after="0"/>
        <w:tabs>
          <w:tab w:leader="none" w:pos="5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sharing the same household with the Supervised Person (which does not include temporary house guests) that holds an account in which the Supervised Person is a joint owner or listed as a beneficiary; or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sharing the same household with the Supervised Person in which the Supervised Person contributes to the maintenance of the household and material financial support of such person.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Initial Public Offering (“IPO”) </w:t>
      </w:r>
      <w:r>
        <w:rPr>
          <w:rFonts w:ascii="Times New Roman" w:cs="Times New Roman" w:eastAsia="Times New Roman" w:hAnsi="Times New Roman"/>
          <w:sz w:val="12"/>
          <w:szCs w:val="12"/>
          <w:color w:val="auto"/>
        </w:rPr>
        <w:t>- generally refers to when a company first sells its shares to the public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Investor </w:t>
      </w:r>
      <w:r>
        <w:rPr>
          <w:rFonts w:ascii="Times New Roman" w:cs="Times New Roman" w:eastAsia="Times New Roman" w:hAnsi="Times New Roman"/>
          <w:sz w:val="12"/>
          <w:szCs w:val="12"/>
          <w:color w:val="auto"/>
        </w:rPr>
        <w:t>- Investors in at least one CA BDC Advisers fund or fund-related investment vehicle</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Material Non-Public Information (“MNPI”) – </w:t>
      </w:r>
      <w:r>
        <w:rPr>
          <w:rFonts w:ascii="Times New Roman" w:cs="Times New Roman" w:eastAsia="Times New Roman" w:hAnsi="Times New Roman"/>
          <w:sz w:val="12"/>
          <w:szCs w:val="12"/>
          <w:color w:val="auto"/>
        </w:rPr>
        <w:t>Any information that has not been publicly disseminated, or that was obtained legitimately while acting in a role of trust or confidence of an issuer or that was obtained wrongfully from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 issuer or such person acting in a role of trust or confidence that a reasonable investor would consider important in making a decision to buy, hold or sell a company’s securities. Regardless of whether it is positive or negative, historical or forward looking, any information that a reasonable investor could expect to affect a company’s stock price. Material Nonpublic Information may include:</w:t>
      </w: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projections of future earnings or losses;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news of a possible merger, acquisition or tender offer;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new products or services or delays in new product or service introduction or development;</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plans to raise additional capital through stock sales or otherwise;</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gain or loss of a significant customer, partner or supplier;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discoveries, or grants or allowances or disallowances of patents;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management;</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news of a significant sale of assets;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impending bankruptcy or financial liquidity problems; or</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dividend policies or the declaration of a stock split.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ACA Compliance Alpha </w:t>
      </w:r>
      <w:r>
        <w:rPr>
          <w:rFonts w:ascii="Times New Roman" w:cs="Times New Roman" w:eastAsia="Times New Roman" w:hAnsi="Times New Roman"/>
          <w:sz w:val="12"/>
          <w:szCs w:val="12"/>
          <w:color w:val="auto"/>
        </w:rPr>
        <w:t>– An on-line compliance management application used for Supervised Persons to disclose all personal compliance disclosures including items found in Section 5 - Personal Account Dealing.</w:t>
      </w:r>
    </w:p>
    <w:p>
      <w:pPr>
        <w:spacing w:after="0" w:line="1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Reportable Securities </w:t>
      </w:r>
      <w:r>
        <w:rPr>
          <w:rFonts w:ascii="Times New Roman" w:cs="Times New Roman" w:eastAsia="Times New Roman" w:hAnsi="Times New Roman"/>
          <w:sz w:val="12"/>
          <w:szCs w:val="12"/>
          <w:color w:val="auto"/>
        </w:rPr>
        <w:t>– Rule 204A-1 treats all securities as reportable securities, with five exceptions designed to exclude securities that appear to present little opportunity for the type of improper trading on behalf of a Supervised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Person which the restrictions are designed to mitigate and /or uncover. These include:</w:t>
      </w:r>
    </w:p>
    <w:p>
      <w:pPr>
        <w:ind w:left="540" w:hanging="215"/>
        <w:spacing w:after="0"/>
        <w:tabs>
          <w:tab w:leader="none" w:pos="5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and holdings in direct obligations of the Government of the United States.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 market instruments — bankers' acceptances, bank certificates of deposit, commercial paper, repurchase agreements and other high quality short-term debt instruments.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money market funds.</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and holdings in shares of other types of mutual funds, unless the adviser or a control affiliate acts as the investment adviser or principal underwriter for the fund.</w:t>
      </w:r>
    </w:p>
    <w:p>
      <w:pPr>
        <w:spacing w:after="0" w:line="6" w:lineRule="exact"/>
        <w:rPr>
          <w:rFonts w:ascii="Times New Roman" w:cs="Times New Roman" w:eastAsia="Times New Roman" w:hAnsi="Times New Roman"/>
          <w:sz w:val="12"/>
          <w:szCs w:val="12"/>
          <w:color w:val="auto"/>
        </w:rPr>
      </w:pPr>
    </w:p>
    <w:p>
      <w:pPr>
        <w:ind w:left="540" w:hanging="215"/>
        <w:spacing w:after="0"/>
        <w:tabs>
          <w:tab w:leader="none" w:pos="5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in units of a unit investment trust if the unit investment trust is invested exclusively in unaffiliated mutual funds.</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Securities Transactions – </w:t>
      </w:r>
      <w:r>
        <w:rPr>
          <w:rFonts w:ascii="Times New Roman" w:cs="Times New Roman" w:eastAsia="Times New Roman" w:hAnsi="Times New Roman"/>
          <w:sz w:val="12"/>
          <w:szCs w:val="12"/>
          <w:color w:val="auto"/>
        </w:rPr>
        <w:t>The term “Securities Transactions” as used within this Code typically refers to the purchase and/or sale of Securities, (as defined herein), by a Supervised Person. Securities Transactions shall include any gift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Reportable Securities that is given or received by the Supervised Person, including any inheritance received that includes Reportable Securities.</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Supervised Person </w:t>
      </w:r>
      <w:r>
        <w:rPr>
          <w:rFonts w:ascii="Times New Roman" w:cs="Times New Roman" w:eastAsia="Times New Roman" w:hAnsi="Times New Roman"/>
          <w:sz w:val="12"/>
          <w:szCs w:val="12"/>
          <w:color w:val="auto"/>
        </w:rPr>
        <w:t>– The Advisers Act defines “Supervised Person” to mean any partner, officer, director (or other person occupying a similar status or performing similar functions), or employee of an investment adviser, or other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person who provides investment advice on behalf of the investment adviser and is subject to the supervision and control of the investment adviser.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Also referred to as “Supervised Persons” or “Access Persons” in this Code. Supervised Persons of CA BDC Advisers include all directors, officers, and any other personnel as designated as a Supervised Person by the CCO.</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b w:val="1"/>
          <w:bCs w:val="1"/>
          <w:color w:val="auto"/>
        </w:rPr>
        <w:t>Appendix B – Revision History</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60" w:type="dxa"/>
            <w:vAlign w:val="bottom"/>
            <w:tcBorders>
              <w:top w:val="single" w:sz="8" w:color="auto"/>
              <w:left w:val="single" w:sz="8" w:color="auto"/>
              <w:bottom w:val="single" w:sz="8" w:color="auto"/>
              <w:right w:val="single" w:sz="8" w:color="auto"/>
            </w:tcBorders>
            <w:shd w:val="clear" w:color="auto" w:fill="EEEEEE"/>
          </w:tcPr>
          <w:p>
            <w:pPr>
              <w:spacing w:after="0"/>
              <w:rPr>
                <w:sz w:val="14"/>
                <w:szCs w:val="14"/>
                <w:color w:val="auto"/>
              </w:rPr>
            </w:pPr>
          </w:p>
        </w:tc>
        <w:tc>
          <w:tcPr>
            <w:tcW w:w="5640" w:type="dxa"/>
            <w:vAlign w:val="bottom"/>
            <w:tcBorders>
              <w:top w:val="single" w:sz="8" w:color="auto"/>
              <w:bottom w:val="single" w:sz="8" w:color="auto"/>
              <w:right w:val="single" w:sz="8" w:color="auto"/>
            </w:tcBorders>
            <w:shd w:val="clear" w:color="auto" w:fill="EEEEEE"/>
          </w:tcPr>
          <w:p>
            <w:pPr>
              <w:spacing w:after="0"/>
              <w:rPr>
                <w:sz w:val="14"/>
                <w:szCs w:val="14"/>
                <w:color w:val="auto"/>
              </w:rPr>
            </w:pPr>
          </w:p>
        </w:tc>
      </w:tr>
      <w:tr>
        <w:trPr>
          <w:trHeight w:val="142"/>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Revision Date:</w:t>
            </w:r>
          </w:p>
        </w:tc>
        <w:tc>
          <w:tcPr>
            <w:tcW w:w="5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04/2023: Update to CCO</w:t>
            </w:r>
          </w:p>
        </w:tc>
      </w:tr>
      <w:tr>
        <w:trPr>
          <w:trHeight w:val="142"/>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Revision Date:</w:t>
            </w:r>
          </w:p>
        </w:tc>
        <w:tc>
          <w:tcPr>
            <w:tcW w:w="5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12/2023: Test Procedure tables added</w:t>
            </w:r>
          </w:p>
        </w:tc>
      </w:tr>
      <w:tr>
        <w:trPr>
          <w:trHeight w:val="142"/>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Revision Date:</w:t>
            </w:r>
          </w:p>
        </w:tc>
        <w:tc>
          <w:tcPr>
            <w:tcW w:w="5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06/2024: Update to CCO</w:t>
            </w:r>
          </w:p>
        </w:tc>
      </w:tr>
      <w:tr>
        <w:trPr>
          <w:trHeight w:val="142"/>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Revision Date:</w:t>
            </w:r>
          </w:p>
        </w:tc>
        <w:tc>
          <w:tcPr>
            <w:tcW w:w="5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10/2024: Update to reflect firm name change</w:t>
            </w:r>
          </w:p>
        </w:tc>
      </w:tr>
      <w:tr>
        <w:trPr>
          <w:trHeight w:val="142"/>
        </w:trPr>
        <w:tc>
          <w:tcPr>
            <w:tcW w:w="5660" w:type="dxa"/>
            <w:vAlign w:val="bottom"/>
            <w:tcBorders>
              <w:left w:val="single" w:sz="8" w:color="auto"/>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2"/>
        </w:trPr>
        <w:tc>
          <w:tcPr>
            <w:tcW w:w="5660" w:type="dxa"/>
            <w:vAlign w:val="bottom"/>
            <w:tcBorders>
              <w:left w:val="single" w:sz="8" w:color="auto"/>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2"/>
        </w:trPr>
        <w:tc>
          <w:tcPr>
            <w:tcW w:w="5660" w:type="dxa"/>
            <w:vAlign w:val="bottom"/>
            <w:tcBorders>
              <w:left w:val="single" w:sz="8" w:color="auto"/>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2"/>
        </w:trPr>
        <w:tc>
          <w:tcPr>
            <w:tcW w:w="5660" w:type="dxa"/>
            <w:vAlign w:val="bottom"/>
            <w:tcBorders>
              <w:left w:val="single" w:sz="8" w:color="auto"/>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2"/>
        </w:trPr>
        <w:tc>
          <w:tcPr>
            <w:tcW w:w="5660" w:type="dxa"/>
            <w:vAlign w:val="bottom"/>
            <w:tcBorders>
              <w:left w:val="single" w:sz="8" w:color="auto"/>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2"/>
        </w:trPr>
        <w:tc>
          <w:tcPr>
            <w:tcW w:w="5660" w:type="dxa"/>
            <w:vAlign w:val="bottom"/>
            <w:tcBorders>
              <w:left w:val="single" w:sz="8" w:color="auto"/>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78040"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19.1</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Chicago Atlantic BDC, Inc. Insider Trading Policy and Procedures</w:t>
      </w:r>
    </w:p>
    <w:p>
      <w:pPr>
        <w:spacing w:after="0" w:line="143" w:lineRule="exact"/>
        <w:rPr>
          <w:sz w:val="20"/>
          <w:szCs w:val="20"/>
          <w:color w:val="auto"/>
        </w:rPr>
      </w:pPr>
    </w:p>
    <w:p>
      <w:pPr>
        <w:jc w:val="both"/>
        <w:ind w:left="8"/>
        <w:spacing w:after="0" w:line="218" w:lineRule="auto"/>
        <w:rPr>
          <w:sz w:val="20"/>
          <w:szCs w:val="20"/>
          <w:color w:val="auto"/>
        </w:rPr>
      </w:pPr>
      <w:r>
        <w:rPr>
          <w:rFonts w:ascii="Times New Roman" w:cs="Times New Roman" w:eastAsia="Times New Roman" w:hAnsi="Times New Roman"/>
          <w:sz w:val="12"/>
          <w:szCs w:val="12"/>
          <w:color w:val="auto"/>
        </w:rPr>
        <w:t xml:space="preserve">Chicago Atlantic BDC, Inc. (the "Company") has adopted this policy and procedure on insider trading (the “Policy”) which applies to each Officer and Director of the Company and members of their respective families/household </w:t>
      </w:r>
      <w:r>
        <w:rPr>
          <w:rFonts w:ascii="Times New Roman" w:cs="Times New Roman" w:eastAsia="Times New Roman" w:hAnsi="Times New Roman"/>
          <w:sz w:val="19"/>
          <w:szCs w:val="19"/>
          <w:u w:val="single" w:color="auto"/>
          <w:color w:val="0000EE"/>
          <w:vertAlign w:val="superscript"/>
        </w:rPr>
        <w:t>1</w:t>
      </w:r>
      <w:r>
        <w:rPr>
          <w:rFonts w:ascii="Times New Roman" w:cs="Times New Roman" w:eastAsia="Times New Roman" w:hAnsi="Times New Roman"/>
          <w:sz w:val="12"/>
          <w:szCs w:val="12"/>
          <w:color w:val="auto"/>
        </w:rPr>
        <w:t>. Furthermore, the Company CCO will ensure that any such each of the Fund’s service providers, each of which may have regular access to material information that is not publicly available, has policies and procedures to prevent insider trading. Under this Policy, the Officers and Directors, are forbidden from:</w:t>
      </w:r>
    </w:p>
    <w:p>
      <w:pPr>
        <w:spacing w:after="0" w:line="127" w:lineRule="exact"/>
        <w:rPr>
          <w:sz w:val="20"/>
          <w:szCs w:val="20"/>
          <w:color w:val="auto"/>
        </w:rPr>
      </w:pPr>
    </w:p>
    <w:p>
      <w:pPr>
        <w:ind w:left="468" w:hanging="252"/>
        <w:spacing w:after="0"/>
        <w:tabs>
          <w:tab w:leader="none" w:pos="46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trading in any securities on the basis of material, nonpublic information (“MNPI”) or inside information </w:t>
      </w:r>
      <w:r>
        <w:rPr>
          <w:rFonts w:ascii="Times New Roman" w:cs="Times New Roman" w:eastAsia="Times New Roman" w:hAnsi="Times New Roman"/>
          <w:sz w:val="19"/>
          <w:szCs w:val="19"/>
          <w:u w:val="single" w:color="auto"/>
          <w:color w:val="0000EE"/>
          <w:vertAlign w:val="superscript"/>
        </w:rPr>
        <w:t>2</w:t>
      </w:r>
      <w:r>
        <w:rPr>
          <w:rFonts w:ascii="Times New Roman" w:cs="Times New Roman" w:eastAsia="Times New Roman" w:hAnsi="Times New Roman"/>
          <w:sz w:val="12"/>
          <w:szCs w:val="12"/>
          <w:color w:val="auto"/>
        </w:rPr>
        <w:t>.</w:t>
      </w:r>
    </w:p>
    <w:p>
      <w:pPr>
        <w:spacing w:after="0" w:line="76" w:lineRule="exact"/>
        <w:rPr>
          <w:rFonts w:ascii="Times New Roman" w:cs="Times New Roman" w:eastAsia="Times New Roman" w:hAnsi="Times New Roman"/>
          <w:sz w:val="12"/>
          <w:szCs w:val="12"/>
          <w:color w:val="auto"/>
        </w:rPr>
      </w:pPr>
    </w:p>
    <w:p>
      <w:pPr>
        <w:ind w:left="468" w:hanging="252"/>
        <w:spacing w:after="0"/>
        <w:tabs>
          <w:tab w:leader="none" w:pos="46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having others trade for such person in such securities while he or she is in possession of MNPI.</w:t>
      </w:r>
    </w:p>
    <w:p>
      <w:pPr>
        <w:spacing w:after="0" w:line="150" w:lineRule="exact"/>
        <w:rPr>
          <w:rFonts w:ascii="Times New Roman" w:cs="Times New Roman" w:eastAsia="Times New Roman" w:hAnsi="Times New Roman"/>
          <w:sz w:val="12"/>
          <w:szCs w:val="12"/>
          <w:color w:val="auto"/>
        </w:rPr>
      </w:pPr>
    </w:p>
    <w:p>
      <w:pPr>
        <w:ind w:left="468" w:hanging="252"/>
        <w:spacing w:after="0"/>
        <w:tabs>
          <w:tab w:leader="none" w:pos="46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recommending trading in a security to which MNPI relates, or otherwise recommend the purchase or sale of any such securities.</w:t>
      </w:r>
    </w:p>
    <w:p>
      <w:pPr>
        <w:spacing w:after="0" w:line="150" w:lineRule="exact"/>
        <w:rPr>
          <w:rFonts w:ascii="Times New Roman" w:cs="Times New Roman" w:eastAsia="Times New Roman" w:hAnsi="Times New Roman"/>
          <w:sz w:val="12"/>
          <w:szCs w:val="12"/>
          <w:color w:val="auto"/>
        </w:rPr>
      </w:pPr>
    </w:p>
    <w:p>
      <w:pPr>
        <w:ind w:left="468" w:hanging="252"/>
        <w:spacing w:after="0"/>
        <w:tabs>
          <w:tab w:leader="none" w:pos="46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communicating (or “tipping”) to others confidential or nonpublic information concerning the Company orother companies.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Policy contains a discussion of insider trading and describes the special trading restrictions applicable to those subject to these requirements.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What is “Insider Trading?”</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Insider trading is a violation of the Company’s policy and a violation of the Federal Securities Laws.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term “insider trading” generally is used to refer to the use of MNPI to trade in securities, or the communication of MNPI to others who may trade on the basis of such information.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While the law concerning insider trading is not static, it is generally understood that the law prohibits “insiders” from:</w:t>
      </w:r>
    </w:p>
    <w:p>
      <w:pPr>
        <w:spacing w:after="0" w:line="150" w:lineRule="exact"/>
        <w:rPr>
          <w:sz w:val="20"/>
          <w:szCs w:val="20"/>
          <w:color w:val="auto"/>
        </w:rPr>
      </w:pPr>
    </w:p>
    <w:p>
      <w:pPr>
        <w:ind w:left="468" w:hanging="252"/>
        <w:spacing w:after="0"/>
        <w:tabs>
          <w:tab w:leader="none" w:pos="468"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in impacted securities while in possession of MNPI.</w:t>
      </w:r>
    </w:p>
    <w:p>
      <w:pPr>
        <w:spacing w:after="0" w:line="150" w:lineRule="exact"/>
        <w:rPr>
          <w:rFonts w:ascii="Times New Roman" w:cs="Times New Roman" w:eastAsia="Times New Roman" w:hAnsi="Times New Roman"/>
          <w:sz w:val="12"/>
          <w:szCs w:val="12"/>
          <w:color w:val="auto"/>
        </w:rPr>
      </w:pPr>
    </w:p>
    <w:p>
      <w:pPr>
        <w:ind w:left="468" w:hanging="252"/>
        <w:spacing w:after="0"/>
        <w:tabs>
          <w:tab w:leader="none" w:pos="468"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having others trade on the insider’s behalf while the insider is in possession of MNPI.</w:t>
      </w:r>
    </w:p>
    <w:p>
      <w:pPr>
        <w:spacing w:after="0" w:line="150" w:lineRule="exact"/>
        <w:rPr>
          <w:rFonts w:ascii="Times New Roman" w:cs="Times New Roman" w:eastAsia="Times New Roman" w:hAnsi="Times New Roman"/>
          <w:sz w:val="12"/>
          <w:szCs w:val="12"/>
          <w:color w:val="auto"/>
        </w:rPr>
      </w:pPr>
    </w:p>
    <w:p>
      <w:pPr>
        <w:ind w:left="468" w:hanging="252"/>
        <w:spacing w:after="0" w:line="279" w:lineRule="auto"/>
        <w:tabs>
          <w:tab w:leader="none" w:pos="468"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communicating nonpublic information to others who may then trade impacted securities or pass on the information to others who may trade impacted securities. Such conduct, also known as “tipping,” results in liability for the insider who communicates the information, even if the insider does not actually trade, and for the person who receives and trades on suchinformation.</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elements of insider trading and the potential penalties for such unlawful conduct are discussed below in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434465"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1434465" cy="11430"/>
                    </a:xfrm>
                    <a:prstGeom prst="rect">
                      <a:avLst/>
                    </a:prstGeom>
                    <a:noFill/>
                  </pic:spPr>
                </pic:pic>
              </a:graphicData>
            </a:graphic>
          </wp:anchor>
        </w:drawing>
      </w:r>
    </w:p>
    <w:p>
      <w:pPr>
        <w:spacing w:after="0" w:line="292" w:lineRule="exact"/>
        <w:rPr>
          <w:sz w:val="20"/>
          <w:szCs w:val="20"/>
          <w:color w:val="auto"/>
        </w:rPr>
      </w:pPr>
    </w:p>
    <w:p>
      <w:pPr>
        <w:ind w:left="8" w:right="60" w:hanging="8"/>
        <w:spacing w:after="0" w:line="210" w:lineRule="auto"/>
        <w:tabs>
          <w:tab w:leader="none" w:pos="88" w:val="left"/>
        </w:tabs>
        <w:numPr>
          <w:ilvl w:val="0"/>
          <w:numId w:val="1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For purposes of this Policy, members of your family/household include: (i) your spouse or domestic partner (unless they do not live in the same household as you and you do not contribute in any way to their support); (ii) your children under the age of 18; (iii) your children who are 18 or older (unless they do not live in the same household as you and you do not contribute in any way to their support); and (iv) any of your stepchildren, grandchildren, parents, stepparents, grandparents, brothers, sisters, parents-in-law, sons-in-law, daughters-in-law, brothers-in-law and sisters-in-law (including in each case adoptive relationships) who live in your household.</w:t>
      </w:r>
    </w:p>
    <w:p>
      <w:pPr>
        <w:ind w:left="8"/>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Any securities about which an insider has MNPI, including securities of the Company, are henceforth referred to as “impacted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7804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24" w:right="2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2"/>
          <w:szCs w:val="12"/>
          <w:b w:val="1"/>
          <w:bCs w:val="1"/>
          <w:color w:val="auto"/>
        </w:rPr>
        <w:t>Who is an Insider?</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concept of “insider” is broad and generally includes any person who possesses nonpublic information about the Company and who has a duty to the Company to keep this information confidential. In the case of the Company,“insiders” include officers and directors of the Company and any Access Person (as defined in the Investment Advisers Act of 1940) of the Company’s investment adviser or person who may have regular access to MNPI. In addition, a person can be a “temporary insider” if he/she enters into a relationship to serve the Company and as a result gains access to inside information. Outsiders who routinelybecome temporary insiders include, among others, the Company’s attorneys, accountants, consultants and other service providers.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Material Information?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Trading while in the possession of inside information is not a basis for liability unless the information is “material.” Information is generally defined as material if there is a substantial likelihood that a reasonable investor would consider such information important in making his or her investment decisions, or information that is reasonably certain to affect the price of impacted securities. It is important to remember that materiality will always be judged with the benefit of hindsight. Simply stated, “inside” information could be material because of its expected effect on the price of securities. Whether a particular event or fact constitutes material information will depend on the surrounding facts and circumstances and must be decided on a case-by-case basis. You should consult with the Company CCO if there appears to be any potential question as to whether non-public information is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Material information concerning a company may include, but is not limited to:</w:t>
      </w:r>
    </w:p>
    <w:p>
      <w:pPr>
        <w:spacing w:after="0" w:line="150" w:lineRule="exact"/>
        <w:rPr>
          <w:sz w:val="20"/>
          <w:szCs w:val="20"/>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Dividend or earnings announcements;</w:t>
      </w:r>
    </w:p>
    <w:p>
      <w:pPr>
        <w:spacing w:after="0" w:line="1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write-downs or write-offs;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to reserves for bad debts or contingent liabilities;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Expansion or curtailment of company or major division operations;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 or joint venture announcements;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product/service announcements;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Discovery or research developments;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Criminal, civil or government investigations or indictments;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Court decisions;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Labor disputes;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service or liquidity problems;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Bankruptcy or insolvency;</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Tender offers or stock repurchase plans;</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raising plans; or</w:t>
      </w:r>
    </w:p>
    <w:p>
      <w:pPr>
        <w:spacing w:after="0" w:line="6"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Recapitalization plans.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Nonpublic Information?</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order for information to qualify as “inside” information it must not only be “material,” it must be “nonpublic.” “Nonpublic” information is information which has not been made available to investors generally. This includes information received from sources or in circumstances indicating that the information has not yet been generally circulated.</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At such time as MNPI has been released to the investing public, it loses its status as “inside” information. However, for “nonpublic” information to become public information it must be disseminated through recognized channels of distribution designed to reach the securities marketplace, and sufficient time must pass for the information to become available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6" w:name="page157"/>
    <w:bookmarkEnd w:id="156"/>
    <w:p>
      <w:pPr>
        <w:jc w:val="both"/>
        <w:spacing w:after="0" w:line="265" w:lineRule="auto"/>
        <w:rPr>
          <w:sz w:val="20"/>
          <w:szCs w:val="20"/>
          <w:color w:val="auto"/>
        </w:rPr>
      </w:pPr>
      <w:r>
        <w:rPr>
          <w:rFonts w:ascii="Times New Roman" w:cs="Times New Roman" w:eastAsia="Times New Roman" w:hAnsi="Times New Roman"/>
          <w:sz w:val="12"/>
          <w:szCs w:val="12"/>
          <w:color w:val="auto"/>
        </w:rPr>
        <w:t>MNPI is not made public by selective dissemination. Material information improperly disclosed only to a select group of investors or analysts retains its status as “nonpublic” information the use of which is subject to insider trading laws, as well as constituting a violation of the SEC’s prohibition against selective disclosure. Similarly, partial disclosure does not constitute public dissemination. So long as any material componentof the “inside” information has yet to be publicly disclosed, the information is deemed “nonpublic.”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Penalties for Insider Trading</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Penalties for trading on or communicating MNPI are severe, both for the individuals involved in such unlawful conduct and, potentially, for their employers. A person can be subject to some or all of the penalties below, even if he or she does not personally benefit from the violation (i.e., if the violation was one for tipping information). Penalties include:</w:t>
      </w:r>
    </w:p>
    <w:p>
      <w:pPr>
        <w:spacing w:after="0" w:line="111" w:lineRule="exact"/>
        <w:rPr>
          <w:sz w:val="20"/>
          <w:szCs w:val="20"/>
          <w:color w:val="auto"/>
        </w:rPr>
      </w:pPr>
    </w:p>
    <w:p>
      <w:pPr>
        <w:ind w:left="460" w:hanging="252"/>
        <w:spacing w:after="0"/>
        <w:tabs>
          <w:tab w:leader="none" w:pos="4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Cancellation of trades;</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Employment actions up to and including termination and referral to regulatory and/or law enforcement authorities;</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jail sentences of up to ten (10) years (twenty-five (25) years if the conduct constitutes fraud);</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disgorgement of profits;</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for the person who committed the violation of up to three times the profit gained, or loss avoided,whether or not the person actually benefited; and/or</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for the employer of other controlling person(s), such as a supervisor, of up to the greater of $1 million or three times the amount of the profit gained, or loss avoided.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should be understood as a brief synopsis of a complex legal subject matter and shall not be deemed to prohibit conduct that is otherwise lawful and consistent with fiduciary duty.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Trading Plans</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December 14, 2022, the Securities and Exchange Commission adopted new and amended rules focused on Rule 10b5-1 trading arrangements and other securities transactions involving corporate insiders, including directors and officers (“Trader(s)” or “insider”).</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Traders may use Rule 10b5-1 trading plans (“Trading Plan”) to sell and buy stock, and the Company may use such plans when conducting stock buybacks. Properly used, Rule 10b5-1 trading plans will help the Company and its insiders establish an affirmative defense to insider trading laws when engaging in everyday stock transactions.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 is the Company’s policy to meet the requirements of Rule 10b5-1 for securities transactions executed according to a plan entered into, where the Trader does not have material nonpublic information, or MNPI, about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Good faith requirement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and Traders must adopt Rule 10b5-1 trading plans in good faith and must act in good faith with respect to the plan from the time of adoption through the duration of the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Mandatory cooling-off periods for insiders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color w:val="auto"/>
        </w:rPr>
        <w:t>Rule 10b5-1 requires the follow cooling-off period between the date a Trading Plan is adopted and the date of the first by Traders in relation to the adoption of modification of a Trading Plan:</w:t>
      </w:r>
    </w:p>
    <w:p>
      <w:pPr>
        <w:spacing w:after="0" w:line="150" w:lineRule="exact"/>
        <w:rPr>
          <w:sz w:val="20"/>
          <w:szCs w:val="20"/>
          <w:color w:val="auto"/>
        </w:rPr>
      </w:pPr>
    </w:p>
    <w:p>
      <w:pPr>
        <w:ind w:left="460" w:hanging="252"/>
        <w:spacing w:after="0" w:line="279" w:lineRule="auto"/>
        <w:tabs>
          <w:tab w:leader="none" w:pos="4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At least 90 days for directors and officers.</w:t>
      </w:r>
      <w:r>
        <w:rPr>
          <w:rFonts w:ascii="Times New Roman" w:cs="Times New Roman" w:eastAsia="Times New Roman" w:hAnsi="Times New Roman"/>
          <w:sz w:val="12"/>
          <w:szCs w:val="12"/>
          <w:color w:val="auto"/>
        </w:rPr>
        <w:t xml:space="preserve"> A cooling-off period begins on the date of plan adoption or modification by a Company director or officer and ends the later of (1) 90 days thereafter and (2) two business days following filing of a Form 10-Q or 10-K covering the financial reporting period in which the plan was adopted or modified, but in no event later than 120 days.</w:t>
      </w:r>
    </w:p>
    <w:p>
      <w:pPr>
        <w:spacing w:after="0" w:line="111"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30 days for traders other than directors and officers.</w:t>
      </w:r>
      <w:r>
        <w:rPr>
          <w:rFonts w:ascii="Times New Roman" w:cs="Times New Roman" w:eastAsia="Times New Roman" w:hAnsi="Times New Roman"/>
          <w:sz w:val="12"/>
          <w:szCs w:val="12"/>
          <w:color w:val="auto"/>
        </w:rPr>
        <w:t xml:space="preserve"> A cooling-off period begins on the date of plan adoption or modification for traders other than directors and officers.</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Under Rule 10b5-1, only certain types of plan modifications will trigger a new cooling-off period. Modifications that do not change the pricing, amount of securities or timing of trades will not trigger a new cooling-off period. Instances where a broker executing trades on behalf of the insider under Rule 10b5-1 is substituted by a different broker would not require triggering of a cooling-off period, so long as the purchase or sales instructions remain the same.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Prohibition on insiders adopting overlapping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Rule 10b5-1 restricts anyone other than the Company from using multiple overlapping Trading Plans.</w:t>
      </w:r>
    </w:p>
    <w:p>
      <w:pPr>
        <w:spacing w:after="0" w:line="150" w:lineRule="exact"/>
        <w:rPr>
          <w:sz w:val="20"/>
          <w:szCs w:val="20"/>
          <w:color w:val="auto"/>
        </w:rPr>
      </w:pPr>
    </w:p>
    <w:p>
      <w:pPr>
        <w:ind w:left="460" w:right="20" w:hanging="252"/>
        <w:spacing w:after="0" w:line="279" w:lineRule="auto"/>
        <w:tabs>
          <w:tab w:leader="none" w:pos="46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Series of contracts treated as a single plan.</w:t>
      </w:r>
      <w:r>
        <w:rPr>
          <w:rFonts w:ascii="Times New Roman" w:cs="Times New Roman" w:eastAsia="Times New Roman" w:hAnsi="Times New Roman"/>
          <w:sz w:val="12"/>
          <w:szCs w:val="12"/>
          <w:color w:val="auto"/>
        </w:rPr>
        <w:t xml:space="preserve"> A series of separate contracts with different brokers may be treated as a single plan so long as the contracts taken together meet the conditions under the rule (but a modification of any contract would be treated as a modification of each other contract under the plan).</w:t>
      </w:r>
    </w:p>
    <w:p>
      <w:pPr>
        <w:spacing w:after="0" w:line="111" w:lineRule="exact"/>
        <w:rPr>
          <w:rFonts w:ascii="Times New Roman" w:cs="Times New Roman" w:eastAsia="Times New Roman" w:hAnsi="Times New Roman"/>
          <w:sz w:val="12"/>
          <w:szCs w:val="12"/>
          <w:color w:val="auto"/>
        </w:rPr>
      </w:pPr>
    </w:p>
    <w:p>
      <w:pPr>
        <w:ind w:left="460" w:hanging="252"/>
        <w:spacing w:after="0" w:line="279" w:lineRule="auto"/>
        <w:tabs>
          <w:tab w:leader="none" w:pos="46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Overlapping plans that do not authorize trading during same period allowed under certain circumstances.</w:t>
      </w:r>
      <w:r>
        <w:rPr>
          <w:rFonts w:ascii="Times New Roman" w:cs="Times New Roman" w:eastAsia="Times New Roman" w:hAnsi="Times New Roman"/>
          <w:sz w:val="12"/>
          <w:szCs w:val="12"/>
          <w:color w:val="auto"/>
        </w:rPr>
        <w:t xml:space="preserve"> Multiple concurrent Rule 10b5-1 plans are permitted if trading under a later commencing plan is not authorized until all trades under earlier-commencing plans are completed.</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However, where the first trade under a later-commencing plan is scheduled during what would have been the cooling-off period for that plan assuming the termination date of the earlier- commencing plan were deemed to be the date of adoption of the later-commencing plan, then Rule 10b5-1 would not be available for the later-commencing plan.</w:t>
      </w:r>
    </w:p>
    <w:p>
      <w:pPr>
        <w:spacing w:after="0" w:line="111" w:lineRule="exact"/>
        <w:rPr>
          <w:sz w:val="20"/>
          <w:szCs w:val="20"/>
          <w:color w:val="auto"/>
        </w:rPr>
      </w:pPr>
    </w:p>
    <w:p>
      <w:pPr>
        <w:ind w:left="460" w:hanging="252"/>
        <w:spacing w:after="0" w:line="279" w:lineRule="auto"/>
        <w:tabs>
          <w:tab w:leader="none" w:pos="46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“Sell-to-cover” tax withholding plans allowed.</w:t>
      </w:r>
      <w:r>
        <w:rPr>
          <w:rFonts w:ascii="Times New Roman" w:cs="Times New Roman" w:eastAsia="Times New Roman" w:hAnsi="Times New Roman"/>
          <w:sz w:val="12"/>
          <w:szCs w:val="12"/>
          <w:color w:val="auto"/>
        </w:rPr>
        <w:t xml:space="preserve"> A separate plan is permitted for purposes of “sell- to-cover” transactions under which the insider instructs their broker to sell securities to satisfy tax withholding obligations in connection with the vesting of incentive compensation. This exception does not apply to sell-to-cover in connection with option exercises.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Limitation on single-trade plans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Trading Plan is permitted for only one “single trade” plan entered into by a Trader during any 12- month period. The single-trade limitation also allows sell-to-cover transactions, mirroring the accommodation described above in the context of overlapping plans.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Officer and director representations</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Upon adopting a Trading Plan, the relevant officer or director of the Company is required to certify to the company in writing that that at the time of the adoption of a new or modified Rule 10b5-1 Trading Plan they are not aware of any MNPI about the Company or its securities, and that they are adopting the plan in good faith and not as part of a plan to evade the prohibition against illegal insider trading. The representations may be included in a Rule 10b5-1 plan’s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7804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i w:val="1"/>
          <w:iCs w:val="1"/>
          <w:color w:val="auto"/>
        </w:rPr>
        <w:t>Non-Rule 10b5-1 trading arrangements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 trading arrangement with respect to a Company insider would be a “non-Rule 10b5-1 trading arrangement” where the insider asserts that, at a time when they were not aware of material nonpublic information about the security or the issuer of the security, they adopted a written arrangement for trading the securities; and the trading arrangement:</w:t>
      </w:r>
    </w:p>
    <w:p>
      <w:pPr>
        <w:spacing w:after="0" w:line="111" w:lineRule="exact"/>
        <w:rPr>
          <w:sz w:val="20"/>
          <w:szCs w:val="20"/>
          <w:color w:val="auto"/>
        </w:rPr>
      </w:pPr>
    </w:p>
    <w:p>
      <w:pPr>
        <w:ind w:left="460" w:hanging="252"/>
        <w:spacing w:after="0"/>
        <w:tabs>
          <w:tab w:leader="none" w:pos="46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Specified the amount of securities to be purchased or sold and the price at which and the date on which the securities were to be subsequently purchased or sold;</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Included a written formula or algorithm, or computer program, for determining the amount of securities to be purchased or sold and the price at which the securities were to be purchased or sold; or</w:t>
      </w:r>
    </w:p>
    <w:p>
      <w:pPr>
        <w:spacing w:after="0" w:line="150" w:lineRule="exact"/>
        <w:rPr>
          <w:rFonts w:ascii="Times New Roman" w:cs="Times New Roman" w:eastAsia="Times New Roman" w:hAnsi="Times New Roman"/>
          <w:sz w:val="12"/>
          <w:szCs w:val="12"/>
          <w:color w:val="auto"/>
        </w:rPr>
      </w:pPr>
    </w:p>
    <w:p>
      <w:pPr>
        <w:ind w:left="460" w:hanging="252"/>
        <w:spacing w:after="0" w:line="279" w:lineRule="auto"/>
        <w:tabs>
          <w:tab w:leader="none" w:pos="46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Did not permit the insider to exercise any subsequent influence over how, when, or whether to effect purchases or sales; provided, in addition, that any other person who, pursuant to the trading arrangement did exercise such influence must not have been aware of material nonpublic information when doing so.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Mandatory disclosure of trading plans and insider-trading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are disclosure requirements for both Trading Plans and the Company’s insider trading policies that apply whether or not trading plans are entered into by the Company or Traders pursuant to Rule 10b5-1.</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u w:val="single" w:color="auto"/>
          <w:color w:val="auto"/>
        </w:rPr>
        <w:t>Quarterly disclosure of trading plans (but not pricing terms).</w:t>
      </w:r>
      <w:r>
        <w:rPr>
          <w:rFonts w:ascii="Times New Roman" w:cs="Times New Roman" w:eastAsia="Times New Roman" w:hAnsi="Times New Roman"/>
          <w:sz w:val="12"/>
          <w:szCs w:val="12"/>
          <w:color w:val="auto"/>
        </w:rPr>
        <w:t xml:space="preserve"> The Company is required, under Item 408(a) of Regulation S-K, to disclose in its periodic reports (Forms 10-K and 10-Q) any Trading Plans adopted or terminated by any officer or director during the previous quarter, whether or not adopted under Rule 10b5-1, along with a description of the material terms of the plans. The required disclosures include:</w:t>
      </w:r>
    </w:p>
    <w:p>
      <w:pPr>
        <w:spacing w:after="0" w:line="111" w:lineRule="exact"/>
        <w:rPr>
          <w:sz w:val="20"/>
          <w:szCs w:val="20"/>
          <w:color w:val="auto"/>
        </w:rPr>
      </w:pPr>
    </w:p>
    <w:p>
      <w:pPr>
        <w:ind w:left="460" w:hanging="252"/>
        <w:spacing w:after="0"/>
        <w:tabs>
          <w:tab w:leader="none" w:pos="46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and title of officer or director,</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adoption or termination,</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duration of the plan, and</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securities to be sold or purchased under the plan. Note: The disclosure of pricing terms is not required.</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With respect to any given trading arrangement subject to disclosure under Item 408(a) the Company is required to disclose the adoption, modification, or termination of any such trading arrangement, indicating whether or not is a Rule 10b5-1 Trading Plan.</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u w:val="single" w:color="auto"/>
          <w:color w:val="auto"/>
        </w:rPr>
        <w:t>Annual disclosure of insider-trading policies.</w:t>
      </w:r>
      <w:r>
        <w:rPr>
          <w:rFonts w:ascii="Times New Roman" w:cs="Times New Roman" w:eastAsia="Times New Roman" w:hAnsi="Times New Roman"/>
          <w:sz w:val="12"/>
          <w:szCs w:val="12"/>
          <w:color w:val="auto"/>
        </w:rPr>
        <w:t xml:space="preserve"> The Company is required, under Item 408(b) of Regulation S-K, to state in its annual report whether it has adopted policies and procedures for directors, officers and employees, and the Company itself, that are reasonably designed to promote compliance with insider trading laws (or explain why not).</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These disclosures are required in annual reports on Form 10-K, proxy and information statements on Schedules 14A and 14C. These disclosures will be subject to the certifications required by the Sarbanes- Oxley Act of 2002, requiring principal executive and financial officers to attest to the accuracy of the statements in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color w:val="auto"/>
        </w:rPr>
        <w:t>The Company is required to file a copy of their insider trading policies and procedures as an exhibit to the relevant form, rather than within the body of the relevant report or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Beneficial Ownership Reporting (Section 16)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Insiders subject to Section 16 reporting are required identify whether a sale or purchase reported on either Form 4 or 5 was made pursuant to a Trading Plan intended to satisfy the conditions of a Rule 10b5-1 trading arrangement.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Option grant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is required, under Item 402(x) of Regulation S-K, to provide narrative disclosure in the proxy statement about its option granting policies and practices regarding the timing of option grants and the release of MNPI. The disclosures should include, where applicable, how Company Directors determine when to grant options and whether and how MNPI is taken into account. The Company must also provide annual proxy statement disclosure of each award of stock options, stock appreciation rights or similar awards that the Company granted.</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Disclosures must describe any award granter during the prior year to its named executive officers made in the four business days before the filing of a periodic report (Form 10-K or 10-Q) or reporting of MNPI on Form 8-K (including earnings, but excluding a Form 8-K that is filed to disclose a material option grant under Item 5.02(e)) and ending one business day after a triggering event.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Disclosure of a awarded grants is required in tabular format, tagged in Inline XBRL, and must include for each named executive officer, on an-award-by-award basis:</w:t>
      </w:r>
    </w:p>
    <w:p>
      <w:pPr>
        <w:spacing w:after="0" w:line="150" w:lineRule="exact"/>
        <w:rPr>
          <w:sz w:val="20"/>
          <w:szCs w:val="20"/>
          <w:color w:val="auto"/>
        </w:rPr>
      </w:pPr>
    </w:p>
    <w:p>
      <w:pPr>
        <w:ind w:left="460" w:hanging="252"/>
        <w:spacing w:after="0"/>
        <w:tabs>
          <w:tab w:leader="none" w:pos="46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grant,</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underlying the award,</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price,</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fair value of the award, and</w:t>
      </w:r>
    </w:p>
    <w:p>
      <w:pPr>
        <w:spacing w:after="0" w:line="150" w:lineRule="exact"/>
        <w:rPr>
          <w:rFonts w:ascii="Times New Roman" w:cs="Times New Roman" w:eastAsia="Times New Roman" w:hAnsi="Times New Roman"/>
          <w:sz w:val="12"/>
          <w:szCs w:val="12"/>
          <w:color w:val="auto"/>
        </w:rPr>
      </w:pPr>
    </w:p>
    <w:p>
      <w:pPr>
        <w:ind w:left="460" w:hanging="252"/>
        <w:spacing w:after="0" w:line="279" w:lineRule="auto"/>
        <w:tabs>
          <w:tab w:leader="none" w:pos="46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percentage change in the market price of the underlying shares between the closing market price on the trading day before and the trading day after disclosure of the MNPI (combining the final two columns in the proposed rule into a single column).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Process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There are times when persons associated with the Company may, as a result of such association, have access to MNPI. Although you may notknow the specifics of the material nonpublic development, if you engage in a personal security transaction before such development is disclosed to the public you might expose yourself and the Company to a charge of insider trading. In addition, a trade by you during such a development could result in significant adverse publicity for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Employees of the Company’s Service Providers may also be deemed to be</w:t>
      </w:r>
      <w:r>
        <w:rPr>
          <w:rFonts w:ascii="Times New Roman" w:cs="Times New Roman" w:eastAsia="Times New Roman" w:hAnsi="Times New Roman"/>
          <w:sz w:val="12"/>
          <w:szCs w:val="12"/>
          <w:color w:val="auto"/>
        </w:rPr>
        <w:t xml:space="preserve"> i</w:t>
      </w:r>
      <w:r>
        <w:rPr>
          <w:rFonts w:ascii="Times New Roman" w:cs="Times New Roman" w:eastAsia="Times New Roman" w:hAnsi="Times New Roman"/>
          <w:sz w:val="12"/>
          <w:szCs w:val="12"/>
          <w:u w:val="single" w:color="auto"/>
          <w:color w:val="auto"/>
        </w:rPr>
        <w:t>nsiders and may also be subject to the insider trading restrictions of their respective employer.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Black-Out Period and Trading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78040"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i w:val="1"/>
          <w:iCs w:val="1"/>
          <w:color w:val="auto"/>
        </w:rPr>
        <w:t>Trading Black-out Period</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black-out period begins fifteen (15) calendar days before either the due date (which date does not include any available extension periods) of the Company’s periodic or annual report on Form 10-Q or 10-K, or fifteen (15) calendar days before the scheduled public release of the Company’s financial results, whichever is earlier. The black-out period ends at the beginning of the second Business Day following the date of public disclosure of the financial results for that quarter is a particularly sensitive period of time for transactions in the Company’s stock from the perspective of compliance with applicable securities laws.</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This sensitivity is because officers and directors will, during that period, often possess Material Nonpublic Information about the expected financial results for the quarter during that period. Accordingly, this period is referred to as a “black-out” period.</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All directors and officers and those other individuals identified by the Company from time to time and who have been notified that they have been so identified are prohibited from trading during such period. The Company will inform Insiders of the anticipated date of public disclosure of financial results upon request.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from time-to-time Material Nonpublic Information regarding the Company may be pending. While such information is pending, the Company may impose a special “black-out” period during which the same prohibitions and recommendations shall apply.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Additional Trading Prohibitions</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From time to time, the Company may prohibit directors, officers and potentially a larger group of individuals including consultants and contractors from trading impacted securities because of material developments known to the Company and not yet disclosed to the public. In such event, directors, officers, and such individuals including consultants and contractors may not engage in any transaction involving the purchase or sale of the impacted securities and should not disclose to others the fact of such suspension of trading. This restriction on trading does not apply to transactions made under an approved Rule 10b5-1 trading plan. The Company would re-open the trading window at the beginning of the second Business Day following the date of public disclosure of the information, or at such time as the information is no longer material.</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It should be noted that even during a trading window, any person possessing MNPI concerning the Company, whether subject to the black-out period or not, should not engage in any transactions in impacted securities until such information has been known publicly for at least one Business Day, whether or not the Company has recommended a suspension of trading to that person.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Post-Termination Transactions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If an Insider is aware of MNPI when their employment or services as a director or officer terminate, the Insider may not trade in impacted securities until that information has become public or is no longer material. If the Insider’s employment or services as a director or officer terminate during a blackout period, the Insider may not trade in impacted securities until that blackout period has ended.</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Any blackout period restrictions on trading do not apply to transactions made under an approved Rule 10b5-1 trading plan. Trading in impacted securities during the trading window should not be considered a “safe harbor,” and all directors, officers and other persons should always use good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i w:val="1"/>
          <w:iCs w:val="1"/>
          <w:color w:val="auto"/>
        </w:rPr>
        <w:t>CCO Pre-Clearance of Rule 105-1 Trading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new or modified Rule 10b5-1 Trading Plans should be submitted to the Company’s CCO for pre- clearance before adoption.</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purpose of this pre-clearance is not for Company “approval” of the terms of the trading plan, but to permit the CCO to determine that the plan is being adopted outside any trading blackout period and otherwise complies with the company’s insider trading policy and disclosure obligations.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Violations of this Policy</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Any securities transactions deemed a violation of this Policy shall be immediately reported to the Company’s CCO who will report such violations to the Company’s Board of Directors. Insiders considered to be in violation of this Policy and/or its procedures may be subject to penalties. Any questions regarding this Policy should be directed to the Company CCO.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4" w:lineRule="exact"/>
        <w:rPr>
          <w:sz w:val="20"/>
          <w:szCs w:val="20"/>
          <w:color w:val="auto"/>
        </w:rPr>
      </w:pPr>
    </w:p>
    <w:p>
      <w:pPr>
        <w:ind w:left="460" w:hanging="252"/>
        <w:spacing w:after="0"/>
        <w:tabs>
          <w:tab w:leader="none" w:pos="46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Vivek Bunty Bohra, Independent Director</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Tracey Brophy Warson, Independent Director</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Americo Da Corte, Independent Director</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Michael Chorske, Independent Director</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Patrick McCauley, Independent Director</w:t>
      </w:r>
    </w:p>
    <w:p>
      <w:pPr>
        <w:spacing w:after="0" w:line="150"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Supurna VedBrat,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78040"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31.1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Peter Sack, Chief Executive Officer of Chicago Atlantic BDC, Inc., certify that:</w:t>
      </w:r>
    </w:p>
    <w:p>
      <w:pPr>
        <w:spacing w:after="0" w:line="150" w:lineRule="exact"/>
        <w:rPr>
          <w:sz w:val="20"/>
          <w:szCs w:val="20"/>
          <w:color w:val="auto"/>
        </w:rPr>
      </w:pPr>
    </w:p>
    <w:p>
      <w:pPr>
        <w:ind w:left="128" w:hanging="128"/>
        <w:spacing w:after="0"/>
        <w:tabs>
          <w:tab w:leader="none" w:pos="128"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Chicago Atlantic BDC, Inc. (the “registrant”) for the year ended December 31, 2024;</w:t>
      </w:r>
    </w:p>
    <w:p>
      <w:pPr>
        <w:spacing w:after="0" w:line="150" w:lineRule="exact"/>
        <w:rPr>
          <w:rFonts w:ascii="Times New Roman" w:cs="Times New Roman" w:eastAsia="Times New Roman" w:hAnsi="Times New Roman"/>
          <w:sz w:val="12"/>
          <w:szCs w:val="12"/>
          <w:color w:val="auto"/>
        </w:rPr>
      </w:pPr>
    </w:p>
    <w:p>
      <w:pPr>
        <w:ind w:left="8" w:right="280" w:hanging="8"/>
        <w:spacing w:after="0" w:line="279" w:lineRule="auto"/>
        <w:tabs>
          <w:tab w:leader="none" w:pos="128"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1" w:lineRule="exact"/>
        <w:rPr>
          <w:rFonts w:ascii="Times New Roman" w:cs="Times New Roman" w:eastAsia="Times New Roman" w:hAnsi="Times New Roman"/>
          <w:sz w:val="12"/>
          <w:szCs w:val="12"/>
          <w:color w:val="auto"/>
        </w:rPr>
      </w:pPr>
    </w:p>
    <w:p>
      <w:pPr>
        <w:ind w:left="8" w:right="160" w:hanging="8"/>
        <w:spacing w:after="0" w:line="279" w:lineRule="auto"/>
        <w:tabs>
          <w:tab w:leader="none" w:pos="128"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11" w:lineRule="exact"/>
        <w:rPr>
          <w:rFonts w:ascii="Times New Roman" w:cs="Times New Roman" w:eastAsia="Times New Roman" w:hAnsi="Times New Roman"/>
          <w:sz w:val="12"/>
          <w:szCs w:val="12"/>
          <w:color w:val="auto"/>
        </w:rPr>
      </w:pPr>
    </w:p>
    <w:p>
      <w:pPr>
        <w:ind w:left="8" w:right="420" w:hanging="8"/>
        <w:spacing w:after="0" w:line="279" w:lineRule="auto"/>
        <w:tabs>
          <w:tab w:leader="none" w:pos="128"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left="8" w:right="140" w:hanging="8"/>
        <w:spacing w:after="0" w:line="279" w:lineRule="auto"/>
        <w:tabs>
          <w:tab w:leader="none" w:pos="138" w:val="left"/>
        </w:tabs>
        <w:numPr>
          <w:ilvl w:val="0"/>
          <w:numId w:val="1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11" w:lineRule="exact"/>
        <w:rPr>
          <w:rFonts w:ascii="Times New Roman" w:cs="Times New Roman" w:eastAsia="Times New Roman" w:hAnsi="Times New Roman"/>
          <w:sz w:val="12"/>
          <w:szCs w:val="12"/>
          <w:i w:val="1"/>
          <w:iCs w:val="1"/>
          <w:color w:val="auto"/>
        </w:rPr>
      </w:pPr>
    </w:p>
    <w:p>
      <w:pPr>
        <w:ind w:left="8" w:right="40" w:hanging="8"/>
        <w:spacing w:after="0" w:line="279" w:lineRule="auto"/>
        <w:tabs>
          <w:tab w:leader="none" w:pos="138" w:val="left"/>
        </w:tabs>
        <w:numPr>
          <w:ilvl w:val="0"/>
          <w:numId w:val="1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i w:val="1"/>
          <w:iCs w:val="1"/>
          <w:color w:val="auto"/>
        </w:rPr>
      </w:pPr>
    </w:p>
    <w:p>
      <w:pPr>
        <w:ind w:left="8" w:right="200" w:hanging="8"/>
        <w:spacing w:after="0" w:line="279" w:lineRule="auto"/>
        <w:tabs>
          <w:tab w:leader="none" w:pos="131" w:val="left"/>
        </w:tabs>
        <w:numPr>
          <w:ilvl w:val="0"/>
          <w:numId w:val="1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i w:val="1"/>
          <w:iCs w:val="1"/>
          <w:color w:val="auto"/>
        </w:rPr>
      </w:pPr>
    </w:p>
    <w:p>
      <w:pPr>
        <w:ind w:left="8" w:right="40" w:hanging="8"/>
        <w:spacing w:after="0" w:line="279" w:lineRule="auto"/>
        <w:tabs>
          <w:tab w:leader="none" w:pos="138" w:val="left"/>
        </w:tabs>
        <w:numPr>
          <w:ilvl w:val="0"/>
          <w:numId w:val="1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8" w:right="40" w:hanging="8"/>
        <w:spacing w:after="0" w:line="279" w:lineRule="auto"/>
        <w:tabs>
          <w:tab w:leader="none" w:pos="128"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1" w:lineRule="exact"/>
        <w:rPr>
          <w:sz w:val="20"/>
          <w:szCs w:val="20"/>
          <w:color w:val="auto"/>
        </w:rPr>
      </w:pPr>
    </w:p>
    <w:p>
      <w:pPr>
        <w:ind w:left="8" w:right="20" w:hanging="8"/>
        <w:spacing w:after="0" w:line="279" w:lineRule="auto"/>
        <w:tabs>
          <w:tab w:leader="none" w:pos="138" w:val="left"/>
        </w:tabs>
        <w:numPr>
          <w:ilvl w:val="0"/>
          <w:numId w:val="12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i w:val="1"/>
          <w:iCs w:val="1"/>
          <w:color w:val="auto"/>
        </w:rPr>
      </w:pPr>
    </w:p>
    <w:p>
      <w:pPr>
        <w:ind w:left="128" w:hanging="128"/>
        <w:spacing w:after="0"/>
        <w:tabs>
          <w:tab w:leader="none" w:pos="128" w:val="left"/>
        </w:tabs>
        <w:numPr>
          <w:ilvl w:val="0"/>
          <w:numId w:val="12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5648" w:val="left"/>
          <w:tab w:leader="none" w:pos="8308" w:val="left"/>
        </w:tabs>
        <w:rPr>
          <w:sz w:val="20"/>
          <w:szCs w:val="20"/>
          <w:color w:val="auto"/>
        </w:rPr>
      </w:pPr>
      <w:r>
        <w:rPr>
          <w:rFonts w:ascii="Times New Roman" w:cs="Times New Roman" w:eastAsia="Times New Roman" w:hAnsi="Times New Roman"/>
          <w:sz w:val="12"/>
          <w:szCs w:val="12"/>
          <w:color w:val="auto"/>
        </w:rPr>
        <w:t>Date: March 31,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10795</wp:posOffset>
            </wp:positionV>
            <wp:extent cx="337185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6" w:lineRule="exact"/>
        <w:rPr>
          <w:sz w:val="20"/>
          <w:szCs w:val="20"/>
          <w:color w:val="auto"/>
        </w:rPr>
      </w:pPr>
    </w:p>
    <w:p>
      <w:pPr>
        <w:ind w:left="8368"/>
        <w:spacing w:after="0"/>
        <w:rPr>
          <w:sz w:val="20"/>
          <w:szCs w:val="20"/>
          <w:color w:val="auto"/>
        </w:rPr>
      </w:pPr>
      <w:r>
        <w:rPr>
          <w:rFonts w:ascii="Times New Roman" w:cs="Times New Roman" w:eastAsia="Times New Roman" w:hAnsi="Times New Roman"/>
          <w:sz w:val="12"/>
          <w:szCs w:val="12"/>
          <w:b w:val="1"/>
          <w:bCs w:val="1"/>
          <w:color w:val="auto"/>
        </w:rPr>
        <w:t>Peter Sack</w:t>
      </w:r>
    </w:p>
    <w:p>
      <w:pPr>
        <w:spacing w:after="0" w:line="15" w:lineRule="exact"/>
        <w:rPr>
          <w:sz w:val="20"/>
          <w:szCs w:val="20"/>
          <w:color w:val="auto"/>
        </w:rPr>
      </w:pPr>
    </w:p>
    <w:p>
      <w:pPr>
        <w:ind w:left="8068"/>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spacing w:after="0" w:line="6" w:lineRule="exact"/>
        <w:rPr>
          <w:sz w:val="20"/>
          <w:szCs w:val="20"/>
          <w:color w:val="auto"/>
        </w:rPr>
      </w:pPr>
    </w:p>
    <w:p>
      <w:pPr>
        <w:ind w:left="7908"/>
        <w:spacing w:after="0"/>
        <w:rPr>
          <w:sz w:val="20"/>
          <w:szCs w:val="20"/>
          <w:color w:val="auto"/>
        </w:rPr>
      </w:pPr>
      <w:r>
        <w:rPr>
          <w:rFonts w:ascii="Times New Roman" w:cs="Times New Roman" w:eastAsia="Times New Roman" w:hAnsi="Times New Roman"/>
          <w:sz w:val="12"/>
          <w:szCs w:val="12"/>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7804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24" w:right="29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Martin Rodgers, Chief Financial Officer of Chicago Atlantic BDC, Inc., certify that:</w:t>
      </w:r>
    </w:p>
    <w:p>
      <w:pPr>
        <w:spacing w:after="0" w:line="150" w:lineRule="exact"/>
        <w:rPr>
          <w:sz w:val="20"/>
          <w:szCs w:val="20"/>
          <w:color w:val="auto"/>
        </w:rPr>
      </w:pPr>
    </w:p>
    <w:p>
      <w:pPr>
        <w:ind w:left="128" w:hanging="128"/>
        <w:spacing w:after="0"/>
        <w:tabs>
          <w:tab w:leader="none" w:pos="128"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Chicago Atlantic BDC, Inc. (the “registrant”) for the year ended December 31, 2024;</w:t>
      </w:r>
    </w:p>
    <w:p>
      <w:pPr>
        <w:spacing w:after="0" w:line="150" w:lineRule="exact"/>
        <w:rPr>
          <w:rFonts w:ascii="Times New Roman" w:cs="Times New Roman" w:eastAsia="Times New Roman" w:hAnsi="Times New Roman"/>
          <w:sz w:val="12"/>
          <w:szCs w:val="12"/>
          <w:color w:val="auto"/>
        </w:rPr>
      </w:pPr>
    </w:p>
    <w:p>
      <w:pPr>
        <w:ind w:left="8" w:right="280" w:hanging="8"/>
        <w:spacing w:after="0" w:line="279" w:lineRule="auto"/>
        <w:tabs>
          <w:tab w:leader="none" w:pos="128"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1" w:lineRule="exact"/>
        <w:rPr>
          <w:rFonts w:ascii="Times New Roman" w:cs="Times New Roman" w:eastAsia="Times New Roman" w:hAnsi="Times New Roman"/>
          <w:sz w:val="12"/>
          <w:szCs w:val="12"/>
          <w:color w:val="auto"/>
        </w:rPr>
      </w:pPr>
    </w:p>
    <w:p>
      <w:pPr>
        <w:ind w:left="8" w:right="160" w:hanging="8"/>
        <w:spacing w:after="0" w:line="279" w:lineRule="auto"/>
        <w:tabs>
          <w:tab w:leader="none" w:pos="128"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11" w:lineRule="exact"/>
        <w:rPr>
          <w:rFonts w:ascii="Times New Roman" w:cs="Times New Roman" w:eastAsia="Times New Roman" w:hAnsi="Times New Roman"/>
          <w:sz w:val="12"/>
          <w:szCs w:val="12"/>
          <w:color w:val="auto"/>
        </w:rPr>
      </w:pPr>
    </w:p>
    <w:p>
      <w:pPr>
        <w:ind w:left="8" w:right="420" w:hanging="8"/>
        <w:spacing w:after="0" w:line="279" w:lineRule="auto"/>
        <w:tabs>
          <w:tab w:leader="none" w:pos="128"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left="8" w:right="140" w:hanging="8"/>
        <w:spacing w:after="0" w:line="279" w:lineRule="auto"/>
        <w:tabs>
          <w:tab w:leader="none" w:pos="138" w:val="left"/>
        </w:tabs>
        <w:numPr>
          <w:ilvl w:val="0"/>
          <w:numId w:val="13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11" w:lineRule="exact"/>
        <w:rPr>
          <w:rFonts w:ascii="Times New Roman" w:cs="Times New Roman" w:eastAsia="Times New Roman" w:hAnsi="Times New Roman"/>
          <w:sz w:val="12"/>
          <w:szCs w:val="12"/>
          <w:i w:val="1"/>
          <w:iCs w:val="1"/>
          <w:color w:val="auto"/>
        </w:rPr>
      </w:pPr>
    </w:p>
    <w:p>
      <w:pPr>
        <w:ind w:left="8" w:right="40" w:hanging="8"/>
        <w:spacing w:after="0" w:line="279" w:lineRule="auto"/>
        <w:tabs>
          <w:tab w:leader="none" w:pos="138" w:val="left"/>
        </w:tabs>
        <w:numPr>
          <w:ilvl w:val="0"/>
          <w:numId w:val="13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i w:val="1"/>
          <w:iCs w:val="1"/>
          <w:color w:val="auto"/>
        </w:rPr>
      </w:pPr>
    </w:p>
    <w:p>
      <w:pPr>
        <w:ind w:left="8" w:right="200" w:hanging="8"/>
        <w:spacing w:after="0" w:line="279" w:lineRule="auto"/>
        <w:tabs>
          <w:tab w:leader="none" w:pos="131" w:val="left"/>
        </w:tabs>
        <w:numPr>
          <w:ilvl w:val="0"/>
          <w:numId w:val="13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i w:val="1"/>
          <w:iCs w:val="1"/>
          <w:color w:val="auto"/>
        </w:rPr>
      </w:pPr>
    </w:p>
    <w:p>
      <w:pPr>
        <w:ind w:left="8" w:right="40" w:hanging="8"/>
        <w:spacing w:after="0" w:line="279" w:lineRule="auto"/>
        <w:tabs>
          <w:tab w:leader="none" w:pos="138" w:val="left"/>
        </w:tabs>
        <w:numPr>
          <w:ilvl w:val="0"/>
          <w:numId w:val="13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8" w:right="40" w:hanging="8"/>
        <w:spacing w:after="0" w:line="279" w:lineRule="auto"/>
        <w:tabs>
          <w:tab w:leader="none" w:pos="128"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1" w:lineRule="exact"/>
        <w:rPr>
          <w:sz w:val="20"/>
          <w:szCs w:val="20"/>
          <w:color w:val="auto"/>
        </w:rPr>
      </w:pPr>
    </w:p>
    <w:p>
      <w:pPr>
        <w:ind w:left="8" w:right="20" w:hanging="8"/>
        <w:spacing w:after="0" w:line="279" w:lineRule="auto"/>
        <w:tabs>
          <w:tab w:leader="none" w:pos="138" w:val="left"/>
        </w:tabs>
        <w:numPr>
          <w:ilvl w:val="0"/>
          <w:numId w:val="13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i w:val="1"/>
          <w:iCs w:val="1"/>
          <w:color w:val="auto"/>
        </w:rPr>
      </w:pPr>
    </w:p>
    <w:p>
      <w:pPr>
        <w:ind w:left="128" w:hanging="128"/>
        <w:spacing w:after="0"/>
        <w:tabs>
          <w:tab w:leader="none" w:pos="128" w:val="left"/>
        </w:tabs>
        <w:numPr>
          <w:ilvl w:val="0"/>
          <w:numId w:val="13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5648" w:val="left"/>
          <w:tab w:leader="none" w:pos="8188" w:val="left"/>
        </w:tabs>
        <w:rPr>
          <w:sz w:val="20"/>
          <w:szCs w:val="20"/>
          <w:color w:val="auto"/>
        </w:rPr>
      </w:pPr>
      <w:r>
        <w:rPr>
          <w:rFonts w:ascii="Times New Roman" w:cs="Times New Roman" w:eastAsia="Times New Roman" w:hAnsi="Times New Roman"/>
          <w:sz w:val="12"/>
          <w:szCs w:val="12"/>
          <w:color w:val="auto"/>
        </w:rPr>
        <w:t>Date: March 31,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Martin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10795</wp:posOffset>
            </wp:positionV>
            <wp:extent cx="337185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2"/>
          <w:szCs w:val="12"/>
          <w:b w:val="1"/>
          <w:bCs w:val="1"/>
          <w:color w:val="auto"/>
        </w:rPr>
        <w:t>Martin Rodgers</w:t>
      </w:r>
    </w:p>
    <w:p>
      <w:pPr>
        <w:spacing w:after="0" w:line="15"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2"/>
          <w:szCs w:val="12"/>
          <w:b w:val="1"/>
          <w:bCs w:val="1"/>
          <w:color w:val="auto"/>
        </w:rPr>
        <w:t>Chief Financial Officer</w:t>
      </w:r>
    </w:p>
    <w:p>
      <w:pPr>
        <w:spacing w:after="0" w:line="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2"/>
          <w:szCs w:val="12"/>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7804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24" w:right="29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32.1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1350, CHAPTER 63 OF TITLE 18, UNITED STATES CODE,</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Pursuant to Section 1350, Chapter 63 of Title 18, United States Code, as adopted pursuant to Section 906 of the Sarbanes-Oxley Act of 2002, the undersigned, as Chief Executive Officer of Chicago Atlantic BDC, Inc. (the “Company”), does hereby certify that to the undersigned’s knowledge:</w:t>
      </w:r>
    </w:p>
    <w:p>
      <w:pPr>
        <w:spacing w:after="0" w:line="111" w:lineRule="exact"/>
        <w:rPr>
          <w:sz w:val="20"/>
          <w:szCs w:val="20"/>
          <w:color w:val="auto"/>
        </w:rPr>
      </w:pPr>
    </w:p>
    <w:p>
      <w:pPr>
        <w:ind w:left="128" w:hanging="128"/>
        <w:spacing w:after="0"/>
        <w:tabs>
          <w:tab w:leader="none" w:pos="128"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Form 10-K for the year ended December 31, 2024 fully complies with the requirements of Section 13(a) or 15(d) as applicable of the Securities Exchange Act of 1934, as amended; and</w:t>
      </w:r>
    </w:p>
    <w:p>
      <w:pPr>
        <w:spacing w:after="0" w:line="150" w:lineRule="exact"/>
        <w:rPr>
          <w:rFonts w:ascii="Times New Roman" w:cs="Times New Roman" w:eastAsia="Times New Roman" w:hAnsi="Times New Roman"/>
          <w:sz w:val="12"/>
          <w:szCs w:val="12"/>
          <w:color w:val="auto"/>
        </w:rPr>
      </w:pPr>
    </w:p>
    <w:p>
      <w:pPr>
        <w:ind w:left="128" w:hanging="128"/>
        <w:spacing w:after="0"/>
        <w:tabs>
          <w:tab w:leader="none" w:pos="128"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Company’s Form 10-K for the year ended December 31, 2024 fairly presents, in all material respects, the financial condition and results of operations of the Company.</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March 31, 2025</w:t>
            </w:r>
          </w:p>
        </w:tc>
        <w:tc>
          <w:tcPr>
            <w:tcW w:w="26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/s/ Peter Sack</w:t>
            </w:r>
          </w:p>
        </w:tc>
      </w:tr>
      <w:tr>
        <w:trPr>
          <w:trHeight w:val="127"/>
        </w:trPr>
        <w:tc>
          <w:tcPr>
            <w:tcW w:w="3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3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Peter Sack</w:t>
            </w:r>
          </w:p>
        </w:tc>
      </w:tr>
      <w:tr>
        <w:trPr>
          <w:trHeight w:val="144"/>
        </w:trPr>
        <w:tc>
          <w:tcPr>
            <w:tcW w:w="3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Chief Executive Officer</w:t>
            </w:r>
          </w:p>
        </w:tc>
      </w:tr>
      <w:tr>
        <w:trPr>
          <w:trHeight w:val="159"/>
        </w:trPr>
        <w:tc>
          <w:tcPr>
            <w:tcW w:w="3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(Principal Executive Officer)</w:t>
            </w:r>
          </w:p>
        </w:tc>
      </w:tr>
      <w:tr>
        <w:trPr>
          <w:trHeight w:val="342"/>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224" w:right="29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32.2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1350, CHAPTER 63 OF TITLE 18, UNITED STATES CODE,</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Pursuant to Section 1350, Chapter 63 of Title 18, United States Code, as adopted pursuant to Section 906 of the Sarbanes-Oxley Act of 2002, the undersigned, as Chief Financial Officer of Chicago Atlantic BDC, Inc. (the “Company”), does hereby certify that to the undersigned’s knowledge:</w:t>
      </w:r>
    </w:p>
    <w:p>
      <w:pPr>
        <w:spacing w:after="0" w:line="111" w:lineRule="exact"/>
        <w:rPr>
          <w:sz w:val="20"/>
          <w:szCs w:val="20"/>
          <w:color w:val="auto"/>
        </w:rPr>
      </w:pPr>
    </w:p>
    <w:p>
      <w:pPr>
        <w:ind w:left="128" w:hanging="128"/>
        <w:spacing w:after="0"/>
        <w:tabs>
          <w:tab w:leader="none" w:pos="12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Form 10-K for the year ended December 31, 2024 fully complies with the requirements of Section 13(a) or 15(d) as applicable of the Securities Exchange Act of 1934, as amended; and</w:t>
      </w:r>
    </w:p>
    <w:p>
      <w:pPr>
        <w:spacing w:after="0" w:line="150" w:lineRule="exact"/>
        <w:rPr>
          <w:rFonts w:ascii="Times New Roman" w:cs="Times New Roman" w:eastAsia="Times New Roman" w:hAnsi="Times New Roman"/>
          <w:sz w:val="12"/>
          <w:szCs w:val="12"/>
          <w:color w:val="auto"/>
        </w:rPr>
      </w:pPr>
    </w:p>
    <w:p>
      <w:pPr>
        <w:ind w:left="128" w:hanging="128"/>
        <w:spacing w:after="0"/>
        <w:tabs>
          <w:tab w:leader="none" w:pos="12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Company’s Form 10-K for the year ended December 31, 2024 fairly presents, in all material respects, the financial condition and results of operations of the Company.</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March 31, 2025</w:t>
            </w:r>
          </w:p>
        </w:tc>
        <w:tc>
          <w:tcPr>
            <w:tcW w:w="26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Martin Rodgers</w:t>
            </w:r>
          </w:p>
        </w:tc>
      </w:tr>
      <w:tr>
        <w:trPr>
          <w:trHeight w:val="127"/>
        </w:trPr>
        <w:tc>
          <w:tcPr>
            <w:tcW w:w="3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3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Martin Rodgers</w:t>
            </w:r>
          </w:p>
        </w:tc>
      </w:tr>
      <w:tr>
        <w:trPr>
          <w:trHeight w:val="144"/>
        </w:trPr>
        <w:tc>
          <w:tcPr>
            <w:tcW w:w="3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Chief Financial Officer</w:t>
            </w:r>
          </w:p>
        </w:tc>
      </w:tr>
      <w:tr>
        <w:trPr>
          <w:trHeight w:val="159"/>
        </w:trPr>
        <w:tc>
          <w:tcPr>
            <w:tcW w:w="3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(Principal Financial Officer)</w:t>
            </w:r>
          </w:p>
        </w:tc>
      </w:tr>
      <w:tr>
        <w:trPr>
          <w:trHeight w:val="342"/>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08"/>
      </w:cols>
      <w:pgMar w:left="292" w:top="22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1)"/>
      <w:numFmt w:val="decimal"/>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1)"/>
      <w:numFmt w:val="decimal"/>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1)"/>
      <w:numFmt w:val="decimal"/>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1)"/>
      <w:numFmt w:val="lowerRoman"/>
      <w:start w:val="2"/>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1)"/>
      <w:numFmt w:val="decimal"/>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1)"/>
      <w:numFmt w:val="decimal"/>
      <w:start w:val="1"/>
    </w:lvl>
  </w:abstractNum>
  <w:abstractNum w:abstractNumId="56">
    <w:nsid w:val="7055A5F5"/>
    <w:multiLevelType w:val="hybridMultilevel"/>
    <w:lvl w:ilvl="0">
      <w:lvlJc w:val="left"/>
      <w:lvlText w:val="(%1)"/>
      <w:numFmt w:val="decimal"/>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1)"/>
      <w:numFmt w:val="decimal"/>
      <w:start w:val="1"/>
    </w:lvl>
  </w:abstractNum>
  <w:abstractNum w:abstractNumId="63">
    <w:nsid w:val="6FC75AF8"/>
    <w:multiLevelType w:val="hybridMultilevel"/>
    <w:lvl w:ilvl="0">
      <w:lvlJc w:val="left"/>
      <w:lvlText w:val="(%1)"/>
      <w:numFmt w:val="decimal"/>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1)"/>
      <w:numFmt w:val="decimal"/>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1)"/>
      <w:numFmt w:val="decimal"/>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1."/>
      <w:numFmt w:val="decimal"/>
      <w:start w:val="1"/>
    </w:lvl>
    <w:lvl w:ilvl="1">
      <w:lvlJc w:val="left"/>
      <w:lvlText w:val="•"/>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1."/>
      <w:numFmt w:val="decimal"/>
      <w:start w:val="1"/>
    </w:lvl>
    <w:lvl w:ilvl="1">
      <w:lvlJc w:val="left"/>
      <w:lvlText w:val="%2."/>
      <w:numFmt w:val="lowerLetter"/>
      <w:start w:val="1"/>
    </w:lvl>
  </w:abstractNum>
  <w:abstractNum w:abstractNumId="79">
    <w:nsid w:val="59ADEA3D"/>
    <w:multiLevelType w:val="hybridMultilevel"/>
    <w:lvl w:ilvl="0">
      <w:lvlJc w:val="left"/>
      <w:lvlText w:val="%1."/>
      <w:numFmt w:val="lowerLetter"/>
      <w:start w:val="2"/>
    </w:lvl>
    <w:lvl w:ilvl="1">
      <w:lvlJc w:val="left"/>
      <w:lvlText w:val="•"/>
      <w:numFmt w:val="bullet"/>
      <w:start w:val="1"/>
    </w:lvl>
  </w:abstractNum>
  <w:abstractNum w:abstractNumId="80">
    <w:nsid w:val="288F1A34"/>
    <w:multiLevelType w:val="hybridMultilevel"/>
    <w:lvl w:ilvl="0">
      <w:lvlJc w:val="left"/>
      <w:lvlText w:val="%1"/>
      <w:numFmt w:val="decimal"/>
      <w:start w:val="1"/>
    </w:lvl>
    <w:lvl w:ilvl="1">
      <w:lvlJc w:val="left"/>
      <w:lvlText w:val="%2."/>
      <w:numFmt w:val="lowerLetter"/>
      <w:start w:val="5"/>
    </w:lvl>
  </w:abstractNum>
  <w:abstractNum w:abstractNumId="81">
    <w:nsid w:val="2A155DBC"/>
    <w:multiLevelType w:val="hybridMultilevel"/>
    <w:lvl w:ilvl="0">
      <w:lvlJc w:val="left"/>
      <w:lvlText w:val="%1."/>
      <w:numFmt w:val="decimal"/>
      <w:start w:val="2"/>
    </w:lvl>
    <w:lvl w:ilvl="1">
      <w:lvlJc w:val="left"/>
      <w:lvlText w:val="%2"/>
      <w:numFmt w:val="lowerLetter"/>
      <w:start w:val="1"/>
    </w:lvl>
  </w:abstractNum>
  <w:abstractNum w:abstractNumId="82">
    <w:nsid w:val="1D9F6E5F"/>
    <w:multiLevelType w:val="hybridMultilevel"/>
    <w:lvl w:ilvl="0">
      <w:lvlJc w:val="left"/>
      <w:lvlText w:val="%1."/>
      <w:numFmt w:val="lowerLetter"/>
      <w:start w:val="1"/>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
      <w:numFmt w:val="bullet"/>
      <w:start w:val="1"/>
    </w:lvl>
  </w:abstractNum>
  <w:abstractNum w:abstractNumId="89">
    <w:nsid w:val="23D86AAC"/>
    <w:multiLevelType w:val="hybridMultilevel"/>
    <w:lvl w:ilvl="0">
      <w:lvlJc w:val="left"/>
      <w:lvlText w:val="•"/>
      <w:numFmt w:val="bullet"/>
      <w:start w:val="1"/>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
      <w:numFmt w:val="bullet"/>
      <w:start w:val="1"/>
    </w:lvl>
    <w:lvl w:ilvl="1">
      <w:lvlJc w:val="left"/>
      <w:lvlText w:val="•"/>
      <w:numFmt w:val="bullet"/>
      <w:start w:val="1"/>
    </w:lvl>
  </w:abstractNum>
  <w:abstractNum w:abstractNumId="92">
    <w:nsid w:val="E7FFA2B"/>
    <w:multiLevelType w:val="hybridMultilevel"/>
    <w:lvl w:ilvl="0">
      <w:lvlJc w:val="left"/>
      <w:lvlText w:val="%1"/>
      <w:numFmt w:val="decimal"/>
      <w:start w:val="1"/>
    </w:lvl>
    <w:lvl w:ilvl="1">
      <w:lvlJc w:val="left"/>
      <w:lvlText w:val="(%2)"/>
      <w:numFmt w:val="decimal"/>
      <w:start w:val="1"/>
    </w:lvl>
  </w:abstractNum>
  <w:abstractNum w:abstractNumId="93">
    <w:nsid w:val="3C5991AA"/>
    <w:multiLevelType w:val="hybridMultilevel"/>
    <w:lvl w:ilvl="0">
      <w:lvlJc w:val="left"/>
      <w:lvlText w:val="%1)"/>
      <w:numFmt w:val="decimal"/>
      <w:start w:val="5"/>
    </w:lvl>
    <w:lvl w:ilvl="1">
      <w:lvlJc w:val="left"/>
      <w:lvlText w:val="%2"/>
      <w:numFmt w:val="decimal"/>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1."/>
      <w:numFmt w:val="decimal"/>
      <w:start w:val="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
      <w:numFmt w:val="bullet"/>
      <w:start w:val="1"/>
    </w:lvl>
  </w:abstractNum>
  <w:abstractNum w:abstractNumId="98">
    <w:nsid w:val="6C80EC70"/>
    <w:multiLevelType w:val="hybridMultilevel"/>
    <w:lvl w:ilvl="0">
      <w:lvlJc w:val="left"/>
      <w:lvlText w:val="•"/>
      <w:numFmt w:val="bullet"/>
      <w:start w:val="1"/>
    </w:lvl>
  </w:abstractNum>
  <w:abstractNum w:abstractNumId="99">
    <w:nsid w:val="379E21B5"/>
    <w:multiLevelType w:val="hybridMultilevel"/>
    <w:lvl w:ilvl="0">
      <w:lvlJc w:val="left"/>
      <w:lvlText w:val="•"/>
      <w:numFmt w:val="bullet"/>
      <w:start w:val="1"/>
    </w:lvl>
  </w:abstractNum>
  <w:abstractNum w:abstractNumId="100">
    <w:nsid w:val="69E373"/>
    <w:multiLevelType w:val="hybridMultilevel"/>
    <w:lvl w:ilvl="0">
      <w:lvlJc w:val="left"/>
      <w:lvlText w:val="•"/>
      <w:numFmt w:val="bullet"/>
      <w:start w:val="1"/>
    </w:lvl>
  </w:abstractNum>
  <w:abstractNum w:abstractNumId="101">
    <w:nsid w:val="2C27173B"/>
    <w:multiLevelType w:val="hybridMultilevel"/>
    <w:lvl w:ilvl="0">
      <w:lvlJc w:val="left"/>
      <w:lvlText w:val="•"/>
      <w:numFmt w:val="bullet"/>
      <w:start w:val="1"/>
    </w:lvl>
  </w:abstractNum>
  <w:abstractNum w:abstractNumId="102">
    <w:nsid w:val="4C9B0904"/>
    <w:multiLevelType w:val="hybridMultilevel"/>
    <w:lvl w:ilvl="0">
      <w:lvlJc w:val="left"/>
      <w:lvlText w:val="•"/>
      <w:numFmt w:val="bullet"/>
      <w:start w:val="1"/>
    </w:lvl>
  </w:abstractNum>
  <w:abstractNum w:abstractNumId="103">
    <w:nsid w:val="6AA7B75C"/>
    <w:multiLevelType w:val="hybridMultilevel"/>
    <w:lvl w:ilvl="0">
      <w:lvlJc w:val="left"/>
      <w:lvlText w:val="•"/>
      <w:numFmt w:val="bullet"/>
      <w:start w:val="1"/>
    </w:lvl>
  </w:abstractNum>
  <w:abstractNum w:abstractNumId="104">
    <w:nsid w:val="1DF029D3"/>
    <w:multiLevelType w:val="hybridMultilevel"/>
    <w:lvl w:ilvl="0">
      <w:lvlJc w:val="left"/>
      <w:lvlText w:val="•"/>
      <w:numFmt w:val="bullet"/>
      <w:start w:val="1"/>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
      <w:numFmt w:val="bullet"/>
      <w:start w:val="1"/>
    </w:lvl>
  </w:abstractNum>
  <w:abstractNum w:abstractNumId="107">
    <w:nsid w:val="3DB012B3"/>
    <w:multiLevelType w:val="hybridMultilevel"/>
    <w:lvl w:ilvl="0">
      <w:lvlJc w:val="left"/>
      <w:lvlText w:val="•"/>
      <w:numFmt w:val="bullet"/>
      <w:start w:val="1"/>
    </w:lvl>
  </w:abstractNum>
  <w:abstractNum w:abstractNumId="108">
    <w:nsid w:val="2708C9AF"/>
    <w:multiLevelType w:val="hybridMultilevel"/>
    <w:lvl w:ilvl="0">
      <w:lvlJc w:val="left"/>
      <w:lvlText w:val="•"/>
      <w:numFmt w:val="bullet"/>
      <w:start w:val="1"/>
    </w:lvl>
  </w:abstractNum>
  <w:abstractNum w:abstractNumId="109">
    <w:nsid w:val="5B25ACE2"/>
    <w:multiLevelType w:val="hybridMultilevel"/>
    <w:lvl w:ilvl="0">
      <w:lvlJc w:val="left"/>
      <w:lvlText w:val="•"/>
      <w:numFmt w:val="bullet"/>
      <w:start w:val="1"/>
    </w:lvl>
  </w:abstractNum>
  <w:abstractNum w:abstractNumId="110">
    <w:nsid w:val="175DFCF0"/>
    <w:multiLevelType w:val="hybridMultilevel"/>
    <w:lvl w:ilvl="0">
      <w:lvlJc w:val="left"/>
      <w:lvlText w:val="•"/>
      <w:numFmt w:val="bullet"/>
      <w:start w:val="1"/>
    </w:lvl>
  </w:abstractNum>
  <w:abstractNum w:abstractNumId="111">
    <w:nsid w:val="4F97E3E4"/>
    <w:multiLevelType w:val="hybridMultilevel"/>
    <w:lvl w:ilvl="0">
      <w:lvlJc w:val="left"/>
      <w:lvlText w:val="•"/>
      <w:numFmt w:val="bullet"/>
      <w:start w:val="1"/>
    </w:lvl>
  </w:abstractNum>
  <w:abstractNum w:abstractNumId="112">
    <w:nsid w:val="53B0A9E"/>
    <w:multiLevelType w:val="hybridMultilevel"/>
    <w:lvl w:ilvl="0">
      <w:lvlJc w:val="left"/>
      <w:lvlText w:val="•"/>
      <w:numFmt w:val="bullet"/>
      <w:start w:val="1"/>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
      <w:numFmt w:val="bullet"/>
      <w:start w:val="1"/>
    </w:lvl>
  </w:abstractNum>
  <w:abstractNum w:abstractNumId="115">
    <w:nsid w:val="56438D15"/>
    <w:multiLevelType w:val="hybridMultilevel"/>
    <w:lvl w:ilvl="0">
      <w:lvlJc w:val="left"/>
      <w:lvlText w:val="1"/>
      <w:numFmt w:val="bullet"/>
      <w:start w:val="1"/>
    </w:lvl>
  </w:abstractNum>
  <w:abstractNum w:abstractNumId="116">
    <w:nsid w:val="519E3149"/>
    <w:multiLevelType w:val="hybridMultilevel"/>
    <w:lvl w:ilvl="0">
      <w:lvlJc w:val="left"/>
      <w:lvlText w:val="•"/>
      <w:numFmt w:val="bullet"/>
      <w:start w:val="1"/>
    </w:lvl>
  </w:abstractNum>
  <w:abstractNum w:abstractNumId="117">
    <w:nsid w:val="2C6E4AFD"/>
    <w:multiLevelType w:val="hybridMultilevel"/>
    <w:lvl w:ilvl="0">
      <w:lvlJc w:val="left"/>
      <w:lvlText w:val="•"/>
      <w:numFmt w:val="bullet"/>
      <w:start w:val="1"/>
    </w:lvl>
  </w:abstractNum>
  <w:abstractNum w:abstractNumId="118">
    <w:nsid w:val="17A1B582"/>
    <w:multiLevelType w:val="hybridMultilevel"/>
    <w:lvl w:ilvl="0">
      <w:lvlJc w:val="left"/>
      <w:lvlText w:val="•"/>
      <w:numFmt w:val="bullet"/>
      <w:start w:val="1"/>
    </w:lvl>
  </w:abstractNum>
  <w:abstractNum w:abstractNumId="119">
    <w:nsid w:val="4DF72E4E"/>
    <w:multiLevelType w:val="hybridMultilevel"/>
    <w:lvl w:ilvl="0">
      <w:lvlJc w:val="left"/>
      <w:lvlText w:val="•"/>
      <w:numFmt w:val="bullet"/>
      <w:start w:val="1"/>
    </w:lvl>
  </w:abstractNum>
  <w:abstractNum w:abstractNumId="120">
    <w:nsid w:val="5046B5A9"/>
    <w:multiLevelType w:val="hybridMultilevel"/>
    <w:lvl w:ilvl="0">
      <w:lvlJc w:val="left"/>
      <w:lvlText w:val="•"/>
      <w:numFmt w:val="bullet"/>
      <w:start w:val="1"/>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1."/>
      <w:numFmt w:val="decimal"/>
      <w:start w:val="1"/>
    </w:lvl>
  </w:abstractNum>
  <w:abstractNum w:abstractNumId="126">
    <w:nsid w:val="57A61A29"/>
    <w:multiLevelType w:val="hybridMultilevel"/>
    <w:lvl w:ilvl="0">
      <w:lvlJc w:val="left"/>
      <w:lvlText w:val="%1)"/>
      <w:numFmt w:val="lowerLetter"/>
      <w:start w:val="1"/>
    </w:lvl>
  </w:abstractNum>
  <w:abstractNum w:abstractNumId="127">
    <w:nsid w:val="5399C654"/>
    <w:multiLevelType w:val="hybridMultilevel"/>
    <w:lvl w:ilvl="0">
      <w:lvlJc w:val="left"/>
      <w:lvlText w:val="%1."/>
      <w:numFmt w:val="decimal"/>
      <w:start w:val="5"/>
    </w:lvl>
  </w:abstractNum>
  <w:abstractNum w:abstractNumId="128">
    <w:nsid w:val="20EE1348"/>
    <w:multiLevelType w:val="hybridMultilevel"/>
    <w:lvl w:ilvl="0">
      <w:lvlJc w:val="left"/>
      <w:lvlText w:val="%1)"/>
      <w:numFmt w:val="lowerLetter"/>
      <w:start w:val="1"/>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1)"/>
      <w:numFmt w:val="lowerLetter"/>
      <w:start w:val="1"/>
    </w:lvl>
  </w:abstractNum>
  <w:abstractNum w:abstractNumId="131">
    <w:nsid w:val="2157F6BC"/>
    <w:multiLevelType w:val="hybridMultilevel"/>
    <w:lvl w:ilvl="0">
      <w:lvlJc w:val="left"/>
      <w:lvlText w:val="%1."/>
      <w:numFmt w:val="decimal"/>
      <w:start w:val="5"/>
    </w:lvl>
  </w:abstractNum>
  <w:abstractNum w:abstractNumId="132">
    <w:nsid w:val="704E1DD5"/>
    <w:multiLevelType w:val="hybridMultilevel"/>
    <w:lvl w:ilvl="0">
      <w:lvlJc w:val="left"/>
      <w:lvlText w:val="%1)"/>
      <w:numFmt w:val="lowerLetter"/>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jpeg"/><Relationship Id="rId193" Type="http://schemas.openxmlformats.org/officeDocument/2006/relationships/image" Target="media/image172.png"/><Relationship Id="rId194" Type="http://schemas.openxmlformats.org/officeDocument/2006/relationships/image" Target="media/image173.jpe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147" Type="http://schemas.openxmlformats.org/officeDocument/2006/relationships/hyperlink" Target="https://www.sec.gov/Archives/edgar/data/1843162/000095010324002723/dp207225_ex0201.htm" TargetMode="External"/><Relationship Id="rId148" Type="http://schemas.openxmlformats.org/officeDocument/2006/relationships/hyperlink" Target="https://www.sec.gov/Archives/edgar/data/1843162/000095010322011767/dp176400_ex0301.htm" TargetMode="External"/><Relationship Id="rId149" Type="http://schemas.openxmlformats.org/officeDocument/2006/relationships/hyperlink" Target="https://www.sec.gov/Archives/edgar/data/1843162/000114036124045703/ef20034548_ex3-2.htm" TargetMode="External"/><Relationship Id="rId150" Type="http://schemas.openxmlformats.org/officeDocument/2006/relationships/hyperlink" Target="https://www.sec.gov/Archives/edgar/data/1843162/000095010322011767/dp176400_ex0302.htm" TargetMode="External"/><Relationship Id="rId151" Type="http://schemas.openxmlformats.org/officeDocument/2006/relationships/hyperlink" Target="https://www.sec.gov/Archives/edgar/data/1843162/000095010322011767/dp176400_ex0401.htm" TargetMode="External"/><Relationship Id="rId152" Type="http://schemas.openxmlformats.org/officeDocument/2006/relationships/hyperlink" Target="https://www.sec.gov/Archives/edgar/data/1843162/000095010322011767/dp176400_ex1001.htm" TargetMode="External"/><Relationship Id="rId153" Type="http://schemas.openxmlformats.org/officeDocument/2006/relationships/hyperlink" Target="https://www.sec.gov/Archives/edgar/data/1843162/000095010324014651/dp219097_ex1001.htm" TargetMode="External"/><Relationship Id="rId154" Type="http://schemas.openxmlformats.org/officeDocument/2006/relationships/hyperlink" Target="https://www.sec.gov/Archives/edgar/data/1843162/000095010325002119/dp225007_ex1002.htm" TargetMode="External"/><Relationship Id="rId155" Type="http://schemas.openxmlformats.org/officeDocument/2006/relationships/hyperlink" Target="https://www.sec.gov/Archives/edgar/data/1843162/000095010325002119/dp225007_ex1003.htm" TargetMode="External"/><Relationship Id="rId156" Type="http://schemas.openxmlformats.org/officeDocument/2006/relationships/hyperlink" Target="https://www.sec.gov/Archives/edgar/data/1843162/000095010322011767/dp176400_ex1004.htm" TargetMode="External"/><Relationship Id="rId157" Type="http://schemas.openxmlformats.org/officeDocument/2006/relationships/hyperlink" Target="https://www.sec.gov/Archives/edgar/data/1843162/000095010324014651/dp219097_ex1002.htm" TargetMode="External"/><Relationship Id="rId158" Type="http://schemas.openxmlformats.org/officeDocument/2006/relationships/hyperlink" Target="https://www.sec.gov/Archives/edgar/data/1843162/000095010322011767/dp176400_ex1006.htm" TargetMode="External"/><Relationship Id="rId159" Type="http://schemas.openxmlformats.org/officeDocument/2006/relationships/hyperlink" Target="https://www.sec.gov/Archives/edgar/data/1843162/000095010324014651/dp219097_ex1003.htm" TargetMode="External"/><Relationship Id="rId160" Type="http://schemas.openxmlformats.org/officeDocument/2006/relationships/hyperlink" Target="https://www.sec.gov/Archives/edgar/data/1843162/000095010325002119/dp22500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2025-03-31T05:49:29Z</dcterms:created>
  <dcterms:modified xsi:type="dcterms:W3CDTF">2025-03-31T05:49:29Z</dcterms:modified>
</cp:coreProperties>
</file>