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14, 2026</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2"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6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78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001-40564</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3"/>
          </w:tcPr>
          <w:p>
            <w:pPr>
              <w:jc w:val="center"/>
              <w:ind w:right="8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46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422"/>
        </w:trPr>
        <w:tc>
          <w:tcPr>
            <w:tcW w:w="4660" w:type="dxa"/>
            <w:vAlign w:val="bottom"/>
            <w:tcBorders>
              <w:bottom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w w:val="98"/>
              </w:rPr>
              <w:t>600 Madison Avenue, Suite 1800 New York, New York</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10"/>
        </w:trPr>
        <w:tc>
          <w:tcPr>
            <w:tcW w:w="4660" w:type="dxa"/>
            <w:vAlign w:val="bottom"/>
            <w:gridSpan w:val="3"/>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312 625-9295</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rFonts w:ascii="MS PGothic" w:cs="MS PGothic" w:eastAsia="MS PGothic" w:hAnsi="MS PGothic"/>
          <w:sz w:val="16"/>
          <w:szCs w:val="16"/>
          <w:color w:val="auto"/>
        </w:rPr>
      </w:pPr>
    </w:p>
    <w:p>
      <w:pPr>
        <w:ind w:left="36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LIEN</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75" w:lineRule="exact"/>
        <w:rPr>
          <w:sz w:val="24"/>
          <w:szCs w:val="24"/>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On May 14, 2026, Chicago Atlantic BDC, Inc. (the “Company”) issued a press release announcing its financial results for the first quarter ended March 31, 2026. The press release is attached as Exhibit 99.1 to this Current Report on Form 8-K and is incorporated herein by reference.</w:t>
      </w:r>
    </w:p>
    <w:p>
      <w:pPr>
        <w:spacing w:after="0" w:line="144" w:lineRule="exact"/>
        <w:rPr>
          <w:sz w:val="20"/>
          <w:szCs w:val="20"/>
          <w:color w:val="auto"/>
        </w:rPr>
      </w:pP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Item 2.02 of this Current Report on Form 8-K shall not be deemed to be incorporated by reference into any filing under the Securities Act of 1933, as amended (the “Securities Act”), or the Exchange Act, except as shall be expressly set forth by specific reference in such filing.</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On May 14, 2026, the Company disseminated an earnings presentation to be used in connection with its conference call and live webcast on May 14, 2026 at 9:00 a.m. Eastern time to discuss its financial results for the first quarter ended March 31, 2026. The earnings presentation is attached as Exhibit 99.2 to this Current Report on Form 8-K and is incorporated herein by reference.</w:t>
      </w:r>
    </w:p>
    <w:p>
      <w:pPr>
        <w:spacing w:after="0" w:line="155" w:lineRule="exact"/>
        <w:rPr>
          <w:sz w:val="20"/>
          <w:szCs w:val="20"/>
          <w:color w:val="auto"/>
        </w:rPr>
      </w:pPr>
    </w:p>
    <w:p>
      <w:pPr>
        <w:jc w:val="both"/>
        <w:ind w:left="4" w:firstLine="574"/>
        <w:spacing w:after="0" w:line="290" w:lineRule="auto"/>
        <w:rPr>
          <w:sz w:val="20"/>
          <w:szCs w:val="20"/>
          <w:color w:val="auto"/>
        </w:rPr>
      </w:pPr>
      <w:r>
        <w:rPr>
          <w:rFonts w:ascii="Times New Roman" w:cs="Times New Roman" w:eastAsia="Times New Roman" w:hAnsi="Times New Roman"/>
          <w:sz w:val="15"/>
          <w:szCs w:val="15"/>
          <w:color w:val="auto"/>
        </w:rPr>
        <w:t>The information in Item 7.01 of this Current Report on Form 8-K, including Exhibit 99.2 furnished herewith, is being furnished and shall not be deemed “filed” for any purpose of Section 18 of the Exchange Act, or otherwise subject to the liabilities of such section. The information in Item 7.01 of this Current Report on Form 8-K shall not be deemed to be incorporated by reference into any filing under the Securities Act or the Exchange Act, except as shall be expressly set forth by specific reference in such filing.</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340" w:type="dxa"/>
            <w:vAlign w:val="bottom"/>
          </w:tcPr>
          <w:p>
            <w:pPr>
              <w:spacing w:after="0"/>
              <w:rPr>
                <w:sz w:val="18"/>
                <w:szCs w:val="18"/>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340" w:type="dxa"/>
            <w:vAlign w:val="bottom"/>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3"/>
                <w:szCs w:val="13"/>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14, 2026.</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0" w:type="dxa"/>
            <w:vAlign w:val="bottom"/>
            <w:shd w:val="clear" w:color="auto" w:fill="0000EE"/>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34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3"/>
                <w:szCs w:val="13"/>
                <w:color w:val="auto"/>
              </w:rPr>
            </w:pPr>
          </w:p>
        </w:tc>
        <w:tc>
          <w:tcPr>
            <w:tcW w:w="278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Earnings Presentation, dated May 14, 2026.</w:t>
            </w:r>
          </w:p>
        </w:tc>
        <w:tc>
          <w:tcPr>
            <w:tcW w:w="7340" w:type="dxa"/>
            <w:vAlign w:val="bottom"/>
          </w:tcPr>
          <w:p>
            <w:pPr>
              <w:spacing w:after="0"/>
              <w:rPr>
                <w:sz w:val="13"/>
                <w:szCs w:val="13"/>
                <w:color w:val="auto"/>
              </w:rPr>
            </w:pPr>
          </w:p>
        </w:tc>
      </w:tr>
    </w:tbl>
    <w:p>
      <w:pPr>
        <w:spacing w:after="0" w:line="7" w:lineRule="exact"/>
        <w:rPr>
          <w:sz w:val="20"/>
          <w:szCs w:val="20"/>
          <w:color w:val="auto"/>
        </w:rPr>
      </w:pPr>
    </w:p>
    <w:p>
      <w:pPr>
        <w:ind w:left="5584" w:right="5020" w:hanging="5584"/>
        <w:spacing w:after="0" w:line="543"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 May 14, 2026</w:t>
      </w:r>
      <w:r>
        <w:rPr>
          <w:sz w:val="20"/>
          <w:szCs w:val="20"/>
          <w:color w:val="auto"/>
        </w:rPr>
        <w:tab/>
      </w:r>
      <w:r>
        <w:rPr>
          <w:rFonts w:ascii="Times New Roman" w:cs="Times New Roman" w:eastAsia="Times New Roman" w:hAnsi="Times New Roman"/>
          <w:sz w:val="16"/>
          <w:szCs w:val="16"/>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15240</wp:posOffset>
            </wp:positionV>
            <wp:extent cx="26409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Interim Chief Financial Officer</w:t>
      </w: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20"/>
          </w:cols>
          <w:pgMar w:left="320" w:top="814"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137795</wp:posOffset>
            </wp:positionV>
            <wp:extent cx="1214120" cy="1085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4120" cy="108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Chicago Atlantic BDC, Inc. Reports First Quarter 2026 Financial Results</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NEW YORK, May 14, 2026 --- Chicago Atlantic BDC, Inc. (“LIEN” or the “Company”) (NASDAQ: LIEN), a specialty finance company that has elected to be regulated as a business development company, today announced its financial results for the first quarter ended March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Highlights</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gross investment income of $16.7 million</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investment income of $10.0 million, or $0.44 per weighted average share outstanding</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investment portfolio of $364.0 million at fair value, an increase of $30.7 million as compared to the prior quarter</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(“NAV”) per share was $13.33 on March 31, 2026, a $0.03 increase as compared to the prior quarter</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of Directors declared a dividend of $0.34 per share for the quarter ending June 30, 2026, payable on July 10, 2026 to shareholders of record on June 26,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Funded seven portfolio companies with $93.9 million in aggregate par value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there were 22,820,590 common shares issued and outstanding on a basic and fully diluted basis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Peter Sack, Chief Executive Officer of the Company, commented, “Chicago Atlantic BDC delivered record results this quarter, demonstrating the benefits of our differentiated strategy. While the broader private credit markets have experienced pressure regarding portfolio performance, dividend coverage concerns and interest rate uncertainty, Chicago Atlantic BDC has become stronger this quarter, funding a record level of $93.9 million of investments and growing the portfolio to a new peak of $364.0 million. We also generated record net investment income per share of $0.44, while maintaining a weighted average yield of 15.8%, well above the industry averages.”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Mr. Sack continued, “We remain confident in the opportunity set for our differentiated model of self-originating direct lending opportunities to cannabis and lower middle market companies. A recent policy change by the Federal government to reschedule medical cannabis represents the most significant federal policy shift in decades and is a notable policy inflection point that we expect will enhance borrower credit quality and improve industry fundamentals over time. We remain conservative in our strategic execution but are encouraged by the recent momentum.”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200" w:lineRule="exact"/>
        <w:rPr>
          <w:sz w:val="20"/>
          <w:szCs w:val="20"/>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Company’s investment portfolio had an aggregate fair value of approximately $364.0 million across 40 portfolio companies.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March 31, 2026, the Company funded seven portfolio companies, three of which were new borrowers, with an aggregate value of $93.9 million, including a refinancing of $38.3 million to its largest borrower. Three additional positions were fully paid off, which amounted to $13.7 million.</w:t>
      </w:r>
    </w:p>
    <w:p>
      <w:pPr>
        <w:spacing w:after="0" w:line="16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quarter end, one position of $7.0 million was fully paid off.</w:t>
      </w:r>
    </w:p>
    <w:p>
      <w:pPr>
        <w:spacing w:after="0" w:line="222"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March 31, 2026, the Company had principal amortization and repayments of $21.3 million, excluding amounts related to the refinance from our largest borrower.</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there were no loans on non-accrual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For the three months ended March 31, 2026, total investment income was approximately $16.7 million. For the three months ended March 31, 2026, the Company incurred net expenses of approximately $6.7 million, resulting in net investment income of approximately $10.0 million, or $0.44 per weighted average share, and a net increase in net assets from operations of approximately $8.5 million, or $0.37 per weighted average share.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Net change in unrealized depreciation on investments of $1.4 million reflected the impact across the portfolio of the widening of credit spreads during the quarter ended March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of March 31, 2026, the Company had $48.8 million of liquidity including $3.3 million of cash and $45.5 million of borrowings available to be drawn on its $100.0 million senior credit facility, which is subject to certain borrowing base requirements and other restrictions. As of May 13, 2026, the Company has $50.0 million outstanding on its senior credit facility and approximately $51.5 million of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Subsequent Event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May 11, 2026 the Company filed a shelf registration statement with the Securities and Exchange Commission, that once declared effective, will allow the Company to issue up to $500 million of securities, including debt securities. The shelf registration is intended to provide the Company with enhanced financial flexibility to efficiently access the capital markets to grow the Company’s portfolio.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Asset Value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March 31, 2026, NAV per share was $13.33 compared with $13.30 as of December 31, 2025. Total net assets as of March 31, 2026, were $304.2 million compared to $303.4 million as of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Company’s Board of Directors declared a cash dividend of $0.34 per share for the quarter ending June 30, 2026, payable on July 10, 2026 to shareholders of record on June 26,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Quarterly Earnings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214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21412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highlight w:val="white"/>
        </w:rPr>
        <w:t>The Company will host a conference call and live audio webcast, both open for the general public to hear, to discuss the Company’s first quarter 2026 financial results at 9:00 a.m. Eastern Time on Thursday, May 14, 2026. The number to access the conference call is 833-630-1956 (international callers: 412-317-1837). The live audio webcast of the call will also be available on the Company’s website at investors.chicagoatlanticbdc.com.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replay of the call will be available at </w:t>
      </w:r>
      <w:r>
        <w:rPr>
          <w:rFonts w:ascii="Times New Roman" w:cs="Times New Roman" w:eastAsia="Times New Roman" w:hAnsi="Times New Roman"/>
          <w:sz w:val="16"/>
          <w:szCs w:val="16"/>
          <w:color w:val="auto"/>
          <w:highlight w:val="white"/>
        </w:rPr>
        <w:t>investors.chicagoatlanticbdc.com</w:t>
      </w:r>
      <w:r>
        <w:rPr>
          <w:rFonts w:ascii="Times New Roman" w:cs="Times New Roman" w:eastAsia="Times New Roman" w:hAnsi="Times New Roman"/>
          <w:sz w:val="16"/>
          <w:szCs w:val="16"/>
          <w:color w:val="auto"/>
        </w:rPr>
        <w:t xml:space="preserve"> by the end of </w:t>
      </w:r>
      <w:r>
        <w:rPr>
          <w:rFonts w:ascii="Times New Roman" w:cs="Times New Roman" w:eastAsia="Times New Roman" w:hAnsi="Times New Roman"/>
          <w:sz w:val="16"/>
          <w:szCs w:val="16"/>
          <w:color w:val="auto"/>
          <w:highlight w:val="white"/>
        </w:rPr>
        <w:t>day on May 14,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 – Chicago Atlantic BDC, Inc. First Quarter 2026 Financial Results:</w:t>
      </w:r>
    </w:p>
    <w:p>
      <w:pPr>
        <w:spacing w:after="0" w:line="198" w:lineRule="exact"/>
        <w:rPr>
          <w:sz w:val="20"/>
          <w:szCs w:val="20"/>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May 14,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https://edge.media-server.com/mmc/p/rpkq9wzs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Replay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investors.chicagoatlanticbdc.com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LIEN posted its First Quarter 2026 Earnings Presentation on the Events and Presentations page of its website, investors.chicagoatlanticbdc.com. LIEN routinely posts important information for investors on its website. The Company intends to use this website as a means of disclosing material information, for complying with its disclosure obligations under Regulation FD and to post and update investor presentations and similar materials on a regular basis. The Company encourages investors, analysts, the media and others interested in LIEN to monitor the Investor Relations page of its website, in addition to following its press releases, Securities and Exchange Commission (“SEC”) filings, publicly available earnings calls, presentations, webcasts and other information posted from time to time on the website. Please visit the IR Resources section of the website to sign up for email notifications.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Company is a specialty finance company that has elected to be regulated as a business development company under the Investment Company Act of 1940, as amended, and has elected to be treated as a regulated investment company for U.S. federal income tax purposes. The Company’s investment objective is to maximize risk-adjusted returns on equity for its stockholders by investing primarily in direct loans to privately held middle-market companies, with a primary focus on cannabis companies. The Company is managed by Chicago Atlantic BDC Advisers, LLC, an investment manager focused on the cannabis industry and other niche or underfollowed sectors. For more information, please visit chicagoatlanticbdc.com.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Certain information contained herein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ind w:left="4160"/>
        <w:spacing w:after="0"/>
        <w:rPr>
          <w:sz w:val="20"/>
          <w:szCs w:val="20"/>
          <w:color w:val="auto"/>
        </w:rPr>
      </w:pPr>
      <w:r>
        <w:rPr>
          <w:rFonts w:ascii="Times New Roman" w:cs="Times New Roman" w:eastAsia="Times New Roman" w:hAnsi="Times New Roman"/>
          <w:sz w:val="19"/>
          <w:szCs w:val="19"/>
          <w:b w:val="1"/>
          <w:bCs w:val="1"/>
          <w:color w:val="auto"/>
        </w:rPr>
        <w:t>CHICAGO ATLANTIC BDC, INC.</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Statements of Assets and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346,596,232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333,311,787</w:t>
            </w:r>
          </w:p>
        </w:tc>
        <w:tc>
          <w:tcPr>
            <w:tcW w:w="0" w:type="dxa"/>
            <w:vAlign w:val="bottom"/>
          </w:tcPr>
          <w:p>
            <w:pPr>
              <w:spacing w:after="0"/>
              <w:rPr>
                <w:sz w:val="1"/>
                <w:szCs w:val="1"/>
                <w:color w:val="auto"/>
              </w:rPr>
            </w:pP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Non-controlled affiliate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17,370,481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investments at fair value (amortized cost of $364,290,996 and $332,209,170, respectively)</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4,358,743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3,346,316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1,305,750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770,292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152,958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1,804,032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26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4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373,130,480</w:t>
            </w:r>
          </w:p>
        </w:tc>
        <w:tc>
          <w:tcPr>
            <w:tcW w:w="2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341,996,454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54,500,000</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2,457,290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2,073,319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1,529,360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1,359,256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1,311,604</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876,266</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284,774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464,846</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456,616</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163,473</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Excise tax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69,609</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23,514</w:t>
            </w:r>
          </w:p>
        </w:tc>
        <w:tc>
          <w:tcPr>
            <w:tcW w:w="0" w:type="dxa"/>
            <w:vAlign w:val="bottom"/>
          </w:tcPr>
          <w:p>
            <w:pPr>
              <w:spacing w:after="0"/>
              <w:rPr>
                <w:sz w:val="1"/>
                <w:szCs w:val="1"/>
                <w:color w:val="auto"/>
              </w:rPr>
            </w:pPr>
          </w:p>
        </w:tc>
      </w:tr>
      <w:tr>
        <w:trPr>
          <w:trHeight w:val="195"/>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68,946,019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38,588,380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Common stock, $0.01 par value, 100,000,000 shares authorized, 22,820,590 and 22,820,590 shares issued and outstanding,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228,206</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228,206</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303,079,082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877,173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25,650</w:t>
            </w:r>
          </w:p>
        </w:tc>
        <w:tc>
          <w:tcPr>
            <w:tcW w:w="0" w:type="dxa"/>
            <w:vAlign w:val="bottom"/>
          </w:tcPr>
          <w:p>
            <w:pPr>
              <w:spacing w:after="0"/>
              <w:rPr>
                <w:sz w:val="1"/>
                <w:szCs w:val="1"/>
                <w:color w:val="auto"/>
              </w:rPr>
            </w:pPr>
          </w:p>
        </w:tc>
      </w:tr>
      <w:tr>
        <w:trPr>
          <w:trHeight w:val="211"/>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304,184,461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303,408,074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13.33</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82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6"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173"/>
        </w:trPr>
        <w:tc>
          <w:tcPr>
            <w:tcW w:w="6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w w:val="96"/>
              </w:rPr>
              <w:t>March 31,</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r>
      <w:tr>
        <w:trPr>
          <w:trHeight w:val="191"/>
        </w:trPr>
        <w:tc>
          <w:tcPr>
            <w:tcW w:w="6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6"/>
                <w:szCs w:val="16"/>
                <w:color w:val="auto"/>
              </w:rPr>
            </w:pPr>
          </w:p>
        </w:tc>
      </w:tr>
      <w:tr>
        <w:trPr>
          <w:trHeight w:val="214"/>
        </w:trPr>
        <w:tc>
          <w:tcPr>
            <w:tcW w:w="6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r>
      <w:tr>
        <w:trPr>
          <w:trHeight w:val="173"/>
        </w:trPr>
        <w:tc>
          <w:tcPr>
            <w:tcW w:w="674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INVESTMENT INCOME</w:t>
            </w:r>
          </w:p>
        </w:tc>
        <w:tc>
          <w:tcPr>
            <w:tcW w:w="19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 investment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13,780,772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12,255,979</w:t>
            </w:r>
          </w:p>
        </w:tc>
      </w:tr>
      <w:tr>
        <w:trPr>
          <w:trHeight w:val="207"/>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Fee income</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2,096,857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1,972,540</w:t>
            </w:r>
          </w:p>
        </w:tc>
        <w:tc>
          <w:tcPr>
            <w:tcW w:w="120" w:type="dxa"/>
            <w:vAlign w:val="bottom"/>
            <w:tcBorders>
              <w:bottom w:val="single" w:sz="8" w:color="CCEEFF"/>
            </w:tcBorders>
          </w:tcPr>
          <w:p>
            <w:pPr>
              <w:spacing w:after="0"/>
              <w:rPr>
                <w:sz w:val="18"/>
                <w:szCs w:val="18"/>
                <w:color w:val="auto"/>
              </w:rPr>
            </w:pPr>
          </w:p>
        </w:tc>
      </w:tr>
      <w:tr>
        <w:trPr>
          <w:trHeight w:val="191"/>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investment income from non-controlled/non-affiliate investments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15,877,629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14,228,519</w:t>
            </w:r>
          </w:p>
        </w:tc>
        <w:tc>
          <w:tcPr>
            <w:tcW w:w="120" w:type="dxa"/>
            <w:vAlign w:val="bottom"/>
            <w:shd w:val="clear" w:color="auto" w:fill="CCEEFF"/>
          </w:tcPr>
          <w:p>
            <w:pPr>
              <w:spacing w:after="0"/>
              <w:rPr>
                <w:sz w:val="16"/>
                <w:szCs w:val="16"/>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Non-controlled affiliate investment income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802,644</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22,500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211"/>
        </w:trPr>
        <w:tc>
          <w:tcPr>
            <w:tcW w:w="6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investment income from non-controlled affiliate investments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825,144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674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16,702,773</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14,228,519</w:t>
            </w:r>
          </w:p>
        </w:tc>
        <w:tc>
          <w:tcPr>
            <w:tcW w:w="120" w:type="dxa"/>
            <w:vAlign w:val="bottom"/>
            <w:tcBorders>
              <w:bottom w:val="single" w:sz="8" w:color="CCEEFF"/>
            </w:tcBorders>
          </w:tcPr>
          <w:p>
            <w:pPr>
              <w:spacing w:after="0"/>
              <w:rPr>
                <w:sz w:val="15"/>
                <w:szCs w:val="15"/>
                <w:color w:val="auto"/>
              </w:rPr>
            </w:pPr>
          </w:p>
        </w:tc>
      </w:tr>
      <w:tr>
        <w:trPr>
          <w:trHeight w:val="191"/>
        </w:trPr>
        <w:tc>
          <w:tcPr>
            <w:tcW w:w="67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2,457,289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2,073,318</w:t>
            </w:r>
          </w:p>
        </w:tc>
        <w:tc>
          <w:tcPr>
            <w:tcW w:w="120" w:type="dxa"/>
            <w:vAlign w:val="bottom"/>
            <w:shd w:val="clear" w:color="auto" w:fill="CCEEFF"/>
          </w:tcPr>
          <w:p>
            <w:pPr>
              <w:spacing w:after="0"/>
              <w:rPr>
                <w:sz w:val="16"/>
                <w:szCs w:val="16"/>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1,529,359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1,446,470</w:t>
            </w:r>
          </w:p>
        </w:tc>
        <w:tc>
          <w:tcPr>
            <w:tcW w:w="120" w:type="dxa"/>
            <w:vAlign w:val="bottom"/>
          </w:tcPr>
          <w:p>
            <w:pPr>
              <w:spacing w:after="0"/>
              <w:rPr>
                <w:sz w:val="16"/>
                <w:szCs w:val="16"/>
                <w:color w:val="auto"/>
              </w:rPr>
            </w:pP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1,212,784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1,210,993</w:t>
            </w:r>
          </w:p>
        </w:tc>
        <w:tc>
          <w:tcPr>
            <w:tcW w:w="120" w:type="dxa"/>
            <w:vAlign w:val="bottom"/>
            <w:shd w:val="clear" w:color="auto" w:fill="CCEEFF"/>
          </w:tcPr>
          <w:p>
            <w:pPr>
              <w:spacing w:after="0"/>
              <w:rPr>
                <w:sz w:val="16"/>
                <w:szCs w:val="16"/>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1,024,542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464,501</w:t>
            </w: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198,238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194,980</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Audit expense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153,750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153,750</w:t>
            </w: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146,106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154,849</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Sub-administrator fees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133,410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145,771</w:t>
            </w:r>
          </w:p>
        </w:tc>
      </w:tr>
      <w:tr>
        <w:trPr>
          <w:trHeight w:val="19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expenses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45,750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51,299</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Excise tax expense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69,609</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(163,473)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(4,121)</w:t>
            </w:r>
          </w:p>
        </w:tc>
      </w:tr>
      <w:tr>
        <w:trPr>
          <w:trHeight w:val="179"/>
        </w:trPr>
        <w:tc>
          <w:tcPr>
            <w:tcW w:w="674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19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6,740,485</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5,961,419</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1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9,962,288</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8,267,100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3" w:lineRule="exact"/>
        <w:rPr>
          <w:sz w:val="20"/>
          <w:szCs w:val="20"/>
          <w:color w:val="auto"/>
        </w:rPr>
      </w:pPr>
    </w:p>
    <w:p>
      <w:pPr>
        <w:sectPr>
          <w:pgSz w:w="11900" w:h="16838" w:orient="portrait"/>
          <w:cols w:equalWidth="0" w:num="1">
            <w:col w:w="11260"/>
          </w:cols>
          <w:pgMar w:left="320" w:top="838"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Non-controlled 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Non-controlled affiliate investments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14" w:lineRule="exact"/>
        <w:rPr>
          <w:sz w:val="20"/>
          <w:szCs w:val="20"/>
          <w:color w:val="auto"/>
        </w:rPr>
      </w:pPr>
    </w:p>
    <w:p>
      <w:pPr>
        <w:ind w:left="140" w:right="1480" w:hanging="142"/>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NET CHANGE IN UNREALIZED APPRECIATION (DEPRECIATION) ON INVESTMENTS </w:t>
      </w:r>
      <w:r>
        <w:rPr>
          <w:rFonts w:ascii="Times New Roman" w:cs="Times New Roman" w:eastAsia="Times New Roman" w:hAnsi="Times New Roman"/>
          <w:sz w:val="16"/>
          <w:szCs w:val="16"/>
          <w:color w:val="auto"/>
        </w:rPr>
        <w:t>Non-controlled 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Non-controlled affiliate investments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26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(2,487,070)</w:t>
            </w:r>
          </w:p>
        </w:tc>
        <w:tc>
          <w:tcPr>
            <w:tcW w:w="2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(20,604)</w:t>
            </w:r>
          </w:p>
        </w:tc>
        <w:tc>
          <w:tcPr>
            <w:tcW w:w="0" w:type="dxa"/>
            <w:vAlign w:val="bottom"/>
          </w:tcPr>
          <w:p>
            <w:pPr>
              <w:spacing w:after="0"/>
              <w:rPr>
                <w:sz w:val="1"/>
                <w:szCs w:val="1"/>
                <w:color w:val="auto"/>
              </w:rPr>
            </w:pPr>
          </w:p>
        </w:tc>
      </w:tr>
      <w:tr>
        <w:trPr>
          <w:trHeight w:val="212"/>
        </w:trPr>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1,060,170</w:t>
            </w:r>
          </w:p>
        </w:tc>
        <w:tc>
          <w:tcPr>
            <w:tcW w:w="2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(1,426,900</w:t>
            </w:r>
          </w:p>
        </w:tc>
        <w:tc>
          <w:tcPr>
            <w:tcW w:w="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(20,604</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(1,426,900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(20,604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2"/>
        </w:trPr>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8,535,388</w:t>
            </w:r>
          </w:p>
        </w:tc>
        <w:tc>
          <w:tcPr>
            <w:tcW w:w="24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8,246,496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80"/>
          </w:cols>
          <w:pgMar w:left="320" w:top="838"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8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PER SHARE - BASIC AND DILUTED</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0.44</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0.36</w:t>
            </w:r>
          </w:p>
        </w:tc>
      </w:tr>
      <w:tr>
        <w:trPr>
          <w:trHeight w:val="173"/>
        </w:trPr>
        <w:tc>
          <w:tcPr>
            <w:tcW w:w="83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 PER SHARE - BASIC AND</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0.37</w:t>
            </w: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0.36</w:t>
            </w: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 AND DILUTED</w:t>
            </w:r>
          </w:p>
        </w:tc>
        <w:tc>
          <w:tcPr>
            <w:tcW w:w="6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22,820,590</w:t>
            </w:r>
          </w:p>
        </w:tc>
        <w:tc>
          <w:tcPr>
            <w:tcW w:w="3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22,820,590</w:t>
            </w:r>
          </w:p>
        </w:tc>
      </w:tr>
      <w:tr>
        <w:trPr>
          <w:trHeight w:val="583"/>
        </w:trPr>
        <w:tc>
          <w:tcPr>
            <w:tcW w:w="83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type w:val="continuous"/>
        </w:sectPr>
      </w:pPr>
    </w:p>
    <w:bookmarkStart w:id="8" w:name="page9"/>
    <w:bookmarkEnd w:id="8"/>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2026-05-14T06:10:53Z</dcterms:created>
  <dcterms:modified xsi:type="dcterms:W3CDTF">2026-05-14T06:10:53Z</dcterms:modified>
</cp:coreProperties>
</file>