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196850</wp:posOffset>
            </wp:positionH>
            <wp:positionV relativeFrom="page">
              <wp:posOffset>146050</wp:posOffset>
            </wp:positionV>
            <wp:extent cx="715518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246380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113665</wp:posOffset>
            </wp:positionV>
            <wp:extent cx="143129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3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135890</wp:posOffset>
            </wp:positionV>
            <wp:extent cx="143129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3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5"/>
          <w:szCs w:val="15"/>
          <w:color w:val="auto"/>
        </w:rPr>
        <w:t>(Mark One)</w:t>
      </w:r>
    </w:p>
    <w:p>
      <w:pPr>
        <w:spacing w:after="0" w:line="188" w:lineRule="exact"/>
        <w:rPr>
          <w:sz w:val="24"/>
          <w:szCs w:val="24"/>
          <w:color w:val="auto"/>
        </w:rPr>
      </w:pPr>
    </w:p>
    <w:p>
      <w:pPr>
        <w:ind w:left="4070" w:right="3760" w:hanging="4070"/>
        <w:spacing w:after="0" w:line="586" w:lineRule="auto"/>
        <w:tabs>
          <w:tab w:leader="none" w:pos="27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 For the Quarterly Period Ended September 30, 2024</w:t>
      </w:r>
    </w:p>
    <w:p>
      <w:pPr>
        <w:spacing w:after="0" w:line="115" w:lineRule="exact"/>
        <w:rPr>
          <w:sz w:val="24"/>
          <w:szCs w:val="24"/>
          <w:color w:val="auto"/>
        </w:rPr>
      </w:pPr>
    </w:p>
    <w:p>
      <w:pPr>
        <w:ind w:left="4530" w:right="3740" w:hanging="4530"/>
        <w:spacing w:after="0" w:line="531" w:lineRule="auto"/>
        <w:tabs>
          <w:tab w:leader="none" w:pos="278"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1430655</wp:posOffset>
            </wp:positionH>
            <wp:positionV relativeFrom="paragraph">
              <wp:posOffset>-17145</wp:posOffset>
            </wp:positionV>
            <wp:extent cx="429323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93235" cy="14605"/>
                    </a:xfrm>
                    <a:prstGeom prst="rect">
                      <a:avLst/>
                    </a:prstGeom>
                    <a:noFill/>
                  </pic:spPr>
                </pic:pic>
              </a:graphicData>
            </a:graphic>
          </wp:anchor>
        </w:drawing>
      </w:r>
    </w:p>
    <w:p>
      <w:pPr>
        <w:spacing w:after="0" w:line="1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CHICAGO ATLANTIC BDC, INC.</w:t>
      </w:r>
    </w:p>
    <w:p>
      <w:pPr>
        <w:spacing w:after="0" w:line="4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1430655</wp:posOffset>
            </wp:positionH>
            <wp:positionV relativeFrom="paragraph">
              <wp:posOffset>118745</wp:posOffset>
            </wp:positionV>
            <wp:extent cx="429323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93235" cy="14605"/>
                    </a:xfrm>
                    <a:prstGeom prst="rect">
                      <a:avLst/>
                    </a:prstGeom>
                    <a:noFill/>
                  </pic:spPr>
                </pic:pic>
              </a:graphicData>
            </a:graphic>
          </wp:anchor>
        </w:drawing>
      </w:r>
    </w:p>
    <w:p>
      <w:pPr>
        <w:spacing w:after="0" w:line="351" w:lineRule="exact"/>
        <w:rPr>
          <w:sz w:val="24"/>
          <w:szCs w:val="24"/>
          <w:color w:val="auto"/>
        </w:rPr>
      </w:pPr>
    </w:p>
    <w:tbl>
      <w:tblPr>
        <w:tblLayout w:type="fixed"/>
        <w:tblInd w:w="1570" w:type="dxa"/>
        <w:tblCellMar>
          <w:top w:w="0" w:type="dxa"/>
          <w:left w:w="0" w:type="dxa"/>
          <w:bottom w:w="0" w:type="dxa"/>
          <w:right w:w="0" w:type="dxa"/>
        </w:tblCellMar>
      </w:tblPr>
      <w:tr>
        <w:trPr>
          <w:trHeight w:val="184"/>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Maryland</w:t>
            </w:r>
          </w:p>
        </w:tc>
        <w:tc>
          <w:tcPr>
            <w:tcW w:w="5520" w:type="dxa"/>
            <w:vAlign w:val="bottom"/>
          </w:tcPr>
          <w:p>
            <w:pPr>
              <w:jc w:val="right"/>
              <w:ind w:right="585"/>
              <w:spacing w:after="0"/>
              <w:rPr>
                <w:sz w:val="20"/>
                <w:szCs w:val="20"/>
                <w:color w:val="auto"/>
              </w:rPr>
            </w:pPr>
            <w:r>
              <w:rPr>
                <w:rFonts w:ascii="Times New Roman" w:cs="Times New Roman" w:eastAsia="Times New Roman" w:hAnsi="Times New Roman"/>
                <w:sz w:val="15"/>
                <w:szCs w:val="15"/>
                <w:b w:val="1"/>
                <w:bCs w:val="1"/>
                <w:color w:val="auto"/>
              </w:rPr>
              <w:t>86-2872887</w:t>
            </w:r>
          </w:p>
        </w:tc>
        <w:tc>
          <w:tcPr>
            <w:tcW w:w="0" w:type="dxa"/>
            <w:vAlign w:val="bottom"/>
          </w:tcPr>
          <w:p>
            <w:pPr>
              <w:spacing w:after="0"/>
              <w:rPr>
                <w:sz w:val="1"/>
                <w:szCs w:val="1"/>
                <w:color w:val="auto"/>
              </w:rPr>
            </w:pPr>
          </w:p>
        </w:tc>
      </w:tr>
      <w:tr>
        <w:trPr>
          <w:trHeight w:val="180"/>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(State or other jurisdiction of</w:t>
            </w: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5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(IRS Employer Identification No.)</w:t>
            </w:r>
          </w:p>
        </w:tc>
        <w:tc>
          <w:tcPr>
            <w:tcW w:w="0" w:type="dxa"/>
            <w:vAlign w:val="bottom"/>
          </w:tcPr>
          <w:p>
            <w:pPr>
              <w:spacing w:after="0"/>
              <w:rPr>
                <w:sz w:val="1"/>
                <w:szCs w:val="1"/>
                <w:color w:val="auto"/>
              </w:rPr>
            </w:pPr>
          </w:p>
        </w:tc>
      </w:tr>
      <w:tr>
        <w:trPr>
          <w:trHeight w:val="343"/>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600 Madison Avenue, Suite 1800</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New York, NY</w:t>
            </w:r>
          </w:p>
        </w:tc>
        <w:tc>
          <w:tcPr>
            <w:tcW w:w="5520" w:type="dxa"/>
            <w:vAlign w:val="bottom"/>
            <w:vMerge w:val="restart"/>
          </w:tcPr>
          <w:p>
            <w:pPr>
              <w:jc w:val="right"/>
              <w:ind w:right="765"/>
              <w:spacing w:after="0"/>
              <w:rPr>
                <w:sz w:val="20"/>
                <w:szCs w:val="20"/>
                <w:color w:val="auto"/>
              </w:rPr>
            </w:pPr>
            <w:r>
              <w:rPr>
                <w:rFonts w:ascii="Times New Roman" w:cs="Times New Roman" w:eastAsia="Times New Roman" w:hAnsi="Times New Roman"/>
                <w:sz w:val="15"/>
                <w:szCs w:val="15"/>
                <w:b w:val="1"/>
                <w:bCs w:val="1"/>
                <w:color w:val="auto"/>
              </w:rPr>
              <w:t>10022</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5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(Address of principal executive offices)</w:t>
            </w:r>
          </w:p>
        </w:tc>
        <w:tc>
          <w:tcPr>
            <w:tcW w:w="552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347"/>
        </w:trPr>
        <w:tc>
          <w:tcPr>
            <w:tcW w:w="2440" w:type="dxa"/>
            <w:vAlign w:val="bottom"/>
          </w:tcPr>
          <w:p>
            <w:pPr>
              <w:spacing w:after="0"/>
              <w:rPr>
                <w:sz w:val="24"/>
                <w:szCs w:val="24"/>
                <w:color w:val="auto"/>
              </w:rPr>
            </w:pPr>
          </w:p>
        </w:tc>
        <w:tc>
          <w:tcPr>
            <w:tcW w:w="5520" w:type="dxa"/>
            <w:vAlign w:val="bottom"/>
          </w:tcPr>
          <w:p>
            <w:pPr>
              <w:jc w:val="right"/>
              <w:ind w:right="3345"/>
              <w:spacing w:after="0"/>
              <w:rPr>
                <w:sz w:val="20"/>
                <w:szCs w:val="20"/>
                <w:color w:val="auto"/>
              </w:rPr>
            </w:pPr>
            <w:r>
              <w:rPr>
                <w:rFonts w:ascii="Times New Roman" w:cs="Times New Roman" w:eastAsia="Times New Roman" w:hAnsi="Times New Roman"/>
                <w:sz w:val="15"/>
                <w:szCs w:val="15"/>
                <w:b w:val="1"/>
                <w:bCs w:val="1"/>
                <w:color w:val="auto"/>
              </w:rPr>
              <w:t>(212) 905-4923</w:t>
            </w: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5520" w:type="dxa"/>
            <w:vAlign w:val="bottom"/>
          </w:tcPr>
          <w:p>
            <w:pPr>
              <w:jc w:val="right"/>
              <w:ind w:right="2205"/>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2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3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364"/>
        </w:trPr>
        <w:tc>
          <w:tcPr>
            <w:tcW w:w="37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Title of Each Class</w:t>
            </w:r>
          </w:p>
        </w:tc>
        <w:tc>
          <w:tcPr>
            <w:tcW w:w="40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194"/>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Common Stock, par value $0.01 per share</w:t>
            </w:r>
          </w:p>
        </w:tc>
        <w:tc>
          <w:tcPr>
            <w:tcW w:w="180" w:type="dxa"/>
            <w:vAlign w:val="bottom"/>
          </w:tcPr>
          <w:p>
            <w:pPr>
              <w:spacing w:after="0"/>
              <w:rPr>
                <w:sz w:val="16"/>
                <w:szCs w:val="16"/>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LIEN</w:t>
            </w:r>
          </w:p>
        </w:tc>
        <w:tc>
          <w:tcPr>
            <w:tcW w:w="180" w:type="dxa"/>
            <w:vAlign w:val="bottom"/>
          </w:tcPr>
          <w:p>
            <w:pPr>
              <w:spacing w:after="0"/>
              <w:rPr>
                <w:sz w:val="16"/>
                <w:szCs w:val="16"/>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152" w:lineRule="exact"/>
        <w:rPr>
          <w:sz w:val="24"/>
          <w:szCs w:val="24"/>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5" w:lineRule="exact"/>
        <w:rPr>
          <w:sz w:val="24"/>
          <w:szCs w:val="24"/>
          <w:color w:val="auto"/>
        </w:rPr>
      </w:pPr>
    </w:p>
    <w:p>
      <w:pPr>
        <w:ind w:left="1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2" w:lineRule="exact"/>
        <w:rPr>
          <w:sz w:val="24"/>
          <w:szCs w:val="24"/>
          <w:color w:val="auto"/>
        </w:rPr>
      </w:pPr>
    </w:p>
    <w:p>
      <w:pPr>
        <w:ind w:left="10" w:right="160"/>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5" w:lineRule="exact"/>
        <w:rPr>
          <w:sz w:val="24"/>
          <w:szCs w:val="24"/>
          <w:color w:val="auto"/>
        </w:rPr>
      </w:pPr>
    </w:p>
    <w:p>
      <w:pPr>
        <w:ind w:left="1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2" w:lineRule="exact"/>
        <w:rPr>
          <w:sz w:val="24"/>
          <w:szCs w:val="24"/>
          <w:color w:val="auto"/>
        </w:rPr>
      </w:pPr>
    </w:p>
    <w:p>
      <w:pPr>
        <w:ind w:left="10" w:right="220"/>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3"/>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400" w:type="dxa"/>
            <w:vAlign w:val="bottom"/>
          </w:tcPr>
          <w:p>
            <w:pPr>
              <w:ind w:left="1980"/>
              <w:spacing w:after="0" w:line="151" w:lineRule="exact"/>
              <w:rPr>
                <w:sz w:val="20"/>
                <w:szCs w:val="20"/>
                <w:color w:val="auto"/>
              </w:rPr>
            </w:pPr>
            <w:r>
              <w:rPr>
                <w:rFonts w:ascii="MS PGothic" w:cs="MS PGothic" w:eastAsia="MS PGothic" w:hAnsi="MS PGothic"/>
                <w:sz w:val="15"/>
                <w:szCs w:val="15"/>
                <w:color w:val="auto"/>
              </w:rPr>
              <w:t>☐</w:t>
            </w:r>
          </w:p>
        </w:tc>
        <w:tc>
          <w:tcPr>
            <w:tcW w:w="3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Accelerated filer</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0"/>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400" w:type="dxa"/>
            <w:vAlign w:val="bottom"/>
          </w:tcPr>
          <w:p>
            <w:pPr>
              <w:ind w:left="1980"/>
              <w:spacing w:after="0" w:line="151" w:lineRule="exact"/>
              <w:rPr>
                <w:sz w:val="20"/>
                <w:szCs w:val="20"/>
                <w:color w:val="auto"/>
              </w:rPr>
            </w:pPr>
            <w:r>
              <w:rPr>
                <w:rFonts w:ascii="MS PGothic" w:cs="MS PGothic" w:eastAsia="MS PGothic" w:hAnsi="MS PGothic"/>
                <w:sz w:val="15"/>
                <w:szCs w:val="15"/>
                <w:color w:val="auto"/>
              </w:rPr>
              <w:t>☒</w:t>
            </w:r>
          </w:p>
        </w:tc>
        <w:tc>
          <w:tcPr>
            <w:tcW w:w="3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1"/>
        </w:trPr>
        <w:tc>
          <w:tcPr>
            <w:tcW w:w="33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Emerging growth company</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40" w:lineRule="exact"/>
        <w:rPr>
          <w:sz w:val="24"/>
          <w:szCs w:val="24"/>
          <w:color w:val="auto"/>
        </w:rPr>
      </w:pPr>
    </w:p>
    <w:p>
      <w:pPr>
        <w:ind w:left="10" w:right="14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11" w:lineRule="exact"/>
        <w:rPr>
          <w:sz w:val="24"/>
          <w:szCs w:val="24"/>
          <w:color w:val="auto"/>
        </w:rPr>
      </w:pPr>
    </w:p>
    <w:p>
      <w:pPr>
        <w:ind w:left="10"/>
        <w:spacing w:after="0" w:line="173" w:lineRule="exact"/>
        <w:tabs>
          <w:tab w:leader="none" w:pos="6969"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5"/>
          <w:szCs w:val="15"/>
          <w:color w:val="auto"/>
        </w:rPr>
        <w:t>As of November 5, 2024, the registrant had 22,820,367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51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715518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379095</wp:posOffset>
            </wp:positionV>
            <wp:extent cx="715518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45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8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4"/>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2"/>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FORM 10-Q</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560" w:type="dxa"/>
            <w:vAlign w:val="bottom"/>
            <w:vMerge w:val="restart"/>
          </w:tcPr>
          <w:p>
            <w:pPr>
              <w:jc w:val="center"/>
              <w:ind w:left="1605"/>
              <w:spacing w:after="0"/>
              <w:rPr>
                <w:sz w:val="20"/>
                <w:szCs w:val="20"/>
                <w:color w:val="auto"/>
              </w:rPr>
            </w:pPr>
            <w:r>
              <w:rPr>
                <w:rFonts w:ascii="Times New Roman" w:cs="Times New Roman" w:eastAsia="Times New Roman" w:hAnsi="Times New Roman"/>
                <w:sz w:val="15"/>
                <w:szCs w:val="15"/>
                <w:b w:val="1"/>
                <w:bCs w:val="1"/>
                <w:color w:val="auto"/>
                <w:w w:val="95"/>
              </w:rPr>
              <w:t>PAGE</w:t>
            </w:r>
          </w:p>
        </w:tc>
        <w:tc>
          <w:tcPr>
            <w:tcW w:w="0" w:type="dxa"/>
            <w:vAlign w:val="bottom"/>
          </w:tcPr>
          <w:p>
            <w:pPr>
              <w:spacing w:after="0"/>
              <w:rPr>
                <w:sz w:val="1"/>
                <w:szCs w:val="1"/>
                <w:color w:val="auto"/>
              </w:rPr>
            </w:pPr>
          </w:p>
        </w:tc>
      </w:tr>
      <w:tr>
        <w:trPr>
          <w:trHeight w:val="163"/>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7640" w:type="dxa"/>
            <w:vAlign w:val="bottom"/>
            <w:gridSpan w:val="15"/>
            <w:vMerge w:val="restart"/>
          </w:tcPr>
          <w:p>
            <w:pPr>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2560" w:type="dxa"/>
            <w:vAlign w:val="bottom"/>
          </w:tcPr>
          <w:p>
            <w:pPr>
              <w:jc w:val="center"/>
              <w:ind w:left="1625"/>
              <w:spacing w:after="0"/>
              <w:rPr>
                <w:sz w:val="20"/>
                <w:szCs w:val="20"/>
                <w:color w:val="auto"/>
              </w:rPr>
            </w:pPr>
            <w:r>
              <w:rPr>
                <w:rFonts w:ascii="Times New Roman" w:cs="Times New Roman" w:eastAsia="Times New Roman" w:hAnsi="Times New Roman"/>
                <w:sz w:val="15"/>
                <w:szCs w:val="15"/>
                <w:b w:val="1"/>
                <w:bCs w:val="1"/>
                <w:color w:val="auto"/>
                <w:w w:val="98"/>
              </w:rPr>
              <w:t>NO.</w:t>
            </w:r>
          </w:p>
        </w:tc>
        <w:tc>
          <w:tcPr>
            <w:tcW w:w="0" w:type="dxa"/>
            <w:vAlign w:val="bottom"/>
          </w:tcPr>
          <w:p>
            <w:pPr>
              <w:spacing w:after="0"/>
              <w:rPr>
                <w:sz w:val="1"/>
                <w:szCs w:val="1"/>
                <w:color w:val="auto"/>
              </w:rPr>
            </w:pPr>
          </w:p>
        </w:tc>
      </w:tr>
      <w:tr>
        <w:trPr>
          <w:trHeight w:val="181"/>
        </w:trPr>
        <w:tc>
          <w:tcPr>
            <w:tcW w:w="1060" w:type="dxa"/>
            <w:vAlign w:val="bottom"/>
            <w:gridSpan w:val="3"/>
            <w:vMerge w:val="continue"/>
          </w:tcPr>
          <w:p>
            <w:pPr>
              <w:spacing w:after="0"/>
              <w:rPr>
                <w:sz w:val="15"/>
                <w:szCs w:val="15"/>
                <w:color w:val="auto"/>
              </w:rPr>
            </w:pPr>
          </w:p>
        </w:tc>
        <w:tc>
          <w:tcPr>
            <w:tcW w:w="7640" w:type="dxa"/>
            <w:vAlign w:val="bottom"/>
            <w:gridSpan w:val="15"/>
            <w:vMerge w:val="continue"/>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6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Item 1</w:t>
            </w:r>
          </w:p>
        </w:tc>
        <w:tc>
          <w:tcPr>
            <w:tcW w:w="7640" w:type="dxa"/>
            <w:vAlign w:val="bottom"/>
            <w:gridSpan w:val="15"/>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Financial Statements (unaudited)</w:t>
            </w:r>
          </w:p>
        </w:tc>
        <w:tc>
          <w:tcPr>
            <w:tcW w:w="2560" w:type="dxa"/>
            <w:vAlign w:val="bottom"/>
            <w:shd w:val="clear" w:color="auto" w:fill="CCEEFF"/>
          </w:tcPr>
          <w:p>
            <w:pPr>
              <w:jc w:val="center"/>
              <w:ind w:left="1525"/>
              <w:spacing w:after="0" w:line="147"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34"/>
        </w:trPr>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5"/>
                <w:szCs w:val="15"/>
                <w:color w:val="0000EE"/>
                <w:w w:val="99"/>
              </w:rPr>
              <w:t>Statements of Assets and Liabilities</w:t>
            </w:r>
          </w:p>
        </w:tc>
        <w:tc>
          <w:tcPr>
            <w:tcW w:w="5480" w:type="dxa"/>
            <w:vAlign w:val="bottom"/>
            <w:gridSpan w:val="5"/>
          </w:tcPr>
          <w:p>
            <w:pPr>
              <w:spacing w:after="0"/>
              <w:rPr>
                <w:sz w:val="13"/>
                <w:szCs w:val="13"/>
                <w:color w:val="auto"/>
              </w:rPr>
            </w:pPr>
          </w:p>
        </w:tc>
        <w:tc>
          <w:tcPr>
            <w:tcW w:w="2560" w:type="dxa"/>
            <w:vAlign w:val="bottom"/>
          </w:tcPr>
          <w:p>
            <w:pPr>
              <w:jc w:val="center"/>
              <w:ind w:left="1525"/>
              <w:spacing w:after="0" w:line="146"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67"/>
        </w:trPr>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0000EE"/>
            </w:tcBorders>
            <w:gridSpan w:val="6"/>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98"/>
              </w:rPr>
              <w:t>Statements of Operations</w:t>
            </w:r>
          </w:p>
        </w:tc>
        <w:tc>
          <w:tcPr>
            <w:tcW w:w="6120" w:type="dxa"/>
            <w:vAlign w:val="bottom"/>
            <w:tcBorders>
              <w:bottom w:val="single" w:sz="8" w:color="CCEEFF"/>
            </w:tcBorders>
            <w:gridSpan w:val="9"/>
            <w:shd w:val="clear" w:color="auto" w:fill="CCEEFF"/>
          </w:tcPr>
          <w:p>
            <w:pPr>
              <w:spacing w:after="0"/>
              <w:rPr>
                <w:sz w:val="14"/>
                <w:szCs w:val="14"/>
                <w:color w:val="auto"/>
              </w:rPr>
            </w:pPr>
          </w:p>
        </w:tc>
        <w:tc>
          <w:tcPr>
            <w:tcW w:w="2560" w:type="dxa"/>
            <w:vAlign w:val="bottom"/>
            <w:tcBorders>
              <w:bottom w:val="single" w:sz="8" w:color="CCEEFF"/>
            </w:tcBorders>
            <w:shd w:val="clear" w:color="auto" w:fill="CCEEFF"/>
          </w:tcPr>
          <w:p>
            <w:pPr>
              <w:jc w:val="center"/>
              <w:ind w:left="1525"/>
              <w:spacing w:after="0" w:line="154"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5"/>
                <w:szCs w:val="15"/>
                <w:color w:val="0000EE"/>
                <w:w w:val="99"/>
              </w:rPr>
              <w:t>Statements of Changes in Net Assets</w:t>
            </w:r>
          </w:p>
        </w:tc>
        <w:tc>
          <w:tcPr>
            <w:tcW w:w="5420" w:type="dxa"/>
            <w:vAlign w:val="bottom"/>
            <w:gridSpan w:val="4"/>
          </w:tcPr>
          <w:p>
            <w:pPr>
              <w:spacing w:after="0"/>
              <w:rPr>
                <w:sz w:val="13"/>
                <w:szCs w:val="13"/>
                <w:color w:val="auto"/>
              </w:rPr>
            </w:pPr>
          </w:p>
        </w:tc>
        <w:tc>
          <w:tcPr>
            <w:tcW w:w="2560" w:type="dxa"/>
            <w:vAlign w:val="bottom"/>
          </w:tcPr>
          <w:p>
            <w:pPr>
              <w:jc w:val="center"/>
              <w:ind w:left="1525"/>
              <w:spacing w:after="0" w:line="146"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40" w:type="dxa"/>
            <w:vAlign w:val="bottom"/>
            <w:gridSpan w:val="15"/>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rPr>
              <w:t>Statements of Cash Flows</w:t>
            </w:r>
          </w:p>
        </w:tc>
        <w:tc>
          <w:tcPr>
            <w:tcW w:w="2560" w:type="dxa"/>
            <w:vAlign w:val="bottom"/>
            <w:shd w:val="clear" w:color="auto" w:fill="CCEEFF"/>
          </w:tcPr>
          <w:p>
            <w:pPr>
              <w:jc w:val="center"/>
              <w:ind w:left="1525"/>
              <w:spacing w:after="0" w:line="154"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53"/>
        </w:trPr>
        <w:tc>
          <w:tcPr>
            <w:tcW w:w="8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80" w:type="dxa"/>
            <w:vAlign w:val="bottom"/>
            <w:tcBorders>
              <w:top w:val="single" w:sz="8" w:color="0000EE"/>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5"/>
                <w:szCs w:val="15"/>
                <w:color w:val="0000EE"/>
                <w:w w:val="98"/>
              </w:rPr>
              <w:t>Schedule of Investments</w:t>
            </w:r>
          </w:p>
        </w:tc>
        <w:tc>
          <w:tcPr>
            <w:tcW w:w="80" w:type="dxa"/>
            <w:vAlign w:val="bottom"/>
            <w:tcBorders>
              <w:top w:val="single" w:sz="8" w:color="0000EE"/>
            </w:tcBorders>
            <w:gridSpan w:val="2"/>
          </w:tcPr>
          <w:p>
            <w:pPr>
              <w:spacing w:after="0"/>
              <w:rPr>
                <w:sz w:val="13"/>
                <w:szCs w:val="13"/>
                <w:color w:val="auto"/>
              </w:rPr>
            </w:pPr>
          </w:p>
        </w:tc>
        <w:tc>
          <w:tcPr>
            <w:tcW w:w="6080" w:type="dxa"/>
            <w:vAlign w:val="bottom"/>
            <w:tcBorders>
              <w:top w:val="single" w:sz="8" w:color="CCEEFF"/>
            </w:tcBorders>
            <w:gridSpan w:val="8"/>
          </w:tcPr>
          <w:p>
            <w:pPr>
              <w:spacing w:after="0"/>
              <w:rPr>
                <w:sz w:val="13"/>
                <w:szCs w:val="13"/>
                <w:color w:val="auto"/>
              </w:rPr>
            </w:pPr>
          </w:p>
        </w:tc>
        <w:tc>
          <w:tcPr>
            <w:tcW w:w="2560" w:type="dxa"/>
            <w:vAlign w:val="bottom"/>
            <w:tcBorders>
              <w:top w:val="single" w:sz="8" w:color="CCEEFF"/>
            </w:tcBorders>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10</w:t>
            </w:r>
          </w:p>
        </w:tc>
        <w:tc>
          <w:tcPr>
            <w:tcW w:w="0" w:type="dxa"/>
            <w:vAlign w:val="bottom"/>
          </w:tcPr>
          <w:p>
            <w:pPr>
              <w:spacing w:after="0"/>
              <w:rPr>
                <w:sz w:val="1"/>
                <w:szCs w:val="1"/>
                <w:color w:val="auto"/>
              </w:rPr>
            </w:pPr>
          </w:p>
        </w:tc>
      </w:tr>
      <w:tr>
        <w:trPr>
          <w:trHeight w:val="167"/>
        </w:trPr>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0000EE"/>
            </w:tcBorders>
            <w:gridSpan w:val="8"/>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99"/>
              </w:rPr>
              <w:t>Notes to Financial Statements</w:t>
            </w:r>
          </w:p>
        </w:tc>
        <w:tc>
          <w:tcPr>
            <w:tcW w:w="5840" w:type="dxa"/>
            <w:vAlign w:val="bottom"/>
            <w:tcBorders>
              <w:bottom w:val="single" w:sz="8" w:color="CCEEFF"/>
            </w:tcBorders>
            <w:gridSpan w:val="7"/>
            <w:shd w:val="clear" w:color="auto" w:fill="CCEEFF"/>
          </w:tcPr>
          <w:p>
            <w:pPr>
              <w:spacing w:after="0"/>
              <w:rPr>
                <w:sz w:val="14"/>
                <w:szCs w:val="14"/>
                <w:color w:val="auto"/>
              </w:rPr>
            </w:pPr>
          </w:p>
        </w:tc>
        <w:tc>
          <w:tcPr>
            <w:tcW w:w="2560" w:type="dxa"/>
            <w:vAlign w:val="bottom"/>
            <w:tcBorders>
              <w:bottom w:val="single" w:sz="8" w:color="CCEEFF"/>
            </w:tcBorders>
            <w:shd w:val="clear" w:color="auto" w:fill="CCEEFF"/>
          </w:tcPr>
          <w:p>
            <w:pPr>
              <w:jc w:val="center"/>
              <w:ind w:left="1505"/>
              <w:spacing w:after="0" w:line="154" w:lineRule="exact"/>
              <w:rPr>
                <w:sz w:val="20"/>
                <w:szCs w:val="20"/>
                <w:color w:val="auto"/>
              </w:rPr>
            </w:pPr>
            <w:r>
              <w:rPr>
                <w:rFonts w:ascii="Times New Roman" w:cs="Times New Roman" w:eastAsia="Times New Roman" w:hAnsi="Times New Roman"/>
                <w:sz w:val="15"/>
                <w:szCs w:val="15"/>
                <w:color w:val="auto"/>
                <w:w w:val="93"/>
              </w:rPr>
              <w:t>12</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Item 2</w:t>
            </w:r>
          </w:p>
        </w:tc>
        <w:tc>
          <w:tcPr>
            <w:tcW w:w="7640" w:type="dxa"/>
            <w:vAlign w:val="bottom"/>
            <w:gridSpan w:val="15"/>
          </w:tcPr>
          <w:p>
            <w:pPr>
              <w:spacing w:after="0" w:line="146"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2560" w:type="dxa"/>
            <w:vAlign w:val="bottom"/>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29</w:t>
            </w:r>
          </w:p>
        </w:tc>
        <w:tc>
          <w:tcPr>
            <w:tcW w:w="0" w:type="dxa"/>
            <w:vAlign w:val="bottom"/>
          </w:tcPr>
          <w:p>
            <w:pPr>
              <w:spacing w:after="0"/>
              <w:rPr>
                <w:sz w:val="1"/>
                <w:szCs w:val="1"/>
                <w:color w:val="auto"/>
              </w:rPr>
            </w:pPr>
          </w:p>
        </w:tc>
      </w:tr>
      <w:tr>
        <w:trPr>
          <w:trHeight w:val="167"/>
        </w:trPr>
        <w:tc>
          <w:tcPr>
            <w:tcW w:w="1060" w:type="dxa"/>
            <w:vAlign w:val="bottom"/>
            <w:tcBorders>
              <w:bottom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Item 3</w:t>
            </w:r>
          </w:p>
        </w:tc>
        <w:tc>
          <w:tcPr>
            <w:tcW w:w="3640" w:type="dxa"/>
            <w:vAlign w:val="bottom"/>
            <w:tcBorders>
              <w:top w:val="single" w:sz="8" w:color="0000EE"/>
              <w:bottom w:val="single" w:sz="8" w:color="0000EE"/>
            </w:tcBorders>
            <w:gridSpan w:val="1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99"/>
              </w:rPr>
              <w:t>Quantitative and Qualitative Disclosures About Market Risk</w:t>
            </w:r>
          </w:p>
        </w:tc>
        <w:tc>
          <w:tcPr>
            <w:tcW w:w="1740" w:type="dxa"/>
            <w:vAlign w:val="bottom"/>
            <w:tcBorders>
              <w:top w:val="single" w:sz="8" w:color="0000EE"/>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2560" w:type="dxa"/>
            <w:vAlign w:val="bottom"/>
            <w:tcBorders>
              <w:bottom w:val="single" w:sz="8" w:color="CCEEFF"/>
            </w:tcBorders>
            <w:shd w:val="clear" w:color="auto" w:fill="CCEEFF"/>
          </w:tcPr>
          <w:p>
            <w:pPr>
              <w:jc w:val="center"/>
              <w:ind w:left="1505"/>
              <w:spacing w:after="0" w:line="154" w:lineRule="exact"/>
              <w:rPr>
                <w:sz w:val="20"/>
                <w:szCs w:val="20"/>
                <w:color w:val="auto"/>
              </w:rPr>
            </w:pPr>
            <w:r>
              <w:rPr>
                <w:rFonts w:ascii="Times New Roman" w:cs="Times New Roman" w:eastAsia="Times New Roman" w:hAnsi="Times New Roman"/>
                <w:sz w:val="15"/>
                <w:szCs w:val="15"/>
                <w:color w:val="auto"/>
                <w:w w:val="93"/>
              </w:rPr>
              <w:t>44</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Item 4</w:t>
            </w:r>
          </w:p>
        </w:tc>
        <w:tc>
          <w:tcPr>
            <w:tcW w:w="148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5"/>
                <w:szCs w:val="15"/>
                <w:color w:val="0000EE"/>
                <w:w w:val="98"/>
              </w:rPr>
              <w:t>Controls and Procedures</w:t>
            </w:r>
          </w:p>
        </w:tc>
        <w:tc>
          <w:tcPr>
            <w:tcW w:w="6160" w:type="dxa"/>
            <w:vAlign w:val="bottom"/>
            <w:gridSpan w:val="10"/>
          </w:tcPr>
          <w:p>
            <w:pPr>
              <w:spacing w:after="0"/>
              <w:rPr>
                <w:sz w:val="13"/>
                <w:szCs w:val="13"/>
                <w:color w:val="auto"/>
              </w:rPr>
            </w:pPr>
          </w:p>
        </w:tc>
        <w:tc>
          <w:tcPr>
            <w:tcW w:w="2560" w:type="dxa"/>
            <w:vAlign w:val="bottom"/>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87"/>
        </w:trPr>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76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Item 1</w:t>
            </w:r>
          </w:p>
        </w:tc>
        <w:tc>
          <w:tcPr>
            <w:tcW w:w="112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5"/>
                <w:szCs w:val="15"/>
                <w:color w:val="0000EE"/>
                <w:w w:val="98"/>
              </w:rPr>
              <w:t>Legal Proceedings</w:t>
            </w:r>
          </w:p>
        </w:tc>
        <w:tc>
          <w:tcPr>
            <w:tcW w:w="6520" w:type="dxa"/>
            <w:vAlign w:val="bottom"/>
            <w:gridSpan w:val="11"/>
          </w:tcPr>
          <w:p>
            <w:pPr>
              <w:spacing w:after="0"/>
              <w:rPr>
                <w:sz w:val="13"/>
                <w:szCs w:val="13"/>
                <w:color w:val="auto"/>
              </w:rPr>
            </w:pPr>
          </w:p>
        </w:tc>
        <w:tc>
          <w:tcPr>
            <w:tcW w:w="2560" w:type="dxa"/>
            <w:vAlign w:val="bottom"/>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67"/>
        </w:trPr>
        <w:tc>
          <w:tcPr>
            <w:tcW w:w="1060" w:type="dxa"/>
            <w:vAlign w:val="bottom"/>
            <w:tcBorders>
              <w:bottom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Item 1A</w:t>
            </w:r>
          </w:p>
        </w:tc>
        <w:tc>
          <w:tcPr>
            <w:tcW w:w="760" w:type="dxa"/>
            <w:vAlign w:val="bottom"/>
            <w:tcBorders>
              <w:bottom w:val="single" w:sz="8" w:color="0000EE"/>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98"/>
              </w:rPr>
              <w:t>Risk Factors</w:t>
            </w:r>
          </w:p>
        </w:tc>
        <w:tc>
          <w:tcPr>
            <w:tcW w:w="6880" w:type="dxa"/>
            <w:vAlign w:val="bottom"/>
            <w:tcBorders>
              <w:bottom w:val="single" w:sz="8" w:color="CCEEFF"/>
            </w:tcBorders>
            <w:gridSpan w:val="13"/>
            <w:shd w:val="clear" w:color="auto" w:fill="CCEEFF"/>
          </w:tcPr>
          <w:p>
            <w:pPr>
              <w:spacing w:after="0"/>
              <w:rPr>
                <w:sz w:val="14"/>
                <w:szCs w:val="14"/>
                <w:color w:val="auto"/>
              </w:rPr>
            </w:pPr>
          </w:p>
        </w:tc>
        <w:tc>
          <w:tcPr>
            <w:tcW w:w="2560" w:type="dxa"/>
            <w:vAlign w:val="bottom"/>
            <w:tcBorders>
              <w:bottom w:val="single" w:sz="8" w:color="CCEEFF"/>
            </w:tcBorders>
            <w:shd w:val="clear" w:color="auto" w:fill="CCEEFF"/>
          </w:tcPr>
          <w:p>
            <w:pPr>
              <w:jc w:val="center"/>
              <w:ind w:left="1505"/>
              <w:spacing w:after="0" w:line="154"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Item 2</w:t>
            </w:r>
          </w:p>
        </w:tc>
        <w:tc>
          <w:tcPr>
            <w:tcW w:w="7640" w:type="dxa"/>
            <w:vAlign w:val="bottom"/>
            <w:gridSpan w:val="15"/>
          </w:tcPr>
          <w:p>
            <w:pPr>
              <w:spacing w:after="0" w:line="146" w:lineRule="exact"/>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2560" w:type="dxa"/>
            <w:vAlign w:val="bottom"/>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67"/>
        </w:trPr>
        <w:tc>
          <w:tcPr>
            <w:tcW w:w="1060" w:type="dxa"/>
            <w:vAlign w:val="bottom"/>
            <w:tcBorders>
              <w:bottom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Item 3</w:t>
            </w:r>
          </w:p>
        </w:tc>
        <w:tc>
          <w:tcPr>
            <w:tcW w:w="1980" w:type="dxa"/>
            <w:vAlign w:val="bottom"/>
            <w:tcBorders>
              <w:top w:val="single" w:sz="8" w:color="0000EE"/>
              <w:bottom w:val="single" w:sz="8" w:color="0000EE"/>
              <w:right w:val="single" w:sz="8" w:color="CCEEFF"/>
            </w:tcBorders>
            <w:gridSpan w:val="9"/>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rPr>
              <w:t>Defaults Upon Senior Securities</w:t>
            </w:r>
          </w:p>
        </w:tc>
        <w:tc>
          <w:tcPr>
            <w:tcW w:w="164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4020" w:type="dxa"/>
            <w:vAlign w:val="bottom"/>
            <w:tcBorders>
              <w:bottom w:val="single" w:sz="8" w:color="CCEEFF"/>
            </w:tcBorders>
            <w:gridSpan w:val="3"/>
            <w:shd w:val="clear" w:color="auto" w:fill="CCEEFF"/>
          </w:tcPr>
          <w:p>
            <w:pPr>
              <w:spacing w:after="0"/>
              <w:rPr>
                <w:sz w:val="14"/>
                <w:szCs w:val="14"/>
                <w:color w:val="auto"/>
              </w:rPr>
            </w:pPr>
          </w:p>
        </w:tc>
        <w:tc>
          <w:tcPr>
            <w:tcW w:w="2560" w:type="dxa"/>
            <w:vAlign w:val="bottom"/>
            <w:tcBorders>
              <w:bottom w:val="single" w:sz="8" w:color="CCEEFF"/>
            </w:tcBorders>
            <w:shd w:val="clear" w:color="auto" w:fill="CCEEFF"/>
          </w:tcPr>
          <w:p>
            <w:pPr>
              <w:jc w:val="center"/>
              <w:ind w:left="1505"/>
              <w:spacing w:after="0" w:line="154"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Item 4</w:t>
            </w:r>
          </w:p>
        </w:tc>
        <w:tc>
          <w:tcPr>
            <w:tcW w:w="148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5"/>
                <w:szCs w:val="15"/>
                <w:color w:val="0000EE"/>
                <w:w w:val="98"/>
              </w:rPr>
              <w:t>Mine Safety Disclosures</w:t>
            </w:r>
          </w:p>
        </w:tc>
        <w:tc>
          <w:tcPr>
            <w:tcW w:w="6160" w:type="dxa"/>
            <w:vAlign w:val="bottom"/>
            <w:gridSpan w:val="10"/>
          </w:tcPr>
          <w:p>
            <w:pPr>
              <w:spacing w:after="0"/>
              <w:rPr>
                <w:sz w:val="13"/>
                <w:szCs w:val="13"/>
                <w:color w:val="auto"/>
              </w:rPr>
            </w:pPr>
          </w:p>
        </w:tc>
        <w:tc>
          <w:tcPr>
            <w:tcW w:w="2560" w:type="dxa"/>
            <w:vAlign w:val="bottom"/>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67"/>
        </w:trPr>
        <w:tc>
          <w:tcPr>
            <w:tcW w:w="1060" w:type="dxa"/>
            <w:vAlign w:val="bottom"/>
            <w:tcBorders>
              <w:bottom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Item 5</w:t>
            </w:r>
          </w:p>
        </w:tc>
        <w:tc>
          <w:tcPr>
            <w:tcW w:w="1100" w:type="dxa"/>
            <w:vAlign w:val="bottom"/>
            <w:tcBorders>
              <w:bottom w:val="single" w:sz="8" w:color="0000EE"/>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98"/>
              </w:rPr>
              <w:t>Other Information</w:t>
            </w:r>
          </w:p>
        </w:tc>
        <w:tc>
          <w:tcPr>
            <w:tcW w:w="6540" w:type="dxa"/>
            <w:vAlign w:val="bottom"/>
            <w:tcBorders>
              <w:bottom w:val="single" w:sz="8" w:color="CCEEFF"/>
            </w:tcBorders>
            <w:gridSpan w:val="12"/>
            <w:shd w:val="clear" w:color="auto" w:fill="CCEEFF"/>
          </w:tcPr>
          <w:p>
            <w:pPr>
              <w:spacing w:after="0"/>
              <w:rPr>
                <w:sz w:val="14"/>
                <w:szCs w:val="14"/>
                <w:color w:val="auto"/>
              </w:rPr>
            </w:pPr>
          </w:p>
        </w:tc>
        <w:tc>
          <w:tcPr>
            <w:tcW w:w="2560" w:type="dxa"/>
            <w:vAlign w:val="bottom"/>
            <w:tcBorders>
              <w:bottom w:val="single" w:sz="8" w:color="CCEEFF"/>
            </w:tcBorders>
            <w:shd w:val="clear" w:color="auto" w:fill="CCEEFF"/>
          </w:tcPr>
          <w:p>
            <w:pPr>
              <w:jc w:val="center"/>
              <w:ind w:left="1505"/>
              <w:spacing w:after="0" w:line="154"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53"/>
        </w:trPr>
        <w:tc>
          <w:tcPr>
            <w:tcW w:w="106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Item 6</w:t>
            </w:r>
          </w:p>
        </w:tc>
        <w:tc>
          <w:tcPr>
            <w:tcW w:w="7640" w:type="dxa"/>
            <w:vAlign w:val="bottom"/>
            <w:gridSpan w:val="15"/>
          </w:tcPr>
          <w:p>
            <w:pPr>
              <w:spacing w:after="0" w:line="146" w:lineRule="exact"/>
              <w:rPr>
                <w:sz w:val="20"/>
                <w:szCs w:val="20"/>
                <w:color w:val="auto"/>
              </w:rPr>
            </w:pPr>
            <w:r>
              <w:rPr>
                <w:rFonts w:ascii="Times New Roman" w:cs="Times New Roman" w:eastAsia="Times New Roman" w:hAnsi="Times New Roman"/>
                <w:sz w:val="15"/>
                <w:szCs w:val="15"/>
                <w:color w:val="0000EE"/>
              </w:rPr>
              <w:t>Exhibits</w:t>
            </w:r>
          </w:p>
        </w:tc>
        <w:tc>
          <w:tcPr>
            <w:tcW w:w="2560" w:type="dxa"/>
            <w:vAlign w:val="bottom"/>
          </w:tcPr>
          <w:p>
            <w:pPr>
              <w:jc w:val="center"/>
              <w:ind w:left="1505"/>
              <w:spacing w:after="0" w:line="146" w:lineRule="exact"/>
              <w:rPr>
                <w:sz w:val="20"/>
                <w:szCs w:val="20"/>
                <w:color w:val="auto"/>
              </w:rPr>
            </w:pPr>
            <w:r>
              <w:rPr>
                <w:rFonts w:ascii="Times New Roman" w:cs="Times New Roman" w:eastAsia="Times New Roman" w:hAnsi="Times New Roman"/>
                <w:sz w:val="15"/>
                <w:szCs w:val="15"/>
                <w:color w:val="auto"/>
                <w:w w:val="93"/>
              </w:rPr>
              <w:t>46</w:t>
            </w:r>
          </w:p>
        </w:tc>
        <w:tc>
          <w:tcPr>
            <w:tcW w:w="0" w:type="dxa"/>
            <w:vAlign w:val="bottom"/>
          </w:tcPr>
          <w:p>
            <w:pPr>
              <w:spacing w:after="0"/>
              <w:rPr>
                <w:sz w:val="1"/>
                <w:szCs w:val="1"/>
                <w:color w:val="auto"/>
              </w:rPr>
            </w:pPr>
          </w:p>
        </w:tc>
      </w:tr>
      <w:tr>
        <w:trPr>
          <w:trHeight w:val="167"/>
        </w:trPr>
        <w:tc>
          <w:tcPr>
            <w:tcW w:w="1060" w:type="dxa"/>
            <w:vAlign w:val="bottom"/>
            <w:gridSpan w:val="3"/>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0000EE"/>
              </w:rPr>
              <w:t>SIGNATURES</w:t>
            </w:r>
          </w:p>
        </w:tc>
        <w:tc>
          <w:tcPr>
            <w:tcW w:w="500" w:type="dxa"/>
            <w:vAlign w:val="bottom"/>
            <w:tcBorders>
              <w:top w:val="single" w:sz="8" w:color="0000EE"/>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560" w:type="dxa"/>
            <w:vAlign w:val="bottom"/>
            <w:shd w:val="clear" w:color="auto" w:fill="CCEEFF"/>
          </w:tcPr>
          <w:p>
            <w:pPr>
              <w:jc w:val="center"/>
              <w:ind w:left="1505"/>
              <w:spacing w:after="0" w:line="154" w:lineRule="exact"/>
              <w:rPr>
                <w:sz w:val="20"/>
                <w:szCs w:val="20"/>
                <w:color w:val="auto"/>
              </w:rPr>
            </w:pPr>
            <w:r>
              <w:rPr>
                <w:rFonts w:ascii="Times New Roman" w:cs="Times New Roman" w:eastAsia="Times New Roman" w:hAnsi="Times New Roman"/>
                <w:sz w:val="15"/>
                <w:szCs w:val="15"/>
                <w:color w:val="auto"/>
                <w:w w:val="93"/>
              </w:rPr>
              <w:t>48</w:t>
            </w:r>
          </w:p>
        </w:tc>
        <w:tc>
          <w:tcPr>
            <w:tcW w:w="0" w:type="dxa"/>
            <w:vAlign w:val="bottom"/>
          </w:tcPr>
          <w:p>
            <w:pPr>
              <w:spacing w:after="0"/>
              <w:rPr>
                <w:sz w:val="1"/>
                <w:szCs w:val="1"/>
                <w:color w:val="auto"/>
              </w:rPr>
            </w:pPr>
          </w:p>
        </w:tc>
      </w:tr>
      <w:tr>
        <w:trPr>
          <w:trHeight w:val="475"/>
        </w:trPr>
        <w:tc>
          <w:tcPr>
            <w:tcW w:w="8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380" w:type="dxa"/>
            <w:vAlign w:val="bottom"/>
            <w:tcBorders>
              <w:top w:val="single" w:sz="8" w:color="CCEEFF"/>
            </w:tcBorders>
            <w:gridSpan w:val="14"/>
          </w:tcPr>
          <w:p>
            <w:pPr>
              <w:jc w:val="center"/>
              <w:ind w:left="3686"/>
              <w:spacing w:after="0"/>
              <w:rPr>
                <w:sz w:val="20"/>
                <w:szCs w:val="20"/>
                <w:color w:val="auto"/>
              </w:rPr>
            </w:pPr>
            <w:r>
              <w:rPr>
                <w:rFonts w:ascii="Times New Roman" w:cs="Times New Roman" w:eastAsia="Times New Roman" w:hAnsi="Times New Roman"/>
                <w:sz w:val="12"/>
                <w:szCs w:val="12"/>
                <w:color w:val="auto"/>
                <w:w w:val="99"/>
              </w:rPr>
              <w:t>2</w:t>
            </w:r>
          </w:p>
        </w:tc>
        <w:tc>
          <w:tcPr>
            <w:tcW w:w="226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4" w:right="319" w:bottom="1440" w:gutter="0" w:footer="0" w:header="0"/>
        </w:sectPr>
      </w:pPr>
    </w:p>
    <w:bookmarkStart w:id="2" w:name="page3"/>
    <w:bookmarkEnd w:id="2"/>
    <w:p>
      <w:pPr>
        <w:ind w:left="10"/>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0" w:lineRule="exact"/>
        <w:rPr>
          <w:sz w:val="20"/>
          <w:szCs w:val="20"/>
          <w:color w:val="auto"/>
        </w:rPr>
      </w:pPr>
    </w:p>
    <w:p>
      <w:pPr>
        <w:ind w:left="10"/>
        <w:spacing w:after="0" w:line="283" w:lineRule="auto"/>
        <w:rPr>
          <w:sz w:val="20"/>
          <w:szCs w:val="20"/>
          <w:color w:val="auto"/>
        </w:rPr>
      </w:pPr>
      <w:r>
        <w:rPr>
          <w:rFonts w:ascii="Times New Roman" w:cs="Times New Roman" w:eastAsia="Times New Roman" w:hAnsi="Times New Roman"/>
          <w:sz w:val="15"/>
          <w:szCs w:val="15"/>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Some of the statements in this quarterly report on Form 10-Q constitute forward-looking statements because they relate to future events or our future performance or financial condition.</w:t>
      </w:r>
    </w:p>
    <w:p>
      <w:pPr>
        <w:spacing w:after="0" w:line="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forward-looking statements contained in this quarterly report on Form 10-Q may include statements as to:</w:t>
      </w:r>
    </w:p>
    <w:p>
      <w:pPr>
        <w:spacing w:after="0" w:line="175" w:lineRule="exact"/>
        <w:rPr>
          <w:sz w:val="20"/>
          <w:szCs w:val="20"/>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operating results and distribution projections;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Chicago Atlantic BDC Advisers, LLC (“Adviser”) to attract and retain highly talented professionals;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prospects and the prospects of our portfolio companies;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interest and inflation rates on our business prospects and the prospects of our portfolio companies;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investments that we expect to make;</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portfolio companies to achieve their objectives;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financings and investments and the timing of our investments in our initial portfolio;</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regulation impacting the cannabis industry;</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adequacy of our cash resources and working capital;</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and future effects of the COVID-19 pandemic on us and our portfolio companies;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cash flows, if any, from the operations of our portfolio companies; and</w:t>
      </w:r>
    </w:p>
    <w:p>
      <w:pPr>
        <w:spacing w:after="0" w:line="188" w:lineRule="exact"/>
        <w:rPr>
          <w:rFonts w:ascii="Times New Roman" w:cs="Times New Roman" w:eastAsia="Times New Roman" w:hAnsi="Times New Roman"/>
          <w:sz w:val="15"/>
          <w:szCs w:val="15"/>
          <w:color w:val="auto"/>
        </w:rPr>
      </w:pPr>
    </w:p>
    <w:p>
      <w:pPr>
        <w:ind w:left="410" w:hanging="410"/>
        <w:spacing w:after="0" w:line="280" w:lineRule="auto"/>
        <w:tabs>
          <w:tab w:leader="none" w:pos="4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realize benefits anticipated by the Loan Portfolio Acquisition (as defined below). See “Note 12 – Subsequent Events” in the notes to the financial statements included with this quarterly report on Form 10-Q for further information regarding the Loan Portfolio Acquisition.</w:t>
      </w:r>
    </w:p>
    <w:p>
      <w:pPr>
        <w:spacing w:after="0" w:line="13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2023 and elsewhere in this quarterly report on Form 10-Q. Other factors that could cause actual results to differ materially include:</w:t>
      </w:r>
    </w:p>
    <w:p>
      <w:pPr>
        <w:spacing w:after="0" w:line="154" w:lineRule="exact"/>
        <w:rPr>
          <w:sz w:val="20"/>
          <w:szCs w:val="20"/>
          <w:color w:val="auto"/>
        </w:rPr>
      </w:pPr>
    </w:p>
    <w:p>
      <w:pPr>
        <w:ind w:left="410" w:hanging="410"/>
        <w:spacing w:after="0"/>
        <w:tabs>
          <w:tab w:leader="none" w:pos="41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limited operating history;</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or potential disruptions in our operations, the economy, financial markets or political environment;</w:t>
      </w:r>
    </w:p>
    <w:p>
      <w:pPr>
        <w:spacing w:after="0" w:line="188" w:lineRule="exact"/>
        <w:rPr>
          <w:rFonts w:ascii="Times New Roman" w:cs="Times New Roman" w:eastAsia="Times New Roman" w:hAnsi="Times New Roman"/>
          <w:sz w:val="15"/>
          <w:szCs w:val="15"/>
          <w:color w:val="auto"/>
        </w:rPr>
      </w:pPr>
    </w:p>
    <w:p>
      <w:pPr>
        <w:ind w:left="410" w:right="20" w:hanging="410"/>
        <w:spacing w:after="0" w:line="280" w:lineRule="auto"/>
        <w:tabs>
          <w:tab w:leader="none" w:pos="41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possible disruption in our operations or the economy generally due to terrorism, natural disasters, the Russia-Ukraine war, or the Israel-Hamas war and the potential for volatility in energy prices and other commodities and their impact on the industries in which we invest;</w:t>
      </w:r>
    </w:p>
    <w:p>
      <w:pPr>
        <w:spacing w:after="0" w:line="13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information technology system failures, data security breaches, data privacy compliance, network disruptions, and cybersecurity attacks;</w:t>
      </w:r>
    </w:p>
    <w:p>
      <w:pPr>
        <w:spacing w:after="0" w:line="188" w:lineRule="exact"/>
        <w:rPr>
          <w:rFonts w:ascii="Times New Roman" w:cs="Times New Roman" w:eastAsia="Times New Roman" w:hAnsi="Times New Roman"/>
          <w:sz w:val="15"/>
          <w:szCs w:val="15"/>
          <w:color w:val="auto"/>
        </w:rPr>
      </w:pPr>
    </w:p>
    <w:p>
      <w:pPr>
        <w:ind w:left="410" w:hanging="410"/>
        <w:spacing w:after="0" w:line="280" w:lineRule="auto"/>
        <w:tabs>
          <w:tab w:leader="none" w:pos="41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3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considerations that may be disclosed from time to time in our publicly disseminated documents and filings.</w:t>
      </w:r>
    </w:p>
    <w:p>
      <w:pPr>
        <w:spacing w:after="0" w:line="3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i w:val="1"/>
                <w:iCs w:val="1"/>
                <w:color w:val="0000EE"/>
                <w:w w:val="96"/>
              </w:rPr>
              <w:t>Table of Contents</w:t>
            </w:r>
          </w:p>
        </w:tc>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40" w:type="dxa"/>
            <w:vAlign w:val="bottom"/>
          </w:tcPr>
          <w:p>
            <w:pPr>
              <w:spacing w:after="0"/>
              <w:rPr>
                <w:sz w:val="24"/>
                <w:szCs w:val="24"/>
                <w:color w:val="auto"/>
              </w:rPr>
            </w:pPr>
          </w:p>
        </w:tc>
        <w:tc>
          <w:tcPr>
            <w:tcW w:w="7820" w:type="dxa"/>
            <w:vAlign w:val="bottom"/>
          </w:tcPr>
          <w:p>
            <w:pPr>
              <w:ind w:left="3640"/>
              <w:spacing w:after="0"/>
              <w:rPr>
                <w:sz w:val="20"/>
                <w:szCs w:val="20"/>
                <w:color w:val="auto"/>
              </w:rPr>
            </w:pPr>
            <w:r>
              <w:rPr>
                <w:rFonts w:ascii="Times New Roman" w:cs="Times New Roman" w:eastAsia="Times New Roman" w:hAnsi="Times New Roman"/>
                <w:sz w:val="15"/>
                <w:szCs w:val="15"/>
                <w:b w:val="1"/>
                <w:bCs w:val="1"/>
                <w:color w:val="auto"/>
              </w:rPr>
              <w:t>CHICAGO ATLANTIC BDC,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40" w:type="dxa"/>
            <w:vAlign w:val="bottom"/>
          </w:tcPr>
          <w:p>
            <w:pPr>
              <w:spacing w:after="0"/>
              <w:rPr>
                <w:sz w:val="24"/>
                <w:szCs w:val="24"/>
                <w:color w:val="auto"/>
              </w:rPr>
            </w:pPr>
          </w:p>
        </w:tc>
        <w:tc>
          <w:tcPr>
            <w:tcW w:w="7820" w:type="dxa"/>
            <w:vAlign w:val="bottom"/>
          </w:tcPr>
          <w:p>
            <w:pPr>
              <w:ind w:left="3640"/>
              <w:spacing w:after="0"/>
              <w:rPr>
                <w:sz w:val="20"/>
                <w:szCs w:val="20"/>
                <w:color w:val="auto"/>
              </w:rPr>
            </w:pPr>
            <w:r>
              <w:rPr>
                <w:rFonts w:ascii="Times New Roman" w:cs="Times New Roman" w:eastAsia="Times New Roman" w:hAnsi="Times New Roman"/>
                <w:sz w:val="15"/>
                <w:szCs w:val="15"/>
                <w:b w:val="1"/>
                <w:bCs w:val="1"/>
                <w:color w:val="auto"/>
              </w:rPr>
              <w:t>Statements of Assets and Liabilities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7"/>
                <w:szCs w:val="17"/>
                <w:color w:val="auto"/>
              </w:rPr>
            </w:pPr>
          </w:p>
        </w:tc>
        <w:tc>
          <w:tcPr>
            <w:tcW w:w="104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8"/>
              </w:rPr>
              <w:t>(unaudited)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Non-control/non-affiliate investments at fair value (amortized cost of $54,952,504 and $53,471,317,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55,788,511</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54,120,000</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30,111,563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32,611,635</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receivable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1,635,943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1,755,360</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1,125,739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receivable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401,313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103,554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39,276</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50,000</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41,061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Paydown receivable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21,000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89,278,684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88,576,271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7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 fees payable related to the Loan Portfolio Acquisition</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4,795,549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711,264</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Offering costs payable</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986,806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Management fee payable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253,421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257,121</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fees payable</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213,523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123,998</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Capital gains incentive fees payable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125,048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87,583</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payable</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88,435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84,824</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Administrator fees payable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51,251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86,463</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to affiliate</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51,142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Unearned interest income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42,550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financing costs payable</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41,061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Directors fees payable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25,992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94,760</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payables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24,296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13,822</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Valuation fees payable</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22,468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24,675</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 payable</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17,500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17,233</w:t>
            </w: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Income-based incentive fees payable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1,511,253</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payable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3"/>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Excise tax payable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10,655</w:t>
            </w:r>
          </w:p>
        </w:tc>
        <w:tc>
          <w:tcPr>
            <w:tcW w:w="0" w:type="dxa"/>
            <w:vAlign w:val="bottom"/>
          </w:tcPr>
          <w:p>
            <w:pPr>
              <w:spacing w:after="0"/>
              <w:rPr>
                <w:sz w:val="1"/>
                <w:szCs w:val="1"/>
                <w:color w:val="auto"/>
              </w:rPr>
            </w:pPr>
          </w:p>
        </w:tc>
      </w:tr>
      <w:tr>
        <w:trPr>
          <w:trHeight w:val="183"/>
        </w:trPr>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6,739,042</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3,023,653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Stock, $0.01 par value, 100,000,000 shares authorized, 6,214,995 and 6,214,941 shares issued and outstanding, respectively</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62,149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62,149</w:t>
            </w:r>
          </w:p>
        </w:tc>
        <w:tc>
          <w:tcPr>
            <w:tcW w:w="0" w:type="dxa"/>
            <w:vAlign w:val="bottom"/>
          </w:tcPr>
          <w:p>
            <w:pPr>
              <w:spacing w:after="0"/>
              <w:rPr>
                <w:sz w:val="1"/>
                <w:szCs w:val="1"/>
                <w:color w:val="auto"/>
              </w:rPr>
            </w:pPr>
          </w:p>
        </w:tc>
      </w:tr>
      <w:tr>
        <w:trPr>
          <w:trHeight w:val="18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85,031,106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85,041,203</w:t>
            </w:r>
          </w:p>
        </w:tc>
        <w:tc>
          <w:tcPr>
            <w:tcW w:w="0" w:type="dxa"/>
            <w:vAlign w:val="bottom"/>
          </w:tcPr>
          <w:p>
            <w:pPr>
              <w:spacing w:after="0"/>
              <w:rPr>
                <w:sz w:val="1"/>
                <w:szCs w:val="1"/>
                <w:color w:val="auto"/>
              </w:rPr>
            </w:pPr>
          </w:p>
        </w:tc>
      </w:tr>
      <w:tr>
        <w:trPr>
          <w:trHeight w:val="183"/>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Distributable earnings (Accumulated losses)</w:t>
            </w:r>
          </w:p>
        </w:tc>
        <w:tc>
          <w:tcPr>
            <w:tcW w:w="100" w:type="dxa"/>
            <w:vAlign w:val="bottom"/>
          </w:tcPr>
          <w:p>
            <w:pPr>
              <w:spacing w:after="0"/>
              <w:rPr>
                <w:sz w:val="15"/>
                <w:szCs w:val="15"/>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(2,553,613)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449,266</w:t>
            </w:r>
          </w:p>
        </w:tc>
        <w:tc>
          <w:tcPr>
            <w:tcW w:w="0" w:type="dxa"/>
            <w:vAlign w:val="bottom"/>
          </w:tcPr>
          <w:p>
            <w:pPr>
              <w:spacing w:after="0"/>
              <w:rPr>
                <w:sz w:val="1"/>
                <w:szCs w:val="1"/>
                <w:color w:val="auto"/>
              </w:rPr>
            </w:pPr>
          </w:p>
        </w:tc>
      </w:tr>
      <w:tr>
        <w:trPr>
          <w:trHeight w:val="183"/>
        </w:trPr>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82,539,642</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85,552,618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 liabilities and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89,278,684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88,576,271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60" w:type="dxa"/>
            <w:vAlign w:val="bottom"/>
            <w:tcBorders>
              <w:bottom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NET ASSET VALUE PER SHARE</w:t>
            </w:r>
          </w:p>
        </w:tc>
        <w:tc>
          <w:tcPr>
            <w:tcW w:w="10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13.28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13.77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522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7"/>
        </w:trPr>
        <w:tc>
          <w:tcPr>
            <w:tcW w:w="3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80" w:type="dxa"/>
            <w:vAlign w:val="bottom"/>
            <w:gridSpan w:val="5"/>
          </w:tcPr>
          <w:p>
            <w:pPr>
              <w:jc w:val="center"/>
              <w:ind w:left="3425"/>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80" w:type="dxa"/>
            <w:vAlign w:val="bottom"/>
            <w:gridSpan w:val="5"/>
          </w:tcPr>
          <w:p>
            <w:pPr>
              <w:jc w:val="center"/>
              <w:ind w:left="3425"/>
              <w:spacing w:after="0"/>
              <w:rPr>
                <w:sz w:val="20"/>
                <w:szCs w:val="20"/>
                <w:color w:val="auto"/>
              </w:rPr>
            </w:pPr>
            <w:r>
              <w:rPr>
                <w:rFonts w:ascii="Times New Roman" w:cs="Times New Roman" w:eastAsia="Times New Roman" w:hAnsi="Times New Roman"/>
                <w:sz w:val="15"/>
                <w:szCs w:val="15"/>
                <w:b w:val="1"/>
                <w:bCs w:val="1"/>
                <w:color w:val="auto"/>
                <w:w w:val="99"/>
              </w:rPr>
              <w:t>Statements of Operations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w w:val="97"/>
              </w:rPr>
              <w:t>September 30, 2023</w:t>
            </w:r>
          </w:p>
        </w:tc>
        <w:tc>
          <w:tcPr>
            <w:tcW w:w="2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September 30, 2023</w:t>
            </w:r>
          </w:p>
        </w:tc>
        <w:tc>
          <w:tcPr>
            <w:tcW w:w="100" w:type="dxa"/>
            <w:vAlign w:val="bottom"/>
          </w:tcPr>
          <w:p>
            <w:pPr>
              <w:spacing w:after="0"/>
              <w:rPr>
                <w:sz w:val="15"/>
                <w:szCs w:val="15"/>
                <w:color w:val="auto"/>
              </w:rPr>
            </w:pPr>
          </w:p>
        </w:tc>
      </w:tr>
      <w:tr>
        <w:trPr>
          <w:trHeight w:val="162"/>
        </w:trPr>
        <w:tc>
          <w:tcPr>
            <w:tcW w:w="522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INVESTMENT INCOME</w:t>
            </w:r>
          </w:p>
        </w:tc>
        <w:tc>
          <w:tcPr>
            <w:tcW w:w="3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8"/>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Non-control/non-affiliate investment income</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income</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2,686,771</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9"/>
              </w:rPr>
              <w:t>2,885,725</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8,203,601</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8,106,013</w:t>
            </w:r>
          </w:p>
        </w:tc>
        <w:tc>
          <w:tcPr>
            <w:tcW w:w="100" w:type="dxa"/>
            <w:vAlign w:val="bottom"/>
            <w:shd w:val="clear" w:color="auto" w:fill="CCEEFF"/>
          </w:tcPr>
          <w:p>
            <w:pPr>
              <w:spacing w:after="0"/>
              <w:rPr>
                <w:sz w:val="15"/>
                <w:szCs w:val="15"/>
                <w:color w:val="auto"/>
              </w:rPr>
            </w:pPr>
          </w:p>
        </w:tc>
      </w:tr>
      <w:tr>
        <w:trPr>
          <w:trHeight w:val="183"/>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Fee income</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489,176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31,250</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813,926</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162,500</w:t>
            </w:r>
          </w:p>
        </w:tc>
      </w:tr>
      <w:tr>
        <w:trPr>
          <w:trHeight w:val="183"/>
        </w:trPr>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3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3,175,947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2,916,975</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9,017,527</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8,268,513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0"/>
        </w:trPr>
        <w:tc>
          <w:tcPr>
            <w:tcW w:w="840" w:type="dxa"/>
            <w:vAlign w:val="bottom"/>
            <w:gridSpan w:val="2"/>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Transaction expenses related to the Loan Portfolio Acquisition</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2,429,993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5,069,062</w:t>
            </w:r>
          </w:p>
        </w:tc>
        <w:tc>
          <w:tcPr>
            <w:tcW w:w="6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Management fee</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253,421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264,565</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745,876</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760,473</w:t>
            </w: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Income-based incentive fees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405,247</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328,503</w:t>
            </w:r>
          </w:p>
        </w:tc>
        <w:tc>
          <w:tcPr>
            <w:tcW w:w="6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1,051,741</w:t>
            </w:r>
          </w:p>
        </w:tc>
        <w:tc>
          <w:tcPr>
            <w:tcW w:w="100" w:type="dxa"/>
            <w:vAlign w:val="bottom"/>
          </w:tcPr>
          <w:p>
            <w:pPr>
              <w:spacing w:after="0"/>
              <w:rPr>
                <w:sz w:val="15"/>
                <w:szCs w:val="15"/>
                <w:color w:val="auto"/>
              </w:rPr>
            </w:pP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Audit expense</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95,675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223,982</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299,225</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409,365</w:t>
            </w: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Administrator fees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98,489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84,617</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298,132</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250,314</w:t>
            </w: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Legal expenses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60,200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148,292</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200,073</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334,308</w:t>
            </w: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Insurance expense</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66,939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67,122</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199,430</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202,597</w:t>
            </w: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40,546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22,210</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107,213</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61,918</w:t>
            </w: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 expenses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25,992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38,223</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80,311</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105,913</w:t>
            </w: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Professional fees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59,780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15,841</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74,694</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51,808</w:t>
            </w: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Valuation fees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22,990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22,890</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50,043</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116,955</w:t>
            </w: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 gains incentive fees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(35,904)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37,465</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Custodian fees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12,000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12,000</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35,850</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36,000</w:t>
            </w: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Excise tax expense</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31,314</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23"/>
        </w:trPr>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3,161,435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9"/>
              </w:rPr>
              <w:t>1,299,989</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7,557,191</w:t>
            </w:r>
          </w:p>
        </w:tc>
        <w:tc>
          <w:tcPr>
            <w:tcW w:w="6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3,381,392</w:t>
            </w:r>
          </w:p>
        </w:tc>
        <w:tc>
          <w:tcPr>
            <w:tcW w:w="100" w:type="dxa"/>
            <w:vAlign w:val="bottom"/>
          </w:tcPr>
          <w:p>
            <w:pPr>
              <w:spacing w:after="0"/>
              <w:rPr>
                <w:sz w:val="15"/>
                <w:szCs w:val="15"/>
                <w:color w:val="auto"/>
              </w:rPr>
            </w:pPr>
          </w:p>
        </w:tc>
      </w:tr>
      <w:tr>
        <w:trPr>
          <w:trHeight w:val="180"/>
        </w:trPr>
        <w:tc>
          <w:tcPr>
            <w:tcW w:w="840" w:type="dxa"/>
            <w:vAlign w:val="bottom"/>
            <w:gridSpan w:val="2"/>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INVESTMENT INCOME (LOSS)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14,512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9"/>
              </w:rPr>
              <w:t>1,616,986</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1,460,336</w:t>
            </w:r>
          </w:p>
        </w:tc>
        <w:tc>
          <w:tcPr>
            <w:tcW w:w="6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4,887,121</w:t>
            </w:r>
          </w:p>
        </w:tc>
        <w:tc>
          <w:tcPr>
            <w:tcW w:w="100" w:type="dxa"/>
            <w:vAlign w:val="bottom"/>
          </w:tcPr>
          <w:p>
            <w:pPr>
              <w:spacing w:after="0"/>
              <w:rPr>
                <w:sz w:val="15"/>
                <w:szCs w:val="15"/>
                <w:color w:val="auto"/>
              </w:rPr>
            </w:pPr>
          </w:p>
        </w:tc>
      </w:tr>
      <w:tr>
        <w:trPr>
          <w:trHeight w:val="180"/>
        </w:trPr>
        <w:tc>
          <w:tcPr>
            <w:tcW w:w="840" w:type="dxa"/>
            <w:vAlign w:val="bottom"/>
            <w:gridSpan w:val="2"/>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REALIZED GAIN (LOSS) FROM INVESTMENTS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(210,767)</w:t>
            </w:r>
          </w:p>
        </w:tc>
      </w:tr>
      <w:tr>
        <w:trPr>
          <w:trHeight w:val="23"/>
        </w:trPr>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realized gain (loss) from investments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(210,767)</w:t>
            </w:r>
          </w:p>
        </w:tc>
      </w:tr>
      <w:tr>
        <w:trPr>
          <w:trHeight w:val="180"/>
        </w:trPr>
        <w:tc>
          <w:tcPr>
            <w:tcW w:w="840" w:type="dxa"/>
            <w:vAlign w:val="bottom"/>
            <w:gridSpan w:val="2"/>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2"/>
        </w:trPr>
        <w:tc>
          <w:tcPr>
            <w:tcW w:w="522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w w:val="99"/>
              </w:rPr>
              <w:t>NET CHANGE IN UNREALIZED APPRECIATION (DEPRECIATION) FROM</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8"/>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(179,524)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(343,104)</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187,324</w:t>
            </w:r>
          </w:p>
        </w:tc>
        <w:tc>
          <w:tcPr>
            <w:tcW w:w="6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166,012</w:t>
            </w:r>
          </w:p>
        </w:tc>
      </w:tr>
      <w:tr>
        <w:trPr>
          <w:trHeight w:val="23"/>
        </w:trPr>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change in unrealized appreciation (depreciation) from investments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(179,524)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(343,104)</w:t>
            </w:r>
          </w:p>
        </w:tc>
        <w:tc>
          <w:tcPr>
            <w:tcW w:w="3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187,324</w:t>
            </w:r>
          </w:p>
        </w:tc>
        <w:tc>
          <w:tcPr>
            <w:tcW w:w="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166,012</w:t>
            </w:r>
          </w:p>
        </w:tc>
      </w:tr>
      <w:tr>
        <w:trPr>
          <w:trHeight w:val="183"/>
        </w:trPr>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realized and unrealized gains (losses)</w:t>
            </w:r>
          </w:p>
        </w:tc>
        <w:tc>
          <w:tcPr>
            <w:tcW w:w="3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(179,524)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(343,104)</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187,324</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(44,755)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0"/>
        </w:trPr>
        <w:tc>
          <w:tcPr>
            <w:tcW w:w="840" w:type="dxa"/>
            <w:vAlign w:val="bottom"/>
            <w:gridSpan w:val="2"/>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22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NET INCREASE (DECREASE) IN NET ASSETS RESULTING FROM</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8"/>
        </w:trPr>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(165,012)</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9"/>
              </w:rPr>
              <w:t>1,273,882</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1,647,660</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4,842,366</w:t>
            </w:r>
          </w:p>
        </w:tc>
        <w:tc>
          <w:tcPr>
            <w:tcW w:w="100" w:type="dxa"/>
            <w:vAlign w:val="bottom"/>
            <w:shd w:val="clear" w:color="auto" w:fill="CCEEFF"/>
          </w:tcPr>
          <w:p>
            <w:pPr>
              <w:spacing w:after="0"/>
              <w:rPr>
                <w:sz w:val="20"/>
                <w:szCs w:val="20"/>
                <w:color w:val="auto"/>
              </w:rPr>
            </w:pPr>
          </w:p>
        </w:tc>
      </w:tr>
      <w:tr>
        <w:trPr>
          <w:trHeight w:val="166"/>
        </w:trPr>
        <w:tc>
          <w:tcPr>
            <w:tcW w:w="840" w:type="dxa"/>
            <w:vAlign w:val="bottom"/>
            <w:tcBorders>
              <w:top w:val="single" w:sz="8" w:color="CCEEFF"/>
            </w:tcBorders>
            <w:gridSpan w:val="2"/>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4"/>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INVESTMENT INCOME (LOSS) PER SHARE — BASIC AND DILUTED</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15"/>
                <w:szCs w:val="15"/>
                <w:color w:val="auto"/>
              </w:rPr>
              <w:t>0.00</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0.26</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0.23</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0.79</w:t>
            </w:r>
          </w:p>
        </w:tc>
      </w:tr>
      <w:tr>
        <w:trPr>
          <w:trHeight w:val="166"/>
        </w:trPr>
        <w:tc>
          <w:tcPr>
            <w:tcW w:w="610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auto"/>
              </w:rPr>
              <w:t>NET INCREASE (DECREASE) IN NET ASSETS RESULTING FROM OPERATIONS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4"/>
        </w:trPr>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PER SHARE — BASIC AND DILUTED</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(0.03)</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0.20</w:t>
            </w:r>
          </w:p>
        </w:tc>
        <w:tc>
          <w:tcPr>
            <w:tcW w:w="3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0.27</w:t>
            </w: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0.78</w:t>
            </w:r>
          </w:p>
        </w:tc>
      </w:tr>
      <w:tr>
        <w:trPr>
          <w:trHeight w:val="181"/>
        </w:trPr>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SHARES OUTSTANDING — BASIC AND DILUTED</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9"/>
              </w:rPr>
              <w:t>6,214,673</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6,214,952</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6,214,672</w:t>
            </w:r>
          </w:p>
        </w:tc>
        <w:tc>
          <w:tcPr>
            <w:tcW w:w="100" w:type="dxa"/>
            <w:vAlign w:val="bottom"/>
            <w:shd w:val="clear" w:color="auto" w:fill="CCEEFF"/>
          </w:tcPr>
          <w:p>
            <w:pPr>
              <w:spacing w:after="0"/>
              <w:rPr>
                <w:sz w:val="15"/>
                <w:szCs w:val="15"/>
                <w:color w:val="auto"/>
              </w:rPr>
            </w:pPr>
          </w:p>
        </w:tc>
      </w:tr>
      <w:tr>
        <w:trPr>
          <w:trHeight w:val="359"/>
        </w:trPr>
        <w:tc>
          <w:tcPr>
            <w:tcW w:w="32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Represents less than $0.005 per share</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7"/>
        </w:trPr>
        <w:tc>
          <w:tcPr>
            <w:tcW w:w="84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Statements of Changes in Net Assets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8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4"/>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3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5"/>
              <w:spacing w:after="0" w:line="161"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20" w:type="dxa"/>
            <w:vAlign w:val="bottom"/>
          </w:tcPr>
          <w:p>
            <w:pPr>
              <w:spacing w:after="0"/>
              <w:rPr>
                <w:sz w:val="14"/>
                <w:szCs w:val="14"/>
                <w:color w:val="auto"/>
              </w:rPr>
            </w:pPr>
          </w:p>
        </w:tc>
        <w:tc>
          <w:tcPr>
            <w:tcW w:w="174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Distributable Earnings/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01"/>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5"/>
              </w:rPr>
              <w:t>Par Value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paid-in-capital</w:t>
            </w:r>
          </w:p>
        </w:tc>
        <w:tc>
          <w:tcPr>
            <w:tcW w:w="1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(Accumulated Loss)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net assets</w:t>
            </w:r>
          </w:p>
        </w:tc>
      </w:tr>
      <w:tr>
        <w:trPr>
          <w:trHeight w:val="180"/>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June 30,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6,214,964</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85,030,784</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(834,860)</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84,258,073</w:t>
            </w: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Net increase (decrease) in net assets resulting from operations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investment income (loss)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14,512</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14,512</w:t>
            </w: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4320" w:type="dxa"/>
            <w:vAlign w:val="bottom"/>
            <w:gridSpan w:val="2"/>
            <w:shd w:val="clear" w:color="auto" w:fill="CCEEFF"/>
          </w:tcPr>
          <w:p>
            <w:pPr>
              <w:ind w:left="120"/>
              <w:spacing w:after="0" w:line="166" w:lineRule="exact"/>
              <w:rPr>
                <w:sz w:val="20"/>
                <w:szCs w:val="20"/>
                <w:color w:val="auto"/>
              </w:rPr>
            </w:pPr>
            <w:r>
              <w:rPr>
                <w:rFonts w:ascii="Times New Roman" w:cs="Times New Roman" w:eastAsia="Times New Roman" w:hAnsi="Times New Roman"/>
                <w:sz w:val="15"/>
                <w:szCs w:val="15"/>
                <w:color w:val="auto"/>
              </w:rPr>
              <w:t>Net change in unrealized appreciation (depreciation) from</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7"/>
        </w:trPr>
        <w:tc>
          <w:tcPr>
            <w:tcW w:w="4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investments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(179,524)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(179,524)</w:t>
            </w:r>
          </w:p>
        </w:tc>
      </w:tr>
      <w:tr>
        <w:trPr>
          <w:trHeight w:val="166"/>
        </w:trPr>
        <w:tc>
          <w:tcPr>
            <w:tcW w:w="4320" w:type="dxa"/>
            <w:vAlign w:val="bottom"/>
            <w:tcBorders>
              <w:top w:val="single" w:sz="8" w:color="CCEEFF"/>
            </w:tcBorders>
            <w:gridSpan w:val="2"/>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resulting from</w:t>
            </w: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4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(165,012)</w:t>
            </w:r>
          </w:p>
        </w:tc>
        <w:tc>
          <w:tcPr>
            <w:tcW w:w="1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(165,012)</w:t>
            </w:r>
          </w:p>
        </w:tc>
      </w:tr>
      <w:tr>
        <w:trPr>
          <w:trHeight w:val="181"/>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Distributions to stockholders from:</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 income-net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(1,553,741)</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(1,553,741)</w:t>
            </w:r>
          </w:p>
        </w:tc>
      </w:tr>
      <w:tr>
        <w:trPr>
          <w:trHeight w:val="18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Capital transactions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Reinvestment of stockholder distributions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322</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322</w:t>
            </w:r>
          </w:p>
        </w:tc>
      </w:tr>
      <w:tr>
        <w:trPr>
          <w:trHeight w:val="166"/>
        </w:trPr>
        <w:tc>
          <w:tcPr>
            <w:tcW w:w="4320" w:type="dxa"/>
            <w:vAlign w:val="bottom"/>
            <w:gridSpan w:val="2"/>
            <w:shd w:val="clear" w:color="auto" w:fill="CCEEFF"/>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from capital</w:t>
            </w: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4"/>
        </w:trPr>
        <w:tc>
          <w:tcPr>
            <w:tcW w:w="4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transactions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322</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322</w:t>
            </w:r>
          </w:p>
        </w:tc>
      </w:tr>
      <w:tr>
        <w:trPr>
          <w:trHeight w:val="23"/>
        </w:trPr>
        <w:tc>
          <w:tcPr>
            <w:tcW w:w="84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3"/>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increase (decrease) in net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322</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(1,718,753)</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(1,718,431)</w:t>
            </w:r>
          </w:p>
        </w:tc>
      </w:tr>
      <w:tr>
        <w:trPr>
          <w:trHeight w:val="220"/>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September 30, 2024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6,214,995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85,031,106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(2,553,613)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82,539,642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348"/>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3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5"/>
              <w:spacing w:after="0" w:line="161"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20" w:type="dxa"/>
            <w:vAlign w:val="bottom"/>
          </w:tcPr>
          <w:p>
            <w:pPr>
              <w:spacing w:after="0"/>
              <w:rPr>
                <w:sz w:val="14"/>
                <w:szCs w:val="14"/>
                <w:color w:val="auto"/>
              </w:rPr>
            </w:pPr>
          </w:p>
        </w:tc>
        <w:tc>
          <w:tcPr>
            <w:tcW w:w="174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Distributable Earnings/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01"/>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paid-in-capital</w:t>
            </w:r>
          </w:p>
        </w:tc>
        <w:tc>
          <w:tcPr>
            <w:tcW w:w="1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(Accumulated Loss)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net assets</w:t>
            </w:r>
          </w:p>
        </w:tc>
      </w:tr>
      <w:tr>
        <w:trPr>
          <w:trHeight w:val="180"/>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June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6,214,672</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85,038,887</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4,943,179</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90,044,213</w:t>
            </w: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Net increase (decrease) in net assets resulting from operations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investment income (loss)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1,616,986</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1,616,986</w:t>
            </w: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4320" w:type="dxa"/>
            <w:vAlign w:val="bottom"/>
            <w:gridSpan w:val="2"/>
            <w:shd w:val="clear" w:color="auto" w:fill="CCEEFF"/>
          </w:tcPr>
          <w:p>
            <w:pPr>
              <w:ind w:left="120"/>
              <w:spacing w:after="0" w:line="166" w:lineRule="exact"/>
              <w:rPr>
                <w:sz w:val="20"/>
                <w:szCs w:val="20"/>
                <w:color w:val="auto"/>
              </w:rPr>
            </w:pPr>
            <w:r>
              <w:rPr>
                <w:rFonts w:ascii="Times New Roman" w:cs="Times New Roman" w:eastAsia="Times New Roman" w:hAnsi="Times New Roman"/>
                <w:sz w:val="15"/>
                <w:szCs w:val="15"/>
                <w:color w:val="auto"/>
              </w:rPr>
              <w:t>Net change in unrealized appreciation (depreciation) from</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7"/>
        </w:trPr>
        <w:tc>
          <w:tcPr>
            <w:tcW w:w="4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investments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(343,104)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(343,104)</w:t>
            </w:r>
          </w:p>
        </w:tc>
      </w:tr>
      <w:tr>
        <w:trPr>
          <w:trHeight w:val="166"/>
        </w:trPr>
        <w:tc>
          <w:tcPr>
            <w:tcW w:w="4320" w:type="dxa"/>
            <w:vAlign w:val="bottom"/>
            <w:tcBorders>
              <w:top w:val="single" w:sz="8" w:color="CCEEFF"/>
            </w:tcBorders>
            <w:gridSpan w:val="2"/>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resulting from</w:t>
            </w: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4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1,273,882</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1,273,882</w:t>
            </w:r>
          </w:p>
        </w:tc>
      </w:tr>
      <w:tr>
        <w:trPr>
          <w:trHeight w:val="181"/>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to stockholders from:</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 income-net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(3,915,564)</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(3,915,564)</w:t>
            </w:r>
          </w:p>
        </w:tc>
      </w:tr>
      <w:tr>
        <w:trPr>
          <w:trHeight w:val="18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Capital transactions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Reinvestment of stockholder distributions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321</w:t>
            </w:r>
          </w:p>
        </w:tc>
      </w:tr>
      <w:tr>
        <w:trPr>
          <w:trHeight w:val="166"/>
        </w:trPr>
        <w:tc>
          <w:tcPr>
            <w:tcW w:w="4320" w:type="dxa"/>
            <w:vAlign w:val="bottom"/>
            <w:gridSpan w:val="2"/>
            <w:shd w:val="clear" w:color="auto" w:fill="CCEEFF"/>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from capital</w:t>
            </w: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4"/>
        </w:trPr>
        <w:tc>
          <w:tcPr>
            <w:tcW w:w="4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transactions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321</w:t>
            </w:r>
          </w:p>
        </w:tc>
      </w:tr>
      <w:tr>
        <w:trPr>
          <w:trHeight w:val="23"/>
        </w:trPr>
        <w:tc>
          <w:tcPr>
            <w:tcW w:w="84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3"/>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increase (decrease) in net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(2,641,682)</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(2,641,361)</w:t>
            </w:r>
          </w:p>
        </w:tc>
      </w:tr>
      <w:tr>
        <w:trPr>
          <w:trHeight w:val="220"/>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September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6,214,705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85,039,208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2,301,497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87,402,852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7"/>
        </w:trPr>
        <w:tc>
          <w:tcPr>
            <w:tcW w:w="84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Statements of Changes in Net Assets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8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4"/>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3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5"/>
              <w:spacing w:after="0" w:line="161"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20" w:type="dxa"/>
            <w:vAlign w:val="bottom"/>
          </w:tcPr>
          <w:p>
            <w:pPr>
              <w:spacing w:after="0"/>
              <w:rPr>
                <w:sz w:val="14"/>
                <w:szCs w:val="14"/>
                <w:color w:val="auto"/>
              </w:rPr>
            </w:pPr>
          </w:p>
        </w:tc>
        <w:tc>
          <w:tcPr>
            <w:tcW w:w="174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Distributable Earnings/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01"/>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5"/>
              </w:rPr>
              <w:t>Par Value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paid-in-capital</w:t>
            </w:r>
          </w:p>
        </w:tc>
        <w:tc>
          <w:tcPr>
            <w:tcW w:w="1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(Accumulated Loss)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net assets</w:t>
            </w:r>
          </w:p>
        </w:tc>
      </w:tr>
      <w:tr>
        <w:trPr>
          <w:trHeight w:val="180"/>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6,214,941</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85,041,203</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449,266</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85,552,618</w:t>
            </w: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Net increase (decrease) in net assets resulting from operations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investment income (loss)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1,460,336</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1,460,336</w:t>
            </w: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4320" w:type="dxa"/>
            <w:vAlign w:val="bottom"/>
            <w:gridSpan w:val="2"/>
            <w:shd w:val="clear" w:color="auto" w:fill="CCEEFF"/>
          </w:tcPr>
          <w:p>
            <w:pPr>
              <w:ind w:left="120"/>
              <w:spacing w:after="0" w:line="166" w:lineRule="exact"/>
              <w:rPr>
                <w:sz w:val="20"/>
                <w:szCs w:val="20"/>
                <w:color w:val="auto"/>
              </w:rPr>
            </w:pPr>
            <w:r>
              <w:rPr>
                <w:rFonts w:ascii="Times New Roman" w:cs="Times New Roman" w:eastAsia="Times New Roman" w:hAnsi="Times New Roman"/>
                <w:sz w:val="15"/>
                <w:szCs w:val="15"/>
                <w:color w:val="auto"/>
              </w:rPr>
              <w:t>Net change in unrealized appreciation (depreciation) from</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7"/>
        </w:trPr>
        <w:tc>
          <w:tcPr>
            <w:tcW w:w="4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investments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187,324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187,324</w:t>
            </w:r>
          </w:p>
        </w:tc>
      </w:tr>
      <w:tr>
        <w:trPr>
          <w:trHeight w:val="166"/>
        </w:trPr>
        <w:tc>
          <w:tcPr>
            <w:tcW w:w="4320" w:type="dxa"/>
            <w:vAlign w:val="bottom"/>
            <w:tcBorders>
              <w:top w:val="single" w:sz="8" w:color="CCEEFF"/>
            </w:tcBorders>
            <w:gridSpan w:val="2"/>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resulting from</w:t>
            </w: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4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1,647,660</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1,647,660</w:t>
            </w:r>
          </w:p>
        </w:tc>
      </w:tr>
      <w:tr>
        <w:trPr>
          <w:trHeight w:val="181"/>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Distributions to stockholders from:</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 income-net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(4,661,215)</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(4,661,215)</w:t>
            </w:r>
          </w:p>
        </w:tc>
      </w:tr>
      <w:tr>
        <w:trPr>
          <w:trHeight w:val="18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Capital transactions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Reinvestment of stockholder distributions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579</w:t>
            </w:r>
          </w:p>
        </w:tc>
      </w:tr>
      <w:tr>
        <w:trPr>
          <w:trHeight w:val="166"/>
        </w:trPr>
        <w:tc>
          <w:tcPr>
            <w:tcW w:w="4320" w:type="dxa"/>
            <w:vAlign w:val="bottom"/>
            <w:gridSpan w:val="2"/>
            <w:shd w:val="clear" w:color="auto" w:fill="CCEEFF"/>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from capital</w:t>
            </w: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4"/>
        </w:trPr>
        <w:tc>
          <w:tcPr>
            <w:tcW w:w="4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transactions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579</w:t>
            </w:r>
          </w:p>
        </w:tc>
      </w:tr>
      <w:tr>
        <w:trPr>
          <w:trHeight w:val="23"/>
        </w:trPr>
        <w:tc>
          <w:tcPr>
            <w:tcW w:w="84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increase (decrease) in net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(3,013,555)</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(3,012,976)</w:t>
            </w:r>
          </w:p>
        </w:tc>
      </w:tr>
      <w:tr>
        <w:trPr>
          <w:trHeight w:val="18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permanent adjustments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(10,676)</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10,676</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4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September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6,214,995</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85,031,106</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(2,553,613)</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82,539,642</w:t>
            </w:r>
          </w:p>
        </w:tc>
      </w:tr>
      <w:tr>
        <w:trPr>
          <w:trHeight w:val="20"/>
        </w:trPr>
        <w:tc>
          <w:tcPr>
            <w:tcW w:w="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3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5"/>
              <w:spacing w:after="0" w:line="161"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20" w:type="dxa"/>
            <w:vAlign w:val="bottom"/>
          </w:tcPr>
          <w:p>
            <w:pPr>
              <w:spacing w:after="0"/>
              <w:rPr>
                <w:sz w:val="14"/>
                <w:szCs w:val="14"/>
                <w:color w:val="auto"/>
              </w:rPr>
            </w:pPr>
          </w:p>
        </w:tc>
        <w:tc>
          <w:tcPr>
            <w:tcW w:w="174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Distributable Earnings/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01"/>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paid-in-capital</w:t>
            </w:r>
          </w:p>
        </w:tc>
        <w:tc>
          <w:tcPr>
            <w:tcW w:w="1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(Accumulated Loss)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net assets</w:t>
            </w:r>
          </w:p>
        </w:tc>
      </w:tr>
      <w:tr>
        <w:trPr>
          <w:trHeight w:val="180"/>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6,214,672</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84,917,788</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1,495,794</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86,475,729</w:t>
            </w: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Net increase (decrease) in net assets resulting from operations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investment income (loss)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4,887,121</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4,887,121</w:t>
            </w: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(210,767)</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(210,767)</w:t>
            </w:r>
          </w:p>
        </w:tc>
      </w:tr>
      <w:tr>
        <w:trPr>
          <w:trHeight w:val="166"/>
        </w:trPr>
        <w:tc>
          <w:tcPr>
            <w:tcW w:w="4320" w:type="dxa"/>
            <w:vAlign w:val="bottom"/>
            <w:gridSpan w:val="2"/>
            <w:shd w:val="clear" w:color="auto" w:fill="CCEEFF"/>
          </w:tcPr>
          <w:p>
            <w:pPr>
              <w:ind w:left="120"/>
              <w:spacing w:after="0" w:line="166" w:lineRule="exact"/>
              <w:rPr>
                <w:sz w:val="20"/>
                <w:szCs w:val="20"/>
                <w:color w:val="auto"/>
              </w:rPr>
            </w:pPr>
            <w:r>
              <w:rPr>
                <w:rFonts w:ascii="Times New Roman" w:cs="Times New Roman" w:eastAsia="Times New Roman" w:hAnsi="Times New Roman"/>
                <w:sz w:val="15"/>
                <w:szCs w:val="15"/>
                <w:color w:val="auto"/>
              </w:rPr>
              <w:t>Net change in unrealized appreciation (depreciation) from</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7"/>
        </w:trPr>
        <w:tc>
          <w:tcPr>
            <w:tcW w:w="4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investments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166,012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166,012</w:t>
            </w:r>
          </w:p>
        </w:tc>
      </w:tr>
      <w:tr>
        <w:trPr>
          <w:trHeight w:val="166"/>
        </w:trPr>
        <w:tc>
          <w:tcPr>
            <w:tcW w:w="4320" w:type="dxa"/>
            <w:vAlign w:val="bottom"/>
            <w:tcBorders>
              <w:top w:val="single" w:sz="8" w:color="CCEEFF"/>
            </w:tcBorders>
            <w:gridSpan w:val="2"/>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resulting from</w:t>
            </w: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4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4,842,366</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4,842,366</w:t>
            </w:r>
          </w:p>
        </w:tc>
      </w:tr>
      <w:tr>
        <w:trPr>
          <w:trHeight w:val="181"/>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to stockholders from:</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 income-net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(3,915,564)</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(3,915,564)</w:t>
            </w:r>
          </w:p>
        </w:tc>
      </w:tr>
      <w:tr>
        <w:trPr>
          <w:trHeight w:val="18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Capital transactions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Reinvestment of stockholder distributions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321</w:t>
            </w:r>
          </w:p>
        </w:tc>
      </w:tr>
      <w:tr>
        <w:trPr>
          <w:trHeight w:val="166"/>
        </w:trPr>
        <w:tc>
          <w:tcPr>
            <w:tcW w:w="4320" w:type="dxa"/>
            <w:vAlign w:val="bottom"/>
            <w:tcBorders>
              <w:top w:val="single" w:sz="8" w:color="CCEEFF"/>
            </w:tcBorders>
            <w:gridSpan w:val="2"/>
          </w:tcPr>
          <w:p>
            <w:pPr>
              <w:ind w:left="260"/>
              <w:spacing w:after="0" w:line="166" w:lineRule="exact"/>
              <w:rPr>
                <w:sz w:val="20"/>
                <w:szCs w:val="20"/>
                <w:color w:val="auto"/>
              </w:rPr>
            </w:pPr>
            <w:r>
              <w:rPr>
                <w:rFonts w:ascii="Times New Roman" w:cs="Times New Roman" w:eastAsia="Times New Roman" w:hAnsi="Times New Roman"/>
                <w:sz w:val="15"/>
                <w:szCs w:val="15"/>
                <w:color w:val="auto"/>
              </w:rPr>
              <w:t>Total net increase (decrease) in net assets from capital</w:t>
            </w: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7"/>
        </w:trPr>
        <w:tc>
          <w:tcPr>
            <w:tcW w:w="4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transactions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321</w:t>
            </w:r>
          </w:p>
        </w:tc>
      </w:tr>
      <w:tr>
        <w:trPr>
          <w:trHeight w:val="18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increase (decrease) in net assets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926,802</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927,123</w:t>
            </w:r>
          </w:p>
        </w:tc>
        <w:tc>
          <w:tcPr>
            <w:tcW w:w="120" w:type="dxa"/>
            <w:vAlign w:val="bottom"/>
            <w:shd w:val="clear" w:color="auto" w:fill="CCEEFF"/>
          </w:tcPr>
          <w:p>
            <w:pPr>
              <w:spacing w:after="0"/>
              <w:rPr>
                <w:sz w:val="15"/>
                <w:szCs w:val="15"/>
                <w:color w:val="auto"/>
              </w:rPr>
            </w:pPr>
          </w:p>
        </w:tc>
      </w:tr>
      <w:tr>
        <w:trPr>
          <w:trHeight w:val="183"/>
        </w:trPr>
        <w:tc>
          <w:tcPr>
            <w:tcW w:w="4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Effect of permanent adjustments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121,099</w:t>
            </w:r>
          </w:p>
        </w:tc>
        <w:tc>
          <w:tcPr>
            <w:tcW w:w="1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(121,099)</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September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6,214,705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85,039,208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2,301,497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87,402,852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7"/>
        </w:trPr>
        <w:tc>
          <w:tcPr>
            <w:tcW w:w="840" w:type="dxa"/>
            <w:vAlign w:val="bottom"/>
            <w:tcBorders>
              <w:top w:val="single" w:sz="8" w:color="0000EE"/>
            </w:tcBorders>
          </w:tcPr>
          <w:p>
            <w:pPr>
              <w:spacing w:after="0"/>
              <w:rPr>
                <w:sz w:val="24"/>
                <w:szCs w:val="24"/>
                <w:color w:val="auto"/>
              </w:rPr>
            </w:pPr>
          </w:p>
        </w:tc>
        <w:tc>
          <w:tcPr>
            <w:tcW w:w="7480" w:type="dxa"/>
            <w:vAlign w:val="bottom"/>
          </w:tcPr>
          <w:p>
            <w:pPr>
              <w:jc w:val="center"/>
              <w:ind w:left="2025"/>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840" w:type="dxa"/>
            <w:vAlign w:val="bottom"/>
          </w:tcPr>
          <w:p>
            <w:pPr>
              <w:spacing w:after="0"/>
              <w:rPr>
                <w:sz w:val="24"/>
                <w:szCs w:val="24"/>
                <w:color w:val="auto"/>
              </w:rPr>
            </w:pPr>
          </w:p>
        </w:tc>
        <w:tc>
          <w:tcPr>
            <w:tcW w:w="7480" w:type="dxa"/>
            <w:vAlign w:val="bottom"/>
          </w:tcPr>
          <w:p>
            <w:pPr>
              <w:jc w:val="center"/>
              <w:ind w:left="2005"/>
              <w:spacing w:after="0"/>
              <w:rPr>
                <w:sz w:val="20"/>
                <w:szCs w:val="20"/>
                <w:color w:val="auto"/>
              </w:rPr>
            </w:pPr>
            <w:r>
              <w:rPr>
                <w:rFonts w:ascii="Times New Roman" w:cs="Times New Roman" w:eastAsia="Times New Roman" w:hAnsi="Times New Roman"/>
                <w:sz w:val="15"/>
                <w:szCs w:val="15"/>
                <w:b w:val="1"/>
                <w:bCs w:val="1"/>
                <w:color w:val="auto"/>
                <w:w w:val="99"/>
              </w:rPr>
              <w:t>Statements of Cash Flows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840" w:type="dxa"/>
            <w:vAlign w:val="bottom"/>
          </w:tcPr>
          <w:p>
            <w:pPr>
              <w:spacing w:after="0"/>
              <w:rPr>
                <w:sz w:val="17"/>
                <w:szCs w:val="17"/>
                <w:color w:val="auto"/>
              </w:rPr>
            </w:pPr>
          </w:p>
        </w:tc>
        <w:tc>
          <w:tcPr>
            <w:tcW w:w="7480" w:type="dxa"/>
            <w:vAlign w:val="bottom"/>
          </w:tcPr>
          <w:p>
            <w:pPr>
              <w:jc w:val="center"/>
              <w:ind w:left="202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4"/>
        </w:trPr>
        <w:tc>
          <w:tcPr>
            <w:tcW w:w="8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r>
      <w:tr>
        <w:trPr>
          <w:trHeight w:val="162"/>
        </w:trPr>
        <w:tc>
          <w:tcPr>
            <w:tcW w:w="84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260"/>
              <w:spacing w:after="0" w:line="161"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5"/>
              <w:spacing w:after="0" w:line="161"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r>
      <w:tr>
        <w:trPr>
          <w:trHeight w:val="180"/>
        </w:trPr>
        <w:tc>
          <w:tcPr>
            <w:tcW w:w="8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net assets resulting from operations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1,647,660</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4,842,366</w:t>
            </w:r>
          </w:p>
        </w:tc>
      </w:tr>
      <w:tr>
        <w:trPr>
          <w:trHeight w:val="166"/>
        </w:trPr>
        <w:tc>
          <w:tcPr>
            <w:tcW w:w="8320" w:type="dxa"/>
            <w:vAlign w:val="bottom"/>
            <w:gridSpan w:val="2"/>
          </w:tcPr>
          <w:p>
            <w:pPr>
              <w:ind w:left="120"/>
              <w:spacing w:after="0" w:line="166" w:lineRule="exact"/>
              <w:rPr>
                <w:sz w:val="20"/>
                <w:szCs w:val="20"/>
                <w:color w:val="auto"/>
              </w:rPr>
            </w:pPr>
            <w:r>
              <w:rPr>
                <w:rFonts w:ascii="Times New Roman" w:cs="Times New Roman" w:eastAsia="Times New Roman" w:hAnsi="Times New Roman"/>
                <w:sz w:val="15"/>
                <w:szCs w:val="15"/>
                <w:color w:val="auto"/>
              </w:rPr>
              <w:t>Adjustments to reconcile net increase (decrease) in net assets resulting from operations to net cash provided by (used in) operating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activities: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8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210,767</w:t>
            </w:r>
          </w:p>
        </w:tc>
      </w:tr>
      <w:tr>
        <w:trPr>
          <w:trHeight w:val="180"/>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(187,324)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(166,012)</w:t>
            </w:r>
          </w:p>
        </w:tc>
      </w:tr>
      <w:tr>
        <w:trPr>
          <w:trHeight w:val="180"/>
        </w:trPr>
        <w:tc>
          <w:tcPr>
            <w:tcW w:w="8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(accretion of discounts) and amortization of premiums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(501,303)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(431,052)</w:t>
            </w:r>
          </w:p>
        </w:tc>
      </w:tr>
      <w:tr>
        <w:trPr>
          <w:trHeight w:val="180"/>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Purchase of investments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(5,141,250)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(8,442,000)</w:t>
            </w:r>
          </w:p>
        </w:tc>
      </w:tr>
      <w:tr>
        <w:trPr>
          <w:trHeight w:val="180"/>
        </w:trPr>
        <w:tc>
          <w:tcPr>
            <w:tcW w:w="8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PIK interest capitalized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(182,634)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(78,153)</w:t>
            </w:r>
          </w:p>
        </w:tc>
      </w:tr>
      <w:tr>
        <w:trPr>
          <w:trHeight w:val="180"/>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4,344,000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1,780,000</w:t>
            </w:r>
          </w:p>
        </w:tc>
      </w:tr>
      <w:tr>
        <w:trPr>
          <w:trHeight w:val="180"/>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(Increase)/Decrease in operating assets: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Other receivable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(401,313)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Interest receivable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119,417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(270,594)</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Paydown receivable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Prepaid expenses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(64,278)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(71,515)</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Other assets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(50,000)</w:t>
            </w:r>
          </w:p>
        </w:tc>
      </w:tr>
      <w:tr>
        <w:trPr>
          <w:trHeight w:val="180"/>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Increase/(Decrease) in operating liabilities: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Income-based incentive fees payable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(1,511,253)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1,051,741</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Management fee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93,600</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Capital gains incentive fees payable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37,465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Legal fees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3,611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108,452</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Transaction fees payable related to the Loan Portfolio Acquisition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4,084,285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Valuation fees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94,130</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Administrator fees payable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(35,212)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24,648</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Audit fees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89,525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25,165</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Directors fees payable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(68,768)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2,719</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Professional fees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(10,679)</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Other payables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10,474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(22,740)</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Unearned interest income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42,550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3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Due to affiliate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51,142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261</w:t>
            </w:r>
          </w:p>
        </w:tc>
      </w:tr>
      <w:tr>
        <w:trPr>
          <w:trHeight w:val="180"/>
        </w:trPr>
        <w:tc>
          <w:tcPr>
            <w:tcW w:w="8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Excise tax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(10,655)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(80,566)</w:t>
            </w:r>
          </w:p>
        </w:tc>
      </w:tr>
      <w:tr>
        <w:trPr>
          <w:trHeight w:val="23"/>
        </w:trPr>
        <w:tc>
          <w:tcPr>
            <w:tcW w:w="840" w:type="dxa"/>
            <w:vAlign w:val="bottom"/>
            <w:shd w:val="clear" w:color="auto" w:fill="CCEEFF"/>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2,299,499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(1,389,462)</w:t>
            </w:r>
          </w:p>
        </w:tc>
      </w:tr>
      <w:tr>
        <w:trPr>
          <w:trHeight w:val="180"/>
        </w:trPr>
        <w:tc>
          <w:tcPr>
            <w:tcW w:w="840" w:type="dxa"/>
            <w:vAlign w:val="bottom"/>
            <w:shd w:val="clear" w:color="auto" w:fill="CCEEFF"/>
          </w:tcPr>
          <w:p>
            <w:pPr>
              <w:spacing w:after="0"/>
              <w:rPr>
                <w:sz w:val="15"/>
                <w:szCs w:val="15"/>
                <w:color w:val="auto"/>
              </w:rPr>
            </w:pPr>
          </w:p>
        </w:tc>
        <w:tc>
          <w:tcPr>
            <w:tcW w:w="7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Offering costs paid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(138,933)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Distributions paid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(4,660,638)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(3,914,922)</w:t>
            </w:r>
          </w:p>
        </w:tc>
      </w:tr>
      <w:tr>
        <w:trPr>
          <w:trHeight w:val="183"/>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(4,799,571)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(3,914,922)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r>
      <w:tr>
        <w:trPr>
          <w:trHeight w:val="180"/>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(2,500,072)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(5,304,384)</w:t>
            </w:r>
          </w:p>
        </w:tc>
      </w:tr>
      <w:tr>
        <w:trPr>
          <w:trHeight w:val="183"/>
        </w:trPr>
        <w:tc>
          <w:tcPr>
            <w:tcW w:w="8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32,611,635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35,125,320</w:t>
            </w:r>
          </w:p>
        </w:tc>
      </w:tr>
      <w:tr>
        <w:trPr>
          <w:trHeight w:val="220"/>
        </w:trPr>
        <w:tc>
          <w:tcPr>
            <w:tcW w:w="8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30,111,563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29,820,936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5"/>
        </w:trPr>
        <w:tc>
          <w:tcPr>
            <w:tcW w:w="84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and non-cash financing activities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Reinvestment of dividend distributions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321</w:t>
            </w:r>
          </w:p>
        </w:tc>
      </w:tr>
      <w:tr>
        <w:trPr>
          <w:trHeight w:val="180"/>
        </w:trPr>
        <w:tc>
          <w:tcPr>
            <w:tcW w:w="8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Accrual for deferred financing costs (Note 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41,061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3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Accrual for deferred offering costs (Note 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1,127,739</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bl>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8"/>
        </w:trPr>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8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8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Schedule of Investments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60" w:type="dxa"/>
            <w:vAlign w:val="bottom"/>
            <w:gridSpan w:val="2"/>
          </w:tcPr>
          <w:p>
            <w:pPr>
              <w:jc w:val="center"/>
              <w:ind w:left="565"/>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4"/>
              </w:rPr>
              <w:t>Fair</w:t>
            </w:r>
          </w:p>
        </w:tc>
        <w:tc>
          <w:tcPr>
            <w:tcW w:w="76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Non-</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right="40"/>
              <w:spacing w:after="0" w:line="154" w:lineRule="exact"/>
              <w:rPr>
                <w:sz w:val="20"/>
                <w:szCs w:val="20"/>
                <w:color w:val="auto"/>
              </w:rPr>
            </w:pPr>
            <w:r>
              <w:rPr>
                <w:rFonts w:ascii="Times New Roman" w:cs="Times New Roman" w:eastAsia="Times New Roman" w:hAnsi="Times New Roman"/>
                <w:sz w:val="15"/>
                <w:szCs w:val="15"/>
                <w:b w:val="1"/>
                <w:bCs w:val="1"/>
                <w:color w:val="auto"/>
                <w:w w:val="95"/>
              </w:rPr>
              <w:t>Value</w:t>
            </w:r>
          </w:p>
        </w:tc>
        <w:tc>
          <w:tcPr>
            <w:tcW w:w="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center"/>
              <w:ind w:right="160"/>
              <w:spacing w:after="0" w:line="154" w:lineRule="exact"/>
              <w:rPr>
                <w:sz w:val="20"/>
                <w:szCs w:val="20"/>
                <w:color w:val="auto"/>
              </w:rPr>
            </w:pPr>
            <w:r>
              <w:rPr>
                <w:rFonts w:ascii="Times New Roman" w:cs="Times New Roman" w:eastAsia="Times New Roman" w:hAnsi="Times New Roman"/>
                <w:sz w:val="15"/>
                <w:szCs w:val="15"/>
                <w:b w:val="1"/>
                <w:bCs w:val="1"/>
                <w:color w:val="auto"/>
                <w:w w:val="94"/>
              </w:rPr>
              <w:t>Fair</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 xml:space="preserve">Portfolio Company </w:t>
            </w:r>
            <w:r>
              <w:rPr>
                <w:rFonts w:ascii="Times New Roman" w:cs="Times New Roman" w:eastAsia="Times New Roman" w:hAnsi="Times New Roman"/>
                <w:sz w:val="25"/>
                <w:szCs w:val="25"/>
                <w:b w:val="1"/>
                <w:bCs w:val="1"/>
                <w:color w:val="auto"/>
                <w:vertAlign w:val="superscript"/>
              </w:rPr>
              <w:t>(1)(10)(13)</w:t>
            </w: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w w:val="94"/>
              </w:rPr>
              <w:t xml:space="preserve">Type of Investment </w:t>
            </w:r>
            <w:r>
              <w:rPr>
                <w:rFonts w:ascii="Times New Roman" w:cs="Times New Roman" w:eastAsia="Times New Roman" w:hAnsi="Times New Roman"/>
                <w:sz w:val="25"/>
                <w:szCs w:val="25"/>
                <w:b w:val="1"/>
                <w:bCs w:val="1"/>
                <w:color w:val="auto"/>
                <w:w w:val="94"/>
                <w:vertAlign w:val="superscript"/>
              </w:rPr>
              <w:t>(2)</w:t>
            </w: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rPr>
              <w:t>Investment</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 xml:space="preserve">Maturity Date Interest Rate </w:t>
            </w:r>
            <w:r>
              <w:rPr>
                <w:rFonts w:ascii="Times New Roman" w:cs="Times New Roman" w:eastAsia="Times New Roman" w:hAnsi="Times New Roman"/>
                <w:sz w:val="25"/>
                <w:szCs w:val="25"/>
                <w:b w:val="1"/>
                <w:bCs w:val="1"/>
                <w:color w:val="auto"/>
                <w:w w:val="99"/>
                <w:vertAlign w:val="superscript"/>
              </w:rPr>
              <w:t>(4)</w:t>
            </w:r>
          </w:p>
        </w:tc>
        <w:tc>
          <w:tcPr>
            <w:tcW w:w="2220" w:type="dxa"/>
            <w:vAlign w:val="bottom"/>
            <w:gridSpan w:val="4"/>
          </w:tcPr>
          <w:p>
            <w:pPr>
              <w:jc w:val="center"/>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Hierarchy</w:t>
            </w:r>
            <w:r>
              <w:rPr>
                <w:rFonts w:ascii="Times New Roman" w:cs="Times New Roman" w:eastAsia="Times New Roman" w:hAnsi="Times New Roman"/>
                <w:sz w:val="11"/>
                <w:szCs w:val="11"/>
                <w:b w:val="1"/>
                <w:bCs w:val="1"/>
                <w:color w:val="auto"/>
              </w:rPr>
              <w:t xml:space="preserve"> Geographic Qualifying</w:t>
            </w:r>
          </w:p>
        </w:tc>
        <w:tc>
          <w:tcPr>
            <w:tcW w:w="780" w:type="dxa"/>
            <w:vAlign w:val="bottom"/>
            <w:gridSpan w:val="3"/>
          </w:tcPr>
          <w:p>
            <w:pPr>
              <w:jc w:val="center"/>
              <w:ind w:right="140"/>
              <w:spacing w:after="0" w:line="170" w:lineRule="exact"/>
              <w:rPr>
                <w:sz w:val="20"/>
                <w:szCs w:val="20"/>
                <w:color w:val="auto"/>
              </w:rPr>
            </w:pPr>
            <w:r>
              <w:rPr>
                <w:rFonts w:ascii="Times New Roman" w:cs="Times New Roman" w:eastAsia="Times New Roman" w:hAnsi="Times New Roman"/>
                <w:sz w:val="15"/>
                <w:szCs w:val="15"/>
                <w:b w:val="1"/>
                <w:bCs w:val="1"/>
                <w:color w:val="auto"/>
              </w:rPr>
              <w:t>Principal</w:t>
            </w:r>
          </w:p>
        </w:tc>
        <w:tc>
          <w:tcPr>
            <w:tcW w:w="68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b w:val="1"/>
                <w:bCs w:val="1"/>
                <w:color w:val="auto"/>
                <w:w w:val="96"/>
              </w:rPr>
              <w:t>Amortized</w:t>
            </w:r>
          </w:p>
        </w:tc>
        <w:tc>
          <w:tcPr>
            <w:tcW w:w="100" w:type="dxa"/>
            <w:vAlign w:val="bottom"/>
          </w:tcPr>
          <w:p>
            <w:pPr>
              <w:spacing w:after="0"/>
              <w:rPr>
                <w:sz w:val="14"/>
                <w:szCs w:val="14"/>
                <w:color w:val="auto"/>
              </w:rPr>
            </w:pPr>
          </w:p>
        </w:tc>
        <w:tc>
          <w:tcPr>
            <w:tcW w:w="580" w:type="dxa"/>
            <w:vAlign w:val="bottom"/>
            <w:gridSpan w:val="3"/>
          </w:tcPr>
          <w:p>
            <w:pPr>
              <w:jc w:val="center"/>
              <w:ind w:right="100"/>
              <w:spacing w:after="0" w:line="170" w:lineRule="exact"/>
              <w:rPr>
                <w:sz w:val="20"/>
                <w:szCs w:val="20"/>
                <w:color w:val="auto"/>
              </w:rPr>
            </w:pPr>
            <w:r>
              <w:rPr>
                <w:rFonts w:ascii="Times New Roman" w:cs="Times New Roman" w:eastAsia="Times New Roman" w:hAnsi="Times New Roman"/>
                <w:sz w:val="15"/>
                <w:szCs w:val="15"/>
                <w:b w:val="1"/>
                <w:bCs w:val="1"/>
                <w:color w:val="auto"/>
                <w:w w:val="95"/>
              </w:rPr>
              <w:t>Value</w:t>
            </w:r>
          </w:p>
        </w:tc>
        <w:tc>
          <w:tcPr>
            <w:tcW w:w="620" w:type="dxa"/>
            <w:vAlign w:val="bottom"/>
            <w:gridSpan w:val="2"/>
          </w:tcPr>
          <w:p>
            <w:pPr>
              <w:jc w:val="center"/>
              <w:ind w:right="160"/>
              <w:spacing w:after="0" w:line="170" w:lineRule="exact"/>
              <w:rPr>
                <w:sz w:val="20"/>
                <w:szCs w:val="20"/>
                <w:color w:val="auto"/>
              </w:rPr>
            </w:pPr>
            <w:r>
              <w:rPr>
                <w:rFonts w:ascii="Times New Roman" w:cs="Times New Roman" w:eastAsia="Times New Roman" w:hAnsi="Times New Roman"/>
                <w:sz w:val="15"/>
                <w:szCs w:val="15"/>
                <w:b w:val="1"/>
                <w:bCs w:val="1"/>
                <w:color w:val="auto"/>
                <w:w w:val="97"/>
              </w:rPr>
              <w:t>Net</w:t>
            </w:r>
          </w:p>
        </w:tc>
        <w:tc>
          <w:tcPr>
            <w:tcW w:w="0" w:type="dxa"/>
            <w:vAlign w:val="bottom"/>
          </w:tcPr>
          <w:p>
            <w:pPr>
              <w:spacing w:after="0"/>
              <w:rPr>
                <w:sz w:val="1"/>
                <w:szCs w:val="1"/>
                <w:color w:val="auto"/>
              </w:rPr>
            </w:pPr>
          </w:p>
        </w:tc>
      </w:tr>
      <w:tr>
        <w:trPr>
          <w:trHeight w:val="193"/>
        </w:trPr>
        <w:tc>
          <w:tcPr>
            <w:tcW w:w="208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7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8"/>
              </w:rPr>
              <w:t xml:space="preserve">Date </w:t>
            </w:r>
            <w:r>
              <w:rPr>
                <w:rFonts w:ascii="Times New Roman" w:cs="Times New Roman" w:eastAsia="Times New Roman" w:hAnsi="Times New Roman"/>
                <w:sz w:val="22"/>
                <w:szCs w:val="22"/>
                <w:b w:val="1"/>
                <w:bCs w:val="1"/>
                <w:color w:val="auto"/>
                <w:w w:val="98"/>
                <w:vertAlign w:val="superscript"/>
              </w:rPr>
              <w:t>(3)</w:t>
            </w:r>
          </w:p>
        </w:tc>
        <w:tc>
          <w:tcPr>
            <w:tcW w:w="2060" w:type="dxa"/>
            <w:vAlign w:val="bottom"/>
            <w:gridSpan w:val="2"/>
            <w:vMerge w:val="continue"/>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60" w:type="dxa"/>
            <w:vAlign w:val="bottom"/>
          </w:tcPr>
          <w:p>
            <w:pPr>
              <w:spacing w:after="0"/>
              <w:rPr>
                <w:sz w:val="16"/>
                <w:szCs w:val="16"/>
                <w:color w:val="auto"/>
              </w:rPr>
            </w:pPr>
          </w:p>
        </w:tc>
        <w:tc>
          <w:tcPr>
            <w:tcW w:w="7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rPr>
              <w:t xml:space="preserve">Region </w:t>
            </w:r>
            <w:r>
              <w:rPr>
                <w:rFonts w:ascii="Times New Roman" w:cs="Times New Roman" w:eastAsia="Times New Roman" w:hAnsi="Times New Roman"/>
                <w:sz w:val="22"/>
                <w:szCs w:val="22"/>
                <w:b w:val="1"/>
                <w:bCs w:val="1"/>
                <w:color w:val="auto"/>
                <w:vertAlign w:val="superscript"/>
              </w:rPr>
              <w:t>(6)</w:t>
            </w:r>
          </w:p>
        </w:tc>
        <w:tc>
          <w:tcPr>
            <w:tcW w:w="74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8"/>
              </w:rPr>
              <w:t xml:space="preserve">Asset </w:t>
            </w:r>
            <w:r>
              <w:rPr>
                <w:rFonts w:ascii="Times New Roman" w:cs="Times New Roman" w:eastAsia="Times New Roman" w:hAnsi="Times New Roman"/>
                <w:sz w:val="22"/>
                <w:szCs w:val="22"/>
                <w:b w:val="1"/>
                <w:bCs w:val="1"/>
                <w:color w:val="auto"/>
                <w:w w:val="98"/>
                <w:vertAlign w:val="superscript"/>
              </w:rPr>
              <w:t>(7)</w:t>
            </w:r>
          </w:p>
        </w:tc>
        <w:tc>
          <w:tcPr>
            <w:tcW w:w="780" w:type="dxa"/>
            <w:vAlign w:val="bottom"/>
            <w:gridSpan w:val="3"/>
          </w:tcPr>
          <w:p>
            <w:pPr>
              <w:jc w:val="center"/>
              <w:ind w:right="100"/>
              <w:spacing w:after="0" w:line="190" w:lineRule="exact"/>
              <w:rPr>
                <w:sz w:val="20"/>
                <w:szCs w:val="20"/>
                <w:color w:val="auto"/>
              </w:rPr>
            </w:pPr>
            <w:r>
              <w:rPr>
                <w:rFonts w:ascii="Times New Roman" w:cs="Times New Roman" w:eastAsia="Times New Roman" w:hAnsi="Times New Roman"/>
                <w:sz w:val="14"/>
                <w:szCs w:val="14"/>
                <w:b w:val="1"/>
                <w:bCs w:val="1"/>
                <w:color w:val="auto"/>
                <w:w w:val="97"/>
              </w:rPr>
              <w:t xml:space="preserve">Amount </w:t>
            </w:r>
            <w:r>
              <w:rPr>
                <w:rFonts w:ascii="Times New Roman" w:cs="Times New Roman" w:eastAsia="Times New Roman" w:hAnsi="Times New Roman"/>
                <w:sz w:val="22"/>
                <w:szCs w:val="22"/>
                <w:b w:val="1"/>
                <w:bCs w:val="1"/>
                <w:color w:val="auto"/>
                <w:w w:val="97"/>
                <w:vertAlign w:val="superscript"/>
              </w:rPr>
              <w:t>(8)</w:t>
            </w:r>
          </w:p>
        </w:tc>
        <w:tc>
          <w:tcPr>
            <w:tcW w:w="140" w:type="dxa"/>
            <w:vAlign w:val="bottom"/>
          </w:tcPr>
          <w:p>
            <w:pPr>
              <w:spacing w:after="0"/>
              <w:rPr>
                <w:sz w:val="16"/>
                <w:szCs w:val="16"/>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Cost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2"/>
              </w:rPr>
              <w:t>(9)</w:t>
            </w:r>
          </w:p>
        </w:tc>
        <w:tc>
          <w:tcPr>
            <w:tcW w:w="80" w:type="dxa"/>
            <w:vAlign w:val="bottom"/>
          </w:tcPr>
          <w:p>
            <w:pPr>
              <w:spacing w:after="0"/>
              <w:rPr>
                <w:sz w:val="16"/>
                <w:szCs w:val="16"/>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0" w:type="dxa"/>
            <w:vAlign w:val="bottom"/>
          </w:tcPr>
          <w:p>
            <w:pPr>
              <w:spacing w:after="0"/>
              <w:rPr>
                <w:sz w:val="1"/>
                <w:szCs w:val="1"/>
                <w:color w:val="auto"/>
              </w:rPr>
            </w:pPr>
          </w:p>
        </w:tc>
      </w:tr>
      <w:tr>
        <w:trPr>
          <w:trHeight w:val="162"/>
        </w:trPr>
        <w:tc>
          <w:tcPr>
            <w:tcW w:w="20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Debt Securities - United States</w:t>
            </w: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Real Estate Services</w:t>
            </w: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Fixed interest</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rate 6.0% + 6.0%</w:t>
            </w: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Workbox Holdings,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5/20/2024</w:t>
            </w:r>
          </w:p>
        </w:tc>
        <w:tc>
          <w:tcPr>
            <w:tcW w:w="86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w w:val="98"/>
              </w:rPr>
              <w:t>5/31/2029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PIK</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1,260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Wholesale Trade</w:t>
            </w:r>
          </w:p>
        </w:tc>
        <w:tc>
          <w:tcPr>
            <w:tcW w:w="1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Fixed interest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Ascend Wellness Holdings, Inc. Senior Secured Note</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7/16/2024</w:t>
            </w:r>
          </w:p>
        </w:tc>
        <w:tc>
          <w:tcPr>
            <w:tcW w:w="86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w w:val="98"/>
              </w:rPr>
              <w:t>7/16/2029</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rate 12.75%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Northeast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3,322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4.02</w:t>
            </w:r>
          </w:p>
        </w:tc>
        <w:tc>
          <w:tcPr>
            <w:tcW w:w="0" w:type="dxa"/>
            <w:vAlign w:val="bottom"/>
          </w:tcPr>
          <w:p>
            <w:pPr>
              <w:spacing w:after="0"/>
              <w:rPr>
                <w:sz w:val="1"/>
                <w:szCs w:val="1"/>
                <w:color w:val="auto"/>
              </w:rPr>
            </w:pPr>
          </w:p>
        </w:tc>
      </w:tr>
      <w:tr>
        <w:trPr>
          <w:trHeight w:val="166"/>
        </w:trPr>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9"/>
              </w:rPr>
              <w:t>Fixed interest</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Curaleaf Holdings,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Note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10/11/2022</w:t>
            </w:r>
          </w:p>
        </w:tc>
        <w:tc>
          <w:tcPr>
            <w:tcW w:w="86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w w:val="99"/>
              </w:rPr>
              <w:t>12/15/2026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rate 8.0%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Northeast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5"/>
              </w:rPr>
              <w:t>Yes</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4,298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Variable interest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center"/>
              <w:spacing w:after="0" w:line="212"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r>
              <w:rPr>
                <w:rFonts w:ascii="Times New Roman" w:cs="Times New Roman" w:eastAsia="Times New Roman" w:hAnsi="Times New Roman"/>
                <w:sz w:val="15"/>
                <w:szCs w:val="15"/>
                <w:color w:val="auto"/>
                <w:w w:val="95"/>
              </w:rPr>
              <w:t xml:space="preserve"> +</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Dreamfields Brands, Inc. (d/b/a Senior Secured First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8.75% (7.5%</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Jeeter)</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5/3/2023</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5/3/2026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PRIME Floor)</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0"/>
              </w:rPr>
              <w:t>West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4,320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5.23</w:t>
            </w:r>
          </w:p>
        </w:tc>
        <w:tc>
          <w:tcPr>
            <w:tcW w:w="0" w:type="dxa"/>
            <w:vAlign w:val="bottom"/>
          </w:tcPr>
          <w:p>
            <w:pPr>
              <w:spacing w:after="0"/>
              <w:rPr>
                <w:sz w:val="1"/>
                <w:szCs w:val="1"/>
                <w:color w:val="auto"/>
              </w:rPr>
            </w:pPr>
          </w:p>
        </w:tc>
      </w:tr>
      <w:tr>
        <w:trPr>
          <w:trHeight w:val="166"/>
        </w:trPr>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9"/>
              </w:rPr>
              <w:t>Fixed interest</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PharmaCann,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Note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6/30/2022</w:t>
            </w:r>
          </w:p>
        </w:tc>
        <w:tc>
          <w:tcPr>
            <w:tcW w:w="86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w w:val="98"/>
              </w:rPr>
              <w:t>6/30/2025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rate 12.0%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4,123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Variable interest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center"/>
              <w:spacing w:after="0" w:line="212"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r>
              <w:rPr>
                <w:rFonts w:ascii="Times New Roman" w:cs="Times New Roman" w:eastAsia="Times New Roman" w:hAnsi="Times New Roman"/>
                <w:sz w:val="15"/>
                <w:szCs w:val="15"/>
                <w:color w:val="auto"/>
                <w:w w:val="95"/>
              </w:rPr>
              <w:t xml:space="preserve"> +</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8.5%</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 PRIME</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STIIIZY, Inc. (f/k/a Shryne</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Floor) + 1.0%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Group Inc.)</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5/26/2022</w:t>
            </w:r>
          </w:p>
        </w:tc>
        <w:tc>
          <w:tcPr>
            <w:tcW w:w="86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w w:val="98"/>
              </w:rPr>
              <w:t>5/26/2027</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PIK</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0"/>
              </w:rPr>
              <w:t>West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20,066</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6"/>
              </w:rPr>
              <w:t>19,865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24.06</w:t>
            </w:r>
          </w:p>
        </w:tc>
        <w:tc>
          <w:tcPr>
            <w:tcW w:w="0" w:type="dxa"/>
            <w:vAlign w:val="bottom"/>
          </w:tcPr>
          <w:p>
            <w:pPr>
              <w:spacing w:after="0"/>
              <w:rPr>
                <w:sz w:val="1"/>
                <w:szCs w:val="1"/>
                <w:color w:val="auto"/>
              </w:rPr>
            </w:pPr>
          </w:p>
        </w:tc>
      </w:tr>
      <w:tr>
        <w:trPr>
          <w:trHeight w:val="168"/>
        </w:trPr>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8"/>
              </w:rPr>
              <w:t>Variable interest</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line="212"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r>
              <w:rPr>
                <w:rFonts w:ascii="Times New Roman" w:cs="Times New Roman" w:eastAsia="Times New Roman" w:hAnsi="Times New Roman"/>
                <w:sz w:val="15"/>
                <w:szCs w:val="15"/>
                <w:color w:val="auto"/>
                <w:w w:val="95"/>
              </w:rPr>
              <w:t xml:space="preserve"> +</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6.5%</w:t>
            </w: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(6.25% PRIME</w:t>
            </w: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Verano Holdings Corp.</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10/27/2022</w:t>
            </w:r>
          </w:p>
        </w:tc>
        <w:tc>
          <w:tcPr>
            <w:tcW w:w="86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w w:val="99"/>
              </w:rPr>
              <w:t>10/30/2026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Floor)</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5"/>
              </w:rPr>
              <w:t>Yes</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17,436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17,925</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21.72</w:t>
            </w: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53,091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53,853</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65.24</w:t>
            </w: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 United States (66.77%):</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54,210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55,113</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66.77</w:t>
            </w: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Total: Debt Securities (66.77%):</w:t>
            </w: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54,210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6"/>
              </w:rPr>
              <w:t>55,113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66.77</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3"/>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gridSpan w:val="3"/>
          </w:tcPr>
          <w:p>
            <w:pPr>
              <w:jc w:val="center"/>
              <w:ind w:right="160"/>
              <w:spacing w:after="0" w:line="161" w:lineRule="exact"/>
              <w:rPr>
                <w:sz w:val="20"/>
                <w:szCs w:val="20"/>
                <w:color w:val="auto"/>
              </w:rPr>
            </w:pPr>
            <w:r>
              <w:rPr>
                <w:rFonts w:ascii="Times New Roman" w:cs="Times New Roman" w:eastAsia="Times New Roman" w:hAnsi="Times New Roman"/>
                <w:sz w:val="15"/>
                <w:szCs w:val="15"/>
                <w:b w:val="1"/>
                <w:bCs w:val="1"/>
                <w:color w:val="auto"/>
                <w:w w:val="96"/>
              </w:rPr>
              <w:t>Shares/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Equity Securities - United States</w:t>
            </w: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Units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Real Estate Services</w:t>
            </w:r>
          </w:p>
        </w:tc>
        <w:tc>
          <w:tcPr>
            <w:tcW w:w="1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Series A-1 Preferred</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Workbox Holdings, Inc.</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5/20/2024</w:t>
            </w: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358,950</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500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0.60%</w:t>
            </w:r>
          </w:p>
        </w:tc>
        <w:tc>
          <w:tcPr>
            <w:tcW w:w="0" w:type="dxa"/>
            <w:vAlign w:val="bottom"/>
          </w:tcPr>
          <w:p>
            <w:pPr>
              <w:spacing w:after="0"/>
              <w:rPr>
                <w:sz w:val="1"/>
                <w:szCs w:val="1"/>
                <w:color w:val="auto"/>
              </w:rPr>
            </w:pPr>
          </w:p>
        </w:tc>
      </w:tr>
      <w:tr>
        <w:trPr>
          <w:trHeight w:val="166"/>
        </w:trPr>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Series A-3 Preferred</w:t>
            </w: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Workbox Holdings,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Warrant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5/20/2024</w:t>
            </w:r>
          </w:p>
        </w:tc>
        <w:tc>
          <w:tcPr>
            <w:tcW w:w="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Midwest</w:t>
            </w: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791,258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Series A-4 Preferred</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Workbox Holdings, Inc.</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Stock Warrant</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5/20/2024</w:t>
            </w: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1,191,769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0.13</w:t>
            </w: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6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Equity Securities - United States (0.82%):</w:t>
            </w: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0.82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6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Equity Securities (0.82%):</w:t>
            </w:r>
          </w:p>
        </w:tc>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0.82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26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0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 in Securities (67.59%):</w:t>
            </w: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54,953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6"/>
              </w:rPr>
              <w:t>55,789</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67.59</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8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3"/>
                <w:szCs w:val="13"/>
                <w:color w:val="auto"/>
              </w:rPr>
              <w:t xml:space="preserve">State Street Institutional U.S. Government Money Market Fund </w:t>
            </w:r>
            <w:r>
              <w:rPr>
                <w:rFonts w:ascii="Times New Roman" w:cs="Times New Roman" w:eastAsia="Times New Roman" w:hAnsi="Times New Roman"/>
                <w:sz w:val="20"/>
                <w:szCs w:val="20"/>
                <w:color w:val="auto"/>
                <w:vertAlign w:val="superscript"/>
              </w:rPr>
              <w:t>(12)</w:t>
            </w: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6"/>
              </w:rPr>
              <w:t>30,112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36.48%</w:t>
            </w:r>
          </w:p>
        </w:tc>
        <w:tc>
          <w:tcPr>
            <w:tcW w:w="0" w:type="dxa"/>
            <w:vAlign w:val="bottom"/>
          </w:tcPr>
          <w:p>
            <w:pPr>
              <w:spacing w:after="0"/>
              <w:rPr>
                <w:sz w:val="1"/>
                <w:szCs w:val="1"/>
                <w:color w:val="auto"/>
              </w:rPr>
            </w:pPr>
          </w:p>
        </w:tc>
      </w:tr>
      <w:tr>
        <w:trPr>
          <w:trHeight w:val="18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Equivalents (36.48%):</w:t>
            </w: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30,112</w:t>
            </w: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30,112</w:t>
            </w:r>
          </w:p>
        </w:tc>
        <w:tc>
          <w:tcPr>
            <w:tcW w:w="8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4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 and Cash Equivalents (104.07%):</w:t>
            </w: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85,065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85,901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104.07%</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companies are located in the United States, as determined by the location of the portfolio company’s headquarters.</w:t>
      </w:r>
    </w:p>
    <w:p>
      <w:pPr>
        <w:spacing w:after="0" w:line="21" w:lineRule="exact"/>
        <w:rPr>
          <w:rFonts w:ascii="Times New Roman" w:cs="Times New Roman" w:eastAsia="Times New Roman" w:hAnsi="Times New Roman"/>
          <w:sz w:val="15"/>
          <w:szCs w:val="15"/>
          <w:color w:val="auto"/>
        </w:rPr>
      </w:pPr>
    </w:p>
    <w:p>
      <w:pPr>
        <w:ind w:left="800" w:right="440" w:hanging="472"/>
        <w:spacing w:after="0" w:line="250"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debt investment is non-income producing as of September 30, 2024. All equity and warrant investments are non-income producing as of September 30, 2024 unless otherwise noted.</w:t>
      </w:r>
    </w:p>
    <w:p>
      <w:pPr>
        <w:spacing w:after="0" w:line="1"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date represents the date of initial investment, at which date interest began accruing.</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is the fixed or variable rate of the debt investments.</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2 – Significant Accounting Policies and Note 4 — Fair Value of Financial Instruments in the accompanying notes to the financial statements.</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 regions are determined by the respective portfolio company’s headquarters’ location.</w:t>
      </w:r>
    </w:p>
    <w:p>
      <w:pPr>
        <w:spacing w:after="0" w:line="7" w:lineRule="exact"/>
        <w:rPr>
          <w:rFonts w:ascii="Times New Roman" w:cs="Times New Roman" w:eastAsia="Times New Roman" w:hAnsi="Times New Roman"/>
          <w:sz w:val="15"/>
          <w:szCs w:val="15"/>
          <w:color w:val="auto"/>
        </w:rPr>
      </w:pPr>
    </w:p>
    <w:p>
      <w:pPr>
        <w:ind w:left="800" w:right="200" w:hanging="472"/>
        <w:spacing w:after="0" w:line="250"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September 30, 2024 the aggregate fair value of non-qualifying assets is $22,223 or 24.89% of the Company’s total assets.</w:t>
      </w:r>
    </w:p>
    <w:p>
      <w:pPr>
        <w:spacing w:after="0" w:line="2"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is net of repayments, if any, as per the terms of the debt instrument’s contract.</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investments were valued at fair value. See Note 4 — Fair Value of Financial Instruments in the accompanying notes to the financial statements.</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uses the North American Industry Classification System (“NAICS”) code for classifying the industry grouping of its portfolio companies.</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PRIME is 8.00%.</w:t>
      </w:r>
    </w:p>
    <w:p>
      <w:pPr>
        <w:spacing w:after="0" w:line="7" w:lineRule="exact"/>
        <w:rPr>
          <w:rFonts w:ascii="Times New Roman" w:cs="Times New Roman" w:eastAsia="Times New Roman" w:hAnsi="Times New Roman"/>
          <w:sz w:val="15"/>
          <w:szCs w:val="15"/>
          <w:color w:val="auto"/>
        </w:rPr>
      </w:pPr>
    </w:p>
    <w:p>
      <w:pPr>
        <w:ind w:left="800" w:hanging="472"/>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annualized seven-day yield as of September 30, 2024 is 4.94%.</w:t>
      </w:r>
    </w:p>
    <w:p>
      <w:pPr>
        <w:spacing w:after="0" w:line="7" w:lineRule="exact"/>
        <w:rPr>
          <w:rFonts w:ascii="Times New Roman" w:cs="Times New Roman" w:eastAsia="Times New Roman" w:hAnsi="Times New Roman"/>
          <w:sz w:val="15"/>
          <w:szCs w:val="15"/>
          <w:color w:val="auto"/>
        </w:rPr>
      </w:pPr>
    </w:p>
    <w:p>
      <w:pPr>
        <w:ind w:left="800" w:right="260" w:hanging="472"/>
        <w:spacing w:after="0" w:line="261"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the Company had the following commitment to fund a senior secured loan. Such commitment is subject to the satisfaction of certain conditions set forth in the documents governing the loan and there can be no assurance that such conditions will be satisfied.</w:t>
      </w:r>
    </w:p>
    <w:p>
      <w:pPr>
        <w:sectPr>
          <w:pgSz w:w="11900" w:h="16838" w:orient="portrait"/>
          <w:cols w:equalWidth="0" w:num="1">
            <w:col w:w="11320"/>
          </w:cols>
          <w:pgMar w:left="320" w:top="114" w:right="25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rPr>
              <w:t>Less: unavailable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ind w:left="45"/>
              <w:spacing w:after="0"/>
              <w:rPr>
                <w:sz w:val="20"/>
                <w:szCs w:val="20"/>
                <w:color w:val="auto"/>
              </w:rPr>
            </w:pPr>
            <w:r>
              <w:rPr>
                <w:rFonts w:ascii="Times New Roman" w:cs="Times New Roman" w:eastAsia="Times New Roman" w:hAnsi="Times New Roman"/>
                <w:sz w:val="15"/>
                <w:szCs w:val="15"/>
                <w:b w:val="1"/>
                <w:bCs w:val="1"/>
                <w:color w:val="auto"/>
              </w:rPr>
              <w:t>Less: commitments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center"/>
              <w:ind w:left="5"/>
              <w:spacing w:after="0"/>
              <w:rPr>
                <w:sz w:val="20"/>
                <w:szCs w:val="20"/>
                <w:color w:val="auto"/>
              </w:rPr>
            </w:pPr>
            <w:r>
              <w:rPr>
                <w:rFonts w:ascii="Times New Roman" w:cs="Times New Roman" w:eastAsia="Times New Roman" w:hAnsi="Times New Roman"/>
                <w:sz w:val="15"/>
                <w:szCs w:val="15"/>
                <w:b w:val="1"/>
                <w:bCs w:val="1"/>
                <w:color w:val="auto"/>
                <w:w w:val="99"/>
              </w:rPr>
              <w:t>commitments due to</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Total unfunded</w:t>
            </w: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substantially at discretion</w:t>
            </w: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borrowing base or other</w:t>
            </w:r>
          </w:p>
        </w:tc>
        <w:tc>
          <w:tcPr>
            <w:tcW w:w="2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net</w:t>
            </w:r>
          </w:p>
        </w:tc>
      </w:tr>
      <w:tr>
        <w:trPr>
          <w:trHeight w:val="201"/>
        </w:trPr>
        <w:tc>
          <w:tcPr>
            <w:tcW w:w="1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3800" w:type="dxa"/>
            <w:vAlign w:val="bottom"/>
            <w:gridSpan w:val="7"/>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Total loan commitments Less: funded commitments</w:t>
            </w: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commitments</w:t>
            </w:r>
          </w:p>
        </w:tc>
        <w:tc>
          <w:tcPr>
            <w:tcW w:w="1520" w:type="dxa"/>
            <w:vAlign w:val="bottom"/>
          </w:tcPr>
          <w:p>
            <w:pPr>
              <w:jc w:val="center"/>
              <w:ind w:left="65"/>
              <w:spacing w:after="0"/>
              <w:rPr>
                <w:sz w:val="20"/>
                <w:szCs w:val="20"/>
                <w:color w:val="auto"/>
              </w:rPr>
            </w:pPr>
            <w:r>
              <w:rPr>
                <w:rFonts w:ascii="Times New Roman" w:cs="Times New Roman" w:eastAsia="Times New Roman" w:hAnsi="Times New Roman"/>
                <w:sz w:val="15"/>
                <w:szCs w:val="15"/>
                <w:b w:val="1"/>
                <w:bCs w:val="1"/>
                <w:color w:val="auto"/>
                <w:w w:val="99"/>
              </w:rPr>
              <w:t>of the Company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ind w:left="5"/>
              <w:spacing w:after="0"/>
              <w:rPr>
                <w:sz w:val="20"/>
                <w:szCs w:val="20"/>
                <w:color w:val="auto"/>
              </w:rPr>
            </w:pPr>
            <w:r>
              <w:rPr>
                <w:rFonts w:ascii="Times New Roman" w:cs="Times New Roman" w:eastAsia="Times New Roman" w:hAnsi="Times New Roman"/>
                <w:sz w:val="15"/>
                <w:szCs w:val="15"/>
                <w:b w:val="1"/>
                <w:bCs w:val="1"/>
                <w:color w:val="auto"/>
              </w:rPr>
              <w:t>covenant restrictions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commitments</w:t>
            </w:r>
          </w:p>
        </w:tc>
      </w:tr>
      <w:tr>
        <w:trPr>
          <w:trHeight w:val="18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Workbox Holdings, Inc.</w:t>
            </w:r>
          </w:p>
        </w:tc>
        <w:tc>
          <w:tcPr>
            <w:tcW w:w="3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ind w:right="12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ind w:right="116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5"/>
                <w:szCs w:val="15"/>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38"/>
        </w:trPr>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8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gridSpan w:val="3"/>
          </w:tcPr>
          <w:p>
            <w:pPr>
              <w:jc w:val="center"/>
              <w:ind w:right="446"/>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gridSpan w:val="2"/>
          </w:tcPr>
          <w:p>
            <w:pPr>
              <w:jc w:val="center"/>
              <w:ind w:left="165"/>
              <w:spacing w:after="0"/>
              <w:rPr>
                <w:sz w:val="20"/>
                <w:szCs w:val="20"/>
                <w:color w:val="auto"/>
              </w:rPr>
            </w:pPr>
            <w:r>
              <w:rPr>
                <w:rFonts w:ascii="Times New Roman" w:cs="Times New Roman" w:eastAsia="Times New Roman" w:hAnsi="Times New Roman"/>
                <w:sz w:val="15"/>
                <w:szCs w:val="15"/>
                <w:b w:val="1"/>
                <w:bCs w:val="1"/>
                <w:color w:val="auto"/>
              </w:rPr>
              <w:t>Schedule of Investments</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80" w:type="dxa"/>
            <w:vAlign w:val="bottom"/>
            <w:gridSpan w:val="2"/>
          </w:tcPr>
          <w:p>
            <w:pPr>
              <w:jc w:val="center"/>
              <w:ind w:left="18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80" w:type="dxa"/>
            <w:vAlign w:val="bottom"/>
            <w:gridSpan w:val="2"/>
          </w:tcPr>
          <w:p>
            <w:pPr>
              <w:jc w:val="center"/>
              <w:ind w:left="205"/>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Non-</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6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 xml:space="preserve">Portfolio Company </w:t>
            </w:r>
            <w:r>
              <w:rPr>
                <w:rFonts w:ascii="Times New Roman" w:cs="Times New Roman" w:eastAsia="Times New Roman" w:hAnsi="Times New Roman"/>
                <w:sz w:val="25"/>
                <w:szCs w:val="25"/>
                <w:b w:val="1"/>
                <w:bCs w:val="1"/>
                <w:color w:val="auto"/>
                <w:w w:val="95"/>
                <w:vertAlign w:val="superscript"/>
              </w:rPr>
              <w:t>(1)</w:t>
            </w:r>
            <w:r>
              <w:rPr>
                <w:rFonts w:ascii="Times New Roman" w:cs="Times New Roman" w:eastAsia="Times New Roman" w:hAnsi="Times New Roman"/>
                <w:sz w:val="15"/>
                <w:szCs w:val="15"/>
                <w:b w:val="1"/>
                <w:bCs w:val="1"/>
                <w:color w:val="auto"/>
                <w:w w:val="95"/>
              </w:rPr>
              <w:t xml:space="preserve"> Type of Investment </w:t>
            </w:r>
            <w:r>
              <w:rPr>
                <w:rFonts w:ascii="Times New Roman" w:cs="Times New Roman" w:eastAsia="Times New Roman" w:hAnsi="Times New Roman"/>
                <w:sz w:val="25"/>
                <w:szCs w:val="25"/>
                <w:b w:val="1"/>
                <w:bCs w:val="1"/>
                <w:color w:val="auto"/>
                <w:w w:val="95"/>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GeographicQualifying</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Amortized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 of</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gridSpan w:val="4"/>
            <w:vMerge w:val="continue"/>
          </w:tcPr>
          <w:p>
            <w:pPr>
              <w:spacing w:after="0"/>
              <w:rPr>
                <w:sz w:val="18"/>
                <w:szCs w:val="18"/>
                <w:color w:val="auto"/>
              </w:rPr>
            </w:pPr>
          </w:p>
        </w:tc>
        <w:tc>
          <w:tcPr>
            <w:tcW w:w="76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4"/>
                <w:szCs w:val="14"/>
                <w:b w:val="1"/>
                <w:bCs w:val="1"/>
                <w:color w:val="auto"/>
                <w:w w:val="97"/>
              </w:rPr>
              <w:t xml:space="preserve">Date </w:t>
            </w:r>
            <w:r>
              <w:rPr>
                <w:rFonts w:ascii="Times New Roman" w:cs="Times New Roman" w:eastAsia="Times New Roman" w:hAnsi="Times New Roman"/>
                <w:sz w:val="23"/>
                <w:szCs w:val="23"/>
                <w:b w:val="1"/>
                <w:bCs w:val="1"/>
                <w:color w:val="auto"/>
                <w:w w:val="97"/>
                <w:vertAlign w:val="superscript"/>
              </w:rPr>
              <w:t>(3)</w:t>
            </w:r>
          </w:p>
        </w:tc>
        <w:tc>
          <w:tcPr>
            <w:tcW w:w="204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Maturity Date Interest Rate </w:t>
            </w:r>
            <w:r>
              <w:rPr>
                <w:rFonts w:ascii="Times New Roman" w:cs="Times New Roman" w:eastAsia="Times New Roman" w:hAnsi="Times New Roman"/>
                <w:sz w:val="23"/>
                <w:szCs w:val="23"/>
                <w:b w:val="1"/>
                <w:bCs w:val="1"/>
                <w:color w:val="auto"/>
                <w:vertAlign w:val="superscript"/>
              </w:rPr>
              <w:t>(4)</w:t>
            </w:r>
          </w:p>
        </w:tc>
        <w:tc>
          <w:tcPr>
            <w:tcW w:w="8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Hierarchy </w:t>
            </w:r>
            <w:r>
              <w:rPr>
                <w:rFonts w:ascii="Times New Roman" w:cs="Times New Roman" w:eastAsia="Times New Roman" w:hAnsi="Times New Roman"/>
                <w:sz w:val="23"/>
                <w:szCs w:val="23"/>
                <w:b w:val="1"/>
                <w:bCs w:val="1"/>
                <w:color w:val="auto"/>
                <w:vertAlign w:val="superscript"/>
              </w:rPr>
              <w:t>(5)</w:t>
            </w:r>
          </w:p>
        </w:tc>
        <w:tc>
          <w:tcPr>
            <w:tcW w:w="7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Region </w:t>
            </w:r>
            <w:r>
              <w:rPr>
                <w:rFonts w:ascii="Times New Roman" w:cs="Times New Roman" w:eastAsia="Times New Roman" w:hAnsi="Times New Roman"/>
                <w:sz w:val="23"/>
                <w:szCs w:val="23"/>
                <w:b w:val="1"/>
                <w:bCs w:val="1"/>
                <w:color w:val="auto"/>
                <w:vertAlign w:val="superscript"/>
              </w:rPr>
              <w:t>(6)</w:t>
            </w:r>
          </w:p>
        </w:tc>
        <w:tc>
          <w:tcPr>
            <w:tcW w:w="720" w:type="dxa"/>
            <w:vAlign w:val="bottom"/>
            <w:tcBorders>
              <w:bottom w:val="single" w:sz="8" w:color="auto"/>
            </w:tcBorders>
          </w:tcPr>
          <w:p>
            <w:pPr>
              <w:jc w:val="center"/>
              <w:ind w:right="6"/>
              <w:spacing w:after="0" w:line="207" w:lineRule="exact"/>
              <w:rPr>
                <w:sz w:val="20"/>
                <w:szCs w:val="20"/>
                <w:color w:val="auto"/>
              </w:rPr>
            </w:pPr>
            <w:r>
              <w:rPr>
                <w:rFonts w:ascii="Times New Roman" w:cs="Times New Roman" w:eastAsia="Times New Roman" w:hAnsi="Times New Roman"/>
                <w:sz w:val="14"/>
                <w:szCs w:val="14"/>
                <w:b w:val="1"/>
                <w:bCs w:val="1"/>
                <w:color w:val="auto"/>
                <w:w w:val="97"/>
              </w:rPr>
              <w:t xml:space="preserve">Asset </w:t>
            </w:r>
            <w:r>
              <w:rPr>
                <w:rFonts w:ascii="Times New Roman" w:cs="Times New Roman" w:eastAsia="Times New Roman" w:hAnsi="Times New Roman"/>
                <w:sz w:val="23"/>
                <w:szCs w:val="23"/>
                <w:b w:val="1"/>
                <w:bCs w:val="1"/>
                <w:color w:val="auto"/>
                <w:w w:val="97"/>
                <w:vertAlign w:val="superscript"/>
              </w:rPr>
              <w:t>(7)</w:t>
            </w:r>
          </w:p>
        </w:tc>
        <w:tc>
          <w:tcPr>
            <w:tcW w:w="780" w:type="dxa"/>
            <w:vAlign w:val="bottom"/>
            <w:tcBorders>
              <w:bottom w:val="single" w:sz="8" w:color="auto"/>
            </w:tcBorders>
            <w:gridSpan w:val="3"/>
          </w:tcPr>
          <w:p>
            <w:pPr>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3"/>
                <w:szCs w:val="23"/>
                <w:b w:val="1"/>
                <w:bCs w:val="1"/>
                <w:color w:val="auto"/>
                <w:vertAlign w:val="superscript"/>
              </w:rPr>
              <w:t>(8)</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Cost</w:t>
            </w:r>
          </w:p>
        </w:tc>
        <w:tc>
          <w:tcPr>
            <w:tcW w:w="940" w:type="dxa"/>
            <w:vAlign w:val="bottom"/>
            <w:tcBorders>
              <w:bottom w:val="single" w:sz="8" w:color="auto"/>
            </w:tcBorders>
            <w:gridSpan w:val="3"/>
          </w:tcPr>
          <w:p>
            <w:pPr>
              <w:spacing w:after="0" w:line="20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3"/>
                <w:szCs w:val="23"/>
                <w:b w:val="1"/>
                <w:bCs w:val="1"/>
                <w:color w:val="auto"/>
                <w:vertAlign w:val="superscript"/>
              </w:rPr>
              <w:t>(9)</w:t>
            </w: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0" w:type="dxa"/>
            <w:vAlign w:val="bottom"/>
          </w:tcPr>
          <w:p>
            <w:pPr>
              <w:spacing w:after="0"/>
              <w:rPr>
                <w:sz w:val="1"/>
                <w:szCs w:val="1"/>
                <w:color w:val="auto"/>
              </w:rPr>
            </w:pPr>
          </w:p>
        </w:tc>
      </w:tr>
      <w:tr>
        <w:trPr>
          <w:trHeight w:val="162"/>
        </w:trPr>
        <w:tc>
          <w:tcPr>
            <w:tcW w:w="13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Debt Securities -</w:t>
            </w: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360" w:type="dxa"/>
            <w:vAlign w:val="bottom"/>
            <w:tcBorders>
              <w:bottom w:val="single" w:sz="8" w:color="auto"/>
            </w:tcBorders>
            <w:gridSpan w:val="2"/>
          </w:tcPr>
          <w:p>
            <w:pPr>
              <w:spacing w:after="0" w:line="229" w:lineRule="exact"/>
              <w:rPr>
                <w:sz w:val="20"/>
                <w:szCs w:val="20"/>
                <w:color w:val="auto"/>
              </w:rPr>
            </w:pPr>
            <w:r>
              <w:rPr>
                <w:rFonts w:ascii="Times New Roman" w:cs="Times New Roman" w:eastAsia="Times New Roman" w:hAnsi="Times New Roman"/>
                <w:sz w:val="15"/>
                <w:szCs w:val="15"/>
                <w:b w:val="1"/>
                <w:bCs w:val="1"/>
                <w:color w:val="auto"/>
                <w:w w:val="95"/>
              </w:rPr>
              <w:t xml:space="preserve">Wholesale Trade </w:t>
            </w:r>
            <w:r>
              <w:rPr>
                <w:rFonts w:ascii="Times New Roman" w:cs="Times New Roman" w:eastAsia="Times New Roman" w:hAnsi="Times New Roman"/>
                <w:sz w:val="25"/>
                <w:szCs w:val="25"/>
                <w:b w:val="1"/>
                <w:bCs w:val="1"/>
                <w:color w:val="auto"/>
                <w:w w:val="95"/>
                <w:vertAlign w:val="superscript"/>
              </w:rPr>
              <w:t>(10)</w:t>
            </w:r>
          </w:p>
        </w:tc>
        <w:tc>
          <w:tcPr>
            <w:tcW w:w="40" w:type="dxa"/>
            <w:vAlign w:val="bottom"/>
            <w:tcBorders>
              <w:bottom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360" w:type="dxa"/>
            <w:vAlign w:val="bottom"/>
            <w:gridSpan w:val="2"/>
            <w:shd w:val="clear" w:color="auto" w:fill="CCEEFF"/>
          </w:tcPr>
          <w:p>
            <w:pPr>
              <w:ind w:left="120"/>
              <w:spacing w:after="0" w:line="166" w:lineRule="exact"/>
              <w:rPr>
                <w:sz w:val="20"/>
                <w:szCs w:val="20"/>
                <w:color w:val="auto"/>
              </w:rPr>
            </w:pPr>
            <w:r>
              <w:rPr>
                <w:rFonts w:ascii="Times New Roman" w:cs="Times New Roman" w:eastAsia="Times New Roman" w:hAnsi="Times New Roman"/>
                <w:sz w:val="15"/>
                <w:szCs w:val="15"/>
                <w:color w:val="auto"/>
              </w:rPr>
              <w:t>Curaleaf Holdings,</w:t>
            </w: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Fixed interest</w:t>
            </w: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Inc.</w:t>
            </w:r>
          </w:p>
        </w:tc>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Senior Secured Note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10/11/2022</w:t>
            </w:r>
          </w:p>
        </w:tc>
        <w:tc>
          <w:tcPr>
            <w:tcW w:w="84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9"/>
              </w:rPr>
              <w:t>12/15/2026</w:t>
            </w:r>
          </w:p>
        </w:tc>
        <w:tc>
          <w:tcPr>
            <w:tcW w:w="120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rate 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Northeast</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3,989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4,140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4.84%</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center"/>
              <w:ind w:left="25"/>
              <w:spacing w:after="0" w:line="167" w:lineRule="exact"/>
              <w:rPr>
                <w:sz w:val="20"/>
                <w:szCs w:val="20"/>
                <w:color w:val="auto"/>
              </w:rPr>
            </w:pPr>
            <w:r>
              <w:rPr>
                <w:rFonts w:ascii="Times New Roman" w:cs="Times New Roman" w:eastAsia="Times New Roman" w:hAnsi="Times New Roman"/>
                <w:sz w:val="15"/>
                <w:szCs w:val="15"/>
                <w:color w:val="auto"/>
                <w:w w:val="98"/>
              </w:rPr>
              <w:t>Variable interest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center"/>
              <w:ind w:left="5"/>
              <w:spacing w:after="0" w:line="212" w:lineRule="exact"/>
              <w:rPr>
                <w:sz w:val="20"/>
                <w:szCs w:val="20"/>
                <w:color w:val="auto"/>
              </w:rPr>
            </w:pPr>
            <w:r>
              <w:rPr>
                <w:rFonts w:ascii="Times New Roman" w:cs="Times New Roman" w:eastAsia="Times New Roman" w:hAnsi="Times New Roman"/>
                <w:sz w:val="15"/>
                <w:szCs w:val="15"/>
                <w:color w:val="auto"/>
                <w:w w:val="93"/>
              </w:rPr>
              <w:t>rate PRIME</w:t>
            </w:r>
            <w:r>
              <w:rPr>
                <w:rFonts w:ascii="Times New Roman" w:cs="Times New Roman" w:eastAsia="Times New Roman" w:hAnsi="Times New Roman"/>
                <w:sz w:val="24"/>
                <w:szCs w:val="24"/>
                <w:color w:val="auto"/>
                <w:w w:val="93"/>
                <w:vertAlign w:val="superscript"/>
              </w:rPr>
              <w:t>(11)</w:t>
            </w:r>
            <w:r>
              <w:rPr>
                <w:rFonts w:ascii="Times New Roman" w:cs="Times New Roman" w:eastAsia="Times New Roman" w:hAnsi="Times New Roman"/>
                <w:sz w:val="15"/>
                <w:szCs w:val="15"/>
                <w:color w:val="auto"/>
                <w:w w:val="93"/>
              </w:rPr>
              <w:t xml:space="preserve"> +</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Dreamfields Brands, Senior Secured First</w:t>
            </w: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w w:val="99"/>
              </w:rPr>
              <w:t>8.75% (7.5%</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Inc. (d/b/a Jeeter)</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5/3/2023</w:t>
            </w:r>
          </w:p>
        </w:tc>
        <w:tc>
          <w:tcPr>
            <w:tcW w:w="84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7"/>
              </w:rPr>
              <w:t>5/3/2026</w:t>
            </w:r>
          </w:p>
        </w:tc>
        <w:tc>
          <w:tcPr>
            <w:tcW w:w="120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rPr>
              <w:t>PRIME Floor)</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West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4,320</w:t>
            </w:r>
          </w:p>
        </w:tc>
        <w:tc>
          <w:tcPr>
            <w:tcW w:w="14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4,229</w:t>
            </w:r>
          </w:p>
        </w:tc>
        <w:tc>
          <w:tcPr>
            <w:tcW w:w="2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4,320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166"/>
        </w:trPr>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25"/>
              <w:spacing w:after="0" w:line="167" w:lineRule="exact"/>
              <w:rPr>
                <w:sz w:val="20"/>
                <w:szCs w:val="20"/>
                <w:color w:val="auto"/>
              </w:rPr>
            </w:pPr>
            <w:r>
              <w:rPr>
                <w:rFonts w:ascii="Times New Roman" w:cs="Times New Roman" w:eastAsia="Times New Roman" w:hAnsi="Times New Roman"/>
                <w:sz w:val="15"/>
                <w:szCs w:val="15"/>
                <w:color w:val="auto"/>
                <w:w w:val="99"/>
              </w:rPr>
              <w:t>Fixed interest</w:t>
            </w: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PharmaCann, Inc.</w:t>
            </w:r>
          </w:p>
        </w:tc>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Senior Secured Note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6/30/2022</w:t>
            </w:r>
          </w:p>
        </w:tc>
        <w:tc>
          <w:tcPr>
            <w:tcW w:w="84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8"/>
              </w:rPr>
              <w:t>6/30/2025</w:t>
            </w:r>
          </w:p>
        </w:tc>
        <w:tc>
          <w:tcPr>
            <w:tcW w:w="120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rate 12.0%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4,250</w:t>
            </w: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4,109</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3,974</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4.65</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center"/>
              <w:ind w:left="25"/>
              <w:spacing w:after="0" w:line="167" w:lineRule="exact"/>
              <w:rPr>
                <w:sz w:val="20"/>
                <w:szCs w:val="20"/>
                <w:color w:val="auto"/>
              </w:rPr>
            </w:pPr>
            <w:r>
              <w:rPr>
                <w:rFonts w:ascii="Times New Roman" w:cs="Times New Roman" w:eastAsia="Times New Roman" w:hAnsi="Times New Roman"/>
                <w:sz w:val="15"/>
                <w:szCs w:val="15"/>
                <w:color w:val="auto"/>
                <w:w w:val="98"/>
              </w:rPr>
              <w:t>Variable interest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center"/>
              <w:ind w:left="5"/>
              <w:spacing w:after="0" w:line="212" w:lineRule="exact"/>
              <w:rPr>
                <w:sz w:val="20"/>
                <w:szCs w:val="20"/>
                <w:color w:val="auto"/>
              </w:rPr>
            </w:pPr>
            <w:r>
              <w:rPr>
                <w:rFonts w:ascii="Times New Roman" w:cs="Times New Roman" w:eastAsia="Times New Roman" w:hAnsi="Times New Roman"/>
                <w:sz w:val="15"/>
                <w:szCs w:val="15"/>
                <w:color w:val="auto"/>
                <w:w w:val="93"/>
              </w:rPr>
              <w:t>rate PRIME</w:t>
            </w:r>
            <w:r>
              <w:rPr>
                <w:rFonts w:ascii="Times New Roman" w:cs="Times New Roman" w:eastAsia="Times New Roman" w:hAnsi="Times New Roman"/>
                <w:sz w:val="24"/>
                <w:szCs w:val="24"/>
                <w:color w:val="auto"/>
                <w:w w:val="93"/>
                <w:vertAlign w:val="superscript"/>
              </w:rPr>
              <w:t>(11)</w:t>
            </w:r>
            <w:r>
              <w:rPr>
                <w:rFonts w:ascii="Times New Roman" w:cs="Times New Roman" w:eastAsia="Times New Roman" w:hAnsi="Times New Roman"/>
                <w:sz w:val="15"/>
                <w:szCs w:val="15"/>
                <w:color w:val="auto"/>
                <w:w w:val="93"/>
              </w:rPr>
              <w:t xml:space="preserve"> +</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rPr>
              <w:t>8.5%</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STIIIZY, Inc. (f/k/a</w:t>
            </w: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rPr>
              <w:t>(4.0% PRIME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Shryne Group</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Senior Secured First</w:t>
            </w: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rPr>
              <w:t>Floor) “1.0%</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Inc.)</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5/26/2022</w:t>
            </w:r>
          </w:p>
        </w:tc>
        <w:tc>
          <w:tcPr>
            <w:tcW w:w="84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8"/>
              </w:rPr>
              <w:t>5/26/2026</w:t>
            </w:r>
          </w:p>
        </w:tc>
        <w:tc>
          <w:tcPr>
            <w:tcW w:w="120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w w:val="97"/>
              </w:rPr>
              <w:t>PIK”</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West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21,065</w:t>
            </w:r>
          </w:p>
        </w:tc>
        <w:tc>
          <w:tcPr>
            <w:tcW w:w="14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20,682</w:t>
            </w:r>
          </w:p>
        </w:tc>
        <w:tc>
          <w:tcPr>
            <w:tcW w:w="2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20,749</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24.25</w:t>
            </w:r>
          </w:p>
        </w:tc>
        <w:tc>
          <w:tcPr>
            <w:tcW w:w="0" w:type="dxa"/>
            <w:vAlign w:val="bottom"/>
          </w:tcPr>
          <w:p>
            <w:pPr>
              <w:spacing w:after="0"/>
              <w:rPr>
                <w:sz w:val="1"/>
                <w:szCs w:val="1"/>
                <w:color w:val="auto"/>
              </w:rPr>
            </w:pPr>
          </w:p>
        </w:tc>
      </w:tr>
      <w:tr>
        <w:trPr>
          <w:trHeight w:val="168"/>
        </w:trPr>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25"/>
              <w:spacing w:after="0" w:line="168" w:lineRule="exact"/>
              <w:rPr>
                <w:sz w:val="20"/>
                <w:szCs w:val="20"/>
                <w:color w:val="auto"/>
              </w:rPr>
            </w:pPr>
            <w:r>
              <w:rPr>
                <w:rFonts w:ascii="Times New Roman" w:cs="Times New Roman" w:eastAsia="Times New Roman" w:hAnsi="Times New Roman"/>
                <w:sz w:val="15"/>
                <w:szCs w:val="15"/>
                <w:color w:val="auto"/>
                <w:w w:val="98"/>
              </w:rPr>
              <w:t>Variable interest</w:t>
            </w: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
              <w:spacing w:after="0" w:line="212" w:lineRule="exact"/>
              <w:rPr>
                <w:sz w:val="20"/>
                <w:szCs w:val="20"/>
                <w:color w:val="auto"/>
              </w:rPr>
            </w:pPr>
            <w:r>
              <w:rPr>
                <w:rFonts w:ascii="Times New Roman" w:cs="Times New Roman" w:eastAsia="Times New Roman" w:hAnsi="Times New Roman"/>
                <w:sz w:val="15"/>
                <w:szCs w:val="15"/>
                <w:color w:val="auto"/>
                <w:w w:val="93"/>
              </w:rPr>
              <w:t>rate PRIME</w:t>
            </w:r>
            <w:r>
              <w:rPr>
                <w:rFonts w:ascii="Times New Roman" w:cs="Times New Roman" w:eastAsia="Times New Roman" w:hAnsi="Times New Roman"/>
                <w:sz w:val="24"/>
                <w:szCs w:val="24"/>
                <w:color w:val="auto"/>
                <w:w w:val="93"/>
                <w:vertAlign w:val="superscript"/>
              </w:rPr>
              <w:t>(11)</w:t>
            </w:r>
            <w:r>
              <w:rPr>
                <w:rFonts w:ascii="Times New Roman" w:cs="Times New Roman" w:eastAsia="Times New Roman" w:hAnsi="Times New Roman"/>
                <w:sz w:val="15"/>
                <w:szCs w:val="15"/>
                <w:color w:val="auto"/>
                <w:w w:val="93"/>
              </w:rPr>
              <w:t xml:space="preserve"> +</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5"/>
                <w:szCs w:val="15"/>
                <w:color w:val="auto"/>
              </w:rPr>
              <w:t>6.5%</w:t>
            </w: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Verano Holdings</w:t>
            </w:r>
          </w:p>
        </w:tc>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Senior Secured First</w:t>
            </w: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(6.25% PRIME</w:t>
            </w: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Corp.</w:t>
            </w:r>
          </w:p>
        </w:tc>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Lien Term Loan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10/27/2022</w:t>
            </w:r>
          </w:p>
        </w:tc>
        <w:tc>
          <w:tcPr>
            <w:tcW w:w="84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5"/>
                <w:szCs w:val="15"/>
                <w:color w:val="auto"/>
                <w:w w:val="99"/>
              </w:rPr>
              <w:t>10/30/2026</w:t>
            </w:r>
          </w:p>
        </w:tc>
        <w:tc>
          <w:tcPr>
            <w:tcW w:w="120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Floor)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Midwest</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20,462</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20,937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24.47</w:t>
            </w: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55,072</w:t>
            </w: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53,471</w:t>
            </w:r>
          </w:p>
        </w:tc>
        <w:tc>
          <w:tcPr>
            <w:tcW w:w="2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54,120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63.26</w:t>
            </w: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CCEEFF"/>
            </w:tcBorders>
            <w:gridSpan w:val="4"/>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 United States (63.26%):</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53,471</w:t>
            </w:r>
          </w:p>
        </w:tc>
        <w:tc>
          <w:tcPr>
            <w:tcW w:w="2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54,120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63.26</w:t>
            </w: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gridSpan w:val="3"/>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(63.26%):</w:t>
            </w: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53,471</w:t>
            </w:r>
          </w:p>
        </w:tc>
        <w:tc>
          <w:tcPr>
            <w:tcW w:w="2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54,120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63.26</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Investment in Securities (63.26%):</w:t>
            </w: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53,471</w:t>
            </w:r>
          </w:p>
        </w:tc>
        <w:tc>
          <w:tcPr>
            <w:tcW w:w="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54,120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63.26%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gridSpan w:val="6"/>
            <w:shd w:val="clear" w:color="auto" w:fill="CCEEFF"/>
          </w:tcPr>
          <w:p>
            <w:pPr>
              <w:ind w:left="120"/>
              <w:spacing w:after="0" w:line="214" w:lineRule="exact"/>
              <w:rPr>
                <w:sz w:val="20"/>
                <w:szCs w:val="20"/>
                <w:color w:val="auto"/>
              </w:rPr>
            </w:pPr>
            <w:r>
              <w:rPr>
                <w:rFonts w:ascii="Times New Roman" w:cs="Times New Roman" w:eastAsia="Times New Roman" w:hAnsi="Times New Roman"/>
                <w:sz w:val="15"/>
                <w:szCs w:val="15"/>
                <w:color w:val="auto"/>
              </w:rPr>
              <w:t xml:space="preserve">State Street Institutional U.S. Government Money Market Fund </w:t>
            </w:r>
            <w:r>
              <w:rPr>
                <w:rFonts w:ascii="Times New Roman" w:cs="Times New Roman" w:eastAsia="Times New Roman" w:hAnsi="Times New Roman"/>
                <w:sz w:val="24"/>
                <w:szCs w:val="24"/>
                <w:color w:val="auto"/>
                <w:vertAlign w:val="superscript"/>
              </w:rPr>
              <w:t>(12)</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7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32,612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32,612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38.12%</w:t>
            </w: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Cash Equivalents (38.12%):</w:t>
            </w: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32,612</w:t>
            </w:r>
          </w:p>
        </w:tc>
        <w:tc>
          <w:tcPr>
            <w:tcW w:w="2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32,612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38.12</w:t>
            </w:r>
          </w:p>
        </w:tc>
        <w:tc>
          <w:tcPr>
            <w:tcW w:w="0" w:type="dxa"/>
            <w:vAlign w:val="bottom"/>
          </w:tcPr>
          <w:p>
            <w:pPr>
              <w:spacing w:after="0"/>
              <w:rPr>
                <w:sz w:val="1"/>
                <w:szCs w:val="1"/>
                <w:color w:val="auto"/>
              </w:rPr>
            </w:pPr>
          </w:p>
        </w:tc>
      </w:tr>
      <w:tr>
        <w:trPr>
          <w:trHeight w:val="180"/>
        </w:trPr>
        <w:tc>
          <w:tcPr>
            <w:tcW w:w="840" w:type="dxa"/>
            <w:vAlign w:val="bottom"/>
            <w:shd w:val="clear" w:color="auto" w:fill="CCEEFF"/>
          </w:tcPr>
          <w:p>
            <w:pPr>
              <w:spacing w:after="0"/>
              <w:rPr>
                <w:sz w:val="15"/>
                <w:szCs w:val="15"/>
                <w:color w:val="auto"/>
              </w:rPr>
            </w:pPr>
          </w:p>
        </w:tc>
        <w:tc>
          <w:tcPr>
            <w:tcW w:w="3620" w:type="dxa"/>
            <w:vAlign w:val="bottom"/>
            <w:gridSpan w:val="5"/>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 and Cash Equivalents (101.38%):</w:t>
            </w: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86,083</w:t>
            </w:r>
          </w:p>
        </w:tc>
        <w:tc>
          <w:tcPr>
            <w:tcW w:w="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86,732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101.38%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companies are located in the United States, as determined by the location of the portfolio company’s headquarters.</w:t>
      </w:r>
    </w:p>
    <w:p>
      <w:pPr>
        <w:spacing w:after="0" w:line="21"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debt investment is non-income producing as of December 31, 2023.</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date represents the date of initial investment, at which date interest began accruing.</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is the fixed or variable rate of the debt investments.</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2 – Significant Accounting Policies and Note 4 — Fair Value of Financial Instruments in the accompanying notes to the financial statements.</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 regions are determined by the respective portfolio company’s headquarters’ location.</w:t>
      </w:r>
    </w:p>
    <w:p>
      <w:pPr>
        <w:spacing w:after="0" w:line="7" w:lineRule="exact"/>
        <w:rPr>
          <w:rFonts w:ascii="Times New Roman" w:cs="Times New Roman" w:eastAsia="Times New Roman" w:hAnsi="Times New Roman"/>
          <w:sz w:val="15"/>
          <w:szCs w:val="15"/>
          <w:color w:val="auto"/>
        </w:rPr>
      </w:pPr>
    </w:p>
    <w:p>
      <w:pPr>
        <w:ind w:left="660" w:right="220" w:hanging="467"/>
        <w:spacing w:after="0" w:line="250" w:lineRule="auto"/>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2023 the aggregate fair value of non-qualifying assets is $25,077 or 29.3% of the Company’s total assets.</w:t>
      </w:r>
    </w:p>
    <w:p>
      <w:pPr>
        <w:spacing w:after="0" w:line="2"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is net of repayments, if any, as per the terms of the debt instrument’s contract.</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investments were valued at fair value. See Note 4 — Fair Value of Financial Instruments in the accompanying notes to the financial statements.</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uses the North American Industry Classification System (“NAICS”) code for classifying the industry grouping of its portfolio companies.</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PRIME is 8.50%.</w:t>
      </w:r>
    </w:p>
    <w:p>
      <w:pPr>
        <w:spacing w:after="0" w:line="7" w:lineRule="exact"/>
        <w:rPr>
          <w:rFonts w:ascii="Times New Roman" w:cs="Times New Roman" w:eastAsia="Times New Roman" w:hAnsi="Times New Roman"/>
          <w:sz w:val="15"/>
          <w:szCs w:val="15"/>
          <w:color w:val="auto"/>
        </w:rPr>
      </w:pPr>
    </w:p>
    <w:p>
      <w:pPr>
        <w:ind w:left="660" w:hanging="467"/>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annualized seven-day yield as of December 31, 2023 is 5.32%.</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ORGANIZATION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Chicago Atlantic BDC, Inc. (formerly, 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February 4, 2022, the Company’s common stock began trading on the Nasdaq Global Market under the ticker symbol “SSIC,” and we completed our initial public offering of 6,214,286 shares of our common stock, par value $0.01, inclusive of an over-allotment option that was exercised on March 1, 2022 (“IPO”), for approximately $87 million.</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is managed by Chicago Atlantic BDC Advisers, LLC (formerly, Silver Spike Capital, LLC) (“Adviser”), a registered investment advisor under the Investment Advisers Act of 1940 with the Securities and Exchange Commission. The Adviser has engaged SS&amp;C Technologies, Inc. and ALPS Fund Services, Inc. (“SS&amp;C”), as sub-administrator, to perform administrative services necessary for the Company to operate.</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private leveraged lower middle-market and middle-market companies in highly complex and highly regulated industries typically underserved by other capital providers, including investing across the cannabis ecosystem through investments in the form of direct loans to privately held cannabis companies. The Company’s debt investments are often secured by either a first or second priority lien on the assets of the portfolio company, can include either fixed or floating rate terms and will generally have a term of between three and six years from the original investment date. Although the Company focuses on investments in the cannabis industry, the Company may also invest in growth capital and technology companies, esoteric and asset-based lending opportunities, and liquidity solutions opportunities.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February 20, 2024, the Company announced that the Board of Directors of the Company (the “Board”) unanimously approved an expansion of the Company’s investment strategy to permit investments in companies outside of the cannabis and health and wellness sectors that otherwise meet the Company’s investment criteria. The investment strategy change became effective on April 22, 2024.</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See “Note 12 – Subsequent Events” for further information regarding the Loan Portfolio Acquisition.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 As the Joint Venture caused the automatic termination of the prior investment advisory agreement between the Company and the Adviser (the “Prior Investment Advisory Agreement”), a new investment advisory agreement between the Company and the Adviser (the “New Investment Advisory Agreement”), which was approved by the Board, upon the recommendation of its special committee, and the Company’s stockholders, took effect upon the closing of the Joint Venture. The New Investment Advisory Agreement has the same base management and incentive fee as, and otherwise does not materially differ from, the Prior Investment Advisory Agreement.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October 1, 2024, in connection with the New Investment Advisory Agreement, the Company entered into a new license agreement (the “New License Agreement”) with the Adviser pursuant to which the Adviser has agreed to grant the Company a nonexclusive, royalty-free license to use the name “Chicago Atlantic.” Under the New License Agreement, the Company will have a right to use the “Chicago Atlantic” name, for so long as the Adviser or one of its affiliates remains the Company’s investment adviser. Other than with respect to this limited license, the Company will have no legal right to the “Chicago Atlantic” name. The New License Agreement does not materially differ from the prior license agreement between the Company and the Adviser, other than with respect to the licensed name.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September 30, 2025.</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connection with the Loan Portfolio Acquisition and the Joint Venture, the Board and the officers of the Company have changed as follows: (i) Frederick C. Herbst (Independent Director), John Mazarakis (Partner at Chicago Atlantic), and Jason Papastavrou (Independent Director) have joined the Board, to serve until the 2025, 2026, and 2027 annual meetings of stockholders, respectively, and until their respective successors are duly elected and qualified; (ii) Andreas Bodmeier (Partner at Chicago Atlantic) has replaced Mr. Gordon as Chief Executive Officer of the Company; (iii) Mr. Gordon has become Executive Chairman of the Board and Co-Chief Investment Officer of the Company; (iv) Umesh Mahajan has become Co-Chief Investment Officer of the Company in addition to remaining Chief Financial Officer and Secretary of the Company; and (v) Dino Colonna (Partner at the Adviser) has become the President of the Company.</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addition, 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Company’s financial statements have been prepared in accordance with accounting principles generally accepted in the United States of America (“U.S. GAAP”), including the requirements under ASC 946, Financial Services—Investment Companies and Articles 6 and 12 of Regulation S-X. In the opinion of management, all adjustments of a normal recurring nature considered necessary for the fair presentation of the financial statements for the interim period presented have been made, and such adjustments are normal and recurring in nature. The current period’s results of operations are not necessarily indicative of results that may be achieved for the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Valuation</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4" w:name="page15"/>
    <w:bookmarkEnd w:id="14"/>
    <w:p>
      <w:pPr>
        <w:ind w:left="10"/>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50"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3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5"/>
          <w:szCs w:val="15"/>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Adviser undertakes a multi-step valuation process, which includes, among other procedures, the following:</w:t>
      </w:r>
    </w:p>
    <w:p>
      <w:pPr>
        <w:spacing w:after="0" w:line="188" w:lineRule="exact"/>
        <w:rPr>
          <w:sz w:val="20"/>
          <w:szCs w:val="20"/>
          <w:color w:val="auto"/>
        </w:rPr>
      </w:pPr>
    </w:p>
    <w:p>
      <w:pPr>
        <w:ind w:left="270" w:hanging="270"/>
        <w:spacing w:after="0"/>
        <w:tabs>
          <w:tab w:leader="none" w:pos="27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readily available, those investments will typically be valued at the bid price of those market quotations;</w:t>
      </w:r>
    </w:p>
    <w:p>
      <w:pPr>
        <w:spacing w:after="0" w:line="188" w:lineRule="exact"/>
        <w:rPr>
          <w:rFonts w:ascii="Times New Roman" w:cs="Times New Roman" w:eastAsia="Times New Roman" w:hAnsi="Times New Roman"/>
          <w:sz w:val="15"/>
          <w:szCs w:val="15"/>
          <w:color w:val="auto"/>
        </w:rPr>
      </w:pPr>
    </w:p>
    <w:p>
      <w:pPr>
        <w:ind w:left="270" w:hanging="270"/>
        <w:spacing w:after="0" w:line="280" w:lineRule="auto"/>
        <w:tabs>
          <w:tab w:leader="none" w:pos="27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valuations are documented and discussed by the Adviser’s valuation committee and, where appropriate, the independent valuation firm(s); and</w:t>
      </w:r>
    </w:p>
    <w:p>
      <w:pPr>
        <w:spacing w:after="0" w:line="18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Adviser determines the fair value of each investment.</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We conduct this valuation process on a quarterly basis.</w:t>
      </w:r>
    </w:p>
    <w:p>
      <w:pPr>
        <w:spacing w:after="0" w:line="186"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15"/>
          <w:szCs w:val="15"/>
          <w:color w:val="auto"/>
        </w:rPr>
        <w:t xml:space="preserve">We apply Financial Accounting Standards Board Accounting Standards Codification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56" w:lineRule="exact"/>
        <w:rPr>
          <w:sz w:val="20"/>
          <w:szCs w:val="20"/>
          <w:color w:val="auto"/>
        </w:rPr>
      </w:pPr>
    </w:p>
    <w:p>
      <w:pPr>
        <w:ind w:left="270" w:hanging="270"/>
        <w:spacing w:after="0"/>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 Valuations based on quoted prices in active markets for identical assets or liabilities that we have the ability to access at the measurement date;</w:t>
      </w:r>
    </w:p>
    <w:p>
      <w:pPr>
        <w:spacing w:after="0" w:line="188" w:lineRule="exact"/>
        <w:rPr>
          <w:rFonts w:ascii="Times New Roman" w:cs="Times New Roman" w:eastAsia="Times New Roman" w:hAnsi="Times New Roman"/>
          <w:sz w:val="15"/>
          <w:szCs w:val="15"/>
          <w:color w:val="auto"/>
        </w:rPr>
      </w:pPr>
    </w:p>
    <w:p>
      <w:pPr>
        <w:ind w:left="270" w:hanging="270"/>
        <w:spacing w:after="0" w:line="280" w:lineRule="auto"/>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 Valuations based on inputs that are unobservable and significant to the overall fair value measurement.</w:t>
      </w:r>
    </w:p>
    <w:p>
      <w:pPr>
        <w:spacing w:after="0" w:line="1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55"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29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Securities and Warrants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The Company may be issued warrants by issuers as yield enhancements. These warrants are recorded as assets at estimated fair value on the grant date. The Company determines the cost basis of the warrants or other equity securities received based upon their respective fair values on the date of receipt in proportion to the total fair value of the debt and warrants or other equity securities received. Depending on the facts and circumstances, the Company generally utilizes a combination of one or several forms of the market approach and contingent claim analyses (a form of option analysis) to estimate the fair value of the securities as of the measurement date and determines the cost basis using a relative fair value methodology. As part of its application of the market approach, the Company estimates the enterprise value of a portfolio company utilizing customary pricing multiples, based on the development stage of the underlying issuers, or other appropriate valuation methods, such as considering recent transactions in the equity securities of the portfolio company or third-party valuations that are assessed to be indicative of fair value of the respective portfolio company. If appropriate, based on the facts and circumstances, the Company performs an allocation of the enterprise value to the equity securities utilizing a contingent claim analysis and/or other waterfall calculation by which it allocates the enterprise value across the portfolio company’s warrants and other equity securities in order of their preference relative to one another.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September 30, 2024 and December 31, 2023, cash and cash equivalents consisted of $30.11 million and $32.61 million, respectively, of which $30.11 million and $32.61 million, respectively, was held in the State Street Institutional U.S. Government Money Market Fund.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Earnings per share</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Transactions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 (depreciation) on investments on the Statements of Operations. The net change in unrealized appreciation (depreciation) primarily reflects the change in investment fair values as of the last business day of the reporting period, including the reversal of previously recorded unrealized gains or losses with respect to investments realized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Investments traded but not yet settled, if any, are reported in payable for investments purchased and receivable for investments sold on the Statement of Assets and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and Dividend Income</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 in the current period.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September 30, 2024 and December 31, 2023, there were no loan investments in the portfolio placed on non-accrual status.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Interest income earned, excluding accretion of discounts and amortization of premiums, was $2,534,647 and $7,702,298 for the three and nine months ended September 30, 2024, respectively. Interest income earned, excluding accretion of discounts and amortization of premiums, was $2,756,231 and $7,674,961 for the three and nine months ended September 30, 2023, respectively. As of September 30, 2024 and December 31, 2023, $1,635,943 and $1,755,360, respectively, were recorded as interest receivable.</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As of September 30, 2024 and December 31, 2023, the Company had $42,550 and $0, respectively, of unearned interest income, which represents interest received in advance but not yet earned. This amount is recorded as a liability on the Statement of Assets and Liabilities and will be recognized as income over the remaining term of the respective loans.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Dividend income on preferred equity securities is recorded on the accrual basis to the extent that such amounts are payable by the portfolio company and are expected to be collected.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Dividend income on common equity securities is recorded on the record date for private portfolio companies or on the ex-dividend date for publicly traded portfolio companies.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Fee Income</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the three and nine months ended September 30, 2024, the Company earned $489,176 and $813,926, respectively, in fee income. For the three and nine months ended September 30, 2023, the Company earned $31,250 and $162,500, respectively, in fee income. As of September 30, 2024 and December 31, 2023, $401,313 and $0, respectively, of fee income is included as Other receivable in the Statement of Assets and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For the three and nine months ended September 30, 2024, the Company recorded $31,314 for excise tax. For the three and nine months ended September 30, 2023, the Company did not accrue any excise tax. As of September 30, 2024 and December 31, 2023, $0 and $10,655, respectively, of accrued excise taxes remained payable.</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evaluates tax positions taken in the course of preparing the Company’s tax returns to determine whether the tax positions are “more-likely-than-not” to be sustained by the applicable tax authority in accordance with ASC Topic 740, Income Taxes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Based on the analysis of the Company’s tax position, the Company has no uncertain tax positions that met the recognition or measurement criteria as of September 30, 2024 and December 31, 2023. The Company does not anticipate any significant increase or decrease in unrecognized tax benefits for the next twelve months. All of the Company’s tax returns remain subject to examination by U.S. federal and state tax authorities.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Distributions to common stockholders are recorded on the record date. The amount of taxable income to be paid out as a distribution is determined by our Board each quarter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Costs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These costs consist primarily of legal fees and other costs incurred in connection with the Company’s share offerings, the preparation of the Company’s registration statement, and registration fees.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Costs associated with the offering of common shares of the Company are capitalized as deferred offering and, if any, are included in deferred offering costs on the Statements of Assets and Liabilities. As of September 30, 2024 and December 31, 2023, deferred offering costs were $1,125,739 and $0, respectively. The deferred offering costs will be charged to capital upon the issuance of shares subsequent to the completion of the Loan Portfolio Acquisition. For the three and nine months ended September 30, 2024 and 2023, no offering costs were charged to capital. As of September 30, 2024 and December 31, 2023, there were $986,806 and $0, respectively, of offering costs payable by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Transaction expenses related to the Loan Portfolio Acquisition</w:t>
      </w:r>
    </w:p>
    <w:p>
      <w:pPr>
        <w:spacing w:after="0" w:line="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Cumulative transaction expenses related to the Loan Portfolio Acquisition at September 30, 2024 and December 31, 2023 were $5,780,326 and $711,264, respectively, and consisted primarily of legal fees incurred related to the Loan Portfolio Acquisition. See “Note 12 – Subsequent Events” for further information regarding the Loan Portfolio Acquisition.</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the three and nine months ended September 30, 2024, the Company incurred transaction expenses related to the Loan Portfolio Acquisition of $2,429,993 and $5,069,062, respectively. For the three and nine months ended September 30, 2023, the Company did not incur any transaction expenses related to the Loan Portfolio Acquisition. As of September 30, 2024 and December 31, 2023, there were $4,795,549 and $711,264, respectively, of transaction expenses related to the Loan Portfolio Acquisition payable by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Financing Costs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Deferred financing costs consist of origination expenses incurred in connection with the anticipated closing of a credit facility, and may include legal, accounting, and other related expenses. These costs are deferred and will be amortized using the straight-line method over the term of the applicable credit facility.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New Accounting Standards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November 2023, the FASB issued Accounting Standard Update (“ASU”) No. 2023-07, Segment Reporting (Topic 280), which improves reportable segment disclosure requirements, primarily through enhanced disclosures about significant segment expenses. The amendment is effective for fiscal years beginning after December 15, 2023 and interim periods within fiscal years beginning after December 15, 2024. We do not believe that the Company will be materially impacted by the adoption of ASU 2023-07.</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December 2023, the FASB issued Accounting Standard Update (“ASU”) No. 2023-09, “Income Taxes (Topic 740): Improvements to Income Tax Disclosures (“ASU 2023-09”),” which improves the transparency of income tax disclosures. ASU 2023-09 is effective for fiscal years beginning after December 15, 2024 and is to be adopted on a prospective basis with the option to apply retrospectively. We are currently evaluating the impact this ASU will have on our financial position and disclosures, but we do not believe that the Company will be materially impacted by the adoption of ASU 2023-09.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INVESTMENTS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The Company’s investments in portfolio companies are primarily in the form of debt investments (secured and unsecured), but may include equity warrants, direct equity investments and derivative 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Investments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Company’s debt investments typically pay interest with some amortization of principal. As of September 30, 2024, 76.5% of the debt investments (based on amortized cost) pay interest on a floating rate basis with a PRIME floor, and 23.5% of the debt investments (based on amortized cost) pay fixed interest. As of December 31, 2023, 84.9% of the debt investments (based on amortized cost) pay interest on a floating rate basis with a PRIME floor, and 15.1% of the debt investments (based on amortized cost) pay fixed interest. We will generally seek to obtain security interests in the assets of our portfolio companies that serve as collateral in support of the repayment of these debt investments. This collateral may take the form of first or second priority liens on the assets of a portfolio company.</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We expect that our debt investments will typically have final maturities of three to six years. However, we expect that our portfolio companies often may repay these debt investments early, generally within three years from the date of initial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 Investments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connection with the Company’s debt investments, the Company may receive warrants in the portfolio company. Warrants received in connection with a debt investment typically include a potentially discounted contract price to exercise, and thus, as a portfolio company appreciates in value, the Company may achieve additional investment return from this equity interest. The warrants typically contain provisions that protect the Company as a minority-interest holder, as well as secured or unsecured put rights, or rights to sell such securities back to the portfolio company, upon the occurrence of specified events. In certain cases, the Company may also obtain follow-up rights in connection with these equity interests, which allow the Company to participate in future financing rounds.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Investments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specific circumstances, the Company may seek to make direct equity investments in situations where it is appropriate to align the interests of the Company with key management and stockholders of the portfolio company, and to allow for participation in the appreciation in the equity values of the portfolio company. These equity investments are generally made in connection with debt investments.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Derivative Investments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portion of our portfolio may be comprised of derivatives, including total return swaps. No such derivative instruments were held as of September 30, 2024 or December 31, 2023.</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Composition</w:t>
      </w:r>
    </w:p>
    <w:p>
      <w:pPr>
        <w:spacing w:after="0" w:line="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 Company’s portfolio investments are primarily in companies conducting business in or supporting the cannabis industries. The following tables summarize the composition of the Company’s portfolio investments by industry at amortized cost and fair value and as a percentage of the total portfolio as of September 30, 2024 and December 31,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9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53,091,077</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96.6%</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53,852,511</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96.5%</w:t>
            </w: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Real Estate Services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1,861,427</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1,936,000</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40" w:type="dxa"/>
            <w:vAlign w:val="bottom"/>
          </w:tcPr>
          <w:p>
            <w:pPr>
              <w:spacing w:after="0"/>
              <w:rPr>
                <w:sz w:val="15"/>
                <w:szCs w:val="15"/>
                <w:color w:val="auto"/>
              </w:rPr>
            </w:pPr>
          </w:p>
        </w:tc>
      </w:tr>
      <w:tr>
        <w:trPr>
          <w:trHeight w:val="200"/>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54,952,504</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55,788,511</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9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3"/>
        </w:trPr>
        <w:tc>
          <w:tcPr>
            <w:tcW w:w="5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0"/>
        </w:trPr>
        <w:tc>
          <w:tcPr>
            <w:tcW w:w="5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54,120,000</w:t>
            </w:r>
          </w:p>
        </w:tc>
        <w:tc>
          <w:tcPr>
            <w:tcW w:w="3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geographic composition is determined by the location of headquarters of the portfolio company. The following tables summarize the composition of the Company’s portfolio investments by geographic region of the United States at amortized cost and fair value and as a percentage of the total portfolio as of September 30, 2024 and December 31, 2023.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92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24,054,977</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43.8%</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24,185,000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43.3%</w:t>
            </w: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23,473,866</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42.7</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23,984,000</w:t>
            </w:r>
          </w:p>
        </w:tc>
        <w:tc>
          <w:tcPr>
            <w:tcW w:w="3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43.0</w:t>
            </w: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7,423,661</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7,619,511</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13.7</w:t>
            </w:r>
          </w:p>
        </w:tc>
      </w:tr>
      <w:tr>
        <w:trPr>
          <w:trHeight w:val="23"/>
        </w:trPr>
        <w:tc>
          <w:tcPr>
            <w:tcW w:w="5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0"/>
        </w:trPr>
        <w:tc>
          <w:tcPr>
            <w:tcW w:w="5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54,952,504</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55,788,511</w:t>
            </w:r>
          </w:p>
        </w:tc>
        <w:tc>
          <w:tcPr>
            <w:tcW w:w="3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92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24,910,798</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46.5%</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25,069,000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46.4%</w:t>
            </w: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24,571,197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46.0</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24,911,000</w:t>
            </w:r>
          </w:p>
        </w:tc>
        <w:tc>
          <w:tcPr>
            <w:tcW w:w="3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46.0</w:t>
            </w:r>
          </w:p>
        </w:tc>
      </w:tr>
      <w:tr>
        <w:trPr>
          <w:trHeight w:val="18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3,989,322</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4,140,000</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80"/>
        </w:trPr>
        <w:tc>
          <w:tcPr>
            <w:tcW w:w="5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54,120,000</w:t>
            </w:r>
          </w:p>
        </w:tc>
        <w:tc>
          <w:tcPr>
            <w:tcW w:w="3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following tables summarize the composition of the Company’s portfolio investments by investment type at amortized cost and fair value and as a percentage of the total portfolio as of September 30, 2024 and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92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42,609,491</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77.5%</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43,370,000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77.7%</w:t>
            </w: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11,600,187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21.1</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11,742,511</w:t>
            </w:r>
          </w:p>
        </w:tc>
        <w:tc>
          <w:tcPr>
            <w:tcW w:w="3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21.1</w:t>
            </w:r>
          </w:p>
        </w:tc>
      </w:tr>
      <w:tr>
        <w:trPr>
          <w:trHeight w:val="18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742,826</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676,000</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80"/>
        </w:trPr>
        <w:tc>
          <w:tcPr>
            <w:tcW w:w="5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54,952,504</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55,788,511</w:t>
            </w:r>
          </w:p>
        </w:tc>
        <w:tc>
          <w:tcPr>
            <w:tcW w:w="3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4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44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8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7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45,372,626</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84.9%</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r>
      <w:tr>
        <w:trPr>
          <w:trHeight w:val="180"/>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8,098,691</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8,114,000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15.0</w:t>
            </w:r>
          </w:p>
        </w:tc>
      </w:tr>
      <w:tr>
        <w:trPr>
          <w:trHeight w:val="23"/>
        </w:trPr>
        <w:tc>
          <w:tcPr>
            <w:tcW w:w="4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461"/>
        </w:trPr>
        <w:tc>
          <w:tcPr>
            <w:tcW w:w="440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jc w:val="right"/>
              <w:ind w:right="172"/>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4"/>
        </w:trPr>
        <w:tc>
          <w:tcPr>
            <w:tcW w:w="4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0" w:right="319" w:bottom="1440" w:gutter="0" w:footer="0" w:header="0"/>
        </w:sectPr>
      </w:pPr>
    </w:p>
    <w:bookmarkStart w:id="19" w:name="page20"/>
    <w:bookmarkEnd w:id="19"/>
    <w:p>
      <w:pPr>
        <w:ind w:left="10"/>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Certain Risk Factors</w:t>
      </w:r>
    </w:p>
    <w:p>
      <w:pPr>
        <w:spacing w:after="0" w:line="25"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5"/>
          <w:szCs w:val="15"/>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5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5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54" w:lineRule="exact"/>
        <w:rPr>
          <w:sz w:val="20"/>
          <w:szCs w:val="20"/>
          <w:color w:val="auto"/>
        </w:rPr>
      </w:pPr>
    </w:p>
    <w:p>
      <w:pPr>
        <w:ind w:left="410" w:hanging="410"/>
        <w:spacing w:after="0"/>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cannabis industry is extremely speculative and raises a host of legality issues, making it subject to inherent risk;</w:t>
      </w:r>
    </w:p>
    <w:p>
      <w:pPr>
        <w:spacing w:after="0" w:line="188" w:lineRule="exact"/>
        <w:rPr>
          <w:rFonts w:ascii="Times New Roman" w:cs="Times New Roman" w:eastAsia="Times New Roman" w:hAnsi="Times New Roman"/>
          <w:sz w:val="15"/>
          <w:szCs w:val="15"/>
          <w:color w:val="auto"/>
        </w:rPr>
      </w:pPr>
    </w:p>
    <w:p>
      <w:pPr>
        <w:jc w:val="both"/>
        <w:ind w:left="410" w:hanging="410"/>
        <w:spacing w:after="0" w:line="265"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49" w:lineRule="exact"/>
        <w:rPr>
          <w:rFonts w:ascii="Times New Roman" w:cs="Times New Roman" w:eastAsia="Times New Roman" w:hAnsi="Times New Roman"/>
          <w:sz w:val="15"/>
          <w:szCs w:val="15"/>
          <w:color w:val="auto"/>
        </w:rPr>
      </w:pPr>
    </w:p>
    <w:p>
      <w:pPr>
        <w:ind w:left="41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Biden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38" w:lineRule="exact"/>
        <w:rPr>
          <w:rFonts w:ascii="Times New Roman" w:cs="Times New Roman" w:eastAsia="Times New Roman" w:hAnsi="Times New Roman"/>
          <w:sz w:val="15"/>
          <w:szCs w:val="15"/>
          <w:color w:val="auto"/>
        </w:rPr>
      </w:pPr>
    </w:p>
    <w:p>
      <w:pPr>
        <w:ind w:left="41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38" w:lineRule="exact"/>
        <w:rPr>
          <w:rFonts w:ascii="Times New Roman" w:cs="Times New Roman" w:eastAsia="Times New Roman" w:hAnsi="Times New Roman"/>
          <w:sz w:val="15"/>
          <w:szCs w:val="15"/>
          <w:color w:val="auto"/>
        </w:rPr>
      </w:pPr>
    </w:p>
    <w:p>
      <w:pPr>
        <w:ind w:left="41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3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Assets collateralizing loans to cannabis businesses may be forfeited to the U.S. federal government in connection with government enforcement actions under U.S. federal law;</w:t>
      </w:r>
    </w:p>
    <w:p>
      <w:pPr>
        <w:spacing w:after="0" w:line="188" w:lineRule="exact"/>
        <w:rPr>
          <w:rFonts w:ascii="Times New Roman" w:cs="Times New Roman" w:eastAsia="Times New Roman" w:hAnsi="Times New Roman"/>
          <w:sz w:val="15"/>
          <w:szCs w:val="15"/>
          <w:color w:val="auto"/>
        </w:rPr>
      </w:pPr>
    </w:p>
    <w:p>
      <w:pPr>
        <w:ind w:left="410" w:right="2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38" w:lineRule="exact"/>
        <w:rPr>
          <w:rFonts w:ascii="Times New Roman" w:cs="Times New Roman" w:eastAsia="Times New Roman" w:hAnsi="Times New Roman"/>
          <w:sz w:val="15"/>
          <w:szCs w:val="15"/>
          <w:color w:val="auto"/>
        </w:rPr>
      </w:pPr>
    </w:p>
    <w:p>
      <w:pPr>
        <w:ind w:left="410" w:right="2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38" w:lineRule="exact"/>
        <w:rPr>
          <w:rFonts w:ascii="Times New Roman" w:cs="Times New Roman" w:eastAsia="Times New Roman" w:hAnsi="Times New Roman"/>
          <w:sz w:val="15"/>
          <w:szCs w:val="15"/>
          <w:color w:val="auto"/>
        </w:rPr>
      </w:pPr>
    </w:p>
    <w:p>
      <w:pPr>
        <w:ind w:left="41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38" w:lineRule="exact"/>
        <w:rPr>
          <w:rFonts w:ascii="Times New Roman" w:cs="Times New Roman" w:eastAsia="Times New Roman" w:hAnsi="Times New Roman"/>
          <w:sz w:val="15"/>
          <w:szCs w:val="15"/>
          <w:color w:val="auto"/>
        </w:rPr>
      </w:pPr>
    </w:p>
    <w:p>
      <w:pPr>
        <w:jc w:val="both"/>
        <w:ind w:left="410" w:hanging="410"/>
        <w:spacing w:after="0" w:line="265"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49" w:lineRule="exact"/>
        <w:rPr>
          <w:rFonts w:ascii="Times New Roman" w:cs="Times New Roman" w:eastAsia="Times New Roman" w:hAnsi="Times New Roman"/>
          <w:sz w:val="15"/>
          <w:szCs w:val="15"/>
          <w:color w:val="auto"/>
        </w:rPr>
      </w:pPr>
    </w:p>
    <w:p>
      <w:pPr>
        <w:ind w:left="410" w:right="2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38" w:lineRule="exact"/>
        <w:rPr>
          <w:rFonts w:ascii="Times New Roman" w:cs="Times New Roman" w:eastAsia="Times New Roman" w:hAnsi="Times New Roman"/>
          <w:sz w:val="15"/>
          <w:szCs w:val="15"/>
          <w:color w:val="auto"/>
        </w:rPr>
      </w:pPr>
    </w:p>
    <w:p>
      <w:pPr>
        <w:ind w:left="410" w:right="20" w:hanging="410"/>
        <w:spacing w:after="0" w:line="280" w:lineRule="auto"/>
        <w:tabs>
          <w:tab w:leader="none" w:pos="41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Any of the foregoing could have an adverse impact on our and our portfolio companies’ businesses, financial condition and results of operations.</w:t>
      </w:r>
    </w:p>
    <w:p>
      <w:pPr>
        <w:spacing w:after="0" w:line="188"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5"/>
          <w:szCs w:val="15"/>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58"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50"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Interest rate risk refers to the change in earnings that may result from changes in the level of interest rates. To the extent that the Company borrows money to make investments, including under any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5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NOTE 4 — FAIR VALUE OF FINANCIAL INSTRUMENTS</w:t>
      </w:r>
    </w:p>
    <w:p>
      <w:pPr>
        <w:spacing w:after="0" w:line="19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5"/>
          <w:szCs w:val="15"/>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September 30, 2024 and December 31, 2023, the Company’s portfolio investments consisted primarily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fair value determination of each portfolio investment categorized as Level 3 required one or more unobservable inputs.</w:t>
      </w:r>
    </w:p>
    <w:p>
      <w:pPr>
        <w:sectPr>
          <w:pgSz w:w="11900" w:h="16838" w:orient="portrait"/>
          <w:cols w:equalWidth="0" w:num="1">
            <w:col w:w="11270"/>
          </w:cols>
          <w:pgMar w:left="310" w:top="120" w:right="319" w:bottom="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5"/>
          <w:szCs w:val="15"/>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and volatility assumptions. The significant unobservable inputs used in the fair value measurement of the Company’s equity and warrant investments may vary and may include EBITDA multiples, revenue multiples and asset multiples.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bl>
      <w:tblPr>
        <w:tblLayout w:type="fixed"/>
        <w:tblInd w:w="0" w:type="dxa"/>
        <w:tblCellMar>
          <w:top w:w="0" w:type="dxa"/>
          <w:left w:w="0" w:type="dxa"/>
          <w:bottom w:w="0" w:type="dxa"/>
          <w:right w:w="0" w:type="dxa"/>
        </w:tblCellMar>
      </w:tblPr>
      <w:tr>
        <w:trPr>
          <w:trHeight w:val="218"/>
        </w:trPr>
        <w:tc>
          <w:tcPr>
            <w:tcW w:w="840" w:type="dxa"/>
            <w:vAlign w:val="bottom"/>
            <w:tcBorders>
              <w:top w:val="single" w:sz="8" w:color="0000EE"/>
            </w:tcBorders>
          </w:tcPr>
          <w:p>
            <w:pPr>
              <w:spacing w:after="0"/>
              <w:rPr>
                <w:sz w:val="18"/>
                <w:szCs w:val="18"/>
                <w:color w:val="auto"/>
              </w:rPr>
            </w:pPr>
          </w:p>
        </w:tc>
        <w:tc>
          <w:tcPr>
            <w:tcW w:w="2540" w:type="dxa"/>
            <w:vAlign w:val="bottom"/>
          </w:tcPr>
          <w:p>
            <w:pPr>
              <w:spacing w:after="0"/>
              <w:rPr>
                <w:sz w:val="18"/>
                <w:szCs w:val="18"/>
                <w:color w:val="auto"/>
              </w:rPr>
            </w:pPr>
          </w:p>
        </w:tc>
        <w:tc>
          <w:tcPr>
            <w:tcW w:w="3660" w:type="dxa"/>
            <w:vAlign w:val="bottom"/>
            <w:gridSpan w:val="3"/>
          </w:tcPr>
          <w:p>
            <w:pPr>
              <w:jc w:val="center"/>
              <w:ind w:left="765"/>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96"/>
        </w:trPr>
        <w:tc>
          <w:tcPr>
            <w:tcW w:w="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60" w:type="dxa"/>
            <w:vAlign w:val="bottom"/>
            <w:gridSpan w:val="3"/>
          </w:tcPr>
          <w:p>
            <w:pPr>
              <w:jc w:val="center"/>
              <w:ind w:left="765"/>
              <w:spacing w:after="0"/>
              <w:rPr>
                <w:sz w:val="20"/>
                <w:szCs w:val="20"/>
                <w:color w:val="auto"/>
              </w:rPr>
            </w:pPr>
            <w:r>
              <w:rPr>
                <w:rFonts w:ascii="Times New Roman" w:cs="Times New Roman" w:eastAsia="Times New Roman" w:hAnsi="Times New Roman"/>
                <w:sz w:val="15"/>
                <w:szCs w:val="15"/>
                <w:b w:val="1"/>
                <w:bCs w:val="1"/>
                <w:color w:val="auto"/>
                <w:w w:val="99"/>
              </w:rPr>
              <w:t>Notes to Financial Statements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60" w:type="dxa"/>
            <w:vAlign w:val="bottom"/>
            <w:gridSpan w:val="3"/>
          </w:tcPr>
          <w:p>
            <w:pPr>
              <w:jc w:val="center"/>
              <w:ind w:left="76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27"/>
        </w:trPr>
        <w:tc>
          <w:tcPr>
            <w:tcW w:w="990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The Company’s investments measured at fair value by investment type on a recurring basis as of September 30, 2024 and December 31, 2023 were as follows: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Measurements at September 30, 2024 Using</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9"/>
              </w:rPr>
              <w:t>Quoted Prices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Active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Significant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Markets for</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Identical Assets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1"/>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Inputs (Level 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0"/>
        </w:trPr>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24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5"/>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43,370,000</w:t>
            </w:r>
          </w:p>
        </w:tc>
        <w:tc>
          <w:tcPr>
            <w:tcW w:w="120" w:type="dxa"/>
            <w:vAlign w:val="bottom"/>
            <w:shd w:val="clear" w:color="auto" w:fill="CCEEFF"/>
          </w:tcPr>
          <w:p>
            <w:pPr>
              <w:spacing w:after="0"/>
              <w:rPr>
                <w:sz w:val="15"/>
                <w:szCs w:val="15"/>
                <w:color w:val="auto"/>
              </w:rPr>
            </w:pPr>
          </w:p>
        </w:tc>
      </w:tr>
      <w:tr>
        <w:trPr>
          <w:trHeight w:val="180"/>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11,742,511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11,742,511</w:t>
            </w:r>
          </w:p>
        </w:tc>
      </w:tr>
      <w:tr>
        <w:trPr>
          <w:trHeight w:val="18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676,000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676,000</w:t>
            </w:r>
          </w:p>
        </w:tc>
      </w:tr>
      <w:tr>
        <w:trPr>
          <w:trHeight w:val="23"/>
        </w:trPr>
        <w:tc>
          <w:tcPr>
            <w:tcW w:w="8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0"/>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2580" w:type="dxa"/>
            <w:vAlign w:val="bottom"/>
            <w:gridSpan w:val="2"/>
          </w:tcPr>
          <w:p>
            <w:pPr>
              <w:spacing w:after="0"/>
              <w:rPr>
                <w:sz w:val="15"/>
                <w:szCs w:val="15"/>
                <w:color w:val="auto"/>
              </w:rPr>
            </w:pPr>
          </w:p>
        </w:tc>
        <w:tc>
          <w:tcPr>
            <w:tcW w:w="1080" w:type="dxa"/>
            <w:vAlign w:val="bottom"/>
          </w:tcPr>
          <w:p>
            <w:pPr>
              <w:jc w:val="right"/>
              <w:ind w:right="925"/>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gridSpan w:val="2"/>
          </w:tcPr>
          <w:p>
            <w:pPr>
              <w:jc w:val="right"/>
              <w:ind w:right="931"/>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55,788,511</w:t>
            </w:r>
          </w:p>
        </w:tc>
        <w:tc>
          <w:tcPr>
            <w:tcW w:w="46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55,788,511</w:t>
            </w:r>
          </w:p>
        </w:tc>
      </w:tr>
      <w:tr>
        <w:trPr>
          <w:trHeight w:val="20"/>
        </w:trPr>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auto"/>
            </w:tcBorders>
            <w:gridSpan w:val="1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Fair Value Measurements at December 31, 2023 Using</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9"/>
              </w:rPr>
              <w:t>Quoted Prices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Active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Significant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Markets for</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Identical Assets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1"/>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Inputs (Level 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0"/>
        </w:trPr>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24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5"/>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120" w:type="dxa"/>
            <w:vAlign w:val="bottom"/>
            <w:shd w:val="clear" w:color="auto" w:fill="CCEEFF"/>
          </w:tcPr>
          <w:p>
            <w:pPr>
              <w:spacing w:after="0"/>
              <w:rPr>
                <w:sz w:val="15"/>
                <w:szCs w:val="15"/>
                <w:color w:val="auto"/>
              </w:rPr>
            </w:pPr>
          </w:p>
        </w:tc>
      </w:tr>
      <w:tr>
        <w:trPr>
          <w:trHeight w:val="183"/>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8,114,000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8,114,000</w:t>
            </w:r>
          </w:p>
        </w:tc>
      </w:tr>
      <w:tr>
        <w:trPr>
          <w:trHeight w:val="220"/>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580" w:type="dxa"/>
            <w:vAlign w:val="bottom"/>
            <w:tcBorders>
              <w:bottom w:val="single" w:sz="8" w:color="CCEEFF"/>
            </w:tcBorders>
            <w:gridSpan w:val="2"/>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following tables provide a summary of the significant unobservable inputs used to fair value the Level 3 portfolio investments as of September 30, 2024 and December 31, 2023. The methodology for the determination of the fair value of the Company’s investments is discussed in “Note 2 – Significant Accounting Policies”. Discount rate ranges are shown as spread over PRIME and Treasuries, respectively, for Senior Secured First Lien Term Loans, as of September 30, 2024 and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as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Valuation Techniques/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 xml:space="preserve">Weighted Average </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01"/>
        </w:trPr>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Type</w:t>
            </w:r>
          </w:p>
        </w:tc>
        <w:tc>
          <w:tcPr>
            <w:tcW w:w="20" w:type="dxa"/>
            <w:vAlign w:val="bottom"/>
          </w:tcPr>
          <w:p>
            <w:pPr>
              <w:spacing w:after="0"/>
              <w:rPr>
                <w:sz w:val="17"/>
                <w:szCs w:val="17"/>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Methodologies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 Input</w:t>
            </w:r>
          </w:p>
        </w:tc>
        <w:tc>
          <w:tcPr>
            <w:tcW w:w="100" w:type="dxa"/>
            <w:vAlign w:val="bottom"/>
          </w:tcPr>
          <w:p>
            <w:pPr>
              <w:spacing w:after="0"/>
              <w:rPr>
                <w:sz w:val="17"/>
                <w:szCs w:val="17"/>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w w:val="97"/>
              </w:rPr>
              <w:t>Range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2"/>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43,370,000</w:t>
            </w:r>
          </w:p>
        </w:tc>
        <w:tc>
          <w:tcPr>
            <w:tcW w:w="60" w:type="dxa"/>
            <w:vAlign w:val="bottom"/>
            <w:shd w:val="clear" w:color="auto" w:fill="CCEEFF"/>
          </w:tcPr>
          <w:p>
            <w:pPr>
              <w:spacing w:after="0"/>
              <w:rPr>
                <w:sz w:val="15"/>
                <w:szCs w:val="15"/>
                <w:color w:val="auto"/>
              </w:rPr>
            </w:pPr>
          </w:p>
        </w:tc>
        <w:tc>
          <w:tcPr>
            <w:tcW w:w="23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Discounted Cash Flow</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1380" w:type="dxa"/>
            <w:vAlign w:val="bottom"/>
            <w:gridSpan w:val="6"/>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9.9% - 13.5%</w:t>
            </w:r>
          </w:p>
        </w:tc>
        <w:tc>
          <w:tcPr>
            <w:tcW w:w="14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w w:val="97"/>
              </w:rPr>
              <w:t>11.9%</w:t>
            </w:r>
          </w:p>
        </w:tc>
        <w:tc>
          <w:tcPr>
            <w:tcW w:w="0" w:type="dxa"/>
            <w:vAlign w:val="bottom"/>
          </w:tcPr>
          <w:p>
            <w:pPr>
              <w:spacing w:after="0"/>
              <w:rPr>
                <w:sz w:val="1"/>
                <w:szCs w:val="1"/>
                <w:color w:val="auto"/>
              </w:rPr>
            </w:pPr>
          </w:p>
        </w:tc>
      </w:tr>
      <w:tr>
        <w:trPr>
          <w:trHeight w:val="180"/>
        </w:trPr>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11,742,511</w:t>
            </w:r>
          </w:p>
        </w:tc>
        <w:tc>
          <w:tcPr>
            <w:tcW w:w="60" w:type="dxa"/>
            <w:vAlign w:val="bottom"/>
          </w:tcPr>
          <w:p>
            <w:pPr>
              <w:spacing w:after="0"/>
              <w:rPr>
                <w:sz w:val="15"/>
                <w:szCs w:val="15"/>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Discounted Cash Flow</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1380" w:type="dxa"/>
            <w:vAlign w:val="bottom"/>
            <w:gridSpan w:val="6"/>
          </w:tcPr>
          <w:p>
            <w:pPr>
              <w:jc w:val="right"/>
              <w:ind w:right="45"/>
              <w:spacing w:after="0"/>
              <w:rPr>
                <w:sz w:val="20"/>
                <w:szCs w:val="20"/>
                <w:color w:val="auto"/>
              </w:rPr>
            </w:pPr>
            <w:r>
              <w:rPr>
                <w:rFonts w:ascii="Times New Roman" w:cs="Times New Roman" w:eastAsia="Times New Roman" w:hAnsi="Times New Roman"/>
                <w:sz w:val="15"/>
                <w:szCs w:val="15"/>
                <w:color w:val="auto"/>
              </w:rPr>
              <w:t>7.1% - 12.9%</w:t>
            </w:r>
          </w:p>
        </w:tc>
        <w:tc>
          <w:tcPr>
            <w:tcW w:w="1480" w:type="dxa"/>
            <w:vAlign w:val="bottom"/>
            <w:gridSpan w:val="3"/>
          </w:tcPr>
          <w:p>
            <w:pPr>
              <w:ind w:left="1080"/>
              <w:spacing w:after="0"/>
              <w:rPr>
                <w:sz w:val="20"/>
                <w:szCs w:val="20"/>
                <w:color w:val="auto"/>
              </w:rPr>
            </w:pPr>
            <w:r>
              <w:rPr>
                <w:rFonts w:ascii="Times New Roman" w:cs="Times New Roman" w:eastAsia="Times New Roman" w:hAnsi="Times New Roman"/>
                <w:sz w:val="15"/>
                <w:szCs w:val="15"/>
                <w:color w:val="auto"/>
                <w:w w:val="97"/>
              </w:rPr>
              <w:t>10.2%</w:t>
            </w:r>
          </w:p>
        </w:tc>
        <w:tc>
          <w:tcPr>
            <w:tcW w:w="0" w:type="dxa"/>
            <w:vAlign w:val="bottom"/>
          </w:tcPr>
          <w:p>
            <w:pPr>
              <w:spacing w:after="0"/>
              <w:rPr>
                <w:sz w:val="1"/>
                <w:szCs w:val="1"/>
                <w:color w:val="auto"/>
              </w:rPr>
            </w:pPr>
          </w:p>
        </w:tc>
      </w:tr>
      <w:tr>
        <w:trPr>
          <w:trHeight w:val="203"/>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Equity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60" w:type="dxa"/>
            <w:vAlign w:val="bottom"/>
            <w:shd w:val="clear" w:color="auto" w:fill="CCEEFF"/>
          </w:tcPr>
          <w:p>
            <w:pPr>
              <w:spacing w:after="0"/>
              <w:rPr>
                <w:sz w:val="17"/>
                <w:szCs w:val="17"/>
                <w:color w:val="auto"/>
              </w:rPr>
            </w:pPr>
          </w:p>
        </w:tc>
        <w:tc>
          <w:tcPr>
            <w:tcW w:w="23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Enterprise Value Market Approach</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Enterprise Valuation Multiple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2.25x</w:t>
            </w:r>
          </w:p>
        </w:tc>
        <w:tc>
          <w:tcPr>
            <w:tcW w:w="14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2.25x</w:t>
            </w:r>
          </w:p>
        </w:tc>
        <w:tc>
          <w:tcPr>
            <w:tcW w:w="0" w:type="dxa"/>
            <w:vAlign w:val="bottom"/>
          </w:tcPr>
          <w:p>
            <w:pPr>
              <w:spacing w:after="0"/>
              <w:rPr>
                <w:sz w:val="1"/>
                <w:szCs w:val="1"/>
                <w:color w:val="auto"/>
              </w:rPr>
            </w:pPr>
          </w:p>
        </w:tc>
      </w:tr>
      <w:tr>
        <w:trPr>
          <w:trHeight w:val="183"/>
        </w:trPr>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 and Other Equity Securities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176,000</w:t>
            </w:r>
          </w:p>
        </w:tc>
        <w:tc>
          <w:tcPr>
            <w:tcW w:w="60" w:type="dxa"/>
            <w:vAlign w:val="bottom"/>
          </w:tcPr>
          <w:p>
            <w:pPr>
              <w:spacing w:after="0"/>
              <w:rPr>
                <w:sz w:val="15"/>
                <w:szCs w:val="15"/>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Option Pricing Model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w w:val="98"/>
              </w:rPr>
              <w:t>Volatility Factor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ind w:right="45"/>
              <w:spacing w:after="0"/>
              <w:rPr>
                <w:sz w:val="20"/>
                <w:szCs w:val="20"/>
                <w:color w:val="auto"/>
              </w:rPr>
            </w:pPr>
            <w:r>
              <w:rPr>
                <w:rFonts w:ascii="Times New Roman" w:cs="Times New Roman" w:eastAsia="Times New Roman" w:hAnsi="Times New Roman"/>
                <w:sz w:val="15"/>
                <w:szCs w:val="15"/>
                <w:color w:val="auto"/>
              </w:rPr>
              <w:t>47.0%</w:t>
            </w:r>
          </w:p>
        </w:tc>
        <w:tc>
          <w:tcPr>
            <w:tcW w:w="1480" w:type="dxa"/>
            <w:vAlign w:val="bottom"/>
            <w:gridSpan w:val="3"/>
          </w:tcPr>
          <w:p>
            <w:pPr>
              <w:ind w:left="1080"/>
              <w:spacing w:after="0"/>
              <w:rPr>
                <w:sz w:val="20"/>
                <w:szCs w:val="20"/>
                <w:color w:val="auto"/>
              </w:rPr>
            </w:pPr>
            <w:r>
              <w:rPr>
                <w:rFonts w:ascii="Times New Roman" w:cs="Times New Roman" w:eastAsia="Times New Roman" w:hAnsi="Times New Roman"/>
                <w:sz w:val="15"/>
                <w:szCs w:val="15"/>
                <w:color w:val="auto"/>
                <w:w w:val="97"/>
              </w:rPr>
              <w:t>47.0%</w:t>
            </w:r>
          </w:p>
        </w:tc>
        <w:tc>
          <w:tcPr>
            <w:tcW w:w="0" w:type="dxa"/>
            <w:vAlign w:val="bottom"/>
          </w:tcPr>
          <w:p>
            <w:pPr>
              <w:spacing w:after="0"/>
              <w:rPr>
                <w:sz w:val="1"/>
                <w:szCs w:val="1"/>
                <w:color w:val="auto"/>
              </w:rPr>
            </w:pPr>
          </w:p>
        </w:tc>
      </w:tr>
      <w:tr>
        <w:trPr>
          <w:trHeight w:val="220"/>
        </w:trPr>
        <w:tc>
          <w:tcPr>
            <w:tcW w:w="2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55,788,511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Fair Value as of</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Valuation Techniques/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Weighted Average </w:t>
            </w:r>
            <w:r>
              <w:rPr>
                <w:rFonts w:ascii="Times New Roman" w:cs="Times New Roman" w:eastAsia="Times New Roman" w:hAnsi="Times New Roman"/>
                <w:sz w:val="25"/>
                <w:szCs w:val="25"/>
                <w:b w:val="1"/>
                <w:bCs w:val="1"/>
                <w:color w:val="auto"/>
                <w:vertAlign w:val="superscript"/>
              </w:rPr>
              <w:t>(1)</w:t>
            </w:r>
          </w:p>
        </w:tc>
        <w:tc>
          <w:tcPr>
            <w:tcW w:w="1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Investment Type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Methodologies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 Input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Range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130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3"/>
          </w:tcPr>
          <w:p>
            <w:pPr>
              <w:spacing w:after="0"/>
              <w:rPr>
                <w:sz w:val="15"/>
                <w:szCs w:val="15"/>
                <w:color w:val="auto"/>
              </w:rPr>
            </w:pPr>
          </w:p>
        </w:tc>
        <w:tc>
          <w:tcPr>
            <w:tcW w:w="106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20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Discounted Cash Flow</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5"/>
                <w:szCs w:val="15"/>
                <w:color w:val="auto"/>
              </w:rPr>
              <w:t>Discount Rate</w:t>
            </w:r>
          </w:p>
        </w:tc>
        <w:tc>
          <w:tcPr>
            <w:tcW w:w="1060" w:type="dxa"/>
            <w:vAlign w:val="bottom"/>
            <w:gridSpan w:val="4"/>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10.1% - 13.5%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83"/>
        </w:trPr>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8,114,000</w:t>
            </w:r>
          </w:p>
        </w:tc>
        <w:tc>
          <w:tcPr>
            <w:tcW w:w="8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Discounted Cash Flow</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3"/>
          </w:tcPr>
          <w:p>
            <w:pPr>
              <w:jc w:val="center"/>
              <w:ind w:right="400"/>
              <w:spacing w:after="0"/>
              <w:rPr>
                <w:sz w:val="20"/>
                <w:szCs w:val="20"/>
                <w:color w:val="auto"/>
              </w:rPr>
            </w:pPr>
            <w:r>
              <w:rPr>
                <w:rFonts w:ascii="Times New Roman" w:cs="Times New Roman" w:eastAsia="Times New Roman" w:hAnsi="Times New Roman"/>
                <w:sz w:val="15"/>
                <w:szCs w:val="15"/>
                <w:color w:val="auto"/>
              </w:rPr>
              <w:t>Discount Rate</w:t>
            </w:r>
          </w:p>
        </w:tc>
        <w:tc>
          <w:tcPr>
            <w:tcW w:w="1060" w:type="dxa"/>
            <w:vAlign w:val="bottom"/>
            <w:gridSpan w:val="4"/>
          </w:tcPr>
          <w:p>
            <w:pPr>
              <w:jc w:val="right"/>
              <w:ind w:right="45"/>
              <w:spacing w:after="0"/>
              <w:rPr>
                <w:sz w:val="20"/>
                <w:szCs w:val="20"/>
                <w:color w:val="auto"/>
              </w:rPr>
            </w:pPr>
            <w:r>
              <w:rPr>
                <w:rFonts w:ascii="Times New Roman" w:cs="Times New Roman" w:eastAsia="Times New Roman" w:hAnsi="Times New Roman"/>
                <w:sz w:val="15"/>
                <w:szCs w:val="15"/>
                <w:color w:val="auto"/>
              </w:rPr>
              <w:t>7.4% - 13.7%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ind w:left="1040"/>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20"/>
        </w:trPr>
        <w:tc>
          <w:tcPr>
            <w:tcW w:w="2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The weighted average is calculated based on the fair value of each investment.</w:t>
      </w:r>
    </w:p>
    <w:p>
      <w:pPr>
        <w:spacing w:after="0" w:line="18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provide a summary of changes in the fair value of the Company’s Level 3 portfolio investments for the nine months ended September 30,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Senior Secured</w:t>
            </w:r>
          </w:p>
        </w:tc>
        <w:tc>
          <w:tcPr>
            <w:tcW w:w="18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Senior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First Lien</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Secured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1"/>
        </w:trPr>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Term Loans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Investments</w:t>
            </w:r>
          </w:p>
        </w:tc>
      </w:tr>
      <w:tr>
        <w:trPr>
          <w:trHeight w:val="18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8,114,000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20" w:type="dxa"/>
            <w:vAlign w:val="bottom"/>
            <w:shd w:val="clear" w:color="auto" w:fill="CCEEFF"/>
          </w:tcPr>
          <w:p>
            <w:pPr>
              <w:spacing w:after="0"/>
              <w:rPr>
                <w:sz w:val="15"/>
                <w:szCs w:val="15"/>
                <w:color w:val="auto"/>
              </w:rPr>
            </w:pPr>
          </w:p>
        </w:tc>
      </w:tr>
      <w:tr>
        <w:trPr>
          <w:trHeight w:val="18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Purchases</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1,082,174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3,316,250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742,826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5,141,250</w:t>
            </w:r>
          </w:p>
        </w:tc>
      </w:tr>
      <w:tr>
        <w:trPr>
          <w:trHeight w:val="18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316,057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185,246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501,303</w:t>
            </w:r>
          </w:p>
        </w:tc>
      </w:tr>
      <w:tr>
        <w:trPr>
          <w:trHeight w:val="18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PIK interest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182,634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182,634</w:t>
            </w:r>
          </w:p>
        </w:tc>
      </w:tr>
      <w:tr>
        <w:trPr>
          <w:trHeight w:val="18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(4,344,000)</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(4,344,000)</w:t>
            </w:r>
          </w:p>
        </w:tc>
      </w:tr>
      <w:tr>
        <w:trPr>
          <w:trHeight w:val="18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 (loss) on investments</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127,135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127,015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(66,826)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187,324</w:t>
            </w:r>
          </w:p>
        </w:tc>
      </w:tr>
      <w:tr>
        <w:trPr>
          <w:trHeight w:val="23"/>
        </w:trPr>
        <w:tc>
          <w:tcPr>
            <w:tcW w:w="5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September 30, 2024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43,370,000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11,742,511</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676,000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55,788,511</w:t>
            </w: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5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59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Net change in unrealized appreciation/depreciation on Level 3 investments still held as of</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September 30, 2024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127,135</w:t>
            </w:r>
          </w:p>
        </w:tc>
        <w:tc>
          <w:tcPr>
            <w:tcW w:w="240" w:type="dxa"/>
            <w:vAlign w:val="bottom"/>
          </w:tcPr>
          <w:p>
            <w:pPr>
              <w:spacing w:after="0"/>
              <w:rPr>
                <w:sz w:val="16"/>
                <w:szCs w:val="16"/>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127,015</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(66,826)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187,324</w:t>
            </w: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Senior Secured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Senior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First Lien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Secured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Term Loans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4"/>
              </w:rPr>
              <w:t>Notes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40,660,633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9,593,917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50,254,550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Purchases</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8,442,000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8,442,000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233,119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197,933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431,052</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PIK interest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78,153</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(1,600,000)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(1,780,000)</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 (loss) on investments</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(210,767)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(210,767)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 (depreciation) on investments</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263,095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(97,083)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166,012</w:t>
            </w:r>
          </w:p>
        </w:tc>
        <w:tc>
          <w:tcPr>
            <w:tcW w:w="0" w:type="dxa"/>
            <w:vAlign w:val="bottom"/>
          </w:tcPr>
          <w:p>
            <w:pPr>
              <w:spacing w:after="0"/>
              <w:rPr>
                <w:sz w:val="1"/>
                <w:szCs w:val="1"/>
                <w:color w:val="auto"/>
              </w:rPr>
            </w:pPr>
          </w:p>
        </w:tc>
      </w:tr>
      <w:tr>
        <w:trPr>
          <w:trHeight w:val="23"/>
        </w:trPr>
        <w:tc>
          <w:tcPr>
            <w:tcW w:w="7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September 30, 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49,497,000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7,884,000</w:t>
            </w:r>
          </w:p>
        </w:tc>
        <w:tc>
          <w:tcPr>
            <w:tcW w:w="1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57,381,000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on Level 3 investments still held as of September 30, 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263,095</w:t>
            </w:r>
          </w:p>
        </w:tc>
        <w:tc>
          <w:tcPr>
            <w:tcW w:w="140" w:type="dxa"/>
            <w:vAlign w:val="bottom"/>
          </w:tcPr>
          <w:p>
            <w:pPr>
              <w:spacing w:after="0"/>
              <w:rPr>
                <w:sz w:val="15"/>
                <w:szCs w:val="15"/>
                <w:color w:val="auto"/>
              </w:rPr>
            </w:pP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(97,083)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166,012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5 — RELATED PARTY TRANSACTIONS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Pursuant to the investment advisory agreement between the Company and the Adviser (the “Investment Advisory Agreement”), fees payable to the Adviser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management fee is payable quarterly in arrears. For the three and nine months ended September 30, 2024, the Company incurred management fee expenses of $253,421 and $745,876, respectively. For the three and nine months ended September 30, 2023, the Company incurred management fee expenses of $264,565 and $760,473, respectively. As of September 30, 2024 and December 31, 2023, $253,421 and $257,121, respectively, remained payable.</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the three and nine months ended September 30, 2024, the Company incurred income-based incentive fee expenses of $0 and $328,503, respectively. For the three and nine months ended September 30, 2023, the Company incurred income-based incentive fee expenses of $405,247 and $1,051,741, respectively. As of September 30, 2024 and December 31, 2023, $0 and $1,511,253, respectively, remained payable.</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the three and nine months ended September 30, 2024, the Company incurred capital gains incentive fee expenses of $(35,904) and $37,465, respectively. For the three and nine months ended September 30, 2023, the Company incurred capital gains incentive fee expenses of $(5,000) and $0, respectively. As of September 30, 2024 and December 31, 2023, $125,048 and $87,583, respectively, remained payable.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we may reimburse the Adviser for an allocable portion of the compensation paid by the Adviser to our CCO and CFO and their respective staffs (based on a percentage of time such individuals devote, on an estimated basis, to our business affairs). For the three and nine months ended September 30, 2024 and 2023, the Adviser has waived any expense reimbursement, other than those associated with the delegation of its obligations to the sub-administrator and the use of temporary accounting services.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For the three and nine months ended September 30, 2024, the Company paid $499 and $499, respectively, for expenses paid on the Company’s behalf. For the three and nine months ended September 30, 2023, the Company paid $4,993 and $6,192, respectively, as reimbursement to the Adviser for expenses paid on the Company’s behalf. Due to affiliate in the accompanying Statements of Assets and Liabilities in the amount of $51,142 and $0 as of September 30, 2024 and December 31, 2023, respectively, is due to the Adviser for expenses paid on the Company’s behalf.</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In addition, CALP purchased approximately 16.6 million shares of the Company’s common stock in connection with the Loan Portfolio Acquisition with the intention of distributing such shares of the Company’s common stock to CALP’s members within six months of the Loan Portfolio Acquisition. The Adviser and CALP do not expect to hold the Company’s common stock indefinitely, and may sell the Company’s common stock, or distribute the Company’s common stock to their members (who may, in turn, sell the Company’s common stock subject to certain holding period requirements), at a future point in time. In order for the Adviser’s or CALP’s sales of the shares of the Company not to be deemed to have been made “on the basis of” material nonpublic information, such sales may be made pursuant to a pre-approved trading plan that complies with Rule 10b5-1 under the Exchange Act and that may obligate the Adviser or CALP to make recurring sales of the Company’s common stock on a periodic basis. Sales of substantial amounts of the Company’s common stock, including by the Adviser, CALP, their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As of November 5, 2024, the Adviser and CALP collectively hold approximately 83% of the Company’s voting stock and have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Adviser absorbed $1.23 million, representing the cost of the sales load (i.e., underwriting discounts and commissions) incurred by the Company in connection with the initial public offering of its common stock. The Company will not incur any additional expenses with this transaction.</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During the three and nine months ended September 30, 2024, the Adviser and certain related parties received dividend distributions from the Company relating to their shares held. During the three and nine months ended September 30, 2023, the Adviser and certain related parties received dividend distributions from the Company relating to their shares held. Refer to “Note 7 – Common Stock” for further details on the Company’s dividend reinvestment plan and the distributions declared.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Unfunded Commitments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Company’s commitments and contingencies include unfunded commitments to extend credit in the form of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as of September 30, 2024 includes only those commitments that are available at the request of the portfolio company and are unencumbered by milestones or additional lending provisions. As of September 30, 2024, the Company had outstanding commitments to fund investments totaling $1.5 million. The Company has identified no unfunded commitments as of December 31, 2023.</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did not have any other off-balance sheet financings or liabilities as of September 30, 2024 or December 31, 2023.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Proceedings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September 30, 2024, there are no material legal matters or material litigation pending of which the Company is aware.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September 30, 2024, 100,000,000 shares of $0.01 par value common stock were authorized.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distributions declared and paid by the Company during the nine months ended September 30,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Payment Date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2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Dividends Paid</w:t>
            </w:r>
          </w:p>
        </w:tc>
      </w:tr>
      <w:tr>
        <w:trPr>
          <w:trHeight w:val="180"/>
        </w:trPr>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8, 2024</w:t>
            </w:r>
          </w:p>
        </w:tc>
        <w:tc>
          <w:tcPr>
            <w:tcW w:w="100" w:type="dxa"/>
            <w:vAlign w:val="bottom"/>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Quarterly</w:t>
            </w:r>
          </w:p>
        </w:tc>
        <w:tc>
          <w:tcPr>
            <w:tcW w:w="120" w:type="dxa"/>
            <w:vAlign w:val="bottom"/>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100" w:type="dxa"/>
            <w:vAlign w:val="bottom"/>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March 28, 2024</w:t>
            </w: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1,553,736</w:t>
            </w:r>
          </w:p>
        </w:tc>
        <w:tc>
          <w:tcPr>
            <w:tcW w:w="40" w:type="dxa"/>
            <w:vAlign w:val="bottom"/>
            <w:shd w:val="clear" w:color="auto" w:fill="CCEEFF"/>
          </w:tcPr>
          <w:p>
            <w:pPr>
              <w:spacing w:after="0"/>
              <w:rPr>
                <w:sz w:val="15"/>
                <w:szCs w:val="15"/>
                <w:color w:val="auto"/>
              </w:rPr>
            </w:pPr>
          </w:p>
        </w:tc>
      </w:tr>
      <w:tr>
        <w:trPr>
          <w:trHeight w:val="180"/>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May 9, 2024</w:t>
            </w:r>
          </w:p>
        </w:tc>
        <w:tc>
          <w:tcPr>
            <w:tcW w:w="1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Quarterly</w:t>
            </w:r>
          </w:p>
        </w:tc>
        <w:tc>
          <w:tcPr>
            <w:tcW w:w="1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20, 2024</w:t>
            </w:r>
          </w:p>
        </w:tc>
        <w:tc>
          <w:tcPr>
            <w:tcW w:w="1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28, 2024</w:t>
            </w:r>
          </w:p>
        </w:tc>
        <w:tc>
          <w:tcPr>
            <w:tcW w:w="2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1,553,738</w:t>
            </w:r>
          </w:p>
        </w:tc>
      </w:tr>
      <w:tr>
        <w:trPr>
          <w:trHeight w:val="180"/>
        </w:trPr>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August 8, 2024</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Quarterly</w:t>
            </w:r>
          </w:p>
        </w:tc>
        <w:tc>
          <w:tcPr>
            <w:tcW w:w="12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19, 2024</w:t>
            </w: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September 27, 2024</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1,553,741</w:t>
            </w:r>
          </w:p>
        </w:tc>
      </w:tr>
      <w:tr>
        <w:trPr>
          <w:trHeight w:val="359"/>
        </w:trPr>
        <w:tc>
          <w:tcPr>
            <w:tcW w:w="876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The following table summarizes distributions declared and paid by the Company during the nine months ended September 30, 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3"/>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1"/>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Payment Date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2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Dividends Paid</w:t>
            </w:r>
          </w:p>
        </w:tc>
      </w:tr>
      <w:tr>
        <w:trPr>
          <w:trHeight w:val="180"/>
        </w:trPr>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100" w:type="dxa"/>
            <w:vAlign w:val="bottom"/>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Quarterly</w:t>
            </w:r>
          </w:p>
        </w:tc>
        <w:tc>
          <w:tcPr>
            <w:tcW w:w="120" w:type="dxa"/>
            <w:vAlign w:val="bottom"/>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100" w:type="dxa"/>
            <w:vAlign w:val="bottom"/>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September 29, 2023</w:t>
            </w: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1,429,374</w:t>
            </w:r>
          </w:p>
        </w:tc>
        <w:tc>
          <w:tcPr>
            <w:tcW w:w="40" w:type="dxa"/>
            <w:vAlign w:val="bottom"/>
            <w:shd w:val="clear" w:color="auto" w:fill="CCEEFF"/>
          </w:tcPr>
          <w:p>
            <w:pPr>
              <w:spacing w:after="0"/>
              <w:rPr>
                <w:sz w:val="15"/>
                <w:szCs w:val="15"/>
                <w:color w:val="auto"/>
              </w:rPr>
            </w:pPr>
          </w:p>
        </w:tc>
      </w:tr>
      <w:tr>
        <w:trPr>
          <w:trHeight w:val="194"/>
        </w:trPr>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Special</w:t>
            </w: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29, 2023</w:t>
            </w:r>
          </w:p>
        </w:tc>
        <w:tc>
          <w:tcPr>
            <w:tcW w:w="2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0.40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2,485,869</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Reinvestment Plan</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Company’s dividend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6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Company’s DRIP is administered by its transfer agent on behalf of the Company’s record holders and participating brokerage firms. Brokerage firms and other financial intermediaries may decide not to participate in the Company’s DRIP but may provide a similar dividend reinvestment plan for their clients. During the nine months ended September 30, 2024, the Company issued the following shares of common stock under the DRIP: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40" w:type="dxa"/>
            <w:vAlign w:val="bottom"/>
          </w:tcPr>
          <w:p>
            <w:pPr>
              <w:spacing w:after="0"/>
              <w:rPr>
                <w:sz w:val="17"/>
                <w:szCs w:val="17"/>
                <w:color w:val="auto"/>
              </w:rPr>
            </w:pPr>
          </w:p>
        </w:tc>
        <w:tc>
          <w:tcPr>
            <w:tcW w:w="2440" w:type="dxa"/>
            <w:vAlign w:val="bottom"/>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80"/>
        </w:trPr>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8, 2024</w:t>
            </w:r>
          </w:p>
        </w:tc>
        <w:tc>
          <w:tcPr>
            <w:tcW w:w="12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28, 2024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shd w:val="clear" w:color="auto" w:fill="CCEEFF"/>
          </w:tcPr>
          <w:p>
            <w:pPr>
              <w:spacing w:after="0"/>
              <w:rPr>
                <w:sz w:val="15"/>
                <w:szCs w:val="15"/>
                <w:color w:val="auto"/>
              </w:rPr>
            </w:pPr>
          </w:p>
        </w:tc>
      </w:tr>
      <w:tr>
        <w:trPr>
          <w:trHeight w:val="180"/>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May 9, 2024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June 20, 2024</w:t>
            </w:r>
          </w:p>
        </w:tc>
        <w:tc>
          <w:tcPr>
            <w:tcW w:w="4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28, 2024</w:t>
            </w: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15</w:t>
            </w:r>
          </w:p>
        </w:tc>
      </w:tr>
      <w:tr>
        <w:trPr>
          <w:trHeight w:val="180"/>
        </w:trPr>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August 8, 2024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5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9"/>
              </w:rPr>
              <w:t>September 19, 2024</w:t>
            </w:r>
          </w:p>
        </w:tc>
        <w:tc>
          <w:tcPr>
            <w:tcW w:w="40" w:type="dxa"/>
            <w:vAlign w:val="bottom"/>
            <w:shd w:val="clear" w:color="auto" w:fill="CCEEFF"/>
          </w:tcPr>
          <w:p>
            <w:pPr>
              <w:spacing w:after="0"/>
              <w:rPr>
                <w:sz w:val="15"/>
                <w:szCs w:val="15"/>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27, 2024</w:t>
            </w: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w:t>
            </w:r>
          </w:p>
        </w:tc>
      </w:tr>
      <w:tr>
        <w:trPr>
          <w:trHeight w:val="359"/>
        </w:trPr>
        <w:tc>
          <w:tcPr>
            <w:tcW w:w="7720" w:type="dxa"/>
            <w:vAlign w:val="bottom"/>
            <w:gridSpan w:val="10"/>
          </w:tcPr>
          <w:p>
            <w:pPr>
              <w:spacing w:after="0"/>
              <w:rPr>
                <w:sz w:val="20"/>
                <w:szCs w:val="20"/>
                <w:color w:val="auto"/>
              </w:rPr>
            </w:pPr>
            <w:r>
              <w:rPr>
                <w:rFonts w:ascii="Times New Roman" w:cs="Times New Roman" w:eastAsia="Times New Roman" w:hAnsi="Times New Roman"/>
                <w:sz w:val="15"/>
                <w:szCs w:val="15"/>
                <w:color w:val="auto"/>
                <w:w w:val="99"/>
              </w:rPr>
              <w:t>During the nine months ended September 30, 2023, the Company issued the following shares of common stock under the DRIP:</w:t>
            </w: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Payment Date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80"/>
        </w:trPr>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29, 2023</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shd w:val="clear" w:color="auto" w:fill="CCEEFF"/>
          </w:tcPr>
          <w:p>
            <w:pPr>
              <w:spacing w:after="0"/>
              <w:rPr>
                <w:sz w:val="15"/>
                <w:szCs w:val="15"/>
                <w:color w:val="auto"/>
              </w:rPr>
            </w:pPr>
          </w:p>
        </w:tc>
      </w:tr>
      <w:tr>
        <w:trPr>
          <w:trHeight w:val="194"/>
        </w:trPr>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Special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4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29, 2023</w:t>
            </w: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21</w:t>
            </w:r>
          </w:p>
        </w:tc>
      </w:tr>
      <w:tr>
        <w:trPr>
          <w:trHeight w:val="451"/>
        </w:trPr>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80" w:type="dxa"/>
            <w:vAlign w:val="bottom"/>
            <w:gridSpan w:val="4"/>
          </w:tcPr>
          <w:p>
            <w:pPr>
              <w:jc w:val="right"/>
              <w:ind w:right="1845"/>
              <w:spacing w:after="0"/>
              <w:rPr>
                <w:sz w:val="20"/>
                <w:szCs w:val="20"/>
                <w:color w:val="auto"/>
              </w:rPr>
            </w:pPr>
            <w:r>
              <w:rPr>
                <w:rFonts w:ascii="Times New Roman" w:cs="Times New Roman" w:eastAsia="Times New Roman" w:hAnsi="Times New Roman"/>
                <w:sz w:val="12"/>
                <w:szCs w:val="12"/>
                <w:color w:val="auto"/>
              </w:rPr>
              <w:t>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
        </w:trPr>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 INDEMNIFICATION</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EARNINGS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the computation of the weighted average basic and diluted net increase (decrease) in net assets per share from operations for the three and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00" w:type="dxa"/>
            <w:vAlign w:val="bottom"/>
          </w:tcPr>
          <w:p>
            <w:pPr>
              <w:spacing w:after="0"/>
              <w:rPr>
                <w:sz w:val="15"/>
                <w:szCs w:val="15"/>
                <w:color w:val="auto"/>
              </w:rPr>
            </w:pP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80" w:type="dxa"/>
            <w:vAlign w:val="bottom"/>
          </w:tcPr>
          <w:p>
            <w:pPr>
              <w:spacing w:after="0"/>
              <w:rPr>
                <w:sz w:val="17"/>
                <w:szCs w:val="17"/>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net assets resulting from operations</w:t>
            </w:r>
          </w:p>
        </w:tc>
        <w:tc>
          <w:tcPr>
            <w:tcW w:w="18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(165,012)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1,273,882</w:t>
            </w:r>
          </w:p>
        </w:tc>
        <w:tc>
          <w:tcPr>
            <w:tcW w:w="2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1,647,660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4,842,366</w:t>
            </w:r>
          </w:p>
        </w:tc>
        <w:tc>
          <w:tcPr>
            <w:tcW w:w="120" w:type="dxa"/>
            <w:vAlign w:val="bottom"/>
            <w:shd w:val="clear" w:color="auto" w:fill="CCEEFF"/>
          </w:tcPr>
          <w:p>
            <w:pPr>
              <w:spacing w:after="0"/>
              <w:rPr>
                <w:sz w:val="15"/>
                <w:szCs w:val="15"/>
                <w:color w:val="auto"/>
              </w:rPr>
            </w:pPr>
          </w:p>
        </w:tc>
      </w:tr>
      <w:tr>
        <w:trPr>
          <w:trHeight w:val="180"/>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Outstanding — basic and diluted</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6,214,965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6,214,673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6,214,952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6,214,672</w:t>
            </w:r>
          </w:p>
        </w:tc>
      </w:tr>
      <w:tr>
        <w:trPr>
          <w:trHeight w:val="166"/>
        </w:trPr>
        <w:tc>
          <w:tcPr>
            <w:tcW w:w="50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increase (decrease) in net assets resulting from operations per share — basic</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5"/>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and diluted</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(0.03)</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0.20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0.27</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0.78</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INCOME TAXES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 adopted a tax year end of March 31 and elected to be treated as a regulated investment company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GAAP. The final determination of the source of all distributions in 2024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has not recorded a liability for any uncertain tax positions pursuant to the provisions of ASC 740, Income Taxes, as of September 30, 2024 and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normal course of business, the Company is subject to examination by federal and certain state and local tax regulators.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2024, the Company’s most recent tax year end, the Company had $210,767 of capital loss carryforwards, all of which is short-term.</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The Company’s taxable income for each period is an estimate and will not be finally determined until the Company files its tax return for each year. Therefore, the final taxable income earned in each year and carried forward for distribution in the following year may be different than this estimate.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For the most recent tax year ended March 31, 2024, the Company reclassified $10,676 from distributable earnings to additional paid-in-capital on the Statement of Assets and Liabilities arising from permanent book to tax differences primarily related to non-deductible expenses. For the tax year ended March 31, 2023, the Company reclassified $121,099 from distributable earnings to additional paid-in-capital on the Statement of Assets and Liabilities arising from permanent book to tax differences primarily related to prior year post-financial statement updates and non-deductible excise tax.</w:t>
      </w:r>
    </w:p>
    <w:p>
      <w:pPr>
        <w:spacing w:after="0" w:line="15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For income tax purposes, distributions paid to shareholders are reported as ordinary income, return of capital, long-term capital gains, or a combination thereof. The tax character of distributions paid for the six months ended September 30, 2024 and the tax year ended March 31, 2024,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20" w:type="dxa"/>
            <w:vAlign w:val="bottom"/>
          </w:tcPr>
          <w:p>
            <w:pPr>
              <w:spacing w:after="0"/>
              <w:rPr>
                <w:sz w:val="15"/>
                <w:szCs w:val="15"/>
                <w:color w:val="auto"/>
              </w:rPr>
            </w:pPr>
          </w:p>
        </w:tc>
        <w:tc>
          <w:tcPr>
            <w:tcW w:w="25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9"/>
              </w:rPr>
              <w:t>For the tax period from April 1, 2024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For the tax year from April 1, 2023</w:t>
            </w:r>
          </w:p>
        </w:tc>
        <w:tc>
          <w:tcPr>
            <w:tcW w:w="100" w:type="dxa"/>
            <w:vAlign w:val="bottom"/>
          </w:tcPr>
          <w:p>
            <w:pPr>
              <w:spacing w:after="0"/>
              <w:rPr>
                <w:sz w:val="15"/>
                <w:szCs w:val="15"/>
                <w:color w:val="auto"/>
              </w:rPr>
            </w:pPr>
          </w:p>
        </w:tc>
      </w:tr>
      <w:tr>
        <w:trPr>
          <w:trHeight w:val="201"/>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through September 30, 2024</w:t>
            </w:r>
          </w:p>
        </w:tc>
        <w:tc>
          <w:tcPr>
            <w:tcW w:w="220" w:type="dxa"/>
            <w:vAlign w:val="bottom"/>
          </w:tcPr>
          <w:p>
            <w:pPr>
              <w:spacing w:after="0"/>
              <w:rPr>
                <w:sz w:val="17"/>
                <w:szCs w:val="17"/>
                <w:color w:val="auto"/>
              </w:rPr>
            </w:pPr>
          </w:p>
        </w:tc>
        <w:tc>
          <w:tcPr>
            <w:tcW w:w="204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through March 31, 2024</w:t>
            </w:r>
          </w:p>
        </w:tc>
        <w:tc>
          <w:tcPr>
            <w:tcW w:w="100" w:type="dxa"/>
            <w:vAlign w:val="bottom"/>
          </w:tcPr>
          <w:p>
            <w:pPr>
              <w:spacing w:after="0"/>
              <w:rPr>
                <w:sz w:val="17"/>
                <w:szCs w:val="17"/>
                <w:color w:val="auto"/>
              </w:rPr>
            </w:pPr>
          </w:p>
        </w:tc>
      </w:tr>
      <w:tr>
        <w:trPr>
          <w:trHeight w:val="18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Ordinary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3,107,479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9,819,273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0"/>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3,107,479</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9,819,273</w:t>
            </w:r>
          </w:p>
        </w:tc>
        <w:tc>
          <w:tcPr>
            <w:tcW w:w="100" w:type="dxa"/>
            <w:vAlign w:val="bottom"/>
          </w:tcPr>
          <w:p>
            <w:pPr>
              <w:spacing w:after="0"/>
              <w:rPr>
                <w:sz w:val="15"/>
                <w:szCs w:val="15"/>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As of March 31, 2024 and March 31, 2023,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60" w:type="dxa"/>
            <w:vAlign w:val="bottom"/>
          </w:tcPr>
          <w:p>
            <w:pPr>
              <w:spacing w:after="0"/>
              <w:rPr>
                <w:sz w:val="17"/>
                <w:szCs w:val="17"/>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Undistributed ordinary income</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1,782,017</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3,418,714</w:t>
            </w:r>
          </w:p>
        </w:tc>
        <w:tc>
          <w:tcPr>
            <w:tcW w:w="120" w:type="dxa"/>
            <w:vAlign w:val="bottom"/>
            <w:shd w:val="clear" w:color="auto" w:fill="CCEEFF"/>
          </w:tcPr>
          <w:p>
            <w:pPr>
              <w:spacing w:after="0"/>
              <w:rPr>
                <w:sz w:val="15"/>
                <w:szCs w:val="15"/>
                <w:color w:val="auto"/>
              </w:rPr>
            </w:pPr>
          </w:p>
        </w:tc>
      </w:tr>
      <w:tr>
        <w:trPr>
          <w:trHeight w:val="180"/>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Net unrealized appreciation (depreciation) on investments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1,248,303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713,009</w:t>
            </w: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loss carry forwards</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(210,767)</w:t>
            </w: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Other temporary differences</w:t>
            </w:r>
          </w:p>
        </w:tc>
        <w:tc>
          <w:tcPr>
            <w:tcW w:w="2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(3,393,536)</w:t>
            </w:r>
          </w:p>
        </w:tc>
        <w:tc>
          <w:tcPr>
            <w:tcW w:w="3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(399,948)</w:t>
            </w:r>
          </w:p>
        </w:tc>
      </w:tr>
      <w:tr>
        <w:trPr>
          <w:trHeight w:val="220"/>
        </w:trPr>
        <w:tc>
          <w:tcPr>
            <w:tcW w:w="8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(573,983)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3,731,775</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following table sets forth the tax cost basis and the estimated aggregate gross unrealized appreciation and depreciation from investments and cash equivalents for federal income tax purposes as of September 30, 2024, March 31, 2024 and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80" w:type="dxa"/>
            <w:vAlign w:val="bottom"/>
          </w:tcPr>
          <w:p>
            <w:pPr>
              <w:spacing w:after="0"/>
              <w:rPr>
                <w:sz w:val="17"/>
                <w:szCs w:val="17"/>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cost of investments and cash equivalents</w:t>
            </w:r>
          </w:p>
        </w:tc>
        <w:tc>
          <w:tcPr>
            <w:tcW w:w="18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85,064,067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86,762,991</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86,082,952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Unrealized appreciation</w:t>
            </w:r>
          </w:p>
        </w:tc>
        <w:tc>
          <w:tcPr>
            <w:tcW w:w="2200" w:type="dxa"/>
            <w:vAlign w:val="bottom"/>
            <w:gridSpan w:val="2"/>
          </w:tcPr>
          <w:p>
            <w:pPr>
              <w:ind w:left="18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973,473</w:t>
            </w:r>
          </w:p>
        </w:tc>
        <w:tc>
          <w:tcPr>
            <w:tcW w:w="36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1,363,524</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784,052</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depreciation</w:t>
            </w:r>
          </w:p>
        </w:tc>
        <w:tc>
          <w:tcPr>
            <w:tcW w:w="220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(137,466)</w:t>
            </w:r>
          </w:p>
        </w:tc>
        <w:tc>
          <w:tcPr>
            <w:tcW w:w="3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(115,221)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(135,369)</w:t>
            </w:r>
          </w:p>
        </w:tc>
        <w:tc>
          <w:tcPr>
            <w:tcW w:w="0" w:type="dxa"/>
            <w:vAlign w:val="bottom"/>
          </w:tcPr>
          <w:p>
            <w:pPr>
              <w:spacing w:after="0"/>
              <w:rPr>
                <w:sz w:val="1"/>
                <w:szCs w:val="1"/>
                <w:color w:val="auto"/>
              </w:rPr>
            </w:pPr>
          </w:p>
        </w:tc>
      </w:tr>
      <w:tr>
        <w:trPr>
          <w:trHeight w:val="23"/>
        </w:trPr>
        <w:tc>
          <w:tcPr>
            <w:tcW w:w="52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Net unrealized appreciation (depreciation) from investments and cash equivalents</w:t>
            </w:r>
          </w:p>
        </w:tc>
        <w:tc>
          <w:tcPr>
            <w:tcW w:w="2200" w:type="dxa"/>
            <w:vAlign w:val="bottom"/>
            <w:gridSpan w:val="2"/>
          </w:tcPr>
          <w:p>
            <w:pPr>
              <w:ind w:left="18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836,007</w:t>
            </w:r>
          </w:p>
        </w:tc>
        <w:tc>
          <w:tcPr>
            <w:tcW w:w="36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1,248,303</w:t>
            </w:r>
          </w:p>
        </w:tc>
        <w:tc>
          <w:tcPr>
            <w:tcW w:w="3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648,683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60" w:type="dxa"/>
            <w:vAlign w:val="bottom"/>
            <w:vMerge w:val="restart"/>
          </w:tcPr>
          <w:p>
            <w:pPr>
              <w:jc w:val="right"/>
              <w:ind w:right="1329"/>
              <w:spacing w:after="0"/>
              <w:rPr>
                <w:sz w:val="20"/>
                <w:szCs w:val="20"/>
                <w:color w:val="auto"/>
              </w:rPr>
            </w:pPr>
            <w:r>
              <w:rPr>
                <w:rFonts w:ascii="Times New Roman" w:cs="Times New Roman" w:eastAsia="Times New Roman" w:hAnsi="Times New Roman"/>
                <w:sz w:val="12"/>
                <w:szCs w:val="12"/>
                <w:color w:val="auto"/>
              </w:rPr>
              <w:t>25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2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27" w:name="page28"/>
    <w:bookmarkEnd w:id="27"/>
    <w:p>
      <w:pPr>
        <w:ind w:left="10"/>
        <w:spacing w:after="0"/>
        <w:rPr>
          <w:sz w:val="20"/>
          <w:szCs w:val="20"/>
          <w:color w:val="auto"/>
        </w:rPr>
      </w:pPr>
      <w:r>
        <w:rPr>
          <w:rFonts w:ascii="Times New Roman" w:cs="Times New Roman" w:eastAsia="Times New Roman" w:hAnsi="Times New Roman"/>
          <w:sz w:val="12"/>
          <w:szCs w:val="12"/>
          <w:i w:val="1"/>
          <w:iCs w:val="1"/>
          <w:color w:val="0000EE"/>
        </w:rPr>
        <w:t>Table of Contents</w:t>
      </w:r>
    </w:p>
    <w:tbl>
      <w:tblPr>
        <w:tblLayout w:type="fixed"/>
        <w:tblInd w:w="10" w:type="dxa"/>
        <w:tblCellMar>
          <w:top w:w="0" w:type="dxa"/>
          <w:left w:w="0" w:type="dxa"/>
          <w:bottom w:w="0" w:type="dxa"/>
          <w:right w:w="0" w:type="dxa"/>
        </w:tblCellMar>
      </w:tblPr>
      <w:tr>
        <w:trPr>
          <w:trHeight w:val="218"/>
        </w:trPr>
        <w:tc>
          <w:tcPr>
            <w:tcW w:w="840" w:type="dxa"/>
            <w:vAlign w:val="bottom"/>
            <w:tcBorders>
              <w:top w:val="single" w:sz="8" w:color="0000EE"/>
            </w:tcBorders>
          </w:tcPr>
          <w:p>
            <w:pPr>
              <w:spacing w:after="0"/>
              <w:rPr>
                <w:sz w:val="18"/>
                <w:szCs w:val="18"/>
                <w:color w:val="auto"/>
              </w:rPr>
            </w:pPr>
          </w:p>
        </w:tc>
        <w:tc>
          <w:tcPr>
            <w:tcW w:w="7740" w:type="dxa"/>
            <w:vAlign w:val="bottom"/>
          </w:tcPr>
          <w:p>
            <w:pPr>
              <w:jc w:val="center"/>
              <w:ind w:left="1765"/>
              <w:spacing w:after="0"/>
              <w:rPr>
                <w:sz w:val="20"/>
                <w:szCs w:val="20"/>
                <w:color w:val="auto"/>
              </w:rPr>
            </w:pPr>
            <w:r>
              <w:rPr>
                <w:rFonts w:ascii="Times New Roman" w:cs="Times New Roman" w:eastAsia="Times New Roman" w:hAnsi="Times New Roman"/>
                <w:sz w:val="15"/>
                <w:szCs w:val="15"/>
                <w:b w:val="1"/>
                <w:bCs w:val="1"/>
                <w:color w:val="auto"/>
                <w:w w:val="99"/>
              </w:rPr>
              <w:t>CHICAGO ATLANTIC BDC, INC.</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96"/>
        </w:trPr>
        <w:tc>
          <w:tcPr>
            <w:tcW w:w="840" w:type="dxa"/>
            <w:vAlign w:val="bottom"/>
          </w:tcPr>
          <w:p>
            <w:pPr>
              <w:spacing w:after="0"/>
              <w:rPr>
                <w:sz w:val="24"/>
                <w:szCs w:val="24"/>
                <w:color w:val="auto"/>
              </w:rPr>
            </w:pPr>
          </w:p>
        </w:tc>
        <w:tc>
          <w:tcPr>
            <w:tcW w:w="7740" w:type="dxa"/>
            <w:vAlign w:val="bottom"/>
          </w:tcPr>
          <w:p>
            <w:pPr>
              <w:jc w:val="center"/>
              <w:ind w:left="1765"/>
              <w:spacing w:after="0"/>
              <w:rPr>
                <w:sz w:val="20"/>
                <w:szCs w:val="20"/>
                <w:color w:val="auto"/>
              </w:rPr>
            </w:pPr>
            <w:r>
              <w:rPr>
                <w:rFonts w:ascii="Times New Roman" w:cs="Times New Roman" w:eastAsia="Times New Roman" w:hAnsi="Times New Roman"/>
                <w:sz w:val="15"/>
                <w:szCs w:val="15"/>
                <w:b w:val="1"/>
                <w:bCs w:val="1"/>
                <w:color w:val="auto"/>
                <w:w w:val="99"/>
              </w:rPr>
              <w:t>Notes to Financial Statements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840" w:type="dxa"/>
            <w:vAlign w:val="bottom"/>
          </w:tcPr>
          <w:p>
            <w:pPr>
              <w:spacing w:after="0"/>
              <w:rPr>
                <w:sz w:val="17"/>
                <w:szCs w:val="17"/>
                <w:color w:val="auto"/>
              </w:rPr>
            </w:pPr>
          </w:p>
        </w:tc>
        <w:tc>
          <w:tcPr>
            <w:tcW w:w="7740" w:type="dxa"/>
            <w:vAlign w:val="bottom"/>
          </w:tcPr>
          <w:p>
            <w:pPr>
              <w:jc w:val="center"/>
              <w:ind w:left="176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27"/>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NOTE 11 — FINANCIAL HIGHLIGHTS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1"/>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presents financial highlights for the nine months ended September 30, 2024 and 2023:</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4"/>
        </w:trPr>
        <w:tc>
          <w:tcPr>
            <w:tcW w:w="8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6"/>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r>
      <w:tr>
        <w:trPr>
          <w:trHeight w:val="162"/>
        </w:trPr>
        <w:tc>
          <w:tcPr>
            <w:tcW w:w="8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280"/>
              <w:spacing w:after="0" w:line="161"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5"/>
              <w:spacing w:after="0" w:line="161"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8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7"/>
                <w:szCs w:val="17"/>
                <w:color w:val="auto"/>
              </w:rPr>
            </w:pPr>
          </w:p>
        </w:tc>
      </w:tr>
      <w:tr>
        <w:trPr>
          <w:trHeight w:val="180"/>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Per share data:</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asset value at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13.91</w:t>
            </w:r>
          </w:p>
        </w:tc>
      </w:tr>
      <w:tr>
        <w:trPr>
          <w:trHeight w:val="180"/>
        </w:trPr>
        <w:tc>
          <w:tcPr>
            <w:tcW w:w="8580" w:type="dxa"/>
            <w:vAlign w:val="bottom"/>
            <w:gridSpan w:val="2"/>
          </w:tcPr>
          <w:p>
            <w:pPr>
              <w:spacing w:after="0" w:line="181" w:lineRule="exact"/>
              <w:rPr>
                <w:sz w:val="20"/>
                <w:szCs w:val="20"/>
                <w:color w:val="auto"/>
              </w:rPr>
            </w:pPr>
            <w:r>
              <w:rPr>
                <w:rFonts w:ascii="Times New Roman" w:cs="Times New Roman" w:eastAsia="Times New Roman" w:hAnsi="Times New Roman"/>
                <w:sz w:val="13"/>
                <w:szCs w:val="13"/>
                <w:color w:val="auto"/>
              </w:rPr>
              <w:t xml:space="preserve">Net investment income (loss) </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0.79</w:t>
            </w:r>
          </w:p>
        </w:tc>
      </w:tr>
      <w:tr>
        <w:trPr>
          <w:trHeight w:val="183"/>
        </w:trPr>
        <w:tc>
          <w:tcPr>
            <w:tcW w:w="8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 xml:space="preserve">Net realized and unrealized gains/(losses) on investments </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(0.01)</w:t>
            </w:r>
          </w:p>
        </w:tc>
      </w:tr>
      <w:tr>
        <w:trPr>
          <w:trHeight w:val="183"/>
        </w:trPr>
        <w:tc>
          <w:tcPr>
            <w:tcW w:w="85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Net increase/(decrease) in net assets resulting from operations</w:t>
            </w: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80" w:type="dxa"/>
            <w:vAlign w:val="bottom"/>
            <w:tcBorders>
              <w:top w:val="single" w:sz="8" w:color="CCEEFF"/>
            </w:tcBorders>
          </w:tcPr>
          <w:p>
            <w:pPr>
              <w:spacing w:after="0"/>
              <w:rPr>
                <w:sz w:val="15"/>
                <w:szCs w:val="15"/>
                <w:color w:val="auto"/>
              </w:rPr>
            </w:pPr>
          </w:p>
        </w:tc>
      </w:tr>
      <w:tr>
        <w:trPr>
          <w:trHeight w:val="214"/>
        </w:trPr>
        <w:tc>
          <w:tcPr>
            <w:tcW w:w="85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Distributions from net investment income (loss) </w:t>
            </w:r>
            <w:r>
              <w:rPr>
                <w:rFonts w:ascii="Times New Roman" w:cs="Times New Roman" w:eastAsia="Times New Roman" w:hAnsi="Times New Roman"/>
                <w:sz w:val="24"/>
                <w:szCs w:val="24"/>
                <w:color w:val="auto"/>
                <w:vertAlign w:val="superscript"/>
              </w:rPr>
              <w:t>(4)</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(0.63)</w:t>
            </w:r>
          </w:p>
        </w:tc>
      </w:tr>
      <w:tr>
        <w:trPr>
          <w:trHeight w:val="23"/>
        </w:trPr>
        <w:tc>
          <w:tcPr>
            <w:tcW w:w="840" w:type="dxa"/>
            <w:vAlign w:val="bottom"/>
            <w:shd w:val="clear" w:color="auto" w:fill="CCEEFF"/>
          </w:tcPr>
          <w:p>
            <w:pPr>
              <w:spacing w:after="0" w:line="20" w:lineRule="exact"/>
              <w:rPr>
                <w:sz w:val="1"/>
                <w:szCs w:val="1"/>
                <w:color w:val="auto"/>
              </w:rPr>
            </w:pPr>
          </w:p>
        </w:tc>
        <w:tc>
          <w:tcPr>
            <w:tcW w:w="7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0"/>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asset value at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14.06</w:t>
            </w:r>
          </w:p>
        </w:tc>
      </w:tr>
      <w:tr>
        <w:trPr>
          <w:trHeight w:val="20"/>
        </w:trPr>
        <w:tc>
          <w:tcPr>
            <w:tcW w:w="8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5"/>
        </w:trPr>
        <w:tc>
          <w:tcPr>
            <w:tcW w:w="858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assets at end of period</w:t>
            </w:r>
          </w:p>
        </w:tc>
        <w:tc>
          <w:tcPr>
            <w:tcW w:w="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82,539,642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87,402,852</w:t>
            </w:r>
          </w:p>
        </w:tc>
        <w:tc>
          <w:tcPr>
            <w:tcW w:w="180" w:type="dxa"/>
            <w:vAlign w:val="bottom"/>
            <w:shd w:val="clear" w:color="auto" w:fill="CCEEFF"/>
          </w:tcPr>
          <w:p>
            <w:pPr>
              <w:spacing w:after="0"/>
              <w:rPr>
                <w:sz w:val="14"/>
                <w:szCs w:val="14"/>
                <w:color w:val="auto"/>
              </w:rPr>
            </w:pPr>
          </w:p>
        </w:tc>
      </w:tr>
      <w:tr>
        <w:trPr>
          <w:trHeight w:val="180"/>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Shares outstanding at end of period</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6,214,995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6,214,705</w:t>
            </w:r>
          </w:p>
        </w:tc>
      </w:tr>
      <w:tr>
        <w:trPr>
          <w:trHeight w:val="18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net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84,768,322</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88,458,750</w:t>
            </w:r>
          </w:p>
        </w:tc>
      </w:tr>
      <w:tr>
        <w:trPr>
          <w:trHeight w:val="180"/>
        </w:trPr>
        <w:tc>
          <w:tcPr>
            <w:tcW w:w="84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share market value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10.64</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9.68</w:t>
            </w:r>
          </w:p>
        </w:tc>
      </w:tr>
      <w:tr>
        <w:trPr>
          <w:trHeight w:val="180"/>
        </w:trPr>
        <w:tc>
          <w:tcPr>
            <w:tcW w:w="8580" w:type="dxa"/>
            <w:vAlign w:val="bottom"/>
            <w:gridSpan w:val="2"/>
          </w:tcPr>
          <w:p>
            <w:pPr>
              <w:spacing w:after="0" w:line="181" w:lineRule="exact"/>
              <w:rPr>
                <w:sz w:val="20"/>
                <w:szCs w:val="20"/>
                <w:color w:val="auto"/>
              </w:rPr>
            </w:pPr>
            <w:r>
              <w:rPr>
                <w:rFonts w:ascii="Times New Roman" w:cs="Times New Roman" w:eastAsia="Times New Roman" w:hAnsi="Times New Roman"/>
                <w:sz w:val="13"/>
                <w:szCs w:val="13"/>
                <w:color w:val="auto"/>
              </w:rPr>
              <w:t xml:space="preserve">Total return based on market value </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80"/>
        </w:trPr>
        <w:tc>
          <w:tcPr>
            <w:tcW w:w="8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 xml:space="preserve">Total return based on net asset value </w:t>
            </w:r>
            <w:r>
              <w:rPr>
                <w:rFonts w:ascii="Times New Roman" w:cs="Times New Roman" w:eastAsia="Times New Roman" w:hAnsi="Times New Roman"/>
                <w:sz w:val="20"/>
                <w:szCs w:val="20"/>
                <w:color w:val="auto"/>
                <w:vertAlign w:val="superscript"/>
              </w:rPr>
              <w:t>(2)</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7.66%</w:t>
            </w:r>
          </w:p>
        </w:tc>
      </w:tr>
      <w:tr>
        <w:trPr>
          <w:trHeight w:val="180"/>
        </w:trPr>
        <w:tc>
          <w:tcPr>
            <w:tcW w:w="84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Ratio/Supplemental data:</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8580" w:type="dxa"/>
            <w:vAlign w:val="bottom"/>
            <w:gridSpan w:val="2"/>
          </w:tcPr>
          <w:p>
            <w:pPr>
              <w:spacing w:after="0" w:line="181" w:lineRule="exact"/>
              <w:rPr>
                <w:sz w:val="20"/>
                <w:szCs w:val="20"/>
                <w:color w:val="auto"/>
              </w:rPr>
            </w:pPr>
            <w:r>
              <w:rPr>
                <w:rFonts w:ascii="Times New Roman" w:cs="Times New Roman" w:eastAsia="Times New Roman" w:hAnsi="Times New Roman"/>
                <w:sz w:val="13"/>
                <w:szCs w:val="13"/>
                <w:color w:val="auto"/>
              </w:rPr>
              <w:t xml:space="preserve">Ratio of expenses to average net assets </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3.82%</w:t>
            </w:r>
          </w:p>
        </w:tc>
      </w:tr>
      <w:tr>
        <w:trPr>
          <w:trHeight w:val="180"/>
        </w:trPr>
        <w:tc>
          <w:tcPr>
            <w:tcW w:w="8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 xml:space="preserve">Ratio of net investment income (loss) to average net assets </w:t>
            </w:r>
            <w:r>
              <w:rPr>
                <w:rFonts w:ascii="Times New Roman" w:cs="Times New Roman" w:eastAsia="Times New Roman" w:hAnsi="Times New Roman"/>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5.52%</w:t>
            </w:r>
          </w:p>
        </w:tc>
      </w:tr>
      <w:tr>
        <w:trPr>
          <w:trHeight w:val="331"/>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Portfolio turnover </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7.96%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r>
    </w:tbl>
    <w:p>
      <w:pPr>
        <w:ind w:left="310" w:hanging="310"/>
        <w:spacing w:after="0" w:line="202" w:lineRule="auto"/>
        <w:tabs>
          <w:tab w:leader="none" w:pos="31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per share data was derived by using the weighted average shares outstanding during the periods presented.</w:t>
      </w:r>
    </w:p>
    <w:p>
      <w:pPr>
        <w:spacing w:after="0" w:line="3" w:lineRule="exact"/>
        <w:rPr>
          <w:rFonts w:ascii="Times New Roman" w:cs="Times New Roman" w:eastAsia="Times New Roman" w:hAnsi="Times New Roman"/>
          <w:sz w:val="25"/>
          <w:szCs w:val="25"/>
          <w:color w:val="auto"/>
          <w:vertAlign w:val="superscript"/>
        </w:rPr>
      </w:pPr>
    </w:p>
    <w:p>
      <w:pPr>
        <w:jc w:val="both"/>
        <w:ind w:left="310" w:hanging="310"/>
        <w:spacing w:after="0" w:line="214" w:lineRule="auto"/>
        <w:tabs>
          <w:tab w:leader="none" w:pos="31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ind w:left="310" w:hanging="310"/>
        <w:spacing w:after="0" w:line="188" w:lineRule="auto"/>
        <w:tabs>
          <w:tab w:leader="none" w:pos="31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Ratio is not annualized.</w:t>
      </w:r>
    </w:p>
    <w:p>
      <w:pPr>
        <w:spacing w:after="0" w:line="2" w:lineRule="exact"/>
        <w:rPr>
          <w:rFonts w:ascii="Times New Roman" w:cs="Times New Roman" w:eastAsia="Times New Roman" w:hAnsi="Times New Roman"/>
          <w:sz w:val="20"/>
          <w:szCs w:val="20"/>
          <w:color w:val="auto"/>
          <w:vertAlign w:val="superscript"/>
        </w:rPr>
      </w:pPr>
    </w:p>
    <w:p>
      <w:pPr>
        <w:jc w:val="both"/>
        <w:ind w:left="310" w:hanging="310"/>
        <w:spacing w:after="0" w:line="214" w:lineRule="auto"/>
        <w:tabs>
          <w:tab w:leader="none" w:pos="31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Management monitors available taxable earnings, including net investment income and realized capital gains, to determine if a tax return of capital may occur for the tax year. To the extent the Company’s taxable earnings fall below the total amount of the Company’s distributions for that tax year, a portion of those distributions may be deemed a tax return of capital to the Company’s stockholders. The ultimate tax character of the Company’s earnings cannot be determined until tax returns are prepared after the end of the tax year. The amounts and sources of distributions reported are only estimates and are not being provided for U.S. tax reporting purposes.</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NOTE 12 — SUBSEQUENT EVENTS</w:t>
      </w:r>
    </w:p>
    <w:p>
      <w:pPr>
        <w:spacing w:after="0" w:line="192"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Loan Portfolio Acquisition</w:t>
      </w:r>
    </w:p>
    <w:p>
      <w:pPr>
        <w:spacing w:after="0" w:line="19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5"/>
          <w:szCs w:val="15"/>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5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The Loan Portfolio Acquisition will be accounted for as an asset acquisition by the Company, with the Loan Portfolio accounted for at fair value both at the acquisition date and prospectively. The transaction costs incurred by the Company for the asset acquisition were expensed as incurred, because the acquired assets consist of a loan portfolio that is accounted for prospectively at fair value. In addition to transaction costs, there were deferred offering costs associated with the issuance of equity securities which were capitalized and charged to capital upon the issuance of shares of the Company’s common stock concurrently with the completion of the Loan Portfolio Acquisition.</w:t>
      </w:r>
    </w:p>
    <w:p>
      <w:pPr>
        <w:spacing w:after="0" w:line="30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The following table sets forth certain unaudited information, as of September 28, 2024, for each debt investment added to the Company’s portfolio upon the closing of the Loan Portfolio Acquisition.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Reference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Transaction</w:t>
            </w:r>
          </w:p>
        </w:tc>
        <w:tc>
          <w:tcPr>
            <w:tcW w:w="120" w:type="dxa"/>
            <w:vAlign w:val="bottom"/>
          </w:tcPr>
          <w:p>
            <w:pPr>
              <w:spacing w:after="0"/>
              <w:rPr>
                <w:sz w:val="15"/>
                <w:szCs w:val="15"/>
                <w:color w:val="auto"/>
              </w:rPr>
            </w:pPr>
          </w:p>
        </w:tc>
      </w:tr>
      <w:tr>
        <w:trPr>
          <w:trHeight w:val="201"/>
        </w:trPr>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00" w:type="dxa"/>
            <w:vAlign w:val="bottom"/>
          </w:tcPr>
          <w:p>
            <w:pPr>
              <w:spacing w:after="0"/>
              <w:rPr>
                <w:sz w:val="17"/>
                <w:szCs w:val="17"/>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Instrument</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Floor</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Spread</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 Coupon</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Maturity</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Fair Value (k)</w:t>
            </w:r>
          </w:p>
        </w:tc>
        <w:tc>
          <w:tcPr>
            <w:tcW w:w="120" w:type="dxa"/>
            <w:vAlign w:val="bottom"/>
          </w:tcPr>
          <w:p>
            <w:pPr>
              <w:spacing w:after="0"/>
              <w:rPr>
                <w:sz w:val="17"/>
                <w:szCs w:val="17"/>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Aeriz Holdings Corp.</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1020" w:type="dxa"/>
            <w:vAlign w:val="bottom"/>
            <w:gridSpan w:val="2"/>
            <w:shd w:val="clear" w:color="auto" w:fill="CCEEFF"/>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7.00%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6.00% Cash</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16.00%(c)</w:t>
            </w:r>
          </w:p>
        </w:tc>
        <w:tc>
          <w:tcPr>
            <w:tcW w:w="980" w:type="dxa"/>
            <w:vAlign w:val="bottom"/>
            <w:gridSpan w:val="2"/>
            <w:shd w:val="clear" w:color="auto" w:fill="CCEEFF"/>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6/30/2025</w:t>
            </w:r>
          </w:p>
        </w:tc>
        <w:tc>
          <w:tcPr>
            <w:tcW w:w="1140" w:type="dxa"/>
            <w:vAlign w:val="bottom"/>
            <w:gridSpan w:val="2"/>
            <w:shd w:val="clear" w:color="auto" w:fill="CCEEFF"/>
          </w:tcPr>
          <w:p>
            <w:pPr>
              <w:jc w:val="right"/>
              <w:ind w:right="45"/>
              <w:spacing w:after="0" w:line="166" w:lineRule="exact"/>
              <w:rPr>
                <w:sz w:val="20"/>
                <w:szCs w:val="20"/>
                <w:color w:val="auto"/>
              </w:rPr>
            </w:pPr>
            <w:r>
              <w:rPr>
                <w:rFonts w:ascii="Times New Roman" w:cs="Times New Roman" w:eastAsia="Times New Roman" w:hAnsi="Times New Roman"/>
                <w:sz w:val="15"/>
                <w:szCs w:val="15"/>
                <w:color w:val="auto"/>
              </w:rPr>
              <w:t>$  10,471,115</w:t>
            </w:r>
          </w:p>
        </w:tc>
        <w:tc>
          <w:tcPr>
            <w:tcW w:w="1160" w:type="dxa"/>
            <w:vAlign w:val="bottom"/>
            <w:gridSpan w:val="2"/>
            <w:shd w:val="clear" w:color="auto" w:fill="CCEEFF"/>
          </w:tcPr>
          <w:p>
            <w:pPr>
              <w:jc w:val="right"/>
              <w:ind w:right="65"/>
              <w:spacing w:after="0" w:line="166" w:lineRule="exact"/>
              <w:rPr>
                <w:sz w:val="20"/>
                <w:szCs w:val="20"/>
                <w:color w:val="auto"/>
              </w:rPr>
            </w:pPr>
            <w:r>
              <w:rPr>
                <w:rFonts w:ascii="Times New Roman" w:cs="Times New Roman" w:eastAsia="Times New Roman" w:hAnsi="Times New Roman"/>
                <w:sz w:val="15"/>
                <w:szCs w:val="15"/>
                <w:color w:val="auto"/>
              </w:rPr>
              <w:t>$  10,400,871</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 PIK</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2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w w:val="99"/>
              </w:rPr>
              <w:t>Archos Capital Group, LLC</w:t>
            </w:r>
          </w:p>
        </w:tc>
        <w:tc>
          <w:tcPr>
            <w:tcW w:w="100" w:type="dxa"/>
            <w:vAlign w:val="bottom"/>
          </w:tcPr>
          <w:p>
            <w:pPr>
              <w:spacing w:after="0"/>
              <w:rPr>
                <w:sz w:val="14"/>
                <w:szCs w:val="14"/>
                <w:color w:val="auto"/>
              </w:rPr>
            </w:pPr>
          </w:p>
        </w:tc>
        <w:tc>
          <w:tcPr>
            <w:tcW w:w="8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1020" w:type="dxa"/>
            <w:vAlign w:val="bottom"/>
            <w:gridSpan w:val="2"/>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8.50%</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5.75% Cash</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14.25% Cash</w:t>
            </w:r>
          </w:p>
        </w:tc>
        <w:tc>
          <w:tcPr>
            <w:tcW w:w="980" w:type="dxa"/>
            <w:vAlign w:val="bottom"/>
            <w:gridSpan w:val="2"/>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12/31/2024</w:t>
            </w:r>
          </w:p>
        </w:tc>
        <w:tc>
          <w:tcPr>
            <w:tcW w:w="114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9"/>
              </w:rPr>
              <w:t>1,800,824</w:t>
            </w:r>
          </w:p>
        </w:tc>
        <w:tc>
          <w:tcPr>
            <w:tcW w:w="1160" w:type="dxa"/>
            <w:vAlign w:val="bottom"/>
            <w:gridSpan w:val="2"/>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1,812,492</w:t>
            </w:r>
          </w:p>
        </w:tc>
        <w:tc>
          <w:tcPr>
            <w:tcW w:w="120" w:type="dxa"/>
            <w:vAlign w:val="bottom"/>
          </w:tcPr>
          <w:p>
            <w:pPr>
              <w:spacing w:after="0"/>
              <w:rPr>
                <w:sz w:val="14"/>
                <w:szCs w:val="14"/>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Aura Home, Inc.</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Consumer</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4.84%(b)</w:t>
            </w:r>
          </w:p>
        </w:tc>
        <w:tc>
          <w:tcPr>
            <w:tcW w:w="1020" w:type="dxa"/>
            <w:vAlign w:val="bottom"/>
            <w:gridSpan w:val="2"/>
            <w:shd w:val="clear" w:color="auto" w:fill="CCEEFF"/>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4.00%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7.50% Cash</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12.34% Cash</w:t>
            </w:r>
          </w:p>
        </w:tc>
        <w:tc>
          <w:tcPr>
            <w:tcW w:w="980" w:type="dxa"/>
            <w:vAlign w:val="bottom"/>
            <w:gridSpan w:val="2"/>
            <w:shd w:val="clear" w:color="auto" w:fill="CCEEFF"/>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9/22/2025</w:t>
            </w:r>
          </w:p>
        </w:tc>
        <w:tc>
          <w:tcPr>
            <w:tcW w:w="114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9"/>
              </w:rPr>
              <w:t>3,325,000</w:t>
            </w:r>
          </w:p>
        </w:tc>
        <w:tc>
          <w:tcPr>
            <w:tcW w:w="1160" w:type="dxa"/>
            <w:vAlign w:val="bottom"/>
            <w:gridSpan w:val="2"/>
            <w:shd w:val="clear" w:color="auto" w:fill="CCEEFF"/>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3,275,125</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Products</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Deep Roots Harvest, Inc.</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1020" w:type="dxa"/>
            <w:vAlign w:val="bottom"/>
            <w:gridSpan w:val="2"/>
            <w:shd w:val="clear" w:color="auto" w:fill="CCEEFF"/>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8.00%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6.50% Cash</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14.50% Cash</w:t>
            </w:r>
          </w:p>
        </w:tc>
        <w:tc>
          <w:tcPr>
            <w:tcW w:w="980" w:type="dxa"/>
            <w:vAlign w:val="bottom"/>
            <w:gridSpan w:val="2"/>
            <w:shd w:val="clear" w:color="auto" w:fill="CCEEFF"/>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8/15/2027</w:t>
            </w:r>
          </w:p>
        </w:tc>
        <w:tc>
          <w:tcPr>
            <w:tcW w:w="114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9"/>
              </w:rPr>
              <w:t>5,000,000</w:t>
            </w:r>
          </w:p>
        </w:tc>
        <w:tc>
          <w:tcPr>
            <w:tcW w:w="1160" w:type="dxa"/>
            <w:vAlign w:val="bottom"/>
            <w:gridSpan w:val="2"/>
            <w:shd w:val="clear" w:color="auto" w:fill="CCEEFF"/>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4,850,000</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Unfunded</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2"/>
        </w:trPr>
        <w:tc>
          <w:tcPr>
            <w:tcW w:w="182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Dreamfields Brands, Inc.</w:t>
            </w:r>
          </w:p>
        </w:tc>
        <w:tc>
          <w:tcPr>
            <w:tcW w:w="100" w:type="dxa"/>
            <w:vAlign w:val="bottom"/>
          </w:tcPr>
          <w:p>
            <w:pPr>
              <w:spacing w:after="0"/>
              <w:rPr>
                <w:sz w:val="14"/>
                <w:szCs w:val="14"/>
                <w:color w:val="auto"/>
              </w:rPr>
            </w:pPr>
          </w:p>
        </w:tc>
        <w:tc>
          <w:tcPr>
            <w:tcW w:w="8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tcPr>
          <w:p>
            <w:pPr>
              <w:spacing w:after="0"/>
              <w:rPr>
                <w:sz w:val="14"/>
                <w:szCs w:val="14"/>
                <w:color w:val="auto"/>
              </w:rPr>
            </w:pPr>
          </w:p>
        </w:tc>
        <w:tc>
          <w:tcPr>
            <w:tcW w:w="9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1020" w:type="dxa"/>
            <w:vAlign w:val="bottom"/>
            <w:gridSpan w:val="2"/>
          </w:tcPr>
          <w:p>
            <w:pPr>
              <w:jc w:val="center"/>
              <w:ind w:left="5"/>
              <w:spacing w:after="0" w:line="161" w:lineRule="exact"/>
              <w:rPr>
                <w:sz w:val="20"/>
                <w:szCs w:val="20"/>
                <w:color w:val="auto"/>
              </w:rPr>
            </w:pPr>
            <w:r>
              <w:rPr>
                <w:rFonts w:ascii="Times New Roman" w:cs="Times New Roman" w:eastAsia="Times New Roman" w:hAnsi="Times New Roman"/>
                <w:sz w:val="15"/>
                <w:szCs w:val="15"/>
                <w:color w:val="auto"/>
                <w:w w:val="97"/>
              </w:rPr>
              <w:t>7.50%</w:t>
            </w:r>
          </w:p>
        </w:tc>
        <w:tc>
          <w:tcPr>
            <w:tcW w:w="100" w:type="dxa"/>
            <w:vAlign w:val="bottom"/>
          </w:tcPr>
          <w:p>
            <w:pPr>
              <w:spacing w:after="0"/>
              <w:rPr>
                <w:sz w:val="14"/>
                <w:szCs w:val="14"/>
                <w:color w:val="auto"/>
              </w:rPr>
            </w:pPr>
          </w:p>
        </w:tc>
        <w:tc>
          <w:tcPr>
            <w:tcW w:w="9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8.75% Cash</w:t>
            </w:r>
          </w:p>
        </w:tc>
        <w:tc>
          <w:tcPr>
            <w:tcW w:w="100" w:type="dxa"/>
            <w:vAlign w:val="bottom"/>
          </w:tcPr>
          <w:p>
            <w:pPr>
              <w:spacing w:after="0"/>
              <w:rPr>
                <w:sz w:val="14"/>
                <w:szCs w:val="14"/>
                <w:color w:val="auto"/>
              </w:rPr>
            </w:pPr>
          </w:p>
        </w:tc>
        <w:tc>
          <w:tcPr>
            <w:tcW w:w="9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16.75% Cash</w:t>
            </w:r>
          </w:p>
        </w:tc>
        <w:tc>
          <w:tcPr>
            <w:tcW w:w="980" w:type="dxa"/>
            <w:vAlign w:val="bottom"/>
            <w:gridSpan w:val="2"/>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rPr>
              <w:t>5/3/2026</w:t>
            </w:r>
          </w:p>
        </w:tc>
        <w:tc>
          <w:tcPr>
            <w:tcW w:w="1140" w:type="dxa"/>
            <w:vAlign w:val="bottom"/>
            <w:gridSpan w:val="2"/>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rPr>
              <w:t>23,550,000</w:t>
            </w:r>
          </w:p>
        </w:tc>
        <w:tc>
          <w:tcPr>
            <w:tcW w:w="1160" w:type="dxa"/>
            <w:vAlign w:val="bottom"/>
            <w:gridSpan w:val="2"/>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w w:val="97"/>
              </w:rPr>
              <w:t>23,865,963</w:t>
            </w:r>
          </w:p>
        </w:tc>
        <w:tc>
          <w:tcPr>
            <w:tcW w:w="120" w:type="dxa"/>
            <w:vAlign w:val="bottom"/>
          </w:tcPr>
          <w:p>
            <w:pPr>
              <w:spacing w:after="0"/>
              <w:rPr>
                <w:sz w:val="14"/>
                <w:szCs w:val="14"/>
                <w:color w:val="auto"/>
              </w:rPr>
            </w:pPr>
          </w:p>
        </w:tc>
      </w:tr>
      <w:tr>
        <w:trPr>
          <w:trHeight w:val="184"/>
        </w:trPr>
        <w:tc>
          <w:tcPr>
            <w:tcW w:w="18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(Jeeter)</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Elevation Cannabis, LLC</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1020" w:type="dxa"/>
            <w:vAlign w:val="bottom"/>
            <w:gridSpan w:val="2"/>
            <w:shd w:val="clear" w:color="auto" w:fill="CCEEFF"/>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8.50%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7.75% Cash</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16.25% Cash</w:t>
            </w:r>
          </w:p>
        </w:tc>
        <w:tc>
          <w:tcPr>
            <w:tcW w:w="980" w:type="dxa"/>
            <w:vAlign w:val="bottom"/>
            <w:gridSpan w:val="2"/>
            <w:shd w:val="clear" w:color="auto" w:fill="CCEEFF"/>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12/31/2026</w:t>
            </w:r>
          </w:p>
        </w:tc>
        <w:tc>
          <w:tcPr>
            <w:tcW w:w="114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rPr>
              <w:t>14,750,000</w:t>
            </w:r>
          </w:p>
        </w:tc>
        <w:tc>
          <w:tcPr>
            <w:tcW w:w="116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7"/>
              </w:rPr>
              <w:t>14,500,582</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2"/>
        </w:trPr>
        <w:tc>
          <w:tcPr>
            <w:tcW w:w="182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Flowery – Bill’s Nursery,</w:t>
            </w:r>
          </w:p>
        </w:tc>
        <w:tc>
          <w:tcPr>
            <w:tcW w:w="100" w:type="dxa"/>
            <w:vAlign w:val="bottom"/>
          </w:tcPr>
          <w:p>
            <w:pPr>
              <w:spacing w:after="0"/>
              <w:rPr>
                <w:sz w:val="14"/>
                <w:szCs w:val="14"/>
                <w:color w:val="auto"/>
              </w:rPr>
            </w:pPr>
          </w:p>
        </w:tc>
        <w:tc>
          <w:tcPr>
            <w:tcW w:w="8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tcPr>
          <w:p>
            <w:pPr>
              <w:spacing w:after="0"/>
              <w:rPr>
                <w:sz w:val="14"/>
                <w:szCs w:val="14"/>
                <w:color w:val="auto"/>
              </w:rPr>
            </w:pPr>
          </w:p>
        </w:tc>
        <w:tc>
          <w:tcPr>
            <w:tcW w:w="9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Fixed</w:t>
            </w:r>
          </w:p>
        </w:tc>
        <w:tc>
          <w:tcPr>
            <w:tcW w:w="100" w:type="dxa"/>
            <w:vAlign w:val="bottom"/>
          </w:tcPr>
          <w:p>
            <w:pPr>
              <w:spacing w:after="0"/>
              <w:rPr>
                <w:sz w:val="14"/>
                <w:szCs w:val="14"/>
                <w:color w:val="auto"/>
              </w:rPr>
            </w:pPr>
          </w:p>
        </w:tc>
        <w:tc>
          <w:tcPr>
            <w:tcW w:w="9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n/a</w:t>
            </w:r>
          </w:p>
        </w:tc>
        <w:tc>
          <w:tcPr>
            <w:tcW w:w="100" w:type="dxa"/>
            <w:vAlign w:val="bottom"/>
          </w:tcPr>
          <w:p>
            <w:pPr>
              <w:spacing w:after="0"/>
              <w:rPr>
                <w:sz w:val="14"/>
                <w:szCs w:val="14"/>
                <w:color w:val="auto"/>
              </w:rPr>
            </w:pPr>
          </w:p>
        </w:tc>
        <w:tc>
          <w:tcPr>
            <w:tcW w:w="9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n/a</w:t>
            </w:r>
          </w:p>
        </w:tc>
        <w:tc>
          <w:tcPr>
            <w:tcW w:w="100" w:type="dxa"/>
            <w:vAlign w:val="bottom"/>
          </w:tcPr>
          <w:p>
            <w:pPr>
              <w:spacing w:after="0"/>
              <w:rPr>
                <w:sz w:val="14"/>
                <w:szCs w:val="14"/>
                <w:color w:val="auto"/>
              </w:rPr>
            </w:pPr>
          </w:p>
        </w:tc>
        <w:tc>
          <w:tcPr>
            <w:tcW w:w="9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11.00% Cash</w:t>
            </w:r>
          </w:p>
        </w:tc>
        <w:tc>
          <w:tcPr>
            <w:tcW w:w="980" w:type="dxa"/>
            <w:vAlign w:val="bottom"/>
            <w:gridSpan w:val="2"/>
          </w:tcPr>
          <w:p>
            <w:pPr>
              <w:jc w:val="center"/>
              <w:ind w:left="25"/>
              <w:spacing w:after="0" w:line="161" w:lineRule="exact"/>
              <w:rPr>
                <w:sz w:val="20"/>
                <w:szCs w:val="20"/>
                <w:color w:val="auto"/>
              </w:rPr>
            </w:pPr>
            <w:r>
              <w:rPr>
                <w:rFonts w:ascii="Times New Roman" w:cs="Times New Roman" w:eastAsia="Times New Roman" w:hAnsi="Times New Roman"/>
                <w:sz w:val="15"/>
                <w:szCs w:val="15"/>
                <w:color w:val="auto"/>
                <w:w w:val="99"/>
              </w:rPr>
              <w:t>12/31/2025</w:t>
            </w:r>
          </w:p>
        </w:tc>
        <w:tc>
          <w:tcPr>
            <w:tcW w:w="1140" w:type="dxa"/>
            <w:vAlign w:val="bottom"/>
            <w:gridSpan w:val="2"/>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w w:val="99"/>
              </w:rPr>
              <w:t>9,494,063</w:t>
            </w:r>
          </w:p>
        </w:tc>
        <w:tc>
          <w:tcPr>
            <w:tcW w:w="1160" w:type="dxa"/>
            <w:vAlign w:val="bottom"/>
            <w:gridSpan w:val="2"/>
          </w:tcPr>
          <w:p>
            <w:pPr>
              <w:jc w:val="center"/>
              <w:ind w:left="165"/>
              <w:spacing w:after="0" w:line="161" w:lineRule="exact"/>
              <w:rPr>
                <w:sz w:val="20"/>
                <w:szCs w:val="20"/>
                <w:color w:val="auto"/>
              </w:rPr>
            </w:pPr>
            <w:r>
              <w:rPr>
                <w:rFonts w:ascii="Times New Roman" w:cs="Times New Roman" w:eastAsia="Times New Roman" w:hAnsi="Times New Roman"/>
                <w:sz w:val="15"/>
                <w:szCs w:val="15"/>
                <w:color w:val="auto"/>
                <w:w w:val="99"/>
              </w:rPr>
              <w:t>9,568,960</w:t>
            </w:r>
          </w:p>
        </w:tc>
        <w:tc>
          <w:tcPr>
            <w:tcW w:w="120" w:type="dxa"/>
            <w:vAlign w:val="bottom"/>
          </w:tcPr>
          <w:p>
            <w:pPr>
              <w:spacing w:after="0"/>
              <w:rPr>
                <w:sz w:val="14"/>
                <w:szCs w:val="14"/>
                <w:color w:val="auto"/>
              </w:rPr>
            </w:pPr>
          </w:p>
        </w:tc>
      </w:tr>
      <w:tr>
        <w:trPr>
          <w:trHeight w:val="184"/>
        </w:trPr>
        <w:tc>
          <w:tcPr>
            <w:tcW w:w="18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Inc.</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5.00% PIK</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HA-MD, LLC</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Fixed</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n/a</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n/a</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15.00% Cash</w:t>
            </w:r>
          </w:p>
        </w:tc>
        <w:tc>
          <w:tcPr>
            <w:tcW w:w="980" w:type="dxa"/>
            <w:vAlign w:val="bottom"/>
            <w:gridSpan w:val="2"/>
            <w:shd w:val="clear" w:color="auto" w:fill="CCEEFF"/>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6/6/2026</w:t>
            </w:r>
          </w:p>
        </w:tc>
        <w:tc>
          <w:tcPr>
            <w:tcW w:w="114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9"/>
              </w:rPr>
              <w:t>3,395,000</w:t>
            </w:r>
          </w:p>
        </w:tc>
        <w:tc>
          <w:tcPr>
            <w:tcW w:w="1160" w:type="dxa"/>
            <w:vAlign w:val="bottom"/>
            <w:gridSpan w:val="2"/>
            <w:shd w:val="clear" w:color="auto" w:fill="CCEEFF"/>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3,436,023</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2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Hartford Gold Group, LLC</w:t>
            </w:r>
          </w:p>
        </w:tc>
        <w:tc>
          <w:tcPr>
            <w:tcW w:w="100" w:type="dxa"/>
            <w:vAlign w:val="bottom"/>
          </w:tcPr>
          <w:p>
            <w:pPr>
              <w:spacing w:after="0"/>
              <w:rPr>
                <w:sz w:val="14"/>
                <w:szCs w:val="14"/>
                <w:color w:val="auto"/>
              </w:rPr>
            </w:pPr>
          </w:p>
        </w:tc>
        <w:tc>
          <w:tcPr>
            <w:tcW w:w="8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Precious</w:t>
            </w:r>
          </w:p>
        </w:tc>
        <w:tc>
          <w:tcPr>
            <w:tcW w:w="96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4.84%(b)</w:t>
            </w:r>
          </w:p>
        </w:tc>
        <w:tc>
          <w:tcPr>
            <w:tcW w:w="1020" w:type="dxa"/>
            <w:vAlign w:val="bottom"/>
            <w:gridSpan w:val="2"/>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1.50%</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9.85% Cash</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14.69% Cash</w:t>
            </w:r>
          </w:p>
        </w:tc>
        <w:tc>
          <w:tcPr>
            <w:tcW w:w="980" w:type="dxa"/>
            <w:vAlign w:val="bottom"/>
            <w:gridSpan w:val="2"/>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11/30/2024</w:t>
            </w:r>
          </w:p>
        </w:tc>
        <w:tc>
          <w:tcPr>
            <w:tcW w:w="114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6"/>
              </w:rPr>
              <w:t>91,043</w:t>
            </w:r>
          </w:p>
        </w:tc>
        <w:tc>
          <w:tcPr>
            <w:tcW w:w="116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rPr>
              <w:t>92,146</w:t>
            </w:r>
          </w:p>
        </w:tc>
        <w:tc>
          <w:tcPr>
            <w:tcW w:w="120" w:type="dxa"/>
            <w:vAlign w:val="bottom"/>
          </w:tcPr>
          <w:p>
            <w:pPr>
              <w:spacing w:after="0"/>
              <w:rPr>
                <w:sz w:val="14"/>
                <w:szCs w:val="14"/>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Metals</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Hartford Gold Group, LLC</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Precious</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4.84%(b)</w:t>
            </w:r>
          </w:p>
        </w:tc>
        <w:tc>
          <w:tcPr>
            <w:tcW w:w="1020" w:type="dxa"/>
            <w:vAlign w:val="bottom"/>
            <w:gridSpan w:val="2"/>
            <w:shd w:val="clear" w:color="auto" w:fill="CCEEFF"/>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1.50%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9.85% Cash</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14.69% Cash</w:t>
            </w:r>
          </w:p>
        </w:tc>
        <w:tc>
          <w:tcPr>
            <w:tcW w:w="980" w:type="dxa"/>
            <w:vAlign w:val="bottom"/>
            <w:gridSpan w:val="2"/>
            <w:shd w:val="clear" w:color="auto" w:fill="CCEEFF"/>
          </w:tcPr>
          <w:p>
            <w:pPr>
              <w:jc w:val="center"/>
              <w:ind w:left="25"/>
              <w:spacing w:after="0" w:line="166" w:lineRule="exact"/>
              <w:rPr>
                <w:sz w:val="20"/>
                <w:szCs w:val="20"/>
                <w:color w:val="auto"/>
              </w:rPr>
            </w:pPr>
            <w:r>
              <w:rPr>
                <w:rFonts w:ascii="Times New Roman" w:cs="Times New Roman" w:eastAsia="Times New Roman" w:hAnsi="Times New Roman"/>
                <w:sz w:val="15"/>
                <w:szCs w:val="15"/>
                <w:color w:val="auto"/>
                <w:w w:val="99"/>
              </w:rPr>
              <w:t>12/17/2025</w:t>
            </w:r>
          </w:p>
        </w:tc>
        <w:tc>
          <w:tcPr>
            <w:tcW w:w="114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8"/>
              </w:rPr>
              <w:t>543,132</w:t>
            </w:r>
          </w:p>
        </w:tc>
        <w:tc>
          <w:tcPr>
            <w:tcW w:w="116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rPr>
              <w:t>527,991</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Metals</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2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Hartford Gold Group, LLC</w:t>
            </w:r>
          </w:p>
        </w:tc>
        <w:tc>
          <w:tcPr>
            <w:tcW w:w="100" w:type="dxa"/>
            <w:vAlign w:val="bottom"/>
          </w:tcPr>
          <w:p>
            <w:pPr>
              <w:spacing w:after="0"/>
              <w:rPr>
                <w:sz w:val="14"/>
                <w:szCs w:val="14"/>
                <w:color w:val="auto"/>
              </w:rPr>
            </w:pPr>
          </w:p>
        </w:tc>
        <w:tc>
          <w:tcPr>
            <w:tcW w:w="8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Precious</w:t>
            </w:r>
          </w:p>
        </w:tc>
        <w:tc>
          <w:tcPr>
            <w:tcW w:w="96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4.84%(b)</w:t>
            </w:r>
          </w:p>
        </w:tc>
        <w:tc>
          <w:tcPr>
            <w:tcW w:w="1020" w:type="dxa"/>
            <w:vAlign w:val="bottom"/>
            <w:gridSpan w:val="2"/>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1.50%</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9.85% Cash</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14.69% Cash</w:t>
            </w:r>
          </w:p>
        </w:tc>
        <w:tc>
          <w:tcPr>
            <w:tcW w:w="980" w:type="dxa"/>
            <w:vAlign w:val="bottom"/>
            <w:gridSpan w:val="2"/>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1/6/2027</w:t>
            </w:r>
          </w:p>
        </w:tc>
        <w:tc>
          <w:tcPr>
            <w:tcW w:w="114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9"/>
              </w:rPr>
              <w:t>1,927,965</w:t>
            </w:r>
          </w:p>
        </w:tc>
        <w:tc>
          <w:tcPr>
            <w:tcW w:w="1160" w:type="dxa"/>
            <w:vAlign w:val="bottom"/>
            <w:gridSpan w:val="2"/>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1,671,784</w:t>
            </w:r>
          </w:p>
        </w:tc>
        <w:tc>
          <w:tcPr>
            <w:tcW w:w="120" w:type="dxa"/>
            <w:vAlign w:val="bottom"/>
          </w:tcPr>
          <w:p>
            <w:pPr>
              <w:spacing w:after="0"/>
              <w:rPr>
                <w:sz w:val="14"/>
                <w:szCs w:val="14"/>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Metals</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Minden Holdings, LLC</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Real Estate</w:t>
            </w:r>
          </w:p>
        </w:tc>
        <w:tc>
          <w:tcPr>
            <w:tcW w:w="96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n/a</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7.25% Cash</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15.25% Cash</w:t>
            </w:r>
          </w:p>
        </w:tc>
        <w:tc>
          <w:tcPr>
            <w:tcW w:w="980" w:type="dxa"/>
            <w:vAlign w:val="bottom"/>
            <w:gridSpan w:val="2"/>
            <w:shd w:val="clear" w:color="auto" w:fill="CCEEFF"/>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5/31/2026</w:t>
            </w:r>
          </w:p>
        </w:tc>
        <w:tc>
          <w:tcPr>
            <w:tcW w:w="1140" w:type="dxa"/>
            <w:vAlign w:val="bottom"/>
            <w:gridSpan w:val="2"/>
            <w:shd w:val="clear" w:color="auto" w:fill="CCEEFF"/>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9"/>
              </w:rPr>
              <w:t>3,000,000</w:t>
            </w:r>
          </w:p>
        </w:tc>
        <w:tc>
          <w:tcPr>
            <w:tcW w:w="1160" w:type="dxa"/>
            <w:vAlign w:val="bottom"/>
            <w:gridSpan w:val="2"/>
            <w:shd w:val="clear" w:color="auto" w:fill="CCEEFF"/>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3,038,063</w:t>
            </w:r>
          </w:p>
        </w:tc>
        <w:tc>
          <w:tcPr>
            <w:tcW w:w="120" w:type="dxa"/>
            <w:vAlign w:val="bottom"/>
            <w:shd w:val="clear" w:color="auto" w:fill="CCEEFF"/>
          </w:tcPr>
          <w:p>
            <w:pPr>
              <w:spacing w:after="0"/>
              <w:rPr>
                <w:sz w:val="14"/>
                <w:szCs w:val="14"/>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2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Nova Farms, LLC</w:t>
            </w:r>
          </w:p>
        </w:tc>
        <w:tc>
          <w:tcPr>
            <w:tcW w:w="100" w:type="dxa"/>
            <w:vAlign w:val="bottom"/>
          </w:tcPr>
          <w:p>
            <w:pPr>
              <w:spacing w:after="0"/>
              <w:rPr>
                <w:sz w:val="14"/>
                <w:szCs w:val="14"/>
                <w:color w:val="auto"/>
              </w:rPr>
            </w:pPr>
          </w:p>
        </w:tc>
        <w:tc>
          <w:tcPr>
            <w:tcW w:w="8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96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 w:type="dxa"/>
            <w:vAlign w:val="bottom"/>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1020" w:type="dxa"/>
            <w:vAlign w:val="bottom"/>
            <w:gridSpan w:val="2"/>
          </w:tcPr>
          <w:p>
            <w:pPr>
              <w:jc w:val="center"/>
              <w:ind w:left="5"/>
              <w:spacing w:after="0" w:line="166" w:lineRule="exact"/>
              <w:rPr>
                <w:sz w:val="20"/>
                <w:szCs w:val="20"/>
                <w:color w:val="auto"/>
              </w:rPr>
            </w:pPr>
            <w:r>
              <w:rPr>
                <w:rFonts w:ascii="Times New Roman" w:cs="Times New Roman" w:eastAsia="Times New Roman" w:hAnsi="Times New Roman"/>
                <w:sz w:val="15"/>
                <w:szCs w:val="15"/>
                <w:color w:val="auto"/>
                <w:w w:val="97"/>
              </w:rPr>
              <w:t>8.50%</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6.50% Cash</w:t>
            </w:r>
          </w:p>
        </w:tc>
        <w:tc>
          <w:tcPr>
            <w:tcW w:w="100" w:type="dxa"/>
            <w:vAlign w:val="bottom"/>
          </w:tcPr>
          <w:p>
            <w:pPr>
              <w:spacing w:after="0"/>
              <w:rPr>
                <w:sz w:val="14"/>
                <w:szCs w:val="14"/>
                <w:color w:val="auto"/>
              </w:rPr>
            </w:pPr>
          </w:p>
        </w:tc>
        <w:tc>
          <w:tcPr>
            <w:tcW w:w="9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15.00% Cash</w:t>
            </w:r>
          </w:p>
        </w:tc>
        <w:tc>
          <w:tcPr>
            <w:tcW w:w="980" w:type="dxa"/>
            <w:vAlign w:val="bottom"/>
            <w:gridSpan w:val="2"/>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3/28/2027</w:t>
            </w:r>
          </w:p>
        </w:tc>
        <w:tc>
          <w:tcPr>
            <w:tcW w:w="114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rPr>
              <w:t>16,050,000</w:t>
            </w:r>
          </w:p>
        </w:tc>
        <w:tc>
          <w:tcPr>
            <w:tcW w:w="116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7"/>
              </w:rPr>
              <w:t>15,017,271</w:t>
            </w:r>
          </w:p>
        </w:tc>
        <w:tc>
          <w:tcPr>
            <w:tcW w:w="120" w:type="dxa"/>
            <w:vAlign w:val="bottom"/>
          </w:tcPr>
          <w:p>
            <w:pPr>
              <w:spacing w:after="0"/>
              <w:rPr>
                <w:sz w:val="14"/>
                <w:szCs w:val="14"/>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9"/>
              </w:rPr>
              <w:t>Secured Term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114935</wp:posOffset>
            </wp:positionV>
            <wp:extent cx="7155180" cy="2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26670"/>
                    </a:xfrm>
                    <a:prstGeom prst="rect">
                      <a:avLst/>
                    </a:prstGeom>
                    <a:noFill/>
                  </pic:spPr>
                </pic:pic>
              </a:graphicData>
            </a:graphic>
          </wp:anchor>
        </w:drawing>
      </w:r>
    </w:p>
    <w:p>
      <w:pPr>
        <w:sectPr>
          <w:pgSz w:w="11900" w:h="16838" w:orient="portrait"/>
          <w:cols w:equalWidth="0" w:num="1">
            <w:col w:w="11260"/>
          </w:cols>
          <w:pgMar w:left="320" w:top="120" w:right="319" w:bottom="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172"/>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Oasis – AZ GOAT AZ LLC</w:t>
            </w: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Cannabis</w:t>
            </w: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8.00%</w:t>
            </w:r>
          </w:p>
        </w:tc>
        <w:tc>
          <w:tcPr>
            <w:tcW w:w="11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9"/>
              </w:rPr>
              <w:t>7.50% Cash</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15.50% Cash</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3/31/2026</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5,400,000</w:t>
            </w:r>
          </w:p>
        </w:tc>
        <w:tc>
          <w:tcPr>
            <w:tcW w:w="1160" w:type="dxa"/>
            <w:vAlign w:val="bottom"/>
            <w:gridSpan w:val="2"/>
            <w:shd w:val="clear" w:color="auto" w:fill="CCEEFF"/>
          </w:tcPr>
          <w:p>
            <w:pPr>
              <w:jc w:val="center"/>
              <w:ind w:left="165"/>
              <w:spacing w:after="0"/>
              <w:rPr>
                <w:sz w:val="20"/>
                <w:szCs w:val="20"/>
                <w:color w:val="auto"/>
              </w:rPr>
            </w:pPr>
            <w:r>
              <w:rPr>
                <w:rFonts w:ascii="Times New Roman" w:cs="Times New Roman" w:eastAsia="Times New Roman" w:hAnsi="Times New Roman"/>
                <w:sz w:val="15"/>
                <w:szCs w:val="15"/>
                <w:color w:val="auto"/>
                <w:w w:val="99"/>
              </w:rPr>
              <w:t>5,388,600</w:t>
            </w: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4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Proper Holdings, LLC</w:t>
            </w:r>
          </w:p>
        </w:tc>
        <w:tc>
          <w:tcPr>
            <w:tcW w:w="960" w:type="dxa"/>
            <w:vAlign w:val="bottom"/>
          </w:tcPr>
          <w:p>
            <w:pPr>
              <w:ind w:left="80"/>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10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Fixed</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n/a</w:t>
            </w:r>
          </w:p>
        </w:tc>
        <w:tc>
          <w:tcPr>
            <w:tcW w:w="1120" w:type="dxa"/>
            <w:vAlign w:val="bottom"/>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rPr>
              <w:t>n/a</w:t>
            </w:r>
          </w:p>
        </w:tc>
        <w:tc>
          <w:tcPr>
            <w:tcW w:w="10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11.00% Cash</w:t>
            </w:r>
          </w:p>
        </w:tc>
        <w:tc>
          <w:tcPr>
            <w:tcW w:w="10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rPr>
              <w:t>5/30/2025</w:t>
            </w:r>
          </w:p>
        </w:tc>
        <w:tc>
          <w:tcPr>
            <w:tcW w:w="140" w:type="dxa"/>
            <w:vAlign w:val="bottom"/>
          </w:tcPr>
          <w:p>
            <w:pPr>
              <w:spacing w:after="0"/>
              <w:rPr>
                <w:sz w:val="14"/>
                <w:szCs w:val="14"/>
                <w:color w:val="auto"/>
              </w:rPr>
            </w:pPr>
          </w:p>
        </w:tc>
        <w:tc>
          <w:tcPr>
            <w:tcW w:w="90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4,544,484</w:t>
            </w:r>
          </w:p>
        </w:tc>
        <w:tc>
          <w:tcPr>
            <w:tcW w:w="1160" w:type="dxa"/>
            <w:vAlign w:val="bottom"/>
            <w:gridSpan w:val="2"/>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4,592,075</w:t>
            </w:r>
          </w:p>
        </w:tc>
        <w:tc>
          <w:tcPr>
            <w:tcW w:w="120" w:type="dxa"/>
            <w:vAlign w:val="bottom"/>
          </w:tcPr>
          <w:p>
            <w:pPr>
              <w:spacing w:after="0"/>
              <w:rPr>
                <w:sz w:val="14"/>
                <w:szCs w:val="14"/>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2.00% PIK</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Protect Animals With</w:t>
            </w:r>
          </w:p>
        </w:tc>
        <w:tc>
          <w:tcPr>
            <w:tcW w:w="96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5"/>
                <w:szCs w:val="15"/>
                <w:color w:val="auto"/>
              </w:rPr>
              <w:t>Consumer</w:t>
            </w:r>
          </w:p>
        </w:tc>
        <w:tc>
          <w:tcPr>
            <w:tcW w:w="10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shd w:val="clear" w:color="auto" w:fill="CCEEFF"/>
          </w:tcPr>
          <w:p>
            <w:pPr>
              <w:jc w:val="center"/>
              <w:ind w:right="25"/>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8.50%</w:t>
            </w:r>
          </w:p>
        </w:tc>
        <w:tc>
          <w:tcPr>
            <w:tcW w:w="1120" w:type="dxa"/>
            <w:vAlign w:val="bottom"/>
            <w:shd w:val="clear" w:color="auto" w:fill="CCEEFF"/>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1.75% Cash</w:t>
            </w:r>
          </w:p>
        </w:tc>
        <w:tc>
          <w:tcPr>
            <w:tcW w:w="10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13.25%(e)</w:t>
            </w:r>
          </w:p>
        </w:tc>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8"/>
              </w:rPr>
              <w:t>11/1/2026</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3,687,984</w:t>
            </w:r>
          </w:p>
        </w:tc>
        <w:tc>
          <w:tcPr>
            <w:tcW w:w="1160" w:type="dxa"/>
            <w:vAlign w:val="bottom"/>
            <w:gridSpan w:val="2"/>
            <w:shd w:val="clear" w:color="auto" w:fill="CCEEFF"/>
          </w:tcPr>
          <w:p>
            <w:pPr>
              <w:jc w:val="center"/>
              <w:ind w:left="165"/>
              <w:spacing w:after="0" w:line="161" w:lineRule="exact"/>
              <w:rPr>
                <w:sz w:val="20"/>
                <w:szCs w:val="20"/>
                <w:color w:val="auto"/>
              </w:rPr>
            </w:pPr>
            <w:r>
              <w:rPr>
                <w:rFonts w:ascii="Times New Roman" w:cs="Times New Roman" w:eastAsia="Times New Roman" w:hAnsi="Times New Roman"/>
                <w:sz w:val="15"/>
                <w:szCs w:val="15"/>
                <w:color w:val="auto"/>
                <w:w w:val="99"/>
              </w:rPr>
              <w:t>3,450,749</w:t>
            </w:r>
          </w:p>
        </w:tc>
        <w:tc>
          <w:tcPr>
            <w:tcW w:w="120" w:type="dxa"/>
            <w:vAlign w:val="bottom"/>
            <w:shd w:val="clear" w:color="auto" w:fill="CCEEFF"/>
          </w:tcPr>
          <w:p>
            <w:pPr>
              <w:spacing w:after="0"/>
              <w:rPr>
                <w:sz w:val="14"/>
                <w:szCs w:val="14"/>
                <w:color w:val="auto"/>
              </w:rPr>
            </w:pPr>
          </w:p>
        </w:tc>
      </w:tr>
      <w:tr>
        <w:trPr>
          <w:trHeight w:val="180"/>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Satellites LLC (Halo</w:t>
            </w: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Products</w:t>
            </w: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3.00% PIK</w:t>
            </w: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4"/>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Collar)</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1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2"/>
        </w:trPr>
        <w:tc>
          <w:tcPr>
            <w:tcW w:w="18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Protect Animals With</w:t>
            </w:r>
          </w:p>
        </w:tc>
        <w:tc>
          <w:tcPr>
            <w:tcW w:w="960" w:type="dxa"/>
            <w:vAlign w:val="bottom"/>
          </w:tcPr>
          <w:p>
            <w:pPr>
              <w:ind w:left="80"/>
              <w:spacing w:after="0" w:line="161" w:lineRule="exact"/>
              <w:rPr>
                <w:sz w:val="20"/>
                <w:szCs w:val="20"/>
                <w:color w:val="auto"/>
              </w:rPr>
            </w:pPr>
            <w:r>
              <w:rPr>
                <w:rFonts w:ascii="Times New Roman" w:cs="Times New Roman" w:eastAsia="Times New Roman" w:hAnsi="Times New Roman"/>
                <w:sz w:val="15"/>
                <w:szCs w:val="15"/>
                <w:color w:val="auto"/>
              </w:rPr>
              <w:t>Consumer</w:t>
            </w:r>
          </w:p>
        </w:tc>
        <w:tc>
          <w:tcPr>
            <w:tcW w:w="10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Incremental</w:t>
            </w:r>
          </w:p>
        </w:tc>
        <w:tc>
          <w:tcPr>
            <w:tcW w:w="1000" w:type="dxa"/>
            <w:vAlign w:val="bottom"/>
          </w:tcPr>
          <w:p>
            <w:pPr>
              <w:jc w:val="center"/>
              <w:ind w:right="25"/>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8.50%</w:t>
            </w:r>
          </w:p>
        </w:tc>
        <w:tc>
          <w:tcPr>
            <w:tcW w:w="1120" w:type="dxa"/>
            <w:vAlign w:val="bottom"/>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1.75% Cash</w:t>
            </w:r>
          </w:p>
        </w:tc>
        <w:tc>
          <w:tcPr>
            <w:tcW w:w="10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13.25%(e)</w:t>
            </w:r>
          </w:p>
        </w:tc>
        <w:tc>
          <w:tcPr>
            <w:tcW w:w="10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8"/>
              </w:rPr>
              <w:t>11/1/2026</w:t>
            </w:r>
          </w:p>
        </w:tc>
        <w:tc>
          <w:tcPr>
            <w:tcW w:w="140" w:type="dxa"/>
            <w:vAlign w:val="bottom"/>
          </w:tcPr>
          <w:p>
            <w:pPr>
              <w:spacing w:after="0"/>
              <w:rPr>
                <w:sz w:val="14"/>
                <w:szCs w:val="14"/>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2,000,000</w:t>
            </w:r>
          </w:p>
        </w:tc>
        <w:tc>
          <w:tcPr>
            <w:tcW w:w="1160" w:type="dxa"/>
            <w:vAlign w:val="bottom"/>
            <w:gridSpan w:val="2"/>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w w:val="96"/>
              </w:rPr>
              <w:t>1,870,611</w:t>
            </w:r>
          </w:p>
        </w:tc>
        <w:tc>
          <w:tcPr>
            <w:tcW w:w="120" w:type="dxa"/>
            <w:vAlign w:val="bottom"/>
          </w:tcPr>
          <w:p>
            <w:pPr>
              <w:spacing w:after="0"/>
              <w:rPr>
                <w:sz w:val="14"/>
                <w:szCs w:val="14"/>
                <w:color w:val="auto"/>
              </w:rPr>
            </w:pPr>
          </w:p>
        </w:tc>
      </w:tr>
      <w:tr>
        <w:trPr>
          <w:trHeight w:val="180"/>
        </w:trPr>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Satellites LLC (Halo</w:t>
            </w:r>
          </w:p>
        </w:tc>
        <w:tc>
          <w:tcPr>
            <w:tcW w:w="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Products</w:t>
            </w: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3.00% PIK</w:t>
            </w: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4"/>
        </w:trPr>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Collar)</w:t>
            </w: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Remedy – Maryland</w:t>
            </w:r>
          </w:p>
        </w:tc>
        <w:tc>
          <w:tcPr>
            <w:tcW w:w="96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5"/>
                <w:szCs w:val="15"/>
                <w:color w:val="auto"/>
              </w:rPr>
              <w:t>Cannabis</w:t>
            </w:r>
          </w:p>
        </w:tc>
        <w:tc>
          <w:tcPr>
            <w:tcW w:w="10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shd w:val="clear" w:color="auto" w:fill="CCEEFF"/>
          </w:tcPr>
          <w:p>
            <w:pPr>
              <w:jc w:val="center"/>
              <w:ind w:right="25"/>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5.00%</w:t>
            </w:r>
          </w:p>
        </w:tc>
        <w:tc>
          <w:tcPr>
            <w:tcW w:w="1120" w:type="dxa"/>
            <w:vAlign w:val="bottom"/>
            <w:shd w:val="clear" w:color="auto" w:fill="CCEEFF"/>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7.50% Cash</w:t>
            </w:r>
          </w:p>
        </w:tc>
        <w:tc>
          <w:tcPr>
            <w:tcW w:w="10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19.00%(f)</w:t>
            </w:r>
          </w:p>
        </w:tc>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8/4/2025</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3,243,569</w:t>
            </w:r>
          </w:p>
        </w:tc>
        <w:tc>
          <w:tcPr>
            <w:tcW w:w="1160" w:type="dxa"/>
            <w:vAlign w:val="bottom"/>
            <w:gridSpan w:val="2"/>
            <w:shd w:val="clear" w:color="auto" w:fill="CCEEFF"/>
          </w:tcPr>
          <w:p>
            <w:pPr>
              <w:jc w:val="center"/>
              <w:ind w:left="165"/>
              <w:spacing w:after="0" w:line="161" w:lineRule="exact"/>
              <w:rPr>
                <w:sz w:val="20"/>
                <w:szCs w:val="20"/>
                <w:color w:val="auto"/>
              </w:rPr>
            </w:pPr>
            <w:r>
              <w:rPr>
                <w:rFonts w:ascii="Times New Roman" w:cs="Times New Roman" w:eastAsia="Times New Roman" w:hAnsi="Times New Roman"/>
                <w:sz w:val="15"/>
                <w:szCs w:val="15"/>
                <w:color w:val="auto"/>
                <w:w w:val="99"/>
              </w:rPr>
              <w:t>3,213,431</w:t>
            </w:r>
          </w:p>
        </w:tc>
        <w:tc>
          <w:tcPr>
            <w:tcW w:w="120" w:type="dxa"/>
            <w:vAlign w:val="bottom"/>
            <w:shd w:val="clear" w:color="auto" w:fill="CCEEFF"/>
          </w:tcPr>
          <w:p>
            <w:pPr>
              <w:spacing w:after="0"/>
              <w:rPr>
                <w:sz w:val="14"/>
                <w:szCs w:val="14"/>
                <w:color w:val="auto"/>
              </w:rPr>
            </w:pPr>
          </w:p>
        </w:tc>
      </w:tr>
      <w:tr>
        <w:trPr>
          <w:trHeight w:val="184"/>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Wellness, LLC</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3.50% PIK</w:t>
            </w: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2"/>
        </w:trPr>
        <w:tc>
          <w:tcPr>
            <w:tcW w:w="18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RTCP, LLC (f/k/a RevTek</w:t>
            </w:r>
          </w:p>
        </w:tc>
        <w:tc>
          <w:tcPr>
            <w:tcW w:w="960" w:type="dxa"/>
            <w:vAlign w:val="bottom"/>
          </w:tcPr>
          <w:p>
            <w:pPr>
              <w:ind w:left="80"/>
              <w:spacing w:after="0" w:line="161" w:lineRule="exact"/>
              <w:rPr>
                <w:sz w:val="20"/>
                <w:szCs w:val="20"/>
                <w:color w:val="auto"/>
              </w:rPr>
            </w:pPr>
            <w:r>
              <w:rPr>
                <w:rFonts w:ascii="Times New Roman" w:cs="Times New Roman" w:eastAsia="Times New Roman" w:hAnsi="Times New Roman"/>
                <w:sz w:val="15"/>
                <w:szCs w:val="15"/>
                <w:color w:val="auto"/>
              </w:rPr>
              <w:t>Financial</w:t>
            </w:r>
          </w:p>
        </w:tc>
        <w:tc>
          <w:tcPr>
            <w:tcW w:w="10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Fixed</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n/a</w:t>
            </w:r>
          </w:p>
        </w:tc>
        <w:tc>
          <w:tcPr>
            <w:tcW w:w="1120" w:type="dxa"/>
            <w:vAlign w:val="bottom"/>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rPr>
              <w:t>n/a</w:t>
            </w:r>
          </w:p>
        </w:tc>
        <w:tc>
          <w:tcPr>
            <w:tcW w:w="10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15.00% Cash</w:t>
            </w:r>
          </w:p>
        </w:tc>
        <w:tc>
          <w:tcPr>
            <w:tcW w:w="10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10/2/2028</w:t>
            </w:r>
          </w:p>
        </w:tc>
        <w:tc>
          <w:tcPr>
            <w:tcW w:w="140" w:type="dxa"/>
            <w:vAlign w:val="bottom"/>
          </w:tcPr>
          <w:p>
            <w:pPr>
              <w:spacing w:after="0"/>
              <w:rPr>
                <w:sz w:val="14"/>
                <w:szCs w:val="14"/>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22,000,000</w:t>
            </w:r>
          </w:p>
        </w:tc>
        <w:tc>
          <w:tcPr>
            <w:tcW w:w="1160" w:type="dxa"/>
            <w:vAlign w:val="bottom"/>
            <w:gridSpan w:val="2"/>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w w:val="97"/>
              </w:rPr>
              <w:t>22,265,833</w:t>
            </w:r>
          </w:p>
        </w:tc>
        <w:tc>
          <w:tcPr>
            <w:tcW w:w="120" w:type="dxa"/>
            <w:vAlign w:val="bottom"/>
          </w:tcPr>
          <w:p>
            <w:pPr>
              <w:spacing w:after="0"/>
              <w:rPr>
                <w:sz w:val="14"/>
                <w:szCs w:val="14"/>
                <w:color w:val="auto"/>
              </w:rPr>
            </w:pPr>
          </w:p>
        </w:tc>
      </w:tr>
      <w:tr>
        <w:trPr>
          <w:trHeight w:val="184"/>
        </w:trPr>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Capital, LLC)</w:t>
            </w:r>
          </w:p>
        </w:tc>
        <w:tc>
          <w:tcPr>
            <w:tcW w:w="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Intermediary</w:t>
            </w: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 Note</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STIIIZY, Inc. (f/k/a Shryne</w:t>
            </w:r>
          </w:p>
        </w:tc>
        <w:tc>
          <w:tcPr>
            <w:tcW w:w="96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5"/>
                <w:szCs w:val="15"/>
                <w:color w:val="auto"/>
              </w:rPr>
              <w:t>Cannabis</w:t>
            </w:r>
          </w:p>
        </w:tc>
        <w:tc>
          <w:tcPr>
            <w:tcW w:w="10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shd w:val="clear" w:color="auto" w:fill="CCEEFF"/>
          </w:tcPr>
          <w:p>
            <w:pPr>
              <w:jc w:val="center"/>
              <w:ind w:right="25"/>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4.00%</w:t>
            </w:r>
          </w:p>
        </w:tc>
        <w:tc>
          <w:tcPr>
            <w:tcW w:w="1120" w:type="dxa"/>
            <w:vAlign w:val="bottom"/>
            <w:shd w:val="clear" w:color="auto" w:fill="CCEEFF"/>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8.50% Cash</w:t>
            </w:r>
          </w:p>
        </w:tc>
        <w:tc>
          <w:tcPr>
            <w:tcW w:w="10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17.50%(d)</w:t>
            </w:r>
          </w:p>
        </w:tc>
        <w:tc>
          <w:tcPr>
            <w:tcW w:w="1160" w:type="dxa"/>
            <w:vAlign w:val="bottom"/>
            <w:gridSpan w:val="2"/>
            <w:shd w:val="clear" w:color="auto" w:fill="CCEEFF"/>
          </w:tcPr>
          <w:p>
            <w:pPr>
              <w:jc w:val="center"/>
              <w:ind w:right="105"/>
              <w:spacing w:after="0" w:line="161" w:lineRule="exact"/>
              <w:rPr>
                <w:sz w:val="20"/>
                <w:szCs w:val="20"/>
                <w:color w:val="auto"/>
              </w:rPr>
            </w:pPr>
            <w:r>
              <w:rPr>
                <w:rFonts w:ascii="Times New Roman" w:cs="Times New Roman" w:eastAsia="Times New Roman" w:hAnsi="Times New Roman"/>
                <w:sz w:val="15"/>
                <w:szCs w:val="15"/>
                <w:color w:val="auto"/>
                <w:w w:val="98"/>
              </w:rPr>
              <w:t>5/26/2026(l)</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13,781,063</w:t>
            </w:r>
          </w:p>
        </w:tc>
        <w:tc>
          <w:tcPr>
            <w:tcW w:w="1160" w:type="dxa"/>
            <w:vAlign w:val="bottom"/>
            <w:gridSpan w:val="2"/>
            <w:shd w:val="clear" w:color="auto" w:fill="CCEEFF"/>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w w:val="97"/>
              </w:rPr>
              <w:t>14,310,218</w:t>
            </w:r>
          </w:p>
        </w:tc>
        <w:tc>
          <w:tcPr>
            <w:tcW w:w="120" w:type="dxa"/>
            <w:vAlign w:val="bottom"/>
            <w:shd w:val="clear" w:color="auto" w:fill="CCEEFF"/>
          </w:tcPr>
          <w:p>
            <w:pPr>
              <w:spacing w:after="0"/>
              <w:rPr>
                <w:sz w:val="14"/>
                <w:szCs w:val="14"/>
                <w:color w:val="auto"/>
              </w:rPr>
            </w:pPr>
          </w:p>
        </w:tc>
      </w:tr>
      <w:tr>
        <w:trPr>
          <w:trHeight w:val="184"/>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Group Inc.)</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1.00% PIK</w:t>
            </w: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4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SimSpace Corp.</w:t>
            </w:r>
          </w:p>
        </w:tc>
        <w:tc>
          <w:tcPr>
            <w:tcW w:w="960" w:type="dxa"/>
            <w:vAlign w:val="bottom"/>
          </w:tcPr>
          <w:p>
            <w:pPr>
              <w:ind w:left="80"/>
              <w:spacing w:after="0" w:line="166" w:lineRule="exact"/>
              <w:rPr>
                <w:sz w:val="20"/>
                <w:szCs w:val="20"/>
                <w:color w:val="auto"/>
              </w:rPr>
            </w:pPr>
            <w:r>
              <w:rPr>
                <w:rFonts w:ascii="Times New Roman" w:cs="Times New Roman" w:eastAsia="Times New Roman" w:hAnsi="Times New Roman"/>
                <w:sz w:val="15"/>
                <w:szCs w:val="15"/>
                <w:color w:val="auto"/>
              </w:rPr>
              <w:t>Information</w:t>
            </w:r>
          </w:p>
        </w:tc>
        <w:tc>
          <w:tcPr>
            <w:tcW w:w="10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jc w:val="center"/>
              <w:ind w:right="25"/>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8.25%</w:t>
            </w:r>
          </w:p>
        </w:tc>
        <w:tc>
          <w:tcPr>
            <w:tcW w:w="1120" w:type="dxa"/>
            <w:vAlign w:val="bottom"/>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w w:val="99"/>
              </w:rPr>
              <w:t>10.00% Cash</w:t>
            </w:r>
          </w:p>
        </w:tc>
        <w:tc>
          <w:tcPr>
            <w:tcW w:w="10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18.50% Cash</w:t>
            </w:r>
          </w:p>
        </w:tc>
        <w:tc>
          <w:tcPr>
            <w:tcW w:w="10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8"/>
              </w:rPr>
              <w:t>11/1/2025</w:t>
            </w:r>
          </w:p>
        </w:tc>
        <w:tc>
          <w:tcPr>
            <w:tcW w:w="140" w:type="dxa"/>
            <w:vAlign w:val="bottom"/>
          </w:tcPr>
          <w:p>
            <w:pPr>
              <w:spacing w:after="0"/>
              <w:rPr>
                <w:sz w:val="14"/>
                <w:szCs w:val="14"/>
                <w:color w:val="auto"/>
              </w:rPr>
            </w:pPr>
          </w:p>
        </w:tc>
        <w:tc>
          <w:tcPr>
            <w:tcW w:w="90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6,775,077</w:t>
            </w:r>
          </w:p>
        </w:tc>
        <w:tc>
          <w:tcPr>
            <w:tcW w:w="1160" w:type="dxa"/>
            <w:vAlign w:val="bottom"/>
            <w:gridSpan w:val="2"/>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6,977,670</w:t>
            </w:r>
          </w:p>
        </w:tc>
        <w:tc>
          <w:tcPr>
            <w:tcW w:w="120" w:type="dxa"/>
            <w:vAlign w:val="bottom"/>
          </w:tcPr>
          <w:p>
            <w:pPr>
              <w:spacing w:after="0"/>
              <w:rPr>
                <w:sz w:val="14"/>
                <w:szCs w:val="14"/>
                <w:color w:val="auto"/>
              </w:rPr>
            </w:pPr>
          </w:p>
        </w:tc>
      </w:tr>
      <w:tr>
        <w:trPr>
          <w:trHeight w:val="180"/>
        </w:trPr>
        <w:tc>
          <w:tcPr>
            <w:tcW w:w="184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Technology</w:t>
            </w: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Services</w:t>
            </w: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18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Story of Maryland, LLC</w:t>
            </w:r>
          </w:p>
        </w:tc>
        <w:tc>
          <w:tcPr>
            <w:tcW w:w="960" w:type="dxa"/>
            <w:vAlign w:val="bottom"/>
            <w:shd w:val="clear" w:color="auto" w:fill="CCEEFF"/>
          </w:tcPr>
          <w:p>
            <w:pPr>
              <w:ind w:left="80"/>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108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shd w:val="clear" w:color="auto" w:fill="CCEEFF"/>
          </w:tcPr>
          <w:p>
            <w:pPr>
              <w:jc w:val="center"/>
              <w:ind w:right="25"/>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3.25%</w:t>
            </w:r>
          </w:p>
        </w:tc>
        <w:tc>
          <w:tcPr>
            <w:tcW w:w="1120" w:type="dxa"/>
            <w:vAlign w:val="bottom"/>
            <w:shd w:val="clear" w:color="auto" w:fill="CCEEFF"/>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w w:val="99"/>
              </w:rPr>
              <w:t>8.75% Cash</w:t>
            </w:r>
          </w:p>
        </w:tc>
        <w:tc>
          <w:tcPr>
            <w:tcW w:w="10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18.75%(i)</w:t>
            </w:r>
          </w:p>
        </w:tc>
        <w:tc>
          <w:tcPr>
            <w:tcW w:w="10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10/4/2024</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9,000,000</w:t>
            </w:r>
          </w:p>
        </w:tc>
        <w:tc>
          <w:tcPr>
            <w:tcW w:w="1160" w:type="dxa"/>
            <w:vAlign w:val="bottom"/>
            <w:gridSpan w:val="2"/>
            <w:shd w:val="clear" w:color="auto" w:fill="CCEEFF"/>
          </w:tcPr>
          <w:p>
            <w:pPr>
              <w:jc w:val="center"/>
              <w:ind w:left="165"/>
              <w:spacing w:after="0" w:line="166" w:lineRule="exact"/>
              <w:rPr>
                <w:sz w:val="20"/>
                <w:szCs w:val="20"/>
                <w:color w:val="auto"/>
              </w:rPr>
            </w:pPr>
            <w:r>
              <w:rPr>
                <w:rFonts w:ascii="Times New Roman" w:cs="Times New Roman" w:eastAsia="Times New Roman" w:hAnsi="Times New Roman"/>
                <w:sz w:val="15"/>
                <w:szCs w:val="15"/>
                <w:color w:val="auto"/>
                <w:w w:val="99"/>
              </w:rPr>
              <w:t>9,072,188</w:t>
            </w:r>
          </w:p>
        </w:tc>
        <w:tc>
          <w:tcPr>
            <w:tcW w:w="120" w:type="dxa"/>
            <w:vAlign w:val="bottom"/>
            <w:shd w:val="clear" w:color="auto" w:fill="CCEEFF"/>
          </w:tcPr>
          <w:p>
            <w:pPr>
              <w:spacing w:after="0"/>
              <w:rPr>
                <w:sz w:val="14"/>
                <w:szCs w:val="14"/>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2.00% PIK</w:t>
            </w: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2"/>
        </w:trPr>
        <w:tc>
          <w:tcPr>
            <w:tcW w:w="18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Subsero Holdings – Illinois,</w:t>
            </w:r>
          </w:p>
        </w:tc>
        <w:tc>
          <w:tcPr>
            <w:tcW w:w="960" w:type="dxa"/>
            <w:vAlign w:val="bottom"/>
          </w:tcPr>
          <w:p>
            <w:pPr>
              <w:ind w:left="80"/>
              <w:spacing w:after="0" w:line="161" w:lineRule="exact"/>
              <w:rPr>
                <w:sz w:val="20"/>
                <w:szCs w:val="20"/>
                <w:color w:val="auto"/>
              </w:rPr>
            </w:pPr>
            <w:r>
              <w:rPr>
                <w:rFonts w:ascii="Times New Roman" w:cs="Times New Roman" w:eastAsia="Times New Roman" w:hAnsi="Times New Roman"/>
                <w:sz w:val="15"/>
                <w:szCs w:val="15"/>
                <w:color w:val="auto"/>
              </w:rPr>
              <w:t>Cannabis</w:t>
            </w:r>
          </w:p>
        </w:tc>
        <w:tc>
          <w:tcPr>
            <w:tcW w:w="10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jc w:val="center"/>
              <w:ind w:right="25"/>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7.00%</w:t>
            </w:r>
          </w:p>
        </w:tc>
        <w:tc>
          <w:tcPr>
            <w:tcW w:w="1120" w:type="dxa"/>
            <w:vAlign w:val="bottom"/>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7.00% Cash</w:t>
            </w:r>
          </w:p>
        </w:tc>
        <w:tc>
          <w:tcPr>
            <w:tcW w:w="10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17.00%(g)</w:t>
            </w:r>
          </w:p>
        </w:tc>
        <w:tc>
          <w:tcPr>
            <w:tcW w:w="10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7/29/2026</w:t>
            </w:r>
          </w:p>
        </w:tc>
        <w:tc>
          <w:tcPr>
            <w:tcW w:w="140" w:type="dxa"/>
            <w:vAlign w:val="bottom"/>
          </w:tcPr>
          <w:p>
            <w:pPr>
              <w:spacing w:after="0"/>
              <w:rPr>
                <w:sz w:val="14"/>
                <w:szCs w:val="14"/>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2,996,239</w:t>
            </w:r>
          </w:p>
        </w:tc>
        <w:tc>
          <w:tcPr>
            <w:tcW w:w="1160" w:type="dxa"/>
            <w:vAlign w:val="bottom"/>
            <w:gridSpan w:val="2"/>
          </w:tcPr>
          <w:p>
            <w:pPr>
              <w:jc w:val="center"/>
              <w:ind w:left="165"/>
              <w:spacing w:after="0" w:line="161" w:lineRule="exact"/>
              <w:rPr>
                <w:sz w:val="20"/>
                <w:szCs w:val="20"/>
                <w:color w:val="auto"/>
              </w:rPr>
            </w:pPr>
            <w:r>
              <w:rPr>
                <w:rFonts w:ascii="Times New Roman" w:cs="Times New Roman" w:eastAsia="Times New Roman" w:hAnsi="Times New Roman"/>
                <w:sz w:val="15"/>
                <w:szCs w:val="15"/>
                <w:color w:val="auto"/>
                <w:w w:val="99"/>
              </w:rPr>
              <w:t>2,942,693</w:t>
            </w:r>
          </w:p>
        </w:tc>
        <w:tc>
          <w:tcPr>
            <w:tcW w:w="120" w:type="dxa"/>
            <w:vAlign w:val="bottom"/>
          </w:tcPr>
          <w:p>
            <w:pPr>
              <w:spacing w:after="0"/>
              <w:rPr>
                <w:sz w:val="14"/>
                <w:szCs w:val="14"/>
                <w:color w:val="auto"/>
              </w:rPr>
            </w:pPr>
          </w:p>
        </w:tc>
      </w:tr>
      <w:tr>
        <w:trPr>
          <w:trHeight w:val="184"/>
        </w:trPr>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Inc.</w:t>
            </w: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rPr>
              <w:t>2.00% PIK</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Sunny Days Enterprises,</w:t>
            </w:r>
          </w:p>
        </w:tc>
        <w:tc>
          <w:tcPr>
            <w:tcW w:w="96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5"/>
                <w:szCs w:val="15"/>
                <w:color w:val="auto"/>
              </w:rPr>
              <w:t>Healthcare</w:t>
            </w:r>
          </w:p>
        </w:tc>
        <w:tc>
          <w:tcPr>
            <w:tcW w:w="10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shd w:val="clear" w:color="auto" w:fill="CCEEFF"/>
          </w:tcPr>
          <w:p>
            <w:pPr>
              <w:jc w:val="center"/>
              <w:ind w:right="25"/>
              <w:spacing w:after="0" w:line="161"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3.50%</w:t>
            </w:r>
          </w:p>
        </w:tc>
        <w:tc>
          <w:tcPr>
            <w:tcW w:w="1120" w:type="dxa"/>
            <w:vAlign w:val="bottom"/>
            <w:shd w:val="clear" w:color="auto" w:fill="CCEEFF"/>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4.75% Cash</w:t>
            </w:r>
          </w:p>
        </w:tc>
        <w:tc>
          <w:tcPr>
            <w:tcW w:w="10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20.75%(h)</w:t>
            </w:r>
          </w:p>
        </w:tc>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3/31/2025</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2,871,079</w:t>
            </w:r>
          </w:p>
        </w:tc>
        <w:tc>
          <w:tcPr>
            <w:tcW w:w="1160" w:type="dxa"/>
            <w:vAlign w:val="bottom"/>
            <w:gridSpan w:val="2"/>
            <w:shd w:val="clear" w:color="auto" w:fill="CCEEFF"/>
          </w:tcPr>
          <w:p>
            <w:pPr>
              <w:jc w:val="center"/>
              <w:ind w:left="165"/>
              <w:spacing w:after="0" w:line="161" w:lineRule="exact"/>
              <w:rPr>
                <w:sz w:val="20"/>
                <w:szCs w:val="20"/>
                <w:color w:val="auto"/>
              </w:rPr>
            </w:pPr>
            <w:r>
              <w:rPr>
                <w:rFonts w:ascii="Times New Roman" w:cs="Times New Roman" w:eastAsia="Times New Roman" w:hAnsi="Times New Roman"/>
                <w:sz w:val="15"/>
                <w:szCs w:val="15"/>
                <w:color w:val="auto"/>
                <w:w w:val="99"/>
              </w:rPr>
              <w:t>2,948,937</w:t>
            </w:r>
          </w:p>
        </w:tc>
        <w:tc>
          <w:tcPr>
            <w:tcW w:w="120" w:type="dxa"/>
            <w:vAlign w:val="bottom"/>
            <w:shd w:val="clear" w:color="auto" w:fill="CCEEFF"/>
          </w:tcPr>
          <w:p>
            <w:pPr>
              <w:spacing w:after="0"/>
              <w:rPr>
                <w:sz w:val="14"/>
                <w:szCs w:val="14"/>
                <w:color w:val="auto"/>
              </w:rPr>
            </w:pPr>
          </w:p>
        </w:tc>
      </w:tr>
      <w:tr>
        <w:trPr>
          <w:trHeight w:val="184"/>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LLC</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rPr>
              <w:t>8.00% PIK</w:t>
            </w: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Secured</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Delayed</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Draw Term</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1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1"/>
        </w:trPr>
        <w:tc>
          <w:tcPr>
            <w:tcW w:w="1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184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Verano Holdings Corp.</w:t>
            </w:r>
          </w:p>
        </w:tc>
        <w:tc>
          <w:tcPr>
            <w:tcW w:w="960" w:type="dxa"/>
            <w:vAlign w:val="bottom"/>
          </w:tcPr>
          <w:p>
            <w:pPr>
              <w:ind w:left="80"/>
              <w:spacing w:after="0" w:line="166" w:lineRule="exact"/>
              <w:rPr>
                <w:sz w:val="20"/>
                <w:szCs w:val="20"/>
                <w:color w:val="auto"/>
              </w:rPr>
            </w:pPr>
            <w:r>
              <w:rPr>
                <w:rFonts w:ascii="Times New Roman" w:cs="Times New Roman" w:eastAsia="Times New Roman" w:hAnsi="Times New Roman"/>
                <w:sz w:val="15"/>
                <w:szCs w:val="15"/>
                <w:color w:val="auto"/>
              </w:rPr>
              <w:t>Cannabis</w:t>
            </w:r>
          </w:p>
        </w:tc>
        <w:tc>
          <w:tcPr>
            <w:tcW w:w="10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jc w:val="center"/>
              <w:ind w:right="25"/>
              <w:spacing w:after="0" w:line="166" w:lineRule="exact"/>
              <w:rPr>
                <w:sz w:val="20"/>
                <w:szCs w:val="20"/>
                <w:color w:val="auto"/>
              </w:rPr>
            </w:pPr>
            <w:r>
              <w:rPr>
                <w:rFonts w:ascii="Times New Roman" w:cs="Times New Roman" w:eastAsia="Times New Roman" w:hAnsi="Times New Roman"/>
                <w:sz w:val="15"/>
                <w:szCs w:val="15"/>
                <w:color w:val="auto"/>
                <w:w w:val="97"/>
              </w:rPr>
              <w:t>8.00%(a)</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6.25%</w:t>
            </w:r>
          </w:p>
        </w:tc>
        <w:tc>
          <w:tcPr>
            <w:tcW w:w="1120" w:type="dxa"/>
            <w:vAlign w:val="bottom"/>
          </w:tcPr>
          <w:p>
            <w:pPr>
              <w:jc w:val="center"/>
              <w:ind w:left="45"/>
              <w:spacing w:after="0" w:line="166" w:lineRule="exact"/>
              <w:rPr>
                <w:sz w:val="20"/>
                <w:szCs w:val="20"/>
                <w:color w:val="auto"/>
              </w:rPr>
            </w:pPr>
            <w:r>
              <w:rPr>
                <w:rFonts w:ascii="Times New Roman" w:cs="Times New Roman" w:eastAsia="Times New Roman" w:hAnsi="Times New Roman"/>
                <w:sz w:val="15"/>
                <w:szCs w:val="15"/>
                <w:color w:val="auto"/>
                <w:w w:val="99"/>
              </w:rPr>
              <w:t>6.50% Cash</w:t>
            </w:r>
          </w:p>
        </w:tc>
        <w:tc>
          <w:tcPr>
            <w:tcW w:w="10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14.50% Cash</w:t>
            </w:r>
          </w:p>
        </w:tc>
        <w:tc>
          <w:tcPr>
            <w:tcW w:w="10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10/30/2026</w:t>
            </w:r>
          </w:p>
        </w:tc>
        <w:tc>
          <w:tcPr>
            <w:tcW w:w="140" w:type="dxa"/>
            <w:vAlign w:val="bottom"/>
          </w:tcPr>
          <w:p>
            <w:pPr>
              <w:spacing w:after="0"/>
              <w:rPr>
                <w:sz w:val="14"/>
                <w:szCs w:val="14"/>
                <w:color w:val="auto"/>
              </w:rPr>
            </w:pPr>
          </w:p>
        </w:tc>
        <w:tc>
          <w:tcPr>
            <w:tcW w:w="90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rPr>
              <w:t>34,245,350</w:t>
            </w:r>
          </w:p>
        </w:tc>
        <w:tc>
          <w:tcPr>
            <w:tcW w:w="1160" w:type="dxa"/>
            <w:vAlign w:val="bottom"/>
            <w:gridSpan w:val="2"/>
          </w:tcPr>
          <w:p>
            <w:pPr>
              <w:jc w:val="center"/>
              <w:ind w:left="145"/>
              <w:spacing w:after="0" w:line="166" w:lineRule="exact"/>
              <w:rPr>
                <w:sz w:val="20"/>
                <w:szCs w:val="20"/>
                <w:color w:val="auto"/>
              </w:rPr>
            </w:pPr>
            <w:r>
              <w:rPr>
                <w:rFonts w:ascii="Times New Roman" w:cs="Times New Roman" w:eastAsia="Times New Roman" w:hAnsi="Times New Roman"/>
                <w:sz w:val="15"/>
                <w:szCs w:val="15"/>
                <w:color w:val="auto"/>
                <w:w w:val="97"/>
              </w:rPr>
              <w:t>34,994,818</w:t>
            </w:r>
          </w:p>
        </w:tc>
        <w:tc>
          <w:tcPr>
            <w:tcW w:w="120" w:type="dxa"/>
            <w:vAlign w:val="bottom"/>
          </w:tcPr>
          <w:p>
            <w:pPr>
              <w:spacing w:after="0"/>
              <w:rPr>
                <w:sz w:val="14"/>
                <w:szCs w:val="14"/>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1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West Creek Financial</w:t>
            </w:r>
          </w:p>
        </w:tc>
        <w:tc>
          <w:tcPr>
            <w:tcW w:w="96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5"/>
                <w:szCs w:val="15"/>
                <w:color w:val="auto"/>
              </w:rPr>
              <w:t>Consumer</w:t>
            </w:r>
          </w:p>
        </w:tc>
        <w:tc>
          <w:tcPr>
            <w:tcW w:w="10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5"/>
                <w:szCs w:val="15"/>
                <w:color w:val="auto"/>
              </w:rPr>
              <w:t>Series A</w:t>
            </w:r>
          </w:p>
        </w:tc>
        <w:tc>
          <w:tcPr>
            <w:tcW w:w="10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Fixed</w:t>
            </w:r>
          </w:p>
        </w:tc>
        <w:tc>
          <w:tcPr>
            <w:tcW w:w="8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n/a</w:t>
            </w:r>
          </w:p>
        </w:tc>
        <w:tc>
          <w:tcPr>
            <w:tcW w:w="1120" w:type="dxa"/>
            <w:vAlign w:val="bottom"/>
            <w:shd w:val="clear" w:color="auto" w:fill="CCEEFF"/>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rPr>
              <w:t>n/a</w:t>
            </w:r>
          </w:p>
        </w:tc>
        <w:tc>
          <w:tcPr>
            <w:tcW w:w="104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13.80% Cash</w:t>
            </w:r>
          </w:p>
        </w:tc>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11/29/2027</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5,081,746</w:t>
            </w:r>
          </w:p>
        </w:tc>
        <w:tc>
          <w:tcPr>
            <w:tcW w:w="1160" w:type="dxa"/>
            <w:vAlign w:val="bottom"/>
            <w:gridSpan w:val="2"/>
            <w:shd w:val="clear" w:color="auto" w:fill="CCEEFF"/>
          </w:tcPr>
          <w:p>
            <w:pPr>
              <w:jc w:val="center"/>
              <w:ind w:left="165"/>
              <w:spacing w:after="0" w:line="161" w:lineRule="exact"/>
              <w:rPr>
                <w:sz w:val="20"/>
                <w:szCs w:val="20"/>
                <w:color w:val="auto"/>
              </w:rPr>
            </w:pPr>
            <w:r>
              <w:rPr>
                <w:rFonts w:ascii="Times New Roman" w:cs="Times New Roman" w:eastAsia="Times New Roman" w:hAnsi="Times New Roman"/>
                <w:sz w:val="15"/>
                <w:szCs w:val="15"/>
                <w:color w:val="auto"/>
                <w:w w:val="99"/>
              </w:rPr>
              <w:t>5,133,298</w:t>
            </w:r>
          </w:p>
        </w:tc>
        <w:tc>
          <w:tcPr>
            <w:tcW w:w="120" w:type="dxa"/>
            <w:vAlign w:val="bottom"/>
            <w:shd w:val="clear" w:color="auto" w:fill="CCEEFF"/>
          </w:tcPr>
          <w:p>
            <w:pPr>
              <w:spacing w:after="0"/>
              <w:rPr>
                <w:sz w:val="14"/>
                <w:szCs w:val="14"/>
                <w:color w:val="auto"/>
              </w:rPr>
            </w:pPr>
          </w:p>
        </w:tc>
      </w:tr>
      <w:tr>
        <w:trPr>
          <w:trHeight w:val="180"/>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Holdings, Inc. d/b/a</w:t>
            </w: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Services</w:t>
            </w: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Senior Note</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5.00% PIK(j)</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9"/>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Koalafi</w:t>
            </w:r>
          </w:p>
        </w:tc>
        <w:tc>
          <w:tcPr>
            <w:tcW w:w="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62"/>
        </w:trPr>
        <w:tc>
          <w:tcPr>
            <w:tcW w:w="18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Youth Opportunity</w:t>
            </w:r>
          </w:p>
        </w:tc>
        <w:tc>
          <w:tcPr>
            <w:tcW w:w="960" w:type="dxa"/>
            <w:vAlign w:val="bottom"/>
          </w:tcPr>
          <w:p>
            <w:pPr>
              <w:ind w:left="80"/>
              <w:spacing w:after="0" w:line="161" w:lineRule="exact"/>
              <w:rPr>
                <w:sz w:val="20"/>
                <w:szCs w:val="20"/>
                <w:color w:val="auto"/>
              </w:rPr>
            </w:pPr>
            <w:r>
              <w:rPr>
                <w:rFonts w:ascii="Times New Roman" w:cs="Times New Roman" w:eastAsia="Times New Roman" w:hAnsi="Times New Roman"/>
                <w:sz w:val="15"/>
                <w:szCs w:val="15"/>
                <w:color w:val="auto"/>
              </w:rPr>
              <w:t>Healthcare</w:t>
            </w:r>
          </w:p>
        </w:tc>
        <w:tc>
          <w:tcPr>
            <w:tcW w:w="10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First Lien</w:t>
            </w:r>
          </w:p>
        </w:tc>
        <w:tc>
          <w:tcPr>
            <w:tcW w:w="1000" w:type="dxa"/>
            <w:vAlign w:val="bottom"/>
          </w:tcPr>
          <w:p>
            <w:pPr>
              <w:jc w:val="center"/>
              <w:ind w:right="45"/>
              <w:spacing w:after="0" w:line="161" w:lineRule="exact"/>
              <w:rPr>
                <w:sz w:val="20"/>
                <w:szCs w:val="20"/>
                <w:color w:val="auto"/>
              </w:rPr>
            </w:pPr>
            <w:r>
              <w:rPr>
                <w:rFonts w:ascii="Times New Roman" w:cs="Times New Roman" w:eastAsia="Times New Roman" w:hAnsi="Times New Roman"/>
                <w:sz w:val="15"/>
                <w:szCs w:val="15"/>
                <w:color w:val="auto"/>
                <w:w w:val="99"/>
              </w:rPr>
              <w:t>4.84%(b)</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4.00%</w:t>
            </w:r>
          </w:p>
        </w:tc>
        <w:tc>
          <w:tcPr>
            <w:tcW w:w="1120" w:type="dxa"/>
            <w:vAlign w:val="bottom"/>
          </w:tcPr>
          <w:p>
            <w:pPr>
              <w:jc w:val="center"/>
              <w:ind w:left="45"/>
              <w:spacing w:after="0" w:line="161" w:lineRule="exact"/>
              <w:rPr>
                <w:sz w:val="20"/>
                <w:szCs w:val="20"/>
                <w:color w:val="auto"/>
              </w:rPr>
            </w:pPr>
            <w:r>
              <w:rPr>
                <w:rFonts w:ascii="Times New Roman" w:cs="Times New Roman" w:eastAsia="Times New Roman" w:hAnsi="Times New Roman"/>
                <w:sz w:val="15"/>
                <w:szCs w:val="15"/>
                <w:color w:val="auto"/>
                <w:w w:val="99"/>
              </w:rPr>
              <w:t>7.75% Cash</w:t>
            </w:r>
          </w:p>
        </w:tc>
        <w:tc>
          <w:tcPr>
            <w:tcW w:w="104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w w:val="99"/>
              </w:rPr>
              <w:t>12.59% Cash</w:t>
            </w:r>
          </w:p>
        </w:tc>
        <w:tc>
          <w:tcPr>
            <w:tcW w:w="10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9/18/2026</w:t>
            </w:r>
          </w:p>
        </w:tc>
        <w:tc>
          <w:tcPr>
            <w:tcW w:w="140" w:type="dxa"/>
            <w:vAlign w:val="bottom"/>
          </w:tcPr>
          <w:p>
            <w:pPr>
              <w:spacing w:after="0"/>
              <w:rPr>
                <w:sz w:val="14"/>
                <w:szCs w:val="14"/>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10,507,813</w:t>
            </w:r>
          </w:p>
        </w:tc>
        <w:tc>
          <w:tcPr>
            <w:tcW w:w="1160" w:type="dxa"/>
            <w:vAlign w:val="bottom"/>
            <w:gridSpan w:val="2"/>
          </w:tcPr>
          <w:p>
            <w:pPr>
              <w:jc w:val="center"/>
              <w:ind w:left="145"/>
              <w:spacing w:after="0" w:line="161" w:lineRule="exact"/>
              <w:rPr>
                <w:sz w:val="20"/>
                <w:szCs w:val="20"/>
                <w:color w:val="auto"/>
              </w:rPr>
            </w:pPr>
            <w:r>
              <w:rPr>
                <w:rFonts w:ascii="Times New Roman" w:cs="Times New Roman" w:eastAsia="Times New Roman" w:hAnsi="Times New Roman"/>
                <w:sz w:val="15"/>
                <w:szCs w:val="15"/>
                <w:color w:val="auto"/>
                <w:w w:val="97"/>
              </w:rPr>
              <w:t>10,402,734</w:t>
            </w:r>
          </w:p>
        </w:tc>
        <w:tc>
          <w:tcPr>
            <w:tcW w:w="120" w:type="dxa"/>
            <w:vAlign w:val="bottom"/>
          </w:tcPr>
          <w:p>
            <w:pPr>
              <w:spacing w:after="0"/>
              <w:rPr>
                <w:sz w:val="14"/>
                <w:szCs w:val="14"/>
                <w:color w:val="auto"/>
              </w:rPr>
            </w:pPr>
          </w:p>
        </w:tc>
      </w:tr>
      <w:tr>
        <w:trPr>
          <w:trHeight w:val="184"/>
        </w:trPr>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Investments, LLC</w:t>
            </w: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Senior</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Secured Term</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18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219,532,543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  219,621,125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107315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3150" cy="14605"/>
                    </a:xfrm>
                    <a:prstGeom prst="rect">
                      <a:avLst/>
                    </a:prstGeom>
                    <a:noFill/>
                  </pic:spPr>
                </pic:pic>
              </a:graphicData>
            </a:graphic>
          </wp:anchor>
        </w:drawing>
      </w:r>
    </w:p>
    <w:p>
      <w:pPr>
        <w:spacing w:after="0" w:line="326" w:lineRule="exact"/>
        <w:rPr>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Rate and Total Coupon for floating rate loans are based on the market Prime Rate of 8.00% as of September 28, 2024.</w:t>
      </w:r>
    </w:p>
    <w:p>
      <w:pPr>
        <w:spacing w:after="0" w:line="2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Rate and Total Coupon for floating rate loans are based on the market SOFR of 4.84% as of September 28, 2024.</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Aeriz Holdings Corp. includes 2.00%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STIIIZY, Inc. includes 1.00%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Protect Animals With Satellites LLC (Halo Collar) includes 3.00%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Remedy – Maryland Wellness, LLC includes 3.50%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Subsero Holdings – Illinois, Inc. includes 2.00%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Sunny Days Enterprises, LLC includes 8.00%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Story of Maryland, LLC includes 2.00% PIK.</w:t>
      </w:r>
    </w:p>
    <w:p>
      <w:pPr>
        <w:spacing w:after="0" w:line="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Coupon for West Creek Financial Holdings, Inc. includes 5.00% PIK.</w:t>
      </w:r>
    </w:p>
    <w:p>
      <w:pPr>
        <w:sectPr>
          <w:pgSz w:w="11900" w:h="16838" w:orient="portrait"/>
          <w:cols w:equalWidth="0" w:num="1">
            <w:col w:w="11270"/>
          </w:cols>
          <w:pgMar w:left="310" w:top="133" w:right="319" w:bottom="0" w:gutter="0" w:footer="0" w:header="0"/>
        </w:sectPr>
      </w:pPr>
    </w:p>
    <w:bookmarkStart w:id="30" w:name="page31"/>
    <w:bookmarkEnd w:id="30"/>
    <w:p>
      <w:pPr>
        <w:ind w:left="270" w:hanging="270"/>
        <w:spacing w:after="0" w:line="257" w:lineRule="auto"/>
        <w:tabs>
          <w:tab w:leader="none" w:pos="27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 Fair Value represents the fair value, as of September 28, 2024, determined by the Company for such investment for purposes of the Loan Portfolio Acquisition. For each investment, Transaction Fair Value includes fair value and accrued but unpaid interest (including uncapitalized payment-in-kind interest) through September 28, 2024, for such investment (if any).</w:t>
      </w:r>
    </w:p>
    <w:p>
      <w:pPr>
        <w:ind w:left="270" w:hanging="270"/>
        <w:spacing w:after="0"/>
        <w:tabs>
          <w:tab w:leader="none" w:pos="27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STIIIZY, Inc. maturity date was amended to 5/26/2027 on September 30, 2024.</w:t>
      </w:r>
    </w:p>
    <w:p>
      <w:pPr>
        <w:spacing w:after="0" w:line="318"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30"/>
          </w:cols>
          <w:pgMar w:left="310" w:top="12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transaction fair value determinations in the above table were made pursuant to the requirements of, and solely for the purposes of, the Loan Portfolio Acquisition Agreement. The transaction fair value information was not audited or reviewed or approved for purposes of financial statement preparation or as part of a comprehensive statement of the Company’s financial results. In that regard, there can be no assurance that the Company’s final results for the fiscal year ending December 31, 2024 will not differ materially from this information. The information presented in the above table should not be viewed as a substitute for interim financial statements prepared in accordance with U.S. Generally Accepted Accounting Principles (“GAAP”). The financial data included in the above table has been prepared by, and is the responsibility of, the Company’s management.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Subsequent Investments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October 4, 2024, the Company exited its debt investment in Story of Maryland, LLC. The Company received payment in full of $9.01 million on its first lien senior secured delayed draw term loan.</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October 11, 2024, the Company invested an additional $6.82 million in STIIIZY, Inc.’s first lien senior secured term loan maturing on May 26, 2027 for a net consideration of $6.68 million.</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October 23, 2024, the Company funded the $5.00 million unfunded commitment that the Company assumed in connection with the Loan Portfolio Acquisition with respect to Deep Roots Harvest, Inc.’s first lien senior secured term loan maturing on August 15, 2027 for a net consideration of $4.86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4, 2024, the Company invested $3.00 million in Tulip.IO Inc.’s first lien senior secured term loan maturing on November 4, 2028 for a net consideration of $2.97 million.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2023 and elsewhere in this quarterly report on Form 10-Q. Please also see the section entitled “Special Note Regarding Forward-Looking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focus on investments in the cannabis industry, we may also invest in growth capital and technology companies, esoteric and asset-based lending opportunities, and liquidity solutions opportunities as described further below.</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3" w:name="page34"/>
    <w:bookmarkEnd w:id="33"/>
    <w:p>
      <w:pPr>
        <w:ind w:left="10"/>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ind w:left="10" w:right="100"/>
        <w:spacing w:after="0" w:line="260" w:lineRule="auto"/>
        <w:rPr>
          <w:sz w:val="20"/>
          <w:szCs w:val="20"/>
          <w:color w:val="auto"/>
        </w:rPr>
      </w:pPr>
      <w:r>
        <w:rPr>
          <w:rFonts w:ascii="Times New Roman" w:cs="Times New Roman" w:eastAsia="Times New Roman" w:hAnsi="Times New Roman"/>
          <w:sz w:val="15"/>
          <w:szCs w:val="15"/>
          <w:color w:val="auto"/>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54"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15"/>
          <w:szCs w:val="15"/>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$5 million and $60 million each, although we expect that this investment size will vary proportionately with the size of our capital base. We have an active pipeline of investments and are currently reviewing approximately $559 million of potential investments in varying stages of underwriting.</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Company is currently exploring various financing options.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following describes the four primary current sub-strategies of our principal investment strategy. We are not required to have a minimum investment in any of these sub-strategies.</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u w:val="single" w:color="auto"/>
          <w:color w:val="auto"/>
        </w:rPr>
        <w:t>Cannabis</w:t>
      </w:r>
    </w:p>
    <w:p>
      <w:pPr>
        <w:spacing w:after="0" w:line="190"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15"/>
          <w:szCs w:val="15"/>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Adviser seeks to invest in cannabis companies that it believes have some or all of the following characteristics:</w:t>
      </w:r>
    </w:p>
    <w:p>
      <w:pPr>
        <w:spacing w:after="0" w:line="188" w:lineRule="exact"/>
        <w:rPr>
          <w:sz w:val="20"/>
          <w:szCs w:val="20"/>
          <w:color w:val="auto"/>
        </w:rPr>
      </w:pPr>
    </w:p>
    <w:p>
      <w:pPr>
        <w:ind w:left="410" w:hanging="410"/>
        <w:spacing w:after="0"/>
        <w:tabs>
          <w:tab w:leader="none" w:pos="4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Growth or EBITDA positive entities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require capital but do not want to dilute their equity</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are showing strong cash flow performance with low leverage profiles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tend to be attractively priced and have better than normal covenants and amortization due to complexity of the industry</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debt to enterprise value</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u w:val="single" w:color="auto"/>
          <w:color w:val="auto"/>
        </w:rPr>
        <w:t>Growth Capital &amp; Technology</w:t>
      </w:r>
    </w:p>
    <w:p>
      <w:pPr>
        <w:spacing w:after="0" w:line="23" w:lineRule="exact"/>
        <w:rPr>
          <w:sz w:val="20"/>
          <w:szCs w:val="20"/>
          <w:color w:val="auto"/>
        </w:rPr>
      </w:pPr>
    </w:p>
    <w:p>
      <w:pPr>
        <w:ind w:left="10" w:right="160"/>
        <w:spacing w:after="0" w:line="254" w:lineRule="auto"/>
        <w:rPr>
          <w:sz w:val="20"/>
          <w:szCs w:val="20"/>
          <w:color w:val="auto"/>
        </w:rPr>
      </w:pPr>
      <w:r>
        <w:rPr>
          <w:rFonts w:ascii="Times New Roman" w:cs="Times New Roman" w:eastAsia="Times New Roman" w:hAnsi="Times New Roman"/>
          <w:sz w:val="15"/>
          <w:szCs w:val="15"/>
          <w:color w:val="auto"/>
        </w:rPr>
        <w:t>Our growth capital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Adviser seeks to invest in growth capital and technology focused companies that it believes have some or all of the following characteristics:</w:t>
      </w:r>
    </w:p>
    <w:p>
      <w:pPr>
        <w:spacing w:after="0" w:line="188" w:lineRule="exact"/>
        <w:rPr>
          <w:sz w:val="20"/>
          <w:szCs w:val="20"/>
          <w:color w:val="auto"/>
        </w:rPr>
      </w:pPr>
    </w:p>
    <w:p>
      <w:pPr>
        <w:ind w:left="410" w:hanging="410"/>
        <w:spacing w:after="0"/>
        <w:tabs>
          <w:tab w:leader="none" w:pos="4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Industry leaders and disruptive companies experiencing strong growth</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have raised significant equity capital validating market value</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Industry focus typically includes software, hardware, e-commerce and direct to consumer</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Liquidity covenants that ensure such company has adequate cash runway</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debt to enterprise value</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Profitable or demonstrated path to near term profitability</w:t>
      </w:r>
    </w:p>
    <w:p>
      <w:pPr>
        <w:spacing w:after="0" w:line="34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30"/>
          </w:cols>
          <w:pgMar w:left="310" w:top="120" w:right="359" w:bottom="1440" w:gutter="0" w:footer="0" w:header="0"/>
        </w:sectPr>
      </w:pPr>
    </w:p>
    <w:bookmarkStart w:id="34" w:name="page35"/>
    <w:bookmarkEnd w:id="34"/>
    <w:p>
      <w:pPr>
        <w:ind w:left="10"/>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u w:val="single" w:color="auto"/>
          <w:color w:val="auto"/>
        </w:rPr>
        <w:t>Esoteric &amp; Asset-Based Lending</w:t>
      </w:r>
    </w:p>
    <w:p>
      <w:pPr>
        <w:spacing w:after="0" w:line="23"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15"/>
          <w:szCs w:val="15"/>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Adviser seeks to invest in esoteric and asset-based lending companies that it believes have some or all of the following characteristics:</w:t>
      </w:r>
    </w:p>
    <w:p>
      <w:pPr>
        <w:spacing w:after="0" w:line="188" w:lineRule="exact"/>
        <w:rPr>
          <w:sz w:val="20"/>
          <w:szCs w:val="20"/>
          <w:color w:val="auto"/>
        </w:rPr>
      </w:pPr>
    </w:p>
    <w:p>
      <w:pPr>
        <w:ind w:left="410" w:hanging="410"/>
        <w:spacing w:after="0"/>
        <w:tabs>
          <w:tab w:leader="none" w:pos="41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Structured credit and asset-based loans, receivables pools and equipment</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are showing strong cash flow performance with low leverage profiles, but the industries carry regulatory, reputational or other risks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tend to be attractively priced and have better than normal covenants and amortization due to complexity of the industry or situation</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debt to asset values and/or enterprise values</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u w:val="single" w:color="auto"/>
          <w:color w:val="auto"/>
        </w:rPr>
        <w:t>Liquidity Solutions</w:t>
      </w:r>
    </w:p>
    <w:p>
      <w:pPr>
        <w:spacing w:after="0" w:line="23" w:lineRule="exact"/>
        <w:rPr>
          <w:sz w:val="20"/>
          <w:szCs w:val="20"/>
          <w:color w:val="auto"/>
        </w:rPr>
      </w:pPr>
    </w:p>
    <w:p>
      <w:pPr>
        <w:ind w:left="10" w:right="220"/>
        <w:spacing w:after="0" w:line="256" w:lineRule="auto"/>
        <w:rPr>
          <w:sz w:val="20"/>
          <w:szCs w:val="20"/>
          <w:color w:val="auto"/>
        </w:rPr>
      </w:pPr>
      <w:r>
        <w:rPr>
          <w:rFonts w:ascii="Times New Roman" w:cs="Times New Roman" w:eastAsia="Times New Roman" w:hAnsi="Times New Roman"/>
          <w:sz w:val="15"/>
          <w:szCs w:val="15"/>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Adviser seeks to invest in liquidity solutions opportunities that it believes have some or all of the following characteristics:</w:t>
      </w:r>
    </w:p>
    <w:p>
      <w:pPr>
        <w:spacing w:after="0" w:line="188" w:lineRule="exact"/>
        <w:rPr>
          <w:sz w:val="20"/>
          <w:szCs w:val="20"/>
          <w:color w:val="auto"/>
        </w:rPr>
      </w:pPr>
    </w:p>
    <w:p>
      <w:pPr>
        <w:ind w:left="410" w:hanging="410"/>
        <w:spacing w:after="0"/>
        <w:tabs>
          <w:tab w:leader="none" w:pos="4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Financing is typically event driven</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are pursuing a merger, acquisition, refinancing, dividend recap, or other strategic liquidity need</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are showing strong cash flow performance with low leverage profiles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that have multiple areas of value and liquidity in addition to the underlying business</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debt to enterprise value</w:t>
      </w:r>
    </w:p>
    <w:p>
      <w:pPr>
        <w:spacing w:after="0" w:line="188"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Industry agnostic</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None of our investment policies are fundamental, and thus may be changed without stockholder approval.</w:t>
      </w:r>
    </w:p>
    <w:p>
      <w:pPr>
        <w:spacing w:after="0" w:line="188"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5"/>
          <w:szCs w:val="15"/>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spacing w:after="0" w:line="158"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Our investment portfolio consists of fixed and floating rate loans, and our credit facilities, if any, will bear interest at floating rates. Macro trends in base interest rates like PRIME may affect our net investment income (loss) over the long term.</w:t>
      </w:r>
    </w:p>
    <w:p>
      <w:pPr>
        <w:spacing w:after="0" w:line="138" w:lineRule="exact"/>
        <w:rPr>
          <w:sz w:val="20"/>
          <w:szCs w:val="20"/>
          <w:color w:val="auto"/>
        </w:rPr>
      </w:pPr>
    </w:p>
    <w:p>
      <w:pPr>
        <w:ind w:left="10" w:right="80"/>
        <w:spacing w:after="0" w:line="280" w:lineRule="auto"/>
        <w:rPr>
          <w:sz w:val="20"/>
          <w:szCs w:val="20"/>
          <w:color w:val="auto"/>
        </w:rPr>
      </w:pPr>
      <w:r>
        <w:rPr>
          <w:rFonts w:ascii="Times New Roman" w:cs="Times New Roman" w:eastAsia="Times New Roman" w:hAnsi="Times New Roman"/>
          <w:sz w:val="15"/>
          <w:szCs w:val="15"/>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Dividend income on equity investments, if applicable, will be recorded on the record date for private portfolio companies or on the ex-dividend date for publicly traded companies.</w:t>
      </w:r>
    </w:p>
    <w:p>
      <w:pPr>
        <w:spacing w:after="0" w:line="188"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Expenses</w:t>
      </w:r>
    </w:p>
    <w:p>
      <w:pPr>
        <w:spacing w:after="0" w:line="25"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5"/>
          <w:szCs w:val="15"/>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152"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54" w:lineRule="exact"/>
        <w:rPr>
          <w:sz w:val="20"/>
          <w:szCs w:val="20"/>
          <w:color w:val="auto"/>
        </w:rPr>
      </w:pPr>
    </w:p>
    <w:p>
      <w:pPr>
        <w:ind w:left="710" w:hanging="406"/>
        <w:spacing w:after="0"/>
        <w:tabs>
          <w:tab w:leader="none" w:pos="7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our organization and offerings;</w:t>
      </w:r>
    </w:p>
    <w:p>
      <w:pPr>
        <w:spacing w:after="0" w:line="188" w:lineRule="exact"/>
        <w:rPr>
          <w:rFonts w:ascii="Times New Roman" w:cs="Times New Roman" w:eastAsia="Times New Roman" w:hAnsi="Times New Roman"/>
          <w:sz w:val="15"/>
          <w:szCs w:val="15"/>
          <w:color w:val="auto"/>
        </w:rPr>
      </w:pPr>
    </w:p>
    <w:p>
      <w:pPr>
        <w:ind w:left="710" w:hanging="406"/>
        <w:spacing w:after="0"/>
        <w:tabs>
          <w:tab w:leader="none" w:pos="7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calculating our NAV, including the cost of any third-party valuation services;</w:t>
      </w:r>
    </w:p>
    <w:p>
      <w:pPr>
        <w:spacing w:after="0" w:line="188" w:lineRule="exact"/>
        <w:rPr>
          <w:rFonts w:ascii="Times New Roman" w:cs="Times New Roman" w:eastAsia="Times New Roman" w:hAnsi="Times New Roman"/>
          <w:sz w:val="15"/>
          <w:szCs w:val="15"/>
          <w:color w:val="auto"/>
        </w:rPr>
      </w:pPr>
    </w:p>
    <w:p>
      <w:pPr>
        <w:ind w:left="710" w:hanging="406"/>
        <w:spacing w:after="0"/>
        <w:tabs>
          <w:tab w:leader="none" w:pos="7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effecting sales and repurchases of shares of our common stock and other securities;</w:t>
      </w:r>
    </w:p>
    <w:p>
      <w:pPr>
        <w:spacing w:after="0" w:line="188" w:lineRule="exact"/>
        <w:rPr>
          <w:rFonts w:ascii="Times New Roman" w:cs="Times New Roman" w:eastAsia="Times New Roman" w:hAnsi="Times New Roman"/>
          <w:sz w:val="15"/>
          <w:szCs w:val="15"/>
          <w:color w:val="auto"/>
        </w:rPr>
      </w:pPr>
    </w:p>
    <w:p>
      <w:pPr>
        <w:ind w:left="710" w:hanging="406"/>
        <w:spacing w:after="0"/>
        <w:tabs>
          <w:tab w:leader="none" w:pos="71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payable under any underwriting agreements, if any;</w:t>
      </w:r>
    </w:p>
    <w:p>
      <w:pPr>
        <w:sectPr>
          <w:pgSz w:w="11900" w:h="16838" w:orient="portrait"/>
          <w:cols w:equalWidth="0" w:num="1">
            <w:col w:w="11270"/>
          </w:cols>
          <w:pgMar w:left="310" w:top="120" w:right="319" w:bottom="1440" w:gutter="0" w:footer="0" w:header="0"/>
        </w:sectPr>
      </w:pPr>
    </w:p>
    <w:p>
      <w:pPr>
        <w:spacing w:after="0" w:line="34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0" w:right="3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service and other costs of borrowings or other financing arrangements;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hedging;</w:t>
      </w:r>
    </w:p>
    <w:p>
      <w:pPr>
        <w:spacing w:after="0" w:line="188" w:lineRule="exact"/>
        <w:rPr>
          <w:rFonts w:ascii="Times New Roman" w:cs="Times New Roman" w:eastAsia="Times New Roman" w:hAnsi="Times New Roman"/>
          <w:sz w:val="15"/>
          <w:szCs w:val="15"/>
          <w:color w:val="auto"/>
        </w:rPr>
      </w:pPr>
    </w:p>
    <w:p>
      <w:pPr>
        <w:ind w:left="700" w:right="20" w:hanging="406"/>
        <w:spacing w:after="0" w:line="280" w:lineRule="auto"/>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3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and incentive fees payable pursuant to the Investment Advisory Agreement;</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payable to third-parties relating to, or associated with, making investments and valuing investments (including third-party valuation firms);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including legal fees, associated with compliance under cannabis laws;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agent and custodial fees;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associated with marketing efforts (including attendance at industry and investor conferences and similar events);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and state registration fees;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 listing fees and fees payable to rating agencies;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state and local taxes;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directors’ fees and expenses, including travel expenses;</w:t>
      </w:r>
    </w:p>
    <w:p>
      <w:pPr>
        <w:spacing w:after="0" w:line="188" w:lineRule="exact"/>
        <w:rPr>
          <w:rFonts w:ascii="Times New Roman" w:cs="Times New Roman" w:eastAsia="Times New Roman" w:hAnsi="Times New Roman"/>
          <w:sz w:val="15"/>
          <w:szCs w:val="15"/>
          <w:color w:val="auto"/>
        </w:rPr>
      </w:pPr>
    </w:p>
    <w:p>
      <w:pPr>
        <w:ind w:left="700" w:right="20" w:hanging="406"/>
        <w:spacing w:after="0" w:line="280" w:lineRule="auto"/>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38" w:lineRule="exact"/>
        <w:rPr>
          <w:rFonts w:ascii="Times New Roman" w:cs="Times New Roman" w:eastAsia="Times New Roman" w:hAnsi="Times New Roman"/>
          <w:sz w:val="15"/>
          <w:szCs w:val="15"/>
          <w:color w:val="auto"/>
        </w:rPr>
      </w:pPr>
    </w:p>
    <w:p>
      <w:pPr>
        <w:ind w:left="700" w:hanging="406"/>
        <w:spacing w:after="0" w:line="280" w:lineRule="auto"/>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3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brokerage commissions and other compensation payable to brokers or dealers;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research and market data;</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fidelity bond, directors’ and officers’ errors and omissions liability insurance and other insurance premiums;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 costs and expenses of administration, including printing, mailing and staff;</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associated with independent audits, and outside legal and consulting costs;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winding up;</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incurred in connection with the formation or maintenance of entities or vehicles to hold our assets for tax or other purposes;</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extraordinary expenses (such as litigation or indemnification); and</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reporting and compliance obligations under the 1940 Act and applicable federal and state securities laws.</w:t>
      </w:r>
    </w:p>
    <w:p>
      <w:pPr>
        <w:spacing w:after="0" w:line="1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We expect, but cannot assure, that our general and administrative expenses will increase in dollar terms during periods of asset growth, but will decline as a percentage of total assets during such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Hedging</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Composition and Investment Activity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Portfolio Composition</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As of September 30, 2024, our investment portfolio had an aggregate fair value of approximately $55.8 million and was comprised of approximately $43.4 million in first lien, senior secured loans, approximately $11.7 million in senior secured notes and approximately $0.7 million in equity securities across seven portfolio companies. As of December 31, 2023, our investment portfolio had an aggregate fair value of approximately $54.1 million and was comprised of approximately $46.0 million in first lien, senior secured loans, and approximately $8.1 million in senior secured notes across five portfolio companies.</w:t>
      </w:r>
    </w:p>
    <w:p>
      <w:pPr>
        <w:spacing w:after="0" w:line="15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A summary of the composition of our investment portfolio at amortized cost and fair value as a percentage of total investments are shown in the following tables as of September 30, 2024 and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685"/>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Type</w:t>
            </w:r>
          </w:p>
        </w:tc>
        <w:tc>
          <w:tcPr>
            <w:tcW w:w="1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w:t>
            </w: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21.1</w:t>
            </w:r>
          </w:p>
        </w:tc>
        <w:tc>
          <w:tcPr>
            <w:tcW w:w="1380" w:type="dxa"/>
            <w:vAlign w:val="bottom"/>
            <w:gridSpan w:val="3"/>
          </w:tcPr>
          <w:p>
            <w:pPr>
              <w:jc w:val="right"/>
              <w:ind w:right="65"/>
              <w:spacing w:after="0"/>
              <w:rPr>
                <w:sz w:val="20"/>
                <w:szCs w:val="20"/>
                <w:color w:val="auto"/>
              </w:rPr>
            </w:pPr>
            <w:r>
              <w:rPr>
                <w:rFonts w:ascii="Times New Roman" w:cs="Times New Roman" w:eastAsia="Times New Roman" w:hAnsi="Times New Roman"/>
                <w:sz w:val="15"/>
                <w:szCs w:val="15"/>
                <w:color w:val="auto"/>
              </w:rPr>
              <w:t>21.1</w:t>
            </w:r>
          </w:p>
        </w:tc>
      </w:tr>
      <w:tr>
        <w:trPr>
          <w:trHeight w:val="183"/>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12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1.2</w:t>
            </w:r>
          </w:p>
        </w:tc>
      </w:tr>
      <w:tr>
        <w:trPr>
          <w:trHeight w:val="180"/>
        </w:trPr>
        <w:tc>
          <w:tcPr>
            <w:tcW w:w="8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8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70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Type</w:t>
            </w:r>
          </w:p>
        </w:tc>
        <w:tc>
          <w:tcPr>
            <w:tcW w:w="1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15.1</w:t>
            </w:r>
          </w:p>
        </w:tc>
        <w:tc>
          <w:tcPr>
            <w:tcW w:w="13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15.0</w:t>
            </w:r>
          </w:p>
        </w:tc>
      </w:tr>
      <w:tr>
        <w:trPr>
          <w:trHeight w:val="220"/>
        </w:trPr>
        <w:tc>
          <w:tcPr>
            <w:tcW w:w="8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following tables show the composition of our investment portfolio by geographic region of the United States at amortized cost and fair value as a percentage of total investments as of September 30, 2024 and December 31, 2023. The geographic composition is determined by the location of the headquarters of the portfolio company.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685"/>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Geographic Region</w:t>
            </w:r>
          </w:p>
        </w:tc>
        <w:tc>
          <w:tcPr>
            <w:tcW w:w="1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42.7</w:t>
            </w:r>
          </w:p>
        </w:tc>
        <w:tc>
          <w:tcPr>
            <w:tcW w:w="13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43.0</w:t>
            </w:r>
          </w:p>
        </w:tc>
      </w:tr>
      <w:tr>
        <w:trPr>
          <w:trHeight w:val="183"/>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2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13.5</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13.7</w:t>
            </w:r>
          </w:p>
        </w:tc>
      </w:tr>
      <w:tr>
        <w:trPr>
          <w:trHeight w:val="180"/>
        </w:trPr>
        <w:tc>
          <w:tcPr>
            <w:tcW w:w="8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8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70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Geographic Region</w:t>
            </w:r>
          </w:p>
        </w:tc>
        <w:tc>
          <w:tcPr>
            <w:tcW w:w="1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46.0</w:t>
            </w:r>
          </w:p>
        </w:tc>
        <w:tc>
          <w:tcPr>
            <w:tcW w:w="13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46.0</w:t>
            </w:r>
          </w:p>
        </w:tc>
      </w:tr>
      <w:tr>
        <w:trPr>
          <w:trHeight w:val="183"/>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2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7.6</w:t>
            </w:r>
          </w:p>
        </w:tc>
      </w:tr>
      <w:tr>
        <w:trPr>
          <w:trHeight w:val="180"/>
        </w:trPr>
        <w:tc>
          <w:tcPr>
            <w:tcW w:w="8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8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Set forth below are tables showing the industry composition of our investment portfolio at amortized cost and fair value as a percentage of total investments as of September 30, 2024 and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685"/>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w:t>
            </w:r>
          </w:p>
        </w:tc>
      </w:tr>
      <w:tr>
        <w:trPr>
          <w:trHeight w:val="183"/>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Real Estate Services</w:t>
            </w:r>
          </w:p>
        </w:tc>
        <w:tc>
          <w:tcPr>
            <w:tcW w:w="1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3.4</w:t>
            </w:r>
          </w:p>
        </w:tc>
        <w:tc>
          <w:tcPr>
            <w:tcW w:w="13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3.5</w:t>
            </w:r>
          </w:p>
        </w:tc>
      </w:tr>
      <w:tr>
        <w:trPr>
          <w:trHeight w:val="220"/>
        </w:trPr>
        <w:tc>
          <w:tcPr>
            <w:tcW w:w="8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70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5340" w:type="dxa"/>
            <w:vAlign w:val="bottom"/>
          </w:tcPr>
          <w:p>
            <w:pPr>
              <w:spacing w:after="0"/>
              <w:rPr>
                <w:sz w:val="15"/>
                <w:szCs w:val="15"/>
                <w:color w:val="auto"/>
              </w:rPr>
            </w:pPr>
          </w:p>
        </w:tc>
        <w:tc>
          <w:tcPr>
            <w:tcW w:w="1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5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340" w:type="dxa"/>
            <w:vAlign w:val="bottom"/>
            <w:vMerge w:val="restart"/>
          </w:tcPr>
          <w:p>
            <w:pPr>
              <w:jc w:val="right"/>
              <w:ind w:right="2872"/>
              <w:spacing w:after="0"/>
              <w:rPr>
                <w:sz w:val="20"/>
                <w:szCs w:val="20"/>
                <w:color w:val="auto"/>
              </w:rPr>
            </w:pPr>
            <w:r>
              <w:rPr>
                <w:rFonts w:ascii="Times New Roman" w:cs="Times New Roman" w:eastAsia="Times New Roman" w:hAnsi="Times New Roman"/>
                <w:sz w:val="12"/>
                <w:szCs w:val="12"/>
                <w:color w:val="auto"/>
              </w:rPr>
              <w:t>33</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2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Concentrations of Credit Risk</w:t>
      </w:r>
    </w:p>
    <w:p>
      <w:pPr>
        <w:spacing w:after="0" w:line="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As of September 30, 2024 and December 31, 2023, we had two portfolio companies that represented 67.7% and 77.0% respectively, of the fair values of our portfolio. As of September 30, 2024 and December 31, 2023, our largest portfolio company represented 35.6% and 38.7%, respectively, of the total fair values of our investments in portfolio companies.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 Activity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summary of the changes in the investment portfolio for the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836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Beginning Portfolio, at fair value</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50,254,550</w:t>
            </w:r>
          </w:p>
        </w:tc>
        <w:tc>
          <w:tcPr>
            <w:tcW w:w="120" w:type="dxa"/>
            <w:vAlign w:val="bottom"/>
            <w:shd w:val="clear" w:color="auto" w:fill="CCEEFF"/>
          </w:tcPr>
          <w:p>
            <w:pPr>
              <w:spacing w:after="0"/>
              <w:rPr>
                <w:sz w:val="15"/>
                <w:szCs w:val="15"/>
                <w:color w:val="auto"/>
              </w:rPr>
            </w:pPr>
          </w:p>
        </w:tc>
      </w:tr>
      <w:tr>
        <w:trPr>
          <w:trHeight w:val="180"/>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Purchases</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5,141,250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8,442,000</w:t>
            </w:r>
          </w:p>
        </w:tc>
      </w:tr>
      <w:tr>
        <w:trPr>
          <w:trHeight w:val="18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501,303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431,052</w:t>
            </w:r>
          </w:p>
        </w:tc>
      </w:tr>
      <w:tr>
        <w:trPr>
          <w:trHeight w:val="180"/>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PIK interest</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182,634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78,153</w:t>
            </w:r>
          </w:p>
        </w:tc>
      </w:tr>
      <w:tr>
        <w:trPr>
          <w:trHeight w:val="18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3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(4,344,000)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(1,780,000)</w:t>
            </w:r>
          </w:p>
        </w:tc>
      </w:tr>
      <w:tr>
        <w:trPr>
          <w:trHeight w:val="180"/>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gain/(loss) on investments</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(210,767)</w:t>
            </w:r>
          </w:p>
        </w:tc>
      </w:tr>
      <w:tr>
        <w:trPr>
          <w:trHeight w:val="18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on investments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166,012</w:t>
            </w:r>
          </w:p>
        </w:tc>
      </w:tr>
      <w:tr>
        <w:trPr>
          <w:trHeight w:val="23"/>
        </w:trPr>
        <w:tc>
          <w:tcPr>
            <w:tcW w:w="8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0"/>
        </w:trPr>
        <w:tc>
          <w:tcPr>
            <w:tcW w:w="8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Ending Portfolio, at fair value</w:t>
            </w:r>
          </w:p>
        </w:tc>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55,788,511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57,381,000</w:t>
            </w:r>
          </w:p>
        </w:tc>
      </w:tr>
      <w:tr>
        <w:trPr>
          <w:trHeight w:val="20"/>
        </w:trPr>
        <w:tc>
          <w:tcPr>
            <w:tcW w:w="8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Portfolio Asset Quality</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Our portfolio management team uses an ongoing investment risk rating system to characterize and monitor our outstanding investments.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w:t>
            </w:r>
          </w:p>
        </w:tc>
        <w:tc>
          <w:tcPr>
            <w:tcW w:w="9400" w:type="dxa"/>
            <w:vAlign w:val="bottom"/>
          </w:tcPr>
          <w:p>
            <w:pPr>
              <w:spacing w:after="0"/>
              <w:rPr>
                <w:sz w:val="15"/>
                <w:szCs w:val="15"/>
                <w:color w:val="auto"/>
              </w:rPr>
            </w:pPr>
          </w:p>
        </w:tc>
      </w:tr>
      <w:tr>
        <w:trPr>
          <w:trHeight w:val="180"/>
        </w:trPr>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Performance</w:t>
            </w:r>
          </w:p>
        </w:tc>
        <w:tc>
          <w:tcPr>
            <w:tcW w:w="9400" w:type="dxa"/>
            <w:vAlign w:val="bottom"/>
          </w:tcPr>
          <w:p>
            <w:pPr>
              <w:spacing w:after="0"/>
              <w:rPr>
                <w:sz w:val="15"/>
                <w:szCs w:val="15"/>
                <w:color w:val="auto"/>
              </w:rPr>
            </w:pPr>
          </w:p>
        </w:tc>
      </w:tr>
      <w:tr>
        <w:trPr>
          <w:trHeight w:val="197"/>
        </w:trPr>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Risk Rating</w:t>
            </w:r>
          </w:p>
        </w:tc>
        <w:tc>
          <w:tcPr>
            <w:tcW w:w="9400" w:type="dxa"/>
            <w:vAlign w:val="bottom"/>
          </w:tcPr>
          <w:p>
            <w:pPr>
              <w:spacing w:after="0"/>
              <w:rPr>
                <w:sz w:val="20"/>
                <w:szCs w:val="20"/>
                <w:color w:val="auto"/>
              </w:rPr>
            </w:pPr>
            <w:r>
              <w:rPr>
                <w:rFonts w:ascii="Times New Roman" w:cs="Times New Roman" w:eastAsia="Times New Roman" w:hAnsi="Times New Roman"/>
                <w:sz w:val="15"/>
                <w:szCs w:val="15"/>
                <w:color w:val="auto"/>
              </w:rPr>
              <w:t>Summary Description</w:t>
            </w:r>
          </w:p>
        </w:tc>
      </w:tr>
      <w:tr>
        <w:trPr>
          <w:trHeight w:val="166"/>
        </w:trPr>
        <w:tc>
          <w:tcPr>
            <w:tcW w:w="112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Grade 1</w:t>
            </w:r>
          </w:p>
        </w:tc>
        <w:tc>
          <w:tcPr>
            <w:tcW w:w="74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Investments rated 1 involve the least amount of risk to our initial cost basis. The borrower is performing above expectations, and the trends and risk factors</w:t>
            </w:r>
          </w:p>
        </w:tc>
      </w:tr>
      <w:tr>
        <w:trPr>
          <w:trHeight w:val="195"/>
        </w:trPr>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this investment since origination or acquisition are generally favorable. Full return of principal, interest and dividend income is expected.</w:t>
            </w:r>
          </w:p>
        </w:tc>
      </w:tr>
      <w:tr>
        <w:trPr>
          <w:trHeight w:val="166"/>
        </w:trPr>
        <w:tc>
          <w:tcPr>
            <w:tcW w:w="186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Grade 2</w:t>
            </w:r>
          </w:p>
        </w:tc>
        <w:tc>
          <w:tcPr>
            <w:tcW w:w="94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Investment is performing in-line with expectations. Investments rated 2 involve an acceptable level of risk that is similar to the risk at the time of</w:t>
            </w:r>
          </w:p>
        </w:tc>
      </w:tr>
      <w:tr>
        <w:trPr>
          <w:trHeight w:val="180"/>
        </w:trPr>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5"/>
                <w:szCs w:val="15"/>
                <w:color w:val="auto"/>
              </w:rPr>
              <w:t>origination or acquisition. Risk factors remain neutral or favorable compared with initial underwriting. All investments or acquired investments in new</w:t>
            </w:r>
          </w:p>
        </w:tc>
      </w:tr>
      <w:tr>
        <w:trPr>
          <w:trHeight w:val="194"/>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5"/>
                <w:szCs w:val="15"/>
                <w:color w:val="auto"/>
              </w:rPr>
              <w:t>portfolio companies are initially assessed a rating of 2.</w:t>
            </w:r>
          </w:p>
        </w:tc>
      </w:tr>
      <w:tr>
        <w:trPr>
          <w:trHeight w:val="166"/>
        </w:trPr>
        <w:tc>
          <w:tcPr>
            <w:tcW w:w="18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Grade 3</w:t>
            </w:r>
          </w:p>
        </w:tc>
        <w:tc>
          <w:tcPr>
            <w:tcW w:w="9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Investments rated 3 involve a borrower performing below expectations and indicates that the loan’s risk has increased somewhat since origination or</w:t>
            </w:r>
          </w:p>
        </w:tc>
      </w:tr>
      <w:tr>
        <w:trPr>
          <w:trHeight w:val="195"/>
        </w:trPr>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acquisition. Capital impairment or payment delinquency is not anticipated. The investment may also be out of compliance with certain financial covenants.</w:t>
            </w:r>
          </w:p>
        </w:tc>
      </w:tr>
      <w:tr>
        <w:trPr>
          <w:trHeight w:val="166"/>
        </w:trPr>
        <w:tc>
          <w:tcPr>
            <w:tcW w:w="186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Grade 4</w:t>
            </w:r>
          </w:p>
        </w:tc>
        <w:tc>
          <w:tcPr>
            <w:tcW w:w="94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Investments rated 4 involve a borrower performing materially below expectations and indicates that the loan’s risk has increased materially since</w:t>
            </w:r>
          </w:p>
        </w:tc>
      </w:tr>
      <w:tr>
        <w:trPr>
          <w:trHeight w:val="180"/>
        </w:trPr>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5"/>
                <w:szCs w:val="15"/>
                <w:color w:val="auto"/>
              </w:rPr>
              <w:t>origination or acquisition. In addition to the borrower being generally out of compliance with debt covenants, loan payments may be past due (but generally</w:t>
            </w:r>
          </w:p>
        </w:tc>
      </w:tr>
      <w:tr>
        <w:trPr>
          <w:trHeight w:val="194"/>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5"/>
                <w:szCs w:val="15"/>
                <w:color w:val="auto"/>
              </w:rPr>
              <w:t>not more than 120 days past due). Delinquency of interest and / or dividend payments in anticipated. No loss of principal is anticipated.</w:t>
            </w:r>
          </w:p>
        </w:tc>
      </w:tr>
      <w:tr>
        <w:trPr>
          <w:trHeight w:val="166"/>
        </w:trPr>
        <w:tc>
          <w:tcPr>
            <w:tcW w:w="18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Grade 5</w:t>
            </w:r>
          </w:p>
        </w:tc>
        <w:tc>
          <w:tcPr>
            <w:tcW w:w="9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Investments rated 5 involve a borrower performing substantially below expectations and indicates that the loan’s risk has increased substantially since</w:t>
            </w:r>
          </w:p>
        </w:tc>
      </w:tr>
      <w:tr>
        <w:trPr>
          <w:trHeight w:val="180"/>
        </w:trPr>
        <w:tc>
          <w:tcPr>
            <w:tcW w:w="1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origination or acquisition. It is anticipated that the Company will not recoup its initial cost and may realize a loss upon exit. Most or all of the debt</w:t>
            </w:r>
          </w:p>
        </w:tc>
      </w:tr>
      <w:tr>
        <w:trPr>
          <w:trHeight w:val="180"/>
        </w:trPr>
        <w:tc>
          <w:tcPr>
            <w:tcW w:w="1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covenants are out of compliance and payments are substantially delinquent. Loans rated 5 are not anticipated to be repaid in full and we will reduce the fair</w:t>
            </w:r>
          </w:p>
        </w:tc>
      </w:tr>
      <w:tr>
        <w:trPr>
          <w:trHeight w:val="195"/>
        </w:trPr>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 value of the loan to the amount we anticipate will be recovered.</w:t>
            </w:r>
          </w:p>
        </w:tc>
      </w:tr>
      <w:tr>
        <w:trPr>
          <w:trHeight w:val="475"/>
        </w:trPr>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Times New Roman" w:cs="Times New Roman" w:eastAsia="Times New Roman" w:hAnsi="Times New Roman"/>
                <w:sz w:val="12"/>
                <w:szCs w:val="12"/>
                <w:color w:val="auto"/>
              </w:rPr>
              <w:t>34</w:t>
            </w:r>
          </w:p>
        </w:tc>
      </w:tr>
      <w:tr>
        <w:trPr>
          <w:trHeight w:val="34"/>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show the distribution of our investments on the 1 to 5 investment risk rating scale at fair value as of September 30, 2024 and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785"/>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Investments at Fair</w:t>
            </w:r>
          </w:p>
        </w:tc>
        <w:tc>
          <w:tcPr>
            <w:tcW w:w="1380" w:type="dxa"/>
            <w:vAlign w:val="bottom"/>
          </w:tcPr>
          <w:p>
            <w:pPr>
              <w:jc w:val="right"/>
              <w:ind w:right="65"/>
              <w:spacing w:after="0" w:line="161" w:lineRule="exact"/>
              <w:rPr>
                <w:sz w:val="20"/>
                <w:szCs w:val="20"/>
                <w:color w:val="auto"/>
              </w:rPr>
            </w:pPr>
            <w:r>
              <w:rPr>
                <w:rFonts w:ascii="Times New Roman" w:cs="Times New Roman" w:eastAsia="Times New Roman" w:hAnsi="Times New Roman"/>
                <w:sz w:val="15"/>
                <w:szCs w:val="15"/>
                <w:b w:val="1"/>
                <w:bCs w:val="1"/>
                <w:color w:val="auto"/>
                <w:w w:val="97"/>
              </w:rPr>
              <w:t>Percentage of Total</w:t>
            </w:r>
          </w:p>
        </w:tc>
      </w:tr>
      <w:tr>
        <w:trPr>
          <w:trHeight w:val="201"/>
        </w:trPr>
        <w:tc>
          <w:tcPr>
            <w:tcW w:w="8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Performance Risk Rating</w:t>
            </w:r>
          </w:p>
        </w:tc>
        <w:tc>
          <w:tcPr>
            <w:tcW w:w="26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38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Investments</w:t>
            </w:r>
          </w:p>
        </w:tc>
      </w:tr>
      <w:tr>
        <w:trPr>
          <w:trHeight w:val="180"/>
        </w:trPr>
        <w:tc>
          <w:tcPr>
            <w:tcW w:w="8180" w:type="dxa"/>
            <w:vAlign w:val="bottom"/>
            <w:tcBorders>
              <w:top w:val="single" w:sz="8" w:color="auto"/>
            </w:tcBorders>
            <w:shd w:val="clear" w:color="auto" w:fill="CCEEFF"/>
          </w:tcPr>
          <w:p>
            <w:pPr>
              <w:jc w:val="right"/>
              <w:ind w:right="7905"/>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180" w:type="dxa"/>
            <w:vAlign w:val="bottom"/>
          </w:tcPr>
          <w:p>
            <w:pPr>
              <w:jc w:val="right"/>
              <w:ind w:right="7905"/>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55,788,511</w:t>
            </w:r>
          </w:p>
        </w:tc>
        <w:tc>
          <w:tcPr>
            <w:tcW w:w="220" w:type="dxa"/>
            <w:vAlign w:val="bottom"/>
          </w:tcPr>
          <w:p>
            <w:pPr>
              <w:spacing w:after="0"/>
              <w:rPr>
                <w:sz w:val="15"/>
                <w:szCs w:val="15"/>
                <w:color w:val="auto"/>
              </w:rPr>
            </w:pPr>
          </w:p>
        </w:tc>
        <w:tc>
          <w:tcPr>
            <w:tcW w:w="1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100.00</w:t>
            </w:r>
          </w:p>
        </w:tc>
      </w:tr>
      <w:tr>
        <w:trPr>
          <w:trHeight w:val="180"/>
        </w:trPr>
        <w:tc>
          <w:tcPr>
            <w:tcW w:w="8180" w:type="dxa"/>
            <w:vAlign w:val="bottom"/>
            <w:shd w:val="clear" w:color="auto" w:fill="CCEEFF"/>
          </w:tcPr>
          <w:p>
            <w:pPr>
              <w:jc w:val="right"/>
              <w:ind w:right="7905"/>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180" w:type="dxa"/>
            <w:vAlign w:val="bottom"/>
          </w:tcPr>
          <w:p>
            <w:pPr>
              <w:jc w:val="right"/>
              <w:ind w:right="7905"/>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180" w:type="dxa"/>
            <w:vAlign w:val="bottom"/>
            <w:tcBorders>
              <w:bottom w:val="single" w:sz="8" w:color="CCEEFF"/>
            </w:tcBorders>
            <w:shd w:val="clear" w:color="auto" w:fill="CCEEFF"/>
          </w:tcPr>
          <w:p>
            <w:pPr>
              <w:jc w:val="right"/>
              <w:ind w:right="7905"/>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55,788,511</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20"/>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82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62"/>
        </w:trPr>
        <w:tc>
          <w:tcPr>
            <w:tcW w:w="8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Investments at Fair</w:t>
            </w:r>
          </w:p>
        </w:tc>
        <w:tc>
          <w:tcPr>
            <w:tcW w:w="1380" w:type="dxa"/>
            <w:vAlign w:val="bottom"/>
          </w:tcPr>
          <w:p>
            <w:pPr>
              <w:jc w:val="right"/>
              <w:ind w:right="65"/>
              <w:spacing w:after="0" w:line="161" w:lineRule="exact"/>
              <w:rPr>
                <w:sz w:val="20"/>
                <w:szCs w:val="20"/>
                <w:color w:val="auto"/>
              </w:rPr>
            </w:pPr>
            <w:r>
              <w:rPr>
                <w:rFonts w:ascii="Times New Roman" w:cs="Times New Roman" w:eastAsia="Times New Roman" w:hAnsi="Times New Roman"/>
                <w:sz w:val="15"/>
                <w:szCs w:val="15"/>
                <w:b w:val="1"/>
                <w:bCs w:val="1"/>
                <w:color w:val="auto"/>
                <w:w w:val="97"/>
              </w:rPr>
              <w:t>Percentage of Total</w:t>
            </w:r>
          </w:p>
        </w:tc>
      </w:tr>
      <w:tr>
        <w:trPr>
          <w:trHeight w:val="201"/>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Performance Risk Rating</w:t>
            </w:r>
          </w:p>
        </w:tc>
        <w:tc>
          <w:tcPr>
            <w:tcW w:w="26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38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Investments</w:t>
            </w:r>
          </w:p>
        </w:tc>
      </w:tr>
      <w:tr>
        <w:trPr>
          <w:trHeight w:val="180"/>
        </w:trPr>
        <w:tc>
          <w:tcPr>
            <w:tcW w:w="8140" w:type="dxa"/>
            <w:vAlign w:val="bottom"/>
            <w:tcBorders>
              <w:top w:val="single" w:sz="8" w:color="auto"/>
            </w:tcBorders>
            <w:shd w:val="clear" w:color="auto" w:fill="CCEEFF"/>
          </w:tcPr>
          <w:p>
            <w:pPr>
              <w:jc w:val="right"/>
              <w:ind w:right="7865"/>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140" w:type="dxa"/>
            <w:vAlign w:val="bottom"/>
          </w:tcPr>
          <w:p>
            <w:pPr>
              <w:jc w:val="right"/>
              <w:ind w:right="7865"/>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20" w:type="dxa"/>
            <w:vAlign w:val="bottom"/>
          </w:tcPr>
          <w:p>
            <w:pPr>
              <w:spacing w:after="0"/>
              <w:rPr>
                <w:sz w:val="15"/>
                <w:szCs w:val="15"/>
                <w:color w:val="auto"/>
              </w:rPr>
            </w:pPr>
          </w:p>
        </w:tc>
        <w:tc>
          <w:tcPr>
            <w:tcW w:w="1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100.00</w:t>
            </w:r>
          </w:p>
        </w:tc>
      </w:tr>
      <w:tr>
        <w:trPr>
          <w:trHeight w:val="180"/>
        </w:trPr>
        <w:tc>
          <w:tcPr>
            <w:tcW w:w="8140" w:type="dxa"/>
            <w:vAlign w:val="bottom"/>
            <w:shd w:val="clear" w:color="auto" w:fill="CCEEFF"/>
          </w:tcPr>
          <w:p>
            <w:pPr>
              <w:jc w:val="right"/>
              <w:ind w:right="7865"/>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140" w:type="dxa"/>
            <w:vAlign w:val="bottom"/>
          </w:tcPr>
          <w:p>
            <w:pPr>
              <w:jc w:val="right"/>
              <w:ind w:right="7865"/>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140" w:type="dxa"/>
            <w:vAlign w:val="bottom"/>
            <w:tcBorders>
              <w:bottom w:val="single" w:sz="8" w:color="CCEEFF"/>
            </w:tcBorders>
            <w:shd w:val="clear" w:color="auto" w:fill="CCEEFF"/>
          </w:tcPr>
          <w:p>
            <w:pPr>
              <w:jc w:val="right"/>
              <w:ind w:right="7865"/>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3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20"/>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Debt Investments on Non-Accrual Status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September 30, 2024 and December 31, 2023, there were no loans in our portfolio placed on non-accrual status.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discussion and analysis of our results of operations encompasses our results for the three and nine months ended September 30,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the components of investment income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524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Stated interest income</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2,465,150</w:t>
            </w:r>
          </w:p>
        </w:tc>
        <w:tc>
          <w:tcPr>
            <w:tcW w:w="2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2,740,665</w:t>
            </w:r>
          </w:p>
        </w:tc>
        <w:tc>
          <w:tcPr>
            <w:tcW w:w="2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7,519,664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7,596,808</w:t>
            </w:r>
          </w:p>
        </w:tc>
        <w:tc>
          <w:tcPr>
            <w:tcW w:w="120" w:type="dxa"/>
            <w:vAlign w:val="bottom"/>
            <w:shd w:val="clear" w:color="auto" w:fill="CCEEFF"/>
          </w:tcPr>
          <w:p>
            <w:pPr>
              <w:spacing w:after="0"/>
              <w:rPr>
                <w:sz w:val="15"/>
                <w:szCs w:val="15"/>
                <w:color w:val="auto"/>
              </w:rPr>
            </w:pP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152,124</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129,494</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501,303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431,052</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in-kind interest</w:t>
            </w: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69,497</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15,566</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78,153</w:t>
            </w:r>
          </w:p>
        </w:tc>
      </w:tr>
      <w:tr>
        <w:trPr>
          <w:trHeight w:val="23"/>
        </w:trPr>
        <w:tc>
          <w:tcPr>
            <w:tcW w:w="5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0"/>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interest income</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2,686,771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2,885,725</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8,203,601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8,106,013</w:t>
            </w: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Fee income</w:t>
            </w: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489,176</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31,250</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813,926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162,500</w:t>
            </w:r>
          </w:p>
        </w:tc>
      </w:tr>
      <w:tr>
        <w:trPr>
          <w:trHeight w:val="23"/>
        </w:trPr>
        <w:tc>
          <w:tcPr>
            <w:tcW w:w="5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0"/>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investment income</w:t>
            </w: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3,175,947</w:t>
            </w:r>
          </w:p>
        </w:tc>
        <w:tc>
          <w:tcPr>
            <w:tcW w:w="20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2,916,975</w:t>
            </w:r>
          </w:p>
        </w:tc>
        <w:tc>
          <w:tcPr>
            <w:tcW w:w="20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9,017,527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8,268,513</w:t>
            </w:r>
          </w:p>
        </w:tc>
      </w:tr>
      <w:tr>
        <w:trPr>
          <w:trHeight w:val="20"/>
        </w:trPr>
        <w:tc>
          <w:tcPr>
            <w:tcW w:w="5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also recognizes certain fees as one-time fee income, including, but not limited to, advisory and commitment fees.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For the three and nine months ended September 30, 2024, total investment income was approximately $3.2 million and $9.0 million, which is attributable to $0.5 million and $0.8 million of fee income related to commitment fees, advisory fees, amendment fees and administrative fees and $2.7 million and $8.2 million of interest income, respectively. For the three and nine months ended September 30, 2023, total investment income was approximately $2.9 million and $8.3 million, which is attributable to $0.0 million and $0.2 million of fee income related to administrative and amendment fees and $2.9 million and $8.1 million of interest income, respectively.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provides a detailed breakdown of the operating expenses for the nine months ended September 30,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For the Nine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For the Nine</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1"/>
        </w:trPr>
        <w:tc>
          <w:tcPr>
            <w:tcW w:w="574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40" w:type="dxa"/>
            <w:vAlign w:val="bottom"/>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Transaction expenses related to the Loan Portfolio Acquisition</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5,069,062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5,069,062</w:t>
            </w:r>
          </w:p>
        </w:tc>
        <w:tc>
          <w:tcPr>
            <w:tcW w:w="220" w:type="dxa"/>
            <w:vAlign w:val="bottom"/>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Management fee</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745,876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760,473</w:t>
            </w: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(14,597)</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Income-based incentive fees</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328,503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1,051,741</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(723,238)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Audit expense</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299,225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409,365</w:t>
            </w: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(110,140)</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Administrator fees</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298,132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250,314</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47,818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Legal expenses</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200,073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334,308</w:t>
            </w: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(134,235)</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Insurance expense</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199,430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202,597</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(3,167)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107,213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61,918</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45,295</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 expenses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105,913</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(25,602)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74,694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51,808</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22,886</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fees</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50,043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116,955</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(66,912)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Capital gains incentive fees</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37,465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37,465</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Custodian fees</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35,850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36,000</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83"/>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Excise tax expense</w:t>
            </w: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31,314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31,314</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20"/>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7,557,191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3,381,392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4,175,799</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Investment Income</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Net investment income was approximately $0.0 million and $1.5 million for the three and nine months ended September 30, 2024, as compared to approximately $1.6 million and $4.9 million for the three and nine months ended September 30, 2023, respectively. The fluctuation in net investment income is primarily due to transaction fees of $2.4 million and $5.1 million incurred in connection with the Loan Portfolio Acquisition during the three and nine months ended September 30, 2024, although the impact of such fees was partially offset by the increases in investment income during the three and nine months ended September 30, 2024 as compared to the three and nine months ended September 30, 2023, as discussed above. While we consider these fees to be largely non-recurring and anticipate less transaction fees going forward, we acknowledge the possibility of unforeseen transaction-related costs in future periods.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Realized Gains and Losses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sales or redemptions of investments during the three and nine months ended September 30, 2024. There was $0 and $210,767 in net realized losses from the sale of an investment during the three and nine months ended September 30, 2023,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Change in Unrealized Appreciation (Depreciation) from Investments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unrealized appreciation and depreciation on investments for the three and nine months ended September 30, 2024 and 2023 is comprised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40" w:type="dxa"/>
            <w:vAlign w:val="bottom"/>
          </w:tcPr>
          <w:p>
            <w:pPr>
              <w:spacing w:after="0"/>
              <w:rPr>
                <w:sz w:val="15"/>
                <w:szCs w:val="15"/>
                <w:color w:val="auto"/>
              </w:rPr>
            </w:pPr>
          </w:p>
        </w:tc>
        <w:tc>
          <w:tcPr>
            <w:tcW w:w="1840" w:type="dxa"/>
            <w:vAlign w:val="bottom"/>
            <w:gridSpan w:val="4"/>
          </w:tcPr>
          <w:p>
            <w:pPr>
              <w:ind w:lef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8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unrealized appreciation</w:t>
            </w:r>
          </w:p>
        </w:tc>
        <w:tc>
          <w:tcPr>
            <w:tcW w:w="26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101,825</w:t>
            </w:r>
          </w:p>
        </w:tc>
        <w:tc>
          <w:tcPr>
            <w:tcW w:w="2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282,329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365,811</w:t>
            </w:r>
          </w:p>
        </w:tc>
      </w:tr>
      <w:tr>
        <w:trPr>
          <w:trHeight w:val="183"/>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Gross unrealized depreciation</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(281,349)</w:t>
            </w:r>
          </w:p>
        </w:tc>
        <w:tc>
          <w:tcPr>
            <w:tcW w:w="4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(343,104)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(95,005)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(199,799)</w:t>
            </w:r>
          </w:p>
        </w:tc>
      </w:tr>
      <w:tr>
        <w:trPr>
          <w:trHeight w:val="220"/>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net change in unrealized appreciation (depreciation) from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(179,524)</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166,012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net change in unrealized appreciation (depreciation) for our portfolio for the three and nine months ended September 30, 2024 and 2023:</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38"/>
        </w:trPr>
        <w:tc>
          <w:tcPr>
            <w:tcW w:w="52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9"/>
        </w:trPr>
        <w:tc>
          <w:tcPr>
            <w:tcW w:w="840" w:type="dxa"/>
            <w:vAlign w:val="bottom"/>
            <w:tcBorders>
              <w:top w:val="single" w:sz="8" w:color="0000EE"/>
            </w:tcBorders>
          </w:tcPr>
          <w:p>
            <w:pPr>
              <w:spacing w:after="0"/>
              <w:rPr>
                <w:sz w:val="24"/>
                <w:szCs w:val="24"/>
                <w:color w:val="auto"/>
              </w:rPr>
            </w:pPr>
          </w:p>
        </w:tc>
        <w:tc>
          <w:tcPr>
            <w:tcW w:w="43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8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Verano Holdings Corp.</w:t>
            </w: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(33,696)</w:t>
            </w:r>
          </w:p>
        </w:tc>
        <w:tc>
          <w:tcPr>
            <w:tcW w:w="2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(33,861)</w:t>
            </w:r>
          </w:p>
        </w:tc>
        <w:tc>
          <w:tcPr>
            <w:tcW w:w="2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13,915</w:t>
            </w:r>
          </w:p>
        </w:tc>
        <w:tc>
          <w:tcPr>
            <w:tcW w:w="22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90,950</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STIIIZY, Inc. (f/k/a Shryne Group Inc.)</w:t>
            </w:r>
          </w:p>
        </w:tc>
        <w:tc>
          <w:tcPr>
            <w:tcW w:w="4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(134,430)</w:t>
            </w:r>
          </w:p>
        </w:tc>
        <w:tc>
          <w:tcPr>
            <w:tcW w:w="4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(129,301)</w:t>
            </w:r>
          </w:p>
        </w:tc>
        <w:tc>
          <w:tcPr>
            <w:tcW w:w="4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(2,750)</w:t>
            </w:r>
          </w:p>
        </w:tc>
        <w:tc>
          <w:tcPr>
            <w:tcW w:w="4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212,530</w:t>
            </w:r>
          </w:p>
        </w:tc>
      </w:tr>
      <w:tr>
        <w:trPr>
          <w:trHeight w:val="18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Curaleaf Holdings, Inc.</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50,692</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(45,744)</w:t>
            </w: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45,173</w:t>
            </w:r>
          </w:p>
        </w:tc>
        <w:tc>
          <w:tcPr>
            <w:tcW w:w="4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62,331</w:t>
            </w:r>
          </w:p>
        </w:tc>
      </w:tr>
      <w:tr>
        <w:trPr>
          <w:trHeight w:val="180"/>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MariMed Inc.</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(39,029)</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(8,165)</w:t>
            </w:r>
          </w:p>
        </w:tc>
      </w:tr>
      <w:tr>
        <w:trPr>
          <w:trHeight w:val="18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Dreamfields Brands, Inc. (d/b/a Jeeter)</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(8,223)</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(32,298)</w:t>
            </w: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(25,429)</w:t>
            </w:r>
          </w:p>
        </w:tc>
        <w:tc>
          <w:tcPr>
            <w:tcW w:w="4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(32,220)</w:t>
            </w:r>
          </w:p>
        </w:tc>
      </w:tr>
      <w:tr>
        <w:trPr>
          <w:trHeight w:val="180"/>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PharmaCann, Inc.</w:t>
            </w:r>
          </w:p>
        </w:tc>
        <w:tc>
          <w:tcPr>
            <w:tcW w:w="46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40,560</w:t>
            </w:r>
          </w:p>
        </w:tc>
        <w:tc>
          <w:tcPr>
            <w:tcW w:w="4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(62,871)</w:t>
            </w:r>
          </w:p>
        </w:tc>
        <w:tc>
          <w:tcPr>
            <w:tcW w:w="4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81,842</w:t>
            </w:r>
          </w:p>
        </w:tc>
        <w:tc>
          <w:tcPr>
            <w:tcW w:w="4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(159,414)</w:t>
            </w:r>
          </w:p>
        </w:tc>
      </w:tr>
      <w:tr>
        <w:trPr>
          <w:trHeight w:val="18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Workbox Holdings, Inc.</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10,573</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141,399</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Workbox Holdings, Inc, A-1 Preferred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r>
      <w:tr>
        <w:trPr>
          <w:trHeight w:val="18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Workbox Holdings, Inc: A-3 Warrants</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(41,000)</w:t>
            </w:r>
          </w:p>
        </w:tc>
        <w:tc>
          <w:tcPr>
            <w:tcW w:w="4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(25,785)</w:t>
            </w: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80"/>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Workbox Holdings, Inc: A-4 Warrants</w:t>
            </w:r>
          </w:p>
        </w:tc>
        <w:tc>
          <w:tcPr>
            <w:tcW w:w="4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(64,000)</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(41,041)</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Ascend Wellness Holdings, Inc.</w:t>
            </w: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0"/>
        </w:trPr>
        <w:tc>
          <w:tcPr>
            <w:tcW w:w="52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Total net change in unrealized appreciation (depreciation) on investments</w:t>
            </w:r>
          </w:p>
        </w:tc>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(179,524)</w:t>
            </w:r>
          </w:p>
        </w:tc>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(343,104)</w:t>
            </w: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187,324</w:t>
            </w:r>
          </w:p>
        </w:tc>
        <w:tc>
          <w:tcPr>
            <w:tcW w:w="22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166,012</w:t>
            </w:r>
          </w:p>
        </w:tc>
      </w:tr>
      <w:tr>
        <w:trPr>
          <w:trHeight w:val="20"/>
        </w:trPr>
        <w:tc>
          <w:tcPr>
            <w:tcW w:w="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Condition, Liquidity and Capital Resources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generate cash primarily from the net proceeds of offerings of securities and cash flows from operations, including interest earned from the temporary investment of cash in 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government securities.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Our primary use of funds will be investments in debt and equity securities, dividend payments to holders of our common stock who opt out of the DRIP, and the payment of operating expenses. As of September 30, 2024 and December 31, 2023, we had cash resources of approximately $30.1 million and $32.6 million, respectively, and no indebtedness.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Dividends may also be distributed in accordance with the Company’s dividend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Federal Income Taxes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Valuation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 w:cs="Times New Roman" w:eastAsia="Times New Roman" w:hAnsi="Times New Roman"/>
          <w:sz w:val="15"/>
          <w:szCs w:val="15"/>
          <w:color w:val="00B050"/>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Adviser undertakes a multi-step valuation process, which includes, among other procedures, the following:</w:t>
      </w:r>
    </w:p>
    <w:p>
      <w:pPr>
        <w:spacing w:after="0" w:line="188" w:lineRule="exact"/>
        <w:rPr>
          <w:sz w:val="20"/>
          <w:szCs w:val="20"/>
          <w:color w:val="auto"/>
        </w:rPr>
      </w:pPr>
    </w:p>
    <w:p>
      <w:pPr>
        <w:ind w:left="700" w:hanging="406"/>
        <w:spacing w:after="0"/>
        <w:tabs>
          <w:tab w:leader="none" w:pos="7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readily available, those investments will typically be valued at the bid price of those market quotations;</w:t>
      </w:r>
    </w:p>
    <w:p>
      <w:pPr>
        <w:spacing w:after="0" w:line="188" w:lineRule="exact"/>
        <w:rPr>
          <w:rFonts w:ascii="Times New Roman" w:cs="Times New Roman" w:eastAsia="Times New Roman" w:hAnsi="Times New Roman"/>
          <w:sz w:val="15"/>
          <w:szCs w:val="15"/>
          <w:color w:val="auto"/>
        </w:rPr>
      </w:pPr>
    </w:p>
    <w:p>
      <w:pPr>
        <w:ind w:left="700" w:right="20" w:hanging="406"/>
        <w:spacing w:after="0" w:line="280" w:lineRule="auto"/>
        <w:tabs>
          <w:tab w:leader="none" w:pos="7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3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valuations are documented and discussed by the Adviser’s valuation committee and, where appropriate, the independent valuation firm(s); and</w:t>
      </w:r>
    </w:p>
    <w:p>
      <w:pPr>
        <w:spacing w:after="0" w:line="18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Adviser determines the fair value of each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conduct this valuation process on a quarterly basis.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58" w:lineRule="exact"/>
        <w:rPr>
          <w:sz w:val="20"/>
          <w:szCs w:val="20"/>
          <w:color w:val="auto"/>
        </w:rPr>
      </w:pPr>
    </w:p>
    <w:p>
      <w:pPr>
        <w:ind w:left="700" w:hanging="406"/>
        <w:spacing w:after="0"/>
        <w:tabs>
          <w:tab w:leader="none" w:pos="7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 Valuations based on quoted prices in active markets for identical assets or liabilities that we have the ability to access at the measurement date;</w:t>
      </w:r>
    </w:p>
    <w:p>
      <w:pPr>
        <w:spacing w:after="0" w:line="188" w:lineRule="exact"/>
        <w:rPr>
          <w:rFonts w:ascii="Times New Roman" w:cs="Times New Roman" w:eastAsia="Times New Roman" w:hAnsi="Times New Roman"/>
          <w:sz w:val="15"/>
          <w:szCs w:val="15"/>
          <w:color w:val="auto"/>
        </w:rPr>
      </w:pPr>
    </w:p>
    <w:p>
      <w:pPr>
        <w:ind w:left="700" w:right="20" w:hanging="406"/>
        <w:spacing w:after="0" w:line="280" w:lineRule="auto"/>
        <w:tabs>
          <w:tab w:leader="none" w:pos="7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8" w:lineRule="exact"/>
        <w:rPr>
          <w:rFonts w:ascii="Times New Roman" w:cs="Times New Roman" w:eastAsia="Times New Roman" w:hAnsi="Times New Roman"/>
          <w:sz w:val="15"/>
          <w:szCs w:val="15"/>
          <w:color w:val="auto"/>
        </w:rPr>
      </w:pPr>
    </w:p>
    <w:p>
      <w:pPr>
        <w:ind w:left="700" w:hanging="406"/>
        <w:spacing w:after="0"/>
        <w:tabs>
          <w:tab w:leader="none" w:pos="7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 Valuations based on inputs that are unobservable and significant to the overall fair value measurement.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All of our investments as of September 30, 2024 and December 31, 2023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debt investments may vary and may include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 The significant unobservable inputs used in the fair value measurement of the Company’s equity and warrant investments may vary and may include EBITDA multiples, revenue multiples and asset multiples. Significant increases (decreases) in EBITDA, revenue and asset multiple inputs in isolation would result in a significantly higher (lower) fair value assessment.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Contractual Obligations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We have certain commitments pursuant to our Investment Advisory Agreement that we have entered into with the Adviser.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the Adviser to serve as our administrator. Payments under the Administration Agreement will be reimbursements to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a sub-administrator. The Company is not responsible for the compensation of the Adviser’s employees and overhead expenses. See “Item 1. Business—Administration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Unfunded Commitments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Company’s commitments and contingencies include unfunded commitments to extend credit in the form of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as of September 30, 2024 includes only those commitments that are available at the request of the portfolio company and are unencumbered by milestones or additional lending provisions. As of September 30, 2024, the Company had outstanding commitments to fund investments totaling $1.5 million. The Company has identified no unfunded commitments as of December 31, 2023.</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did not have any other off-balance sheet financings or liabilities as of September 30, 2024 or December 31, 2023.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3" w:name="page44"/>
    <w:bookmarkEnd w:id="43"/>
    <w:p>
      <w:pPr>
        <w:ind w:left="10"/>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2" w:lineRule="exact"/>
        <w:rPr>
          <w:sz w:val="20"/>
          <w:szCs w:val="20"/>
          <w:color w:val="auto"/>
        </w:rPr>
      </w:pPr>
    </w:p>
    <w:p>
      <w:pPr>
        <w:jc w:val="both"/>
        <w:ind w:left="10" w:right="20"/>
        <w:spacing w:after="0" w:line="280" w:lineRule="auto"/>
        <w:rPr>
          <w:sz w:val="20"/>
          <w:szCs w:val="20"/>
          <w:color w:val="auto"/>
        </w:rPr>
      </w:pPr>
      <w:r>
        <w:rPr>
          <w:rFonts w:ascii="Times New Roman" w:cs="Times New Roman" w:eastAsia="Times New Roman" w:hAnsi="Times New Roman"/>
          <w:sz w:val="15"/>
          <w:szCs w:val="15"/>
          <w:color w:val="auto"/>
        </w:rPr>
        <w:t>Our common stock began trading on the Nasdaq Global Market on February 4, 2022 under the symbol “SSIC” in connection with our IPO of shares of our common stock. On October 2, 2024, our ticker symbol changed to “LIEN.”</w:t>
      </w:r>
    </w:p>
    <w:p>
      <w:pPr>
        <w:spacing w:after="0" w:line="13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November 5, 2024, the last reported closing sales price of our common stock on the Nasdaq Global Market was $12.86 per share, which represented a discount of approximately 3.2% to our net asset value per share of $13.28 as of September 30, 2024.</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Price Range</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5"/>
                <w:szCs w:val="15"/>
                <w:b w:val="1"/>
                <w:bCs w:val="1"/>
                <w:color w:val="auto"/>
              </w:rPr>
              <w:t>High Sales Price</w:t>
            </w:r>
          </w:p>
        </w:tc>
        <w:tc>
          <w:tcPr>
            <w:tcW w:w="130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5"/>
                <w:szCs w:val="15"/>
                <w:b w:val="1"/>
                <w:bCs w:val="1"/>
                <w:color w:val="auto"/>
                <w:w w:val="98"/>
              </w:rPr>
              <w:t>Low Sales Price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0"/>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Premium</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Premium</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3"/>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Net Asset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(Discount) to Net</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(Discount) to Net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7"/>
              </w:rPr>
              <w:t>Cash Dividend</w:t>
            </w: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Class and Period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line="207" w:lineRule="exact"/>
              <w:rPr>
                <w:sz w:val="20"/>
                <w:szCs w:val="20"/>
                <w:color w:val="auto"/>
              </w:rPr>
            </w:pPr>
            <w:r>
              <w:rPr>
                <w:rFonts w:ascii="Times New Roman" w:cs="Times New Roman" w:eastAsia="Times New Roman" w:hAnsi="Times New Roman"/>
                <w:sz w:val="14"/>
                <w:szCs w:val="14"/>
                <w:b w:val="1"/>
                <w:bCs w:val="1"/>
                <w:color w:val="auto"/>
                <w:w w:val="94"/>
              </w:rPr>
              <w:t>Value</w:t>
            </w:r>
            <w:r>
              <w:rPr>
                <w:rFonts w:ascii="Times New Roman" w:cs="Times New Roman" w:eastAsia="Times New Roman" w:hAnsi="Times New Roman"/>
                <w:sz w:val="23"/>
                <w:szCs w:val="23"/>
                <w:b w:val="1"/>
                <w:bCs w:val="1"/>
                <w:color w:val="auto"/>
                <w:w w:val="94"/>
                <w:vertAlign w:val="superscript"/>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High</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Low</w:t>
            </w:r>
          </w:p>
        </w:tc>
        <w:tc>
          <w:tcPr>
            <w:tcW w:w="1380" w:type="dxa"/>
            <w:vAlign w:val="bottom"/>
            <w:gridSpan w:val="2"/>
          </w:tcPr>
          <w:p>
            <w:pPr>
              <w:jc w:val="center"/>
              <w:ind w:right="260"/>
              <w:spacing w:after="0" w:line="207" w:lineRule="exact"/>
              <w:rPr>
                <w:sz w:val="20"/>
                <w:szCs w:val="20"/>
                <w:color w:val="auto"/>
              </w:rPr>
            </w:pPr>
            <w:r>
              <w:rPr>
                <w:rFonts w:ascii="Times New Roman" w:cs="Times New Roman" w:eastAsia="Times New Roman" w:hAnsi="Times New Roman"/>
                <w:sz w:val="14"/>
                <w:szCs w:val="14"/>
                <w:b w:val="1"/>
                <w:bCs w:val="1"/>
                <w:color w:val="auto"/>
                <w:w w:val="99"/>
              </w:rPr>
              <w:t>Asset Value</w:t>
            </w:r>
            <w:r>
              <w:rPr>
                <w:rFonts w:ascii="Times New Roman" w:cs="Times New Roman" w:eastAsia="Times New Roman" w:hAnsi="Times New Roman"/>
                <w:sz w:val="23"/>
                <w:szCs w:val="23"/>
                <w:b w:val="1"/>
                <w:bCs w:val="1"/>
                <w:color w:val="auto"/>
                <w:w w:val="99"/>
                <w:vertAlign w:val="superscript"/>
              </w:rPr>
              <w:t>(2)</w:t>
            </w:r>
          </w:p>
        </w:tc>
        <w:tc>
          <w:tcPr>
            <w:tcW w:w="1300" w:type="dxa"/>
            <w:vAlign w:val="bottom"/>
            <w:gridSpan w:val="2"/>
          </w:tcPr>
          <w:p>
            <w:pPr>
              <w:jc w:val="center"/>
              <w:ind w:right="180"/>
              <w:spacing w:after="0" w:line="207" w:lineRule="exact"/>
              <w:rPr>
                <w:sz w:val="20"/>
                <w:szCs w:val="20"/>
                <w:color w:val="auto"/>
              </w:rPr>
            </w:pPr>
            <w:r>
              <w:rPr>
                <w:rFonts w:ascii="Times New Roman" w:cs="Times New Roman" w:eastAsia="Times New Roman" w:hAnsi="Times New Roman"/>
                <w:sz w:val="14"/>
                <w:szCs w:val="14"/>
                <w:b w:val="1"/>
                <w:bCs w:val="1"/>
                <w:color w:val="auto"/>
                <w:w w:val="99"/>
              </w:rPr>
              <w:t>Asset Value</w:t>
            </w:r>
            <w:r>
              <w:rPr>
                <w:rFonts w:ascii="Times New Roman" w:cs="Times New Roman" w:eastAsia="Times New Roman" w:hAnsi="Times New Roman"/>
                <w:sz w:val="23"/>
                <w:szCs w:val="23"/>
                <w:b w:val="1"/>
                <w:bCs w:val="1"/>
                <w:color w:val="auto"/>
                <w:w w:val="99"/>
                <w:vertAlign w:val="superscript"/>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60"/>
              <w:spacing w:after="0" w:line="207"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23"/>
                <w:szCs w:val="23"/>
                <w:b w:val="1"/>
                <w:bCs w:val="1"/>
                <w:color w:val="auto"/>
                <w:vertAlign w:val="superscript"/>
              </w:rPr>
              <w:t>(3)</w:t>
            </w:r>
          </w:p>
        </w:tc>
      </w:tr>
      <w:tr>
        <w:trPr>
          <w:trHeight w:val="180"/>
        </w:trPr>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 (Through November 5, 2024)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13.24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10.73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10.64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0.25</w:t>
            </w: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12.38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9.61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0.25</w:t>
            </w:r>
          </w:p>
        </w:tc>
      </w:tr>
      <w:tr>
        <w:trPr>
          <w:trHeight w:val="180"/>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10.28</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7.65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-43.8%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0.25</w:t>
            </w: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80"/>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13.77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9.81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8.32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-28.8%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3"/>
                <w:szCs w:val="13"/>
                <w:color w:val="auto"/>
              </w:rPr>
              <w:t>0.70</w:t>
            </w:r>
            <w:r>
              <w:rPr>
                <w:rFonts w:ascii="Times New Roman" w:cs="Times New Roman" w:eastAsia="Times New Roman" w:hAnsi="Times New Roman"/>
                <w:sz w:val="20"/>
                <w:szCs w:val="20"/>
                <w:color w:val="auto"/>
                <w:vertAlign w:val="superscript"/>
              </w:rPr>
              <w:t>(6)</w:t>
            </w: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14.06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10.37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-45.6%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3"/>
                <w:szCs w:val="13"/>
                <w:color w:val="auto"/>
              </w:rPr>
              <w:t>0.63</w:t>
            </w:r>
            <w:r>
              <w:rPr>
                <w:rFonts w:ascii="Times New Roman" w:cs="Times New Roman" w:eastAsia="Times New Roman" w:hAnsi="Times New Roman"/>
                <w:sz w:val="20"/>
                <w:szCs w:val="20"/>
                <w:color w:val="auto"/>
                <w:vertAlign w:val="superscript"/>
              </w:rPr>
              <w:t>(6)</w:t>
            </w:r>
          </w:p>
        </w:tc>
      </w:tr>
      <w:tr>
        <w:trPr>
          <w:trHeight w:val="180"/>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9.19</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7.82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14.29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9.98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8.25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20" w:type="dxa"/>
            <w:vAlign w:val="bottom"/>
          </w:tcPr>
          <w:p>
            <w:pPr>
              <w:spacing w:after="0" w:line="181" w:lineRule="exact"/>
              <w:rPr>
                <w:sz w:val="20"/>
                <w:szCs w:val="20"/>
                <w:color w:val="auto"/>
              </w:rPr>
            </w:pPr>
            <w:r>
              <w:rPr>
                <w:rFonts w:ascii="Times New Roman" w:cs="Times New Roman" w:eastAsia="Times New Roman" w:hAnsi="Times New Roman"/>
                <w:sz w:val="13"/>
                <w:szCs w:val="13"/>
                <w:b w:val="1"/>
                <w:bCs w:val="1"/>
                <w:color w:val="auto"/>
              </w:rPr>
              <w:t>Year Ended December 31, 2022</w:t>
            </w:r>
            <w:r>
              <w:rPr>
                <w:rFonts w:ascii="Times New Roman" w:cs="Times New Roman" w:eastAsia="Times New Roman" w:hAnsi="Times New Roman"/>
                <w:sz w:val="20"/>
                <w:szCs w:val="20"/>
                <w:b w:val="1"/>
                <w:bCs w:val="1"/>
                <w:color w:val="auto"/>
                <w:vertAlign w:val="superscript"/>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13.91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10.55</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9.57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13.73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10.74</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13.50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7.80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331"/>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r>
              <w:rPr>
                <w:rFonts w:ascii="Times New Roman" w:cs="Times New Roman" w:eastAsia="Times New Roman" w:hAnsi="Times New Roman"/>
                <w:sz w:val="25"/>
                <w:szCs w:val="25"/>
                <w:color w:val="auto"/>
                <w:vertAlign w:val="superscript"/>
              </w:rPr>
              <w:t>(5)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13.61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14.41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12.57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bl>
    <w:p>
      <w:pPr>
        <w:spacing w:after="0" w:line="15" w:lineRule="exact"/>
        <w:rPr>
          <w:sz w:val="20"/>
          <w:szCs w:val="20"/>
          <w:color w:val="auto"/>
        </w:rPr>
      </w:pPr>
    </w:p>
    <w:p>
      <w:pPr>
        <w:ind w:left="410" w:hanging="410"/>
        <w:spacing w:after="0" w:line="260" w:lineRule="auto"/>
        <w:tabs>
          <w:tab w:leader="none" w:pos="41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10" w:hanging="410"/>
        <w:spacing w:after="0"/>
        <w:tabs>
          <w:tab w:leader="none" w:pos="41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the respective high or low closing sales price less net asset value, divided by net asset value (in each case, as of the end of the applicable quarter).</w:t>
      </w:r>
    </w:p>
    <w:p>
      <w:pPr>
        <w:spacing w:after="0" w:line="7"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dividend or distribution declared in the relevant quarter.</w:t>
      </w:r>
    </w:p>
    <w:p>
      <w:pPr>
        <w:spacing w:after="0" w:line="7"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8, 2022, our Board of Directors approved a change to our fiscal year end from March 31 to December 31.</w:t>
      </w:r>
    </w:p>
    <w:p>
      <w:pPr>
        <w:spacing w:after="0" w:line="7" w:lineRule="exact"/>
        <w:rPr>
          <w:rFonts w:ascii="Times New Roman" w:cs="Times New Roman" w:eastAsia="Times New Roman" w:hAnsi="Times New Roman"/>
          <w:sz w:val="15"/>
          <w:szCs w:val="15"/>
          <w:color w:val="auto"/>
        </w:rPr>
      </w:pPr>
    </w:p>
    <w:p>
      <w:pPr>
        <w:ind w:left="410" w:right="20" w:hanging="410"/>
        <w:spacing w:after="0" w:line="250" w:lineRule="auto"/>
        <w:tabs>
          <w:tab w:leader="none" w:pos="41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began trading on the Nasdaq Global Market on February 4, 2022 under the trading symbol “SSIC.” On October 2, 2024, our ticker symbol changed to “LIEN.”</w:t>
      </w:r>
    </w:p>
    <w:p>
      <w:pPr>
        <w:spacing w:after="0" w:line="1"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quarterly dividend and a special dividend.</w:t>
      </w:r>
    </w:p>
    <w:p>
      <w:pPr>
        <w:spacing w:after="0" w:line="8" w:lineRule="exact"/>
        <w:rPr>
          <w:sz w:val="20"/>
          <w:szCs w:val="20"/>
          <w:color w:val="auto"/>
        </w:rPr>
      </w:pPr>
    </w:p>
    <w:p>
      <w:pPr>
        <w:ind w:left="410" w:hanging="410"/>
        <w:spacing w:after="0"/>
        <w:tabs>
          <w:tab w:leader="none" w:pos="41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determined at time of filing.</w:t>
      </w:r>
    </w:p>
    <w:p>
      <w:pPr>
        <w:spacing w:after="0" w:line="17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92"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As of November 5, 2024, there were approximately 9 holders of record of our common stock, which does not include stockholders for whom shares are held in “nominee” or “street name.”</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92"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spacing w:after="0" w:line="30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distributions declared and paid by the Company since inception: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Per Share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1"/>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Type</w:t>
            </w:r>
          </w:p>
        </w:tc>
        <w:tc>
          <w:tcPr>
            <w:tcW w:w="2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2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Payment Date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6"/>
              </w:rPr>
              <w:t>Dividends Paid</w:t>
            </w:r>
          </w:p>
        </w:tc>
      </w:tr>
      <w:tr>
        <w:trPr>
          <w:trHeight w:val="180"/>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240" w:type="dxa"/>
            <w:vAlign w:val="bottom"/>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40" w:type="dxa"/>
            <w:vAlign w:val="bottom"/>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220" w:type="dxa"/>
            <w:vAlign w:val="bottom"/>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29, 2023</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1,429,375</w:t>
            </w:r>
          </w:p>
        </w:tc>
        <w:tc>
          <w:tcPr>
            <w:tcW w:w="120" w:type="dxa"/>
            <w:vAlign w:val="bottom"/>
            <w:shd w:val="clear" w:color="auto" w:fill="CCEEFF"/>
          </w:tcPr>
          <w:p>
            <w:pPr>
              <w:spacing w:after="0"/>
              <w:rPr>
                <w:sz w:val="15"/>
                <w:szCs w:val="15"/>
                <w:color w:val="auto"/>
              </w:rPr>
            </w:pPr>
          </w:p>
        </w:tc>
      </w:tr>
      <w:tr>
        <w:trPr>
          <w:trHeight w:val="180"/>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2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Special</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2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29, 2023</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2,485,869</w:t>
            </w:r>
          </w:p>
        </w:tc>
      </w:tr>
      <w:tr>
        <w:trPr>
          <w:trHeight w:val="180"/>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November 9, 2023</w:t>
            </w:r>
          </w:p>
        </w:tc>
        <w:tc>
          <w:tcPr>
            <w:tcW w:w="24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20, 2023</w:t>
            </w: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29, 2023</w:t>
            </w:r>
          </w:p>
        </w:tc>
        <w:tc>
          <w:tcPr>
            <w:tcW w:w="3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1,553,676</w:t>
            </w:r>
          </w:p>
        </w:tc>
      </w:tr>
      <w:tr>
        <w:trPr>
          <w:trHeight w:val="180"/>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November 9, 2023</w:t>
            </w:r>
          </w:p>
        </w:tc>
        <w:tc>
          <w:tcPr>
            <w:tcW w:w="2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Special</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20, 2023</w:t>
            </w:r>
          </w:p>
        </w:tc>
        <w:tc>
          <w:tcPr>
            <w:tcW w:w="2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29, 2023</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2,796,617</w:t>
            </w:r>
          </w:p>
        </w:tc>
      </w:tr>
      <w:tr>
        <w:trPr>
          <w:trHeight w:val="180"/>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8, 2024</w:t>
            </w:r>
          </w:p>
        </w:tc>
        <w:tc>
          <w:tcPr>
            <w:tcW w:w="24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28, 2024</w:t>
            </w:r>
          </w:p>
        </w:tc>
        <w:tc>
          <w:tcPr>
            <w:tcW w:w="3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1,553,736</w:t>
            </w:r>
          </w:p>
        </w:tc>
      </w:tr>
      <w:tr>
        <w:trPr>
          <w:trHeight w:val="180"/>
        </w:trPr>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May 9, 2024</w:t>
            </w:r>
          </w:p>
        </w:tc>
        <w:tc>
          <w:tcPr>
            <w:tcW w:w="2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20, 2024</w:t>
            </w:r>
          </w:p>
        </w:tc>
        <w:tc>
          <w:tcPr>
            <w:tcW w:w="2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28, 2024</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1,553,738</w:t>
            </w:r>
          </w:p>
        </w:tc>
      </w:tr>
      <w:tr>
        <w:trPr>
          <w:trHeight w:val="180"/>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August 8, 2024</w:t>
            </w:r>
          </w:p>
        </w:tc>
        <w:tc>
          <w:tcPr>
            <w:tcW w:w="24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19, 2024</w:t>
            </w: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27, 2024</w:t>
            </w:r>
          </w:p>
        </w:tc>
        <w:tc>
          <w:tcPr>
            <w:tcW w:w="3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1,553,741</w:t>
            </w:r>
          </w:p>
        </w:tc>
      </w:tr>
      <w:tr>
        <w:trPr>
          <w:trHeight w:val="475"/>
        </w:trPr>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gridSpan w:val="2"/>
          </w:tcPr>
          <w:p>
            <w:pPr>
              <w:jc w:val="right"/>
              <w:ind w:right="545"/>
              <w:spacing w:after="0"/>
              <w:rPr>
                <w:sz w:val="20"/>
                <w:szCs w:val="20"/>
                <w:color w:val="auto"/>
              </w:rPr>
            </w:pPr>
            <w:r>
              <w:rPr>
                <w:rFonts w:ascii="Times New Roman" w:cs="Times New Roman" w:eastAsia="Times New Roman" w:hAnsi="Times New Roman"/>
                <w:sz w:val="12"/>
                <w:szCs w:val="12"/>
                <w:color w:val="auto"/>
              </w:rPr>
              <w:t>41</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
        </w:trPr>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Reinvestment Plan</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We have adopted an “opt out” dividend reinvestment plan (“DRIP”)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nine months ended September 30, 2024, the Company issued the following shares of common stock under the DRIP: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2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2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2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240" w:type="dxa"/>
            <w:vAlign w:val="bottom"/>
          </w:tcPr>
          <w:p>
            <w:pPr>
              <w:spacing w:after="0"/>
              <w:rPr>
                <w:sz w:val="17"/>
                <w:szCs w:val="17"/>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80"/>
        </w:trPr>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8, 2024</w:t>
            </w:r>
          </w:p>
        </w:tc>
        <w:tc>
          <w:tcPr>
            <w:tcW w:w="2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2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28, 2024</w:t>
            </w:r>
          </w:p>
        </w:tc>
        <w:tc>
          <w:tcPr>
            <w:tcW w:w="240" w:type="dxa"/>
            <w:vAlign w:val="bottom"/>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5"/>
                <w:szCs w:val="15"/>
                <w:color w:val="auto"/>
              </w:rPr>
            </w:pPr>
          </w:p>
        </w:tc>
      </w:tr>
      <w:tr>
        <w:trPr>
          <w:trHeight w:val="180"/>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May 9, 2024</w:t>
            </w:r>
          </w:p>
        </w:tc>
        <w:tc>
          <w:tcPr>
            <w:tcW w:w="2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20, 2024</w:t>
            </w:r>
          </w:p>
        </w:tc>
        <w:tc>
          <w:tcPr>
            <w:tcW w:w="2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28, 2024</w:t>
            </w:r>
          </w:p>
        </w:tc>
        <w:tc>
          <w:tcPr>
            <w:tcW w:w="2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15</w:t>
            </w:r>
          </w:p>
        </w:tc>
      </w:tr>
      <w:tr>
        <w:trPr>
          <w:trHeight w:val="180"/>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August 8, 2024</w:t>
            </w: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19, 2024</w:t>
            </w: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27, 2024</w:t>
            </w:r>
          </w:p>
        </w:tc>
        <w:tc>
          <w:tcPr>
            <w:tcW w:w="2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w:t>
            </w:r>
          </w:p>
        </w:tc>
      </w:tr>
      <w:tr>
        <w:trPr>
          <w:trHeight w:val="359"/>
        </w:trPr>
        <w:tc>
          <w:tcPr>
            <w:tcW w:w="922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During the nine months ended September 30, 2023, the Company issued the following shares of common stock under the DRIP:</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240" w:type="dxa"/>
            <w:vAlign w:val="bottom"/>
          </w:tcPr>
          <w:p>
            <w:pPr>
              <w:spacing w:after="0"/>
              <w:rPr>
                <w:sz w:val="24"/>
                <w:szCs w:val="24"/>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80"/>
        </w:trPr>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2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2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2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September 29, 2023</w:t>
            </w:r>
          </w:p>
        </w:tc>
        <w:tc>
          <w:tcPr>
            <w:tcW w:w="240" w:type="dxa"/>
            <w:vAlign w:val="bottom"/>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5"/>
                <w:szCs w:val="15"/>
                <w:color w:val="auto"/>
              </w:rPr>
            </w:pPr>
          </w:p>
        </w:tc>
      </w:tr>
      <w:tr>
        <w:trPr>
          <w:trHeight w:val="194"/>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10, 2023</w:t>
            </w: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Special</w:t>
            </w: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15, 2023</w:t>
            </w: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29, 2023</w:t>
            </w:r>
          </w:p>
        </w:tc>
        <w:tc>
          <w:tcPr>
            <w:tcW w:w="2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21</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did not repurchase any of our equity securities during the nine months ended September 30, 2024 or the fiscal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February 20, 2024, we announced that our Board of Directors unanimously approved an expansion of our investment strategy to permit investments in companies outside of the cannabis and health and wellness sectors that otherwise meet our investment criteria. The investment strategy change became effective on April 22, 2024.</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May 14, 2024, Roxanne Jenkins resigned from her Secretary and Chief Compliance Officer positions with the Company. Ms. Jenkins’ decision to resign from the Company was not due to a disagreement on any matter related to the Company’s operations, policies or practices.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May 14, 2024, our Board of Directors appointed Umesh Mahajan to the position of Secretary of the Company and Alexander Woodcock to the position of Chief Compliance Officer of the Company. Mr. Mahajan and Mr. Woodcock will serve as Secretary of the Company and Chief Compliance Officer of the Company, respectively, until his successor has been duly elected and qualified, or until the earlier of his resignation or removal.</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Mr. Woodcock is the President and Chief Compliance Officer of PINE Distributors LLC and oversees the delivery of PINE’s Distribution Services. He is also a member of the Registered Fund Chief Compliance Officer Services team at PINE and serves as CCO for mutual funds, ETFs, and other 1940 Act registered products. Mr. Woodcock has over 13 years of experience building and leading compliance programs at global financial services firms across diverse product and business lines. Before joining PINE in 2022, Mr. Woodcock served as Vice President of Compliance Services at SS&amp;C ALPS. In this role, which he began in 2019, he led the Compliance Services team, delivering fund CCO support to over 10 client trusts, and post-trade compliance testing services to over 70 fund families. Mr. Woodcock’s qualifications include being a Certified Anti-Money Laundering Specialist, holding FINRA Series 7 and 24 registrations, and studying International Business and Economics at Aston University in England.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See “Note 12 – Subsequent Events” in the notes to the financial statements included with this quarterly report on Form 10-Q for further information regarding the Loan Portfolio Acquisition.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 As the Joint Venture caused the automatic termination of the prior investment advisory agreement between the Company and the Adviser (the “Prior Investment Advisory Agreement”), a new investment advisory agreement between the Company and the Adviser (the “New Investment Advisory Agreement”), which was approved by the Board, upon the recommendation of its special committee, and the Company’s stockholders, took effect upon the closing of the Joint Venture. The New Investment Advisory Agreement has the same base management and incentive fee as, and otherwise does not materially differ from, the Prior Investment Advisory Agreement.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October 1, 2024, in connection with the New Investment Advisory Agreement, the Company entered into a new license agreement (the “New License Agreement”) with the Adviser pursuant to which the Adviser has agreed to grant the Company a nonexclusive, royalty-free license to use the name “Chicago Atlantic.” Under the New License Agreement, the Company will have a right to use the “Chicago Atlantic” name, for so long as the Adviser or one of its affiliates remains the Company’s investment adviser. Other than with respect to this limited license, the Company will have no legal right to the “Chicago Atlantic” name. The New License Agreement does not materially differ from the prior license agreement between the Company and the Adviser, other than with respect to the licensed name.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September 30, 2025.</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connection with the Loan Portfolio Acquisition and the Joint Venture, the Board and the officers of the Company have changed as follows: (i) Frederick C. Herbst (Independent Director), John Mazarakis (Partner at Chicago Atlantic), and Jason Papastavrou (Independent Director) have joined the Board, to serve until the 2025, 2026, and 2027 annual meetings of stockholders, respectively, and until their respective successors are duly elected and qualified; (ii) Andreas Bodmeier (Partner at Chicago Atlantic) has replaced Mr. Gordon as Chief Executive Officer of the Company; (iii) Mr. Gordon has become Executive Chairman of the Board and Co-Chief Investment Officer of the Company; (iv) Umesh Mahajan has become Co-Chief Investment Officer of the Company in addition to remaining Chief Financial Officer and Secretary of the Company; and (v) Dino Colonna (Partner at the Adviser) has become the President of the Company. Each officer of the Company will serve until his successor has been duly elected and qualified, or until the earlier of his resignation or removal.</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Frederick C. Herbst served as Chief Financial Officer of Ready Capital Corporation, a commercial mortgage REIT, and Managing Director of Waterfall Asset Management, LLC, an SEC-registered institutional asset manager, from 2009 until he retired in June 2019. At Ready Capital Corporation, Mr. Herbst was responsible for all finance and accounting operations for the company and oversaw Ready Capital Corporation’s conversion to a public company via a reverse merger with a previously existing public company. From 2005 to 2009, Mr. Herbst was Chief Financial Officer of Clayton Holdings, Inc., a publicly traded provider of analytics and due diligence services to participants in the mortgage industry. Prior to Clayton Holdings, Mr. Herbst was Chief Financial Officer of Arbor Realty Trust, Inc., a publicly traded commercial mortgage REIT, from 2003 until 2005, and of Arbor Commercial Mortgage, LLC, from 1999 until 2005. Prior to joining Arbor, Mr. Herbst was Chief Financial Officer of The Hurst Companies, Inc., Controller with The Long Island Savings Bank, FSB, Vice President Finance with Eastern States Bankcard Association and a Senior Manager with Ernst &amp; Young. Mr. Herbst has served as a member of the board of directors of Chicago Atlantic Real Estate Finance, Inc. (NASDAQ: REFI), a commercial mortgage REIT, since 2021. Mr. Herbst holds a B.A. in Accounting from Wittenberg University and became a licensed Certified Public Accountant in 1983.</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John Mazarakis co-founded Chicago Atlantic Group, LP (“CAG”) in April 2019 and has served as Chicago Atlantic Real Estate Finance, Inc.’s Executive Chairman since its inception in 2021. As a proven entrepreneur and operator with successful ventures in real estate, retail, hospitality and food logistics, Mr. Mazarakis brings over 20 years of entrepreneurial, operational, and managerial experience. He has built a 35+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has served as a member of the board of directors of Chicago Atlantic Real Estate Finance, Inc. (NASDAQ: REFI), a commercial mortgage REIT, since 2021. Mr. Mazarakis holds a Bachelor of Arts in Economics from the University of Delaware and an MBA from The University of Chicago Booth School of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Jason Papastavrou founded ARIS Capital Management, LLC, a wealth management firm, in 2004 and currently serves as its Chief Executive Officer. Previously, Dr. Papastavrou was the founder and managing director of the Fund of Hedge Funds Strategies Group of Banc of America Capital Management (BACAP), president of BACAP Alternative Advisors, and a senior portfolio manager with Deutsche Asset Management. Dr. Papastavrou has served as a member of the board of directors of Chicago Atlantic Real Estate Finance, Inc. (NASDAQ: REFI), a commercial mortgage REIT, since 2021, and as a member of the board of directors of GXO Logistics (NYSE: GXO), a publicly traded pure-play contract logistics company, since August 2021; and previously served on the board of directors of XPO Logistics, Inc. (NYSE: XPO), a publicly traded leading provider of freight transportation, from September 2011 to August 2021, and on the board of directors of United Rentals, Inc. (NYSE: URI), a publicly traded equipment rental company, from April 2005 to May 2020. Dr. Papastavrou was a tenured professor at the School of Industrial Engineering at Purdue University and holds a B.S. in mathematics, and a M.S. and a Ph.D. in electrical engineering and computer science from the Massachusetts Institute of Technology.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Andreas Bodmeier co-founded CAG in April 2019 and has served as Chicago Atlantic Real Estate Finance, Inc.’s Co-President and Chief Investment Officer since its inception in 2021. From October 2019 until December 2020, Dr. Bodmeier was a Senior Advisor to the Deputy Secretary in the Immediate Office of the Secretary at the United States Department of Health and Human Services focused on policy evaluation and the Department’s response to COVID-19. From June 2015 until March 2019, Dr. Bodmeier was President of Quantitative Treasury Analytics, LLC, a boutique consulting firm focused on risk management for corporate clients as well as advising on capital structure decisions and investor relations. From May 2017 until March 2019, Dr. Bodmeier was Co-founder, Chief Investment Officer, and Chief Compliance Officer of Kinetik Finance, Inc., an SEC-registered online investment adviser for 401(k) or 403(b) retirement accounts, where he built the firm’s investment methodology and compliance program. Dr. Bodmeier has also served as a consultant for hedge funds, proprietary trading firms, commercial and consumer lenders, and pharmaceutical companies. His academic research at The University of Chicago Booth School of Business focused on capital market anomalies, portfolio allocation, and risk management. Dr. Bodmeier holds a Ph.D. in Finance and MBA from The University of Chicago Booth School of Business. Dr. Bodmeier received a B.Sc. in Mathematics and a B.Sc. in Physics from Freie University Berlin, Germany, a B.Sc. in Business Economics from University of Hagen, Germany, and a M.Sc. in Statistics from Humboldt University Berlin, Germany.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Dino Colonna is a Partner of the Adviser. Mr. Colonna is primarily responsible for the day-to-day management of the Company’s investment portfolio. Since 2001, Mr. Colonna has managed traditional and alternative investment portfolios, and advised corporations and institutional investors across the global capital markets. Prior to joining the Adviser, Mr. Colonna was managing partner at Madison Capital Advisors, a middle-market asset-backed lending and advisory firm focused on emerging growth companies in the cannabis, life sciences and tech sectors. Prior to Madison Capital Advisors, Mr. Colonna spent four years as an investment banker at the top-ranked Equity Capital Markets team at Barclays in London, and six years as a senior research analyst at Forest Investment Management, a global multi-strategy hedge fund. With Barclays, he advised on and structured over $8 billion of equity, derivative and debt transactions, and while at Forest Investment Management, he specialized in credit and equity research, and was part of the portfolio management team managing an over $500 million multi-strategy portfolio. Mr. Colonna holds a CFA Charter, a B.S.B.A. from the University of Delaware and an international M.B.A. from ESADE Business School (Spain).</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addition, 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3.</w:t>
        <w:tab/>
        <w:t>Quantitative and Qualitative Disclosures About Market Risk</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Uncertainty with respect to the economic effects of political tensions in the United States and around the world (including the Russia-Ukraine war and the Israel-Hamas war)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Valuation Risk</w:t>
      </w:r>
    </w:p>
    <w:p>
      <w:pPr>
        <w:spacing w:after="0" w:line="25" w:lineRule="exact"/>
        <w:rPr>
          <w:sz w:val="20"/>
          <w:szCs w:val="20"/>
          <w:color w:val="auto"/>
        </w:rPr>
      </w:pPr>
    </w:p>
    <w:p>
      <w:pPr>
        <w:jc w:val="both"/>
        <w:spacing w:after="0" w:line="180" w:lineRule="exact"/>
        <w:rPr>
          <w:sz w:val="20"/>
          <w:szCs w:val="20"/>
          <w:color w:val="auto"/>
        </w:rPr>
      </w:pPr>
      <w:r>
        <w:rPr>
          <w:rFonts w:ascii="Times New Roman" w:cs="Times New Roman" w:eastAsia="Times New Roman" w:hAnsi="Times New Roman"/>
          <w:sz w:val="15"/>
          <w:szCs w:val="15"/>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As of September 30, 2024, 75.6% of our debt investments based on outstanding principal balance represented floating-rate investments based on PRIME and approximately 24.4% of our debt investments based on outstanding principal balance represented fixed rate investments. As of December 31, 2023, 84.1% of our debt investments based on outstanding principal balance represented floating-rate investments based on PRIME and approximately 15.9% of our debt investments based on outstanding principal balance represented fixed rate investments.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For the nine months ended September 30, 2024, the following table shows the annualized impact on net income of hypothetical base rate changes in the PRIME rate on our debt investments (considering interest rate floors for floating rate instruments):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 in Interest Rates</w:t>
            </w:r>
          </w:p>
        </w:tc>
        <w:tc>
          <w:tcPr>
            <w:tcW w:w="100" w:type="dxa"/>
            <w:vAlign w:val="bottom"/>
          </w:tcPr>
          <w:p>
            <w:pPr>
              <w:spacing w:after="0"/>
              <w:rPr>
                <w:sz w:val="17"/>
                <w:szCs w:val="17"/>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Interest Income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Interest expense</w:t>
            </w:r>
          </w:p>
        </w:tc>
        <w:tc>
          <w:tcPr>
            <w:tcW w:w="12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Income/(Loss)</w:t>
            </w:r>
          </w:p>
        </w:tc>
      </w:tr>
      <w:tr>
        <w:trPr>
          <w:trHeight w:val="180"/>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Up 300 basis points</w:t>
            </w: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2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120" w:type="dxa"/>
            <w:vAlign w:val="bottom"/>
            <w:shd w:val="clear" w:color="auto" w:fill="CCEEFF"/>
          </w:tcPr>
          <w:p>
            <w:pPr>
              <w:spacing w:after="0"/>
              <w:rPr>
                <w:sz w:val="15"/>
                <w:szCs w:val="15"/>
                <w:color w:val="auto"/>
              </w:rPr>
            </w:pPr>
          </w:p>
        </w:tc>
      </w:tr>
      <w:tr>
        <w:trPr>
          <w:trHeight w:val="180"/>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Up 200 basis points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843</w:t>
            </w:r>
          </w:p>
        </w:tc>
        <w:tc>
          <w:tcPr>
            <w:tcW w:w="58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843</w:t>
            </w:r>
          </w:p>
        </w:tc>
      </w:tr>
      <w:tr>
        <w:trPr>
          <w:trHeight w:val="18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Up 100 basis points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421</w:t>
            </w:r>
          </w:p>
        </w:tc>
        <w:tc>
          <w:tcPr>
            <w:tcW w:w="5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421</w:t>
            </w:r>
          </w:p>
        </w:tc>
      </w:tr>
      <w:tr>
        <w:trPr>
          <w:trHeight w:val="180"/>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Down 100 basis points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(400)</w:t>
            </w:r>
          </w:p>
        </w:tc>
        <w:tc>
          <w:tcPr>
            <w:tcW w:w="58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(400)</w:t>
            </w:r>
          </w:p>
        </w:tc>
      </w:tr>
      <w:tr>
        <w:trPr>
          <w:trHeight w:val="18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Down 200 basis points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(734)</w:t>
            </w:r>
          </w:p>
        </w:tc>
        <w:tc>
          <w:tcPr>
            <w:tcW w:w="5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(734)</w:t>
            </w:r>
          </w:p>
        </w:tc>
      </w:tr>
      <w:tr>
        <w:trPr>
          <w:trHeight w:val="194"/>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Down 300 basis points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(934)</w:t>
            </w:r>
          </w:p>
        </w:tc>
        <w:tc>
          <w:tcPr>
            <w:tcW w:w="5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(934)</w:t>
            </w:r>
          </w:p>
        </w:tc>
      </w:tr>
    </w:tbl>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For the year ended December 31, 2023, the following table shows the annualized impact on net income of hypothetical base rate changes in the PRIME rate on our debt investments (considering interest rate floors for floating rate instruments):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 in Interest Rates</w:t>
            </w: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Interest Income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Interest expense</w:t>
            </w:r>
          </w:p>
        </w:tc>
        <w:tc>
          <w:tcPr>
            <w:tcW w:w="12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Income/(Loss)</w:t>
            </w:r>
          </w:p>
        </w:tc>
      </w:tr>
      <w:tr>
        <w:trPr>
          <w:trHeight w:val="18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Up 300 basis points</w:t>
            </w:r>
          </w:p>
        </w:tc>
        <w:tc>
          <w:tcPr>
            <w:tcW w:w="3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2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120" w:type="dxa"/>
            <w:vAlign w:val="bottom"/>
            <w:shd w:val="clear" w:color="auto" w:fill="CCEEFF"/>
          </w:tcPr>
          <w:p>
            <w:pPr>
              <w:spacing w:after="0"/>
              <w:rPr>
                <w:sz w:val="15"/>
                <w:szCs w:val="15"/>
                <w:color w:val="auto"/>
              </w:rPr>
            </w:pPr>
          </w:p>
        </w:tc>
      </w:tr>
      <w:tr>
        <w:trPr>
          <w:trHeight w:val="180"/>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Up 200 basis points</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926</w:t>
            </w:r>
          </w:p>
        </w:tc>
        <w:tc>
          <w:tcPr>
            <w:tcW w:w="58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926</w:t>
            </w:r>
          </w:p>
        </w:tc>
      </w:tr>
      <w:tr>
        <w:trPr>
          <w:trHeight w:val="18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Up 100 basis points</w:t>
            </w: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463</w:t>
            </w:r>
          </w:p>
        </w:tc>
        <w:tc>
          <w:tcPr>
            <w:tcW w:w="5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463</w:t>
            </w:r>
          </w:p>
        </w:tc>
      </w:tr>
      <w:tr>
        <w:trPr>
          <w:trHeight w:val="180"/>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Down 100 basis points</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(463)</w:t>
            </w:r>
          </w:p>
        </w:tc>
        <w:tc>
          <w:tcPr>
            <w:tcW w:w="58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(463)</w:t>
            </w:r>
          </w:p>
        </w:tc>
      </w:tr>
      <w:tr>
        <w:trPr>
          <w:trHeight w:val="18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Down 200 basis points</w:t>
            </w: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(883)</w:t>
            </w:r>
          </w:p>
        </w:tc>
        <w:tc>
          <w:tcPr>
            <w:tcW w:w="5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(883)</w:t>
            </w:r>
          </w:p>
        </w:tc>
      </w:tr>
      <w:tr>
        <w:trPr>
          <w:trHeight w:val="194"/>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Down 300 basis points</w:t>
            </w: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(1,146)</w:t>
            </w:r>
          </w:p>
        </w:tc>
        <w:tc>
          <w:tcPr>
            <w:tcW w:w="5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(1,146)</w:t>
            </w:r>
          </w:p>
        </w:tc>
      </w:tr>
      <w:tr>
        <w:trPr>
          <w:trHeight w:val="462"/>
        </w:trPr>
        <w:tc>
          <w:tcPr>
            <w:tcW w:w="3580" w:type="dxa"/>
            <w:vAlign w:val="bottom"/>
          </w:tcPr>
          <w:p>
            <w:pPr>
              <w:spacing w:after="0"/>
              <w:rPr>
                <w:sz w:val="24"/>
                <w:szCs w:val="24"/>
                <w:color w:val="auto"/>
              </w:rPr>
            </w:pPr>
          </w:p>
        </w:tc>
        <w:tc>
          <w:tcPr>
            <w:tcW w:w="3580" w:type="dxa"/>
            <w:vAlign w:val="bottom"/>
          </w:tcPr>
          <w:p>
            <w:pPr>
              <w:jc w:val="right"/>
              <w:ind w:right="142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
        </w:trPr>
        <w:tc>
          <w:tcPr>
            <w:tcW w:w="3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Rules 13a-15(f) and 15d-15(f) under the Exchange Act) that occurred during the three months ended September 30, 2024 that have materially affected, or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w:t>
        <w:tab/>
        <w:t>Legal Proceedings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There have been no material changes during the nine months ended September 30, 2024 to the risk factors discussed in “Item 1A. Risk Factors” in our annual report on Form 10-K for the fiscal year ended December 31, 2023.</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2.</w:t>
        <w:tab/>
        <w:t>Unregistered Sales of Equity Securities and Use of Proceeds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Reinvestment Plan</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September 27, 2024, pursuant to its dividend reinvestment plan, the Company issued 31 shares of its common stock, at a price of $13.65 per share, to stockholders of record as of September 19, 2024 that did not opt out of the Company’s dividend reinvestment plan in order to satisfy the reinvestment portion of the Company’s dividends. This issuance was not subject to the registration requirements of the Securities Act. See “Item 1. Financial Statements – Note 7. Common Stock – Dividend Reinvestment Plan” for more information.</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3.</w:t>
        <w:tab/>
        <w:t>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4.</w:t>
        <w:tab/>
        <w:t>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5.</w:t>
        <w:tab/>
        <w:t>Other Information</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During the three months ended September 30, 2024,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6.</w:t>
        <w:tab/>
        <w:t>Exhibits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exhibits are filed as part of this quarterly report on Form 10-Q or hereby incorporated by reference to exhibits previously filed with the SEC:</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138"/>
        </w:trPr>
        <w:tc>
          <w:tcPr>
            <w:tcW w:w="8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i w:val="1"/>
                <w:iCs w:val="1"/>
                <w:color w:val="0000EE"/>
                <w:w w:val="96"/>
              </w:rPr>
              <w:t>Table of Contents</w:t>
            </w:r>
          </w:p>
        </w:tc>
        <w:tc>
          <w:tcPr>
            <w:tcW w:w="200" w:type="dxa"/>
            <w:vAlign w:val="bottom"/>
          </w:tcPr>
          <w:p>
            <w:pPr>
              <w:spacing w:after="0"/>
              <w:rPr>
                <w:sz w:val="12"/>
                <w:szCs w:val="12"/>
                <w:color w:val="auto"/>
              </w:rPr>
            </w:pPr>
          </w:p>
        </w:tc>
        <w:tc>
          <w:tcPr>
            <w:tcW w:w="10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10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2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c>
          <w:tcPr>
            <w:tcW w:w="0" w:type="dxa"/>
            <w:vAlign w:val="bottom"/>
          </w:tcPr>
          <w:p>
            <w:pPr>
              <w:spacing w:after="0"/>
              <w:rPr>
                <w:sz w:val="1"/>
                <w:szCs w:val="1"/>
                <w:color w:val="auto"/>
              </w:rPr>
            </w:pPr>
          </w:p>
        </w:tc>
      </w:tr>
      <w:tr>
        <w:trPr>
          <w:trHeight w:val="198"/>
        </w:trPr>
        <w:tc>
          <w:tcPr>
            <w:tcW w:w="10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 w:type="dxa"/>
            <w:vAlign w:val="bottom"/>
            <w:tcBorders>
              <w:bottom w:val="single" w:sz="8" w:color="0000EE"/>
            </w:tcBorders>
            <w:shd w:val="clear" w:color="auto" w:fill="CCEEFF"/>
          </w:tcPr>
          <w:p>
            <w:pPr>
              <w:spacing w:after="0" w:line="147" w:lineRule="exact"/>
              <w:rPr>
                <w:rFonts w:ascii="Times New Roman" w:cs="Times New Roman" w:eastAsia="Times New Roman" w:hAnsi="Times New Roman"/>
                <w:sz w:val="15"/>
                <w:szCs w:val="15"/>
                <w:color w:val="0000EE"/>
                <w:w w:val="85"/>
              </w:rPr>
            </w:pPr>
            <w:hyperlink r:id="rId56">
              <w:r>
                <w:rPr>
                  <w:rFonts w:ascii="Times New Roman" w:cs="Times New Roman" w:eastAsia="Times New Roman" w:hAnsi="Times New Roman"/>
                  <w:sz w:val="15"/>
                  <w:szCs w:val="15"/>
                  <w:color w:val="0000EE"/>
                  <w:w w:val="85"/>
                </w:rPr>
                <w:t>2.</w:t>
              </w:r>
              <w:r>
                <w:rPr>
                  <w:rFonts w:ascii="Times New Roman" w:cs="Times New Roman" w:eastAsia="Times New Roman" w:hAnsi="Times New Roman"/>
                  <w:sz w:val="15"/>
                  <w:szCs w:val="15"/>
                  <w:u w:val="single" w:color="auto"/>
                  <w:color w:val="0000EE"/>
                  <w:w w:val="85"/>
                </w:rPr>
                <w:t>1</w:t>
              </w:r>
            </w:hyperlink>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220" w:type="dxa"/>
            <w:vAlign w:val="bottom"/>
            <w:tcBorders>
              <w:bottom w:val="single" w:sz="8" w:color="CCEEFF"/>
            </w:tcBorders>
            <w:shd w:val="clear" w:color="auto" w:fill="CCEEFF"/>
          </w:tcPr>
          <w:p>
            <w:pPr>
              <w:ind w:left="220"/>
              <w:spacing w:after="0" w:line="147" w:lineRule="exact"/>
              <w:rPr>
                <w:sz w:val="20"/>
                <w:szCs w:val="20"/>
                <w:color w:val="auto"/>
              </w:rPr>
            </w:pPr>
            <w:r>
              <w:rPr>
                <w:rFonts w:ascii="Times New Roman" w:cs="Times New Roman" w:eastAsia="Times New Roman" w:hAnsi="Times New Roman"/>
                <w:sz w:val="11"/>
                <w:szCs w:val="11"/>
                <w:color w:val="auto"/>
              </w:rPr>
              <w:t>Purchase Agreement by and between the Company and Chicago Atlantic Loan Portfolio, LLC dated as of February 18, 2024</w:t>
            </w:r>
            <w:r>
              <w:rPr>
                <w:rFonts w:ascii="Times New Roman" w:cs="Times New Roman" w:eastAsia="Times New Roman" w:hAnsi="Times New Roman"/>
                <w:sz w:val="17"/>
                <w:szCs w:val="17"/>
                <w:color w:val="auto"/>
                <w:vertAlign w:val="superscript"/>
              </w:rPr>
              <w:t>(1)</w:t>
            </w:r>
          </w:p>
        </w:tc>
        <w:tc>
          <w:tcPr>
            <w:tcW w:w="0" w:type="dxa"/>
            <w:vAlign w:val="bottom"/>
          </w:tcPr>
          <w:p>
            <w:pPr>
              <w:spacing w:after="0"/>
              <w:rPr>
                <w:sz w:val="1"/>
                <w:szCs w:val="1"/>
                <w:color w:val="auto"/>
              </w:rPr>
            </w:pPr>
          </w:p>
        </w:tc>
      </w:tr>
      <w:tr>
        <w:trPr>
          <w:trHeight w:val="153"/>
        </w:trPr>
        <w:tc>
          <w:tcPr>
            <w:tcW w:w="180" w:type="dxa"/>
            <w:vAlign w:val="bottom"/>
            <w:tcBorders>
              <w:bottom w:val="single" w:sz="8" w:color="0000EE"/>
            </w:tcBorders>
          </w:tcPr>
          <w:p>
            <w:pPr>
              <w:spacing w:after="0" w:line="146" w:lineRule="exact"/>
              <w:rPr>
                <w:rFonts w:ascii="Times New Roman" w:cs="Times New Roman" w:eastAsia="Times New Roman" w:hAnsi="Times New Roman"/>
                <w:sz w:val="15"/>
                <w:szCs w:val="15"/>
                <w:color w:val="0000EE"/>
                <w:w w:val="85"/>
              </w:rPr>
            </w:pPr>
            <w:hyperlink r:id="rId57">
              <w:r>
                <w:rPr>
                  <w:rFonts w:ascii="Times New Roman" w:cs="Times New Roman" w:eastAsia="Times New Roman" w:hAnsi="Times New Roman"/>
                  <w:sz w:val="15"/>
                  <w:szCs w:val="15"/>
                  <w:color w:val="0000EE"/>
                  <w:w w:val="85"/>
                </w:rPr>
                <w:t>3.</w:t>
              </w:r>
              <w:r>
                <w:rPr>
                  <w:rFonts w:ascii="Times New Roman" w:cs="Times New Roman" w:eastAsia="Times New Roman" w:hAnsi="Times New Roman"/>
                  <w:sz w:val="15"/>
                  <w:szCs w:val="15"/>
                  <w:u w:val="single" w:color="auto"/>
                  <w:color w:val="0000EE"/>
                  <w:w w:val="85"/>
                </w:rPr>
                <w:t>1</w:t>
              </w:r>
            </w:hyperlink>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20" w:type="dxa"/>
            <w:vAlign w:val="bottom"/>
          </w:tcPr>
          <w:p>
            <w:pPr>
              <w:ind w:left="220"/>
              <w:spacing w:after="0" w:line="147" w:lineRule="exact"/>
              <w:rPr>
                <w:sz w:val="20"/>
                <w:szCs w:val="20"/>
                <w:color w:val="auto"/>
              </w:rPr>
            </w:pPr>
            <w:r>
              <w:rPr>
                <w:rFonts w:ascii="Times New Roman" w:cs="Times New Roman" w:eastAsia="Times New Roman" w:hAnsi="Times New Roman"/>
                <w:sz w:val="11"/>
                <w:szCs w:val="11"/>
                <w:color w:val="auto"/>
              </w:rPr>
              <w:t>Articles of Amendment and Restatement of the Company</w:t>
            </w:r>
            <w:r>
              <w:rPr>
                <w:rFonts w:ascii="Times New Roman" w:cs="Times New Roman" w:eastAsia="Times New Roman" w:hAnsi="Times New Roman"/>
                <w:sz w:val="16"/>
                <w:szCs w:val="16"/>
                <w:color w:val="auto"/>
                <w:vertAlign w:val="superscript"/>
              </w:rPr>
              <w:t>(2)</w:t>
            </w:r>
          </w:p>
        </w:tc>
        <w:tc>
          <w:tcPr>
            <w:tcW w:w="0" w:type="dxa"/>
            <w:vAlign w:val="bottom"/>
          </w:tcPr>
          <w:p>
            <w:pPr>
              <w:spacing w:after="0"/>
              <w:rPr>
                <w:sz w:val="1"/>
                <w:szCs w:val="1"/>
                <w:color w:val="auto"/>
              </w:rPr>
            </w:pPr>
          </w:p>
        </w:tc>
      </w:tr>
      <w:tr>
        <w:trPr>
          <w:trHeight w:val="167"/>
        </w:trPr>
        <w:tc>
          <w:tcPr>
            <w:tcW w:w="180" w:type="dxa"/>
            <w:vAlign w:val="bottom"/>
            <w:tcBorders>
              <w:bottom w:val="single" w:sz="8" w:color="0000EE"/>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85"/>
              </w:rPr>
              <w:t>3.</w:t>
            </w:r>
            <w:r>
              <w:rPr>
                <w:rFonts w:ascii="Times New Roman" w:cs="Times New Roman" w:eastAsia="Times New Roman" w:hAnsi="Times New Roman"/>
                <w:sz w:val="15"/>
                <w:szCs w:val="15"/>
                <w:u w:val="single" w:color="auto"/>
                <w:color w:val="0000EE"/>
                <w:w w:val="85"/>
              </w:rPr>
              <w:t>2</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CCEEFF"/>
            </w:tcBorders>
            <w:shd w:val="clear" w:color="auto" w:fill="CCEEFF"/>
          </w:tcPr>
          <w:p>
            <w:pPr>
              <w:ind w:left="220"/>
              <w:spacing w:after="0" w:line="154" w:lineRule="exact"/>
              <w:rPr>
                <w:sz w:val="20"/>
                <w:szCs w:val="20"/>
                <w:color w:val="auto"/>
              </w:rPr>
            </w:pPr>
            <w:r>
              <w:rPr>
                <w:rFonts w:ascii="Times New Roman" w:cs="Times New Roman" w:eastAsia="Times New Roman" w:hAnsi="Times New Roman"/>
                <w:sz w:val="15"/>
                <w:szCs w:val="15"/>
                <w:color w:val="auto"/>
              </w:rPr>
              <w:t>Articles of Amendment of the Company*</w:t>
            </w:r>
          </w:p>
        </w:tc>
        <w:tc>
          <w:tcPr>
            <w:tcW w:w="0" w:type="dxa"/>
            <w:vAlign w:val="bottom"/>
          </w:tcPr>
          <w:p>
            <w:pPr>
              <w:spacing w:after="0"/>
              <w:rPr>
                <w:sz w:val="1"/>
                <w:szCs w:val="1"/>
                <w:color w:val="auto"/>
              </w:rPr>
            </w:pPr>
          </w:p>
        </w:tc>
      </w:tr>
      <w:tr>
        <w:trPr>
          <w:trHeight w:val="153"/>
        </w:trPr>
        <w:tc>
          <w:tcPr>
            <w:tcW w:w="180" w:type="dxa"/>
            <w:vAlign w:val="bottom"/>
            <w:tcBorders>
              <w:bottom w:val="single" w:sz="8" w:color="0000EE"/>
            </w:tcBorders>
          </w:tcPr>
          <w:p>
            <w:pPr>
              <w:spacing w:after="0" w:line="146" w:lineRule="exact"/>
              <w:rPr>
                <w:rFonts w:ascii="Times New Roman" w:cs="Times New Roman" w:eastAsia="Times New Roman" w:hAnsi="Times New Roman"/>
                <w:sz w:val="15"/>
                <w:szCs w:val="15"/>
                <w:color w:val="0000EE"/>
                <w:w w:val="85"/>
              </w:rPr>
            </w:pPr>
            <w:hyperlink r:id="rId58">
              <w:r>
                <w:rPr>
                  <w:rFonts w:ascii="Times New Roman" w:cs="Times New Roman" w:eastAsia="Times New Roman" w:hAnsi="Times New Roman"/>
                  <w:sz w:val="15"/>
                  <w:szCs w:val="15"/>
                  <w:color w:val="0000EE"/>
                  <w:w w:val="85"/>
                </w:rPr>
                <w:t>3.</w:t>
              </w:r>
              <w:r>
                <w:rPr>
                  <w:rFonts w:ascii="Times New Roman" w:cs="Times New Roman" w:eastAsia="Times New Roman" w:hAnsi="Times New Roman"/>
                  <w:sz w:val="15"/>
                  <w:szCs w:val="15"/>
                  <w:u w:val="single" w:color="auto"/>
                  <w:color w:val="0000EE"/>
                  <w:w w:val="85"/>
                </w:rPr>
                <w:t>3</w:t>
              </w:r>
            </w:hyperlink>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20" w:type="dxa"/>
            <w:vAlign w:val="bottom"/>
          </w:tcPr>
          <w:p>
            <w:pPr>
              <w:ind w:left="220"/>
              <w:spacing w:after="0" w:line="147" w:lineRule="exact"/>
              <w:rPr>
                <w:sz w:val="20"/>
                <w:szCs w:val="20"/>
                <w:color w:val="auto"/>
              </w:rPr>
            </w:pPr>
            <w:r>
              <w:rPr>
                <w:rFonts w:ascii="Times New Roman" w:cs="Times New Roman" w:eastAsia="Times New Roman" w:hAnsi="Times New Roman"/>
                <w:sz w:val="11"/>
                <w:szCs w:val="11"/>
                <w:color w:val="auto"/>
              </w:rPr>
              <w:t>Amended and Restated Bylaws of the Company</w:t>
            </w:r>
            <w:r>
              <w:rPr>
                <w:rFonts w:ascii="Times New Roman" w:cs="Times New Roman" w:eastAsia="Times New Roman" w:hAnsi="Times New Roman"/>
                <w:sz w:val="16"/>
                <w:szCs w:val="16"/>
                <w:color w:val="auto"/>
                <w:vertAlign w:val="superscript"/>
              </w:rPr>
              <w:t>(2)</w:t>
            </w:r>
          </w:p>
        </w:tc>
        <w:tc>
          <w:tcPr>
            <w:tcW w:w="0" w:type="dxa"/>
            <w:vAlign w:val="bottom"/>
          </w:tcPr>
          <w:p>
            <w:pPr>
              <w:spacing w:after="0"/>
              <w:rPr>
                <w:sz w:val="1"/>
                <w:szCs w:val="1"/>
                <w:color w:val="auto"/>
              </w:rPr>
            </w:pPr>
          </w:p>
        </w:tc>
      </w:tr>
      <w:tr>
        <w:trPr>
          <w:trHeight w:val="153"/>
        </w:trPr>
        <w:tc>
          <w:tcPr>
            <w:tcW w:w="260" w:type="dxa"/>
            <w:vAlign w:val="bottom"/>
            <w:tcBorders>
              <w:bottom w:val="single" w:sz="8" w:color="0000EE"/>
            </w:tcBorders>
            <w:gridSpan w:val="2"/>
            <w:shd w:val="clear" w:color="auto" w:fill="CCEEFF"/>
          </w:tcPr>
          <w:p>
            <w:pPr>
              <w:spacing w:after="0" w:line="133" w:lineRule="exact"/>
              <w:rPr>
                <w:rFonts w:ascii="Times New Roman" w:cs="Times New Roman" w:eastAsia="Times New Roman" w:hAnsi="Times New Roman"/>
                <w:sz w:val="15"/>
                <w:szCs w:val="15"/>
                <w:color w:val="0000EE"/>
                <w:w w:val="91"/>
              </w:rPr>
            </w:pPr>
            <w:hyperlink r:id="rId59">
              <w:r>
                <w:rPr>
                  <w:rFonts w:ascii="Times New Roman" w:cs="Times New Roman" w:eastAsia="Times New Roman" w:hAnsi="Times New Roman"/>
                  <w:sz w:val="15"/>
                  <w:szCs w:val="15"/>
                  <w:color w:val="0000EE"/>
                  <w:w w:val="91"/>
                </w:rPr>
                <w:t>10.</w:t>
              </w:r>
              <w:r>
                <w:rPr>
                  <w:rFonts w:ascii="Times New Roman" w:cs="Times New Roman" w:eastAsia="Times New Roman" w:hAnsi="Times New Roman"/>
                  <w:sz w:val="15"/>
                  <w:szCs w:val="15"/>
                  <w:u w:val="single" w:color="auto"/>
                  <w:color w:val="0000EE"/>
                  <w:w w:val="91"/>
                </w:rPr>
                <w:t>1</w:t>
              </w:r>
            </w:hyperlink>
          </w:p>
        </w:tc>
        <w:tc>
          <w:tcPr>
            <w:tcW w:w="580" w:type="dxa"/>
            <w:vAlign w:val="bottom"/>
            <w:tcBorders>
              <w:bottom w:val="single" w:sz="8" w:color="CCEEFF"/>
            </w:tcBorders>
            <w:vMerge w:val="restart"/>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220" w:type="dxa"/>
            <w:vAlign w:val="bottom"/>
            <w:tcBorders>
              <w:bottom w:val="single" w:sz="8" w:color="CCEEFF"/>
            </w:tcBorders>
            <w:vMerge w:val="restart"/>
            <w:shd w:val="clear" w:color="auto" w:fill="CCEEFF"/>
          </w:tcPr>
          <w:p>
            <w:pPr>
              <w:ind w:left="220"/>
              <w:spacing w:after="0" w:line="221" w:lineRule="exact"/>
              <w:rPr>
                <w:sz w:val="20"/>
                <w:szCs w:val="20"/>
                <w:color w:val="auto"/>
              </w:rPr>
            </w:pPr>
            <w:r>
              <w:rPr>
                <w:rFonts w:ascii="Times New Roman" w:cs="Times New Roman" w:eastAsia="Times New Roman" w:hAnsi="Times New Roman"/>
                <w:sz w:val="15"/>
                <w:szCs w:val="15"/>
                <w:color w:val="auto"/>
              </w:rPr>
              <w:t>Investment Advisory Agreement, dated October 1, 2024, between the Company and the Adviser</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48"/>
        </w:trPr>
        <w:tc>
          <w:tcPr>
            <w:tcW w:w="260" w:type="dxa"/>
            <w:vAlign w:val="bottom"/>
            <w:tcBorders>
              <w:bottom w:val="single" w:sz="8" w:color="CCEEFF"/>
            </w:tcBorders>
            <w:gridSpan w:val="2"/>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22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60" w:type="dxa"/>
            <w:vAlign w:val="bottom"/>
            <w:tcBorders>
              <w:bottom w:val="single" w:sz="8" w:color="0000EE"/>
            </w:tcBorders>
            <w:gridSpan w:val="2"/>
          </w:tcPr>
          <w:p>
            <w:pPr>
              <w:spacing w:after="0" w:line="127" w:lineRule="exact"/>
              <w:rPr>
                <w:rFonts w:ascii="Times New Roman" w:cs="Times New Roman" w:eastAsia="Times New Roman" w:hAnsi="Times New Roman"/>
                <w:sz w:val="14"/>
                <w:szCs w:val="14"/>
                <w:color w:val="0000EE"/>
                <w:w w:val="97"/>
              </w:rPr>
            </w:pPr>
            <w:hyperlink r:id="rId60">
              <w:r>
                <w:rPr>
                  <w:rFonts w:ascii="Times New Roman" w:cs="Times New Roman" w:eastAsia="Times New Roman" w:hAnsi="Times New Roman"/>
                  <w:sz w:val="14"/>
                  <w:szCs w:val="14"/>
                  <w:color w:val="0000EE"/>
                  <w:w w:val="97"/>
                </w:rPr>
                <w:t>10.</w:t>
              </w:r>
              <w:r>
                <w:rPr>
                  <w:rFonts w:ascii="Times New Roman" w:cs="Times New Roman" w:eastAsia="Times New Roman" w:hAnsi="Times New Roman"/>
                  <w:sz w:val="14"/>
                  <w:szCs w:val="14"/>
                  <w:u w:val="single" w:color="auto"/>
                  <w:color w:val="0000EE"/>
                  <w:w w:val="97"/>
                </w:rPr>
                <w:t>2</w:t>
              </w:r>
            </w:hyperlink>
          </w:p>
        </w:tc>
        <w:tc>
          <w:tcPr>
            <w:tcW w:w="5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220" w:type="dxa"/>
            <w:vAlign w:val="bottom"/>
            <w:vMerge w:val="restart"/>
          </w:tcPr>
          <w:p>
            <w:pPr>
              <w:ind w:left="220"/>
              <w:spacing w:after="0" w:line="194" w:lineRule="exact"/>
              <w:rPr>
                <w:sz w:val="20"/>
                <w:szCs w:val="20"/>
                <w:color w:val="auto"/>
              </w:rPr>
            </w:pPr>
            <w:r>
              <w:rPr>
                <w:rFonts w:ascii="Times New Roman" w:cs="Times New Roman" w:eastAsia="Times New Roman" w:hAnsi="Times New Roman"/>
                <w:sz w:val="14"/>
                <w:szCs w:val="14"/>
                <w:color w:val="auto"/>
              </w:rPr>
              <w:t>License Agreement, dated October 1, 2024, between the Company and the Adviser</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60" w:type="dxa"/>
            <w:vAlign w:val="bottom"/>
            <w:tcBorders>
              <w:bottom w:val="single" w:sz="8" w:color="0000EE"/>
            </w:tcBorders>
            <w:gridSpan w:val="2"/>
            <w:shd w:val="clear" w:color="auto" w:fill="CCEEFF"/>
          </w:tcPr>
          <w:p>
            <w:pPr>
              <w:spacing w:after="0" w:line="127" w:lineRule="exact"/>
              <w:rPr>
                <w:rFonts w:ascii="Times New Roman" w:cs="Times New Roman" w:eastAsia="Times New Roman" w:hAnsi="Times New Roman"/>
                <w:sz w:val="14"/>
                <w:szCs w:val="14"/>
                <w:color w:val="0000EE"/>
                <w:w w:val="97"/>
              </w:rPr>
            </w:pPr>
            <w:hyperlink r:id="rId61">
              <w:r>
                <w:rPr>
                  <w:rFonts w:ascii="Times New Roman" w:cs="Times New Roman" w:eastAsia="Times New Roman" w:hAnsi="Times New Roman"/>
                  <w:sz w:val="14"/>
                  <w:szCs w:val="14"/>
                  <w:color w:val="0000EE"/>
                  <w:w w:val="97"/>
                </w:rPr>
                <w:t>10.</w:t>
              </w:r>
              <w:r>
                <w:rPr>
                  <w:rFonts w:ascii="Times New Roman" w:cs="Times New Roman" w:eastAsia="Times New Roman" w:hAnsi="Times New Roman"/>
                  <w:sz w:val="14"/>
                  <w:szCs w:val="14"/>
                  <w:u w:val="single" w:color="auto"/>
                  <w:color w:val="0000EE"/>
                  <w:w w:val="97"/>
                </w:rPr>
                <w:t>3</w:t>
              </w:r>
            </w:hyperlink>
          </w:p>
        </w:tc>
        <w:tc>
          <w:tcPr>
            <w:tcW w:w="58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220" w:type="dxa"/>
            <w:vAlign w:val="bottom"/>
            <w:tcBorders>
              <w:bottom w:val="single" w:sz="8" w:color="CCEEFF"/>
            </w:tcBorders>
            <w:vMerge w:val="restart"/>
            <w:shd w:val="clear" w:color="auto" w:fill="CCEEFF"/>
          </w:tcPr>
          <w:p>
            <w:pPr>
              <w:ind w:left="220"/>
              <w:spacing w:after="0" w:line="214" w:lineRule="exact"/>
              <w:rPr>
                <w:sz w:val="20"/>
                <w:szCs w:val="20"/>
                <w:color w:val="auto"/>
              </w:rPr>
            </w:pPr>
            <w:r>
              <w:rPr>
                <w:rFonts w:ascii="Times New Roman" w:cs="Times New Roman" w:eastAsia="Times New Roman" w:hAnsi="Times New Roman"/>
                <w:sz w:val="15"/>
                <w:szCs w:val="15"/>
                <w:color w:val="auto"/>
              </w:rPr>
              <w:t>Expense Limitation Agreement, dated October 1, 2024, between the Company and the Adviser</w:t>
            </w:r>
            <w:r>
              <w:rPr>
                <w:rFonts w:ascii="Times New Roman" w:cs="Times New Roman" w:eastAsia="Times New Roman" w:hAnsi="Times New Roman"/>
                <w:sz w:val="24"/>
                <w:szCs w:val="24"/>
                <w:color w:val="auto"/>
                <w:vertAlign w:val="superscript"/>
              </w:rPr>
              <w:t>(5)</w:t>
            </w:r>
          </w:p>
        </w:tc>
        <w:tc>
          <w:tcPr>
            <w:tcW w:w="0" w:type="dxa"/>
            <w:vAlign w:val="bottom"/>
          </w:tcPr>
          <w:p>
            <w:pPr>
              <w:spacing w:after="0"/>
              <w:rPr>
                <w:sz w:val="1"/>
                <w:szCs w:val="1"/>
                <w:color w:val="auto"/>
              </w:rPr>
            </w:pPr>
          </w:p>
        </w:tc>
      </w:tr>
      <w:tr>
        <w:trPr>
          <w:trHeight w:val="48"/>
        </w:trPr>
        <w:tc>
          <w:tcPr>
            <w:tcW w:w="260" w:type="dxa"/>
            <w:vAlign w:val="bottom"/>
            <w:tcBorders>
              <w:bottom w:val="single" w:sz="8" w:color="CCEEFF"/>
            </w:tcBorders>
            <w:gridSpan w:val="2"/>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22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84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1</w:t>
            </w:r>
          </w:p>
        </w:tc>
        <w:tc>
          <w:tcPr>
            <w:tcW w:w="200" w:type="dxa"/>
            <w:vAlign w:val="bottom"/>
          </w:tcPr>
          <w:p>
            <w:pPr>
              <w:spacing w:after="0"/>
              <w:rPr>
                <w:sz w:val="10"/>
                <w:szCs w:val="10"/>
                <w:color w:val="auto"/>
              </w:rPr>
            </w:pPr>
          </w:p>
        </w:tc>
        <w:tc>
          <w:tcPr>
            <w:tcW w:w="10220" w:type="dxa"/>
            <w:vAlign w:val="bottom"/>
          </w:tcPr>
          <w:p>
            <w:pPr>
              <w:ind w:left="220"/>
              <w:spacing w:after="0" w:line="127" w:lineRule="exact"/>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 under the Securities Exchange Act of 1934, as Adopted Pursuant to Section</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302 of the Sarbanes-Oxley Act of 2002*</w:t>
            </w:r>
          </w:p>
        </w:tc>
        <w:tc>
          <w:tcPr>
            <w:tcW w:w="0" w:type="dxa"/>
            <w:vAlign w:val="bottom"/>
          </w:tcPr>
          <w:p>
            <w:pPr>
              <w:spacing w:after="0"/>
              <w:rPr>
                <w:sz w:val="1"/>
                <w:szCs w:val="1"/>
                <w:color w:val="auto"/>
              </w:rPr>
            </w:pPr>
          </w:p>
        </w:tc>
      </w:tr>
      <w:tr>
        <w:trPr>
          <w:trHeight w:val="147"/>
        </w:trPr>
        <w:tc>
          <w:tcPr>
            <w:tcW w:w="84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2</w:t>
            </w:r>
          </w:p>
        </w:tc>
        <w:tc>
          <w:tcPr>
            <w:tcW w:w="200" w:type="dxa"/>
            <w:vAlign w:val="bottom"/>
            <w:shd w:val="clear" w:color="auto" w:fill="CCEEFF"/>
          </w:tcPr>
          <w:p>
            <w:pPr>
              <w:spacing w:after="0"/>
              <w:rPr>
                <w:sz w:val="12"/>
                <w:szCs w:val="12"/>
                <w:color w:val="auto"/>
              </w:rPr>
            </w:pPr>
          </w:p>
        </w:tc>
        <w:tc>
          <w:tcPr>
            <w:tcW w:w="102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5"/>
                <w:szCs w:val="15"/>
                <w:color w:val="auto"/>
              </w:rPr>
              <w:t>Certification of Principal Financial Officer Pursuant to Rules 13a-14(a) and 15d-14(a) under the Securities Exchange Act of 1934, as Adopted Pursuant to Section</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302 of the Sarbanes-Oxley Act of 2002*</w:t>
            </w:r>
          </w:p>
        </w:tc>
        <w:tc>
          <w:tcPr>
            <w:tcW w:w="0" w:type="dxa"/>
            <w:vAlign w:val="bottom"/>
          </w:tcPr>
          <w:p>
            <w:pPr>
              <w:spacing w:after="0"/>
              <w:rPr>
                <w:sz w:val="1"/>
                <w:szCs w:val="1"/>
                <w:color w:val="auto"/>
              </w:rPr>
            </w:pPr>
          </w:p>
        </w:tc>
      </w:tr>
      <w:tr>
        <w:trPr>
          <w:trHeight w:val="153"/>
        </w:trPr>
        <w:tc>
          <w:tcPr>
            <w:tcW w:w="260" w:type="dxa"/>
            <w:vAlign w:val="bottom"/>
            <w:tcBorders>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5"/>
                <w:szCs w:val="15"/>
                <w:color w:val="0000EE"/>
                <w:w w:val="91"/>
              </w:rPr>
              <w:t>32.</w:t>
            </w:r>
            <w:r>
              <w:rPr>
                <w:rFonts w:ascii="Times New Roman" w:cs="Times New Roman" w:eastAsia="Times New Roman" w:hAnsi="Times New Roman"/>
                <w:sz w:val="15"/>
                <w:szCs w:val="15"/>
                <w:u w:val="single" w:color="auto"/>
                <w:color w:val="0000EE"/>
                <w:w w:val="91"/>
              </w:rPr>
              <w:t>1</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20" w:type="dxa"/>
            <w:vAlign w:val="bottom"/>
          </w:tcPr>
          <w:p>
            <w:pPr>
              <w:ind w:left="220"/>
              <w:spacing w:after="0" w:line="146" w:lineRule="exact"/>
              <w:rPr>
                <w:sz w:val="20"/>
                <w:szCs w:val="20"/>
                <w:color w:val="auto"/>
              </w:rPr>
            </w:pPr>
            <w:r>
              <w:rPr>
                <w:rFonts w:ascii="Times New Roman" w:cs="Times New Roman" w:eastAsia="Times New Roman" w:hAnsi="Times New Roman"/>
                <w:sz w:val="15"/>
                <w:szCs w:val="15"/>
                <w:color w:val="auto"/>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7"/>
        </w:trPr>
        <w:tc>
          <w:tcPr>
            <w:tcW w:w="260" w:type="dxa"/>
            <w:vAlign w:val="bottom"/>
            <w:tcBorders>
              <w:bottom w:val="single" w:sz="8" w:color="0000EE"/>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0000EE"/>
                <w:w w:val="91"/>
              </w:rPr>
              <w:t>32.</w:t>
            </w:r>
            <w:r>
              <w:rPr>
                <w:rFonts w:ascii="Times New Roman" w:cs="Times New Roman" w:eastAsia="Times New Roman" w:hAnsi="Times New Roman"/>
                <w:sz w:val="15"/>
                <w:szCs w:val="15"/>
                <w:u w:val="single" w:color="auto"/>
                <w:color w:val="0000EE"/>
                <w:w w:val="91"/>
              </w:rPr>
              <w:t>2</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20" w:type="dxa"/>
            <w:vAlign w:val="bottom"/>
            <w:tcBorders>
              <w:bottom w:val="single" w:sz="8" w:color="CCEEFF"/>
            </w:tcBorders>
            <w:shd w:val="clear" w:color="auto" w:fill="CCEEFF"/>
          </w:tcPr>
          <w:p>
            <w:pPr>
              <w:ind w:left="220"/>
              <w:spacing w:after="0" w:line="154" w:lineRule="exact"/>
              <w:rPr>
                <w:sz w:val="20"/>
                <w:szCs w:val="20"/>
                <w:color w:val="auto"/>
              </w:rPr>
            </w:pPr>
            <w:r>
              <w:rPr>
                <w:rFonts w:ascii="Times New Roman" w:cs="Times New Roman" w:eastAsia="Times New Roman" w:hAnsi="Times New Roman"/>
                <w:sz w:val="15"/>
                <w:szCs w:val="15"/>
                <w:color w:val="auto"/>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10" w:hanging="410"/>
        <w:spacing w:after="0"/>
        <w:tabs>
          <w:tab w:leader="none" w:pos="41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88" w:lineRule="exact"/>
        <w:rPr>
          <w:sz w:val="20"/>
          <w:szCs w:val="20"/>
          <w:color w:val="auto"/>
        </w:rPr>
      </w:pPr>
    </w:p>
    <w:p>
      <w:pPr>
        <w:ind w:left="410" w:hanging="410"/>
        <w:spacing w:after="0"/>
        <w:tabs>
          <w:tab w:leader="none" w:pos="41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Exhibit 2.1 of the Company’s current report on Form 8-K filed on February 23, 2024.</w:t>
      </w:r>
    </w:p>
    <w:p>
      <w:pPr>
        <w:spacing w:after="0" w:line="21"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Company’s annual report on Form 10-K/A, filed on June 30, 2022.</w:t>
      </w:r>
    </w:p>
    <w:p>
      <w:pPr>
        <w:spacing w:after="0" w:line="7"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Exhibit 10.1 of the Company’s current report on Form 8-K filed on October 7, 2024.</w:t>
      </w:r>
    </w:p>
    <w:p>
      <w:pPr>
        <w:spacing w:after="0" w:line="7"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Exhibit 10.2 of the Company’s current report on Form 8-K filed on October 7, 2024.</w:t>
      </w:r>
    </w:p>
    <w:p>
      <w:pPr>
        <w:spacing w:after="0" w:line="7" w:lineRule="exact"/>
        <w:rPr>
          <w:rFonts w:ascii="Times New Roman" w:cs="Times New Roman" w:eastAsia="Times New Roman" w:hAnsi="Times New Roman"/>
          <w:sz w:val="15"/>
          <w:szCs w:val="15"/>
          <w:color w:val="auto"/>
        </w:rPr>
      </w:pPr>
    </w:p>
    <w:p>
      <w:pPr>
        <w:ind w:left="410" w:hanging="410"/>
        <w:spacing w:after="0"/>
        <w:tabs>
          <w:tab w:leader="none" w:pos="41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Exhibit 10.3 of the Company’s current report on Form 8-K filed on October 7, 2024.</w:t>
      </w:r>
    </w:p>
    <w:p>
      <w:pPr>
        <w:spacing w:after="0" w:line="32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4"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thereunto duly authorized on November 7, 2024.</w:t>
      </w:r>
    </w:p>
    <w:p>
      <w:pPr>
        <w:spacing w:after="0" w:line="1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192" w:lineRule="exact"/>
        <w:rPr>
          <w:sz w:val="20"/>
          <w:szCs w:val="20"/>
          <w:color w:val="auto"/>
        </w:rPr>
      </w:pPr>
    </w:p>
    <w:p>
      <w:pPr>
        <w:ind w:left="5620"/>
        <w:spacing w:after="0"/>
        <w:tabs>
          <w:tab w:leader="none" w:pos="5940" w:val="left"/>
        </w:tabs>
        <w:rPr>
          <w:sz w:val="20"/>
          <w:szCs w:val="20"/>
          <w:color w:val="auto"/>
        </w:rPr>
      </w:pPr>
      <w:r>
        <w:rPr>
          <w:rFonts w:ascii="Times New Roman" w:cs="Times New Roman" w:eastAsia="Times New Roman" w:hAnsi="Times New Roman"/>
          <w:sz w:val="15"/>
          <w:szCs w:val="15"/>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13970</wp:posOffset>
            </wp:positionV>
            <wp:extent cx="336296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Andreas Bodmeier</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Chief Executive Officer (Principal Executive Officer)</w:t>
      </w:r>
    </w:p>
    <w:p>
      <w:pPr>
        <w:spacing w:after="0" w:line="175" w:lineRule="exact"/>
        <w:rPr>
          <w:sz w:val="20"/>
          <w:szCs w:val="20"/>
          <w:color w:val="auto"/>
        </w:rPr>
      </w:pPr>
    </w:p>
    <w:p>
      <w:pPr>
        <w:ind w:left="5620"/>
        <w:spacing w:after="0"/>
        <w:tabs>
          <w:tab w:leader="none" w:pos="59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13970</wp:posOffset>
            </wp:positionV>
            <wp:extent cx="336296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Umesh Mahajan</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Chief Financial Officer (Principal Financial and Accounting Officer)</w:t>
      </w: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715518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0"/>
          </w:cols>
          <w:pgMar w:left="320" w:top="120" w:right="5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3.2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ARTICLES OF AMENDMENT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Silver Spike Investment Corp., a Maryland corporation (which is hereinafter called the “Corporation”), hereby certifies to the State Department of Assessments and Taxation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Maryland that: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FIRST:</w:t>
      </w:r>
      <w:r>
        <w:rPr>
          <w:rFonts w:ascii="Times New Roman" w:cs="Times New Roman" w:eastAsia="Times New Roman" w:hAnsi="Times New Roman"/>
          <w:sz w:val="15"/>
          <w:szCs w:val="15"/>
          <w:color w:val="auto"/>
        </w:rPr>
        <w:t xml:space="preserve"> Article I of the charter of the Corporation is hereby amended to read as follows:</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name of the corporation (the “Corporation”) is: Chicago Atlantic BDC, Inc.</w:t>
      </w:r>
    </w:p>
    <w:p>
      <w:pPr>
        <w:spacing w:after="0" w:line="18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u w:val="single" w:color="auto"/>
          <w:color w:val="auto"/>
        </w:rPr>
        <w:t>SECOND:</w:t>
      </w:r>
      <w:r>
        <w:rPr>
          <w:rFonts w:ascii="Times New Roman" w:cs="Times New Roman" w:eastAsia="Times New Roman" w:hAnsi="Times New Roman"/>
          <w:sz w:val="15"/>
          <w:szCs w:val="15"/>
          <w:color w:val="auto"/>
        </w:rPr>
        <w:t xml:space="preserve"> These Articles of Amendment were duly approved by a majority of the entire board of directors of the Corporation, and were not required to be submitted to the stockholders of the Corporation, as the amendment is limited to a change expressly authorized by Section 2-605 of the Maryland General Corporation Law to be made without action by the stockholders.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THIRD:</w:t>
      </w:r>
      <w:r>
        <w:rPr>
          <w:rFonts w:ascii="Times New Roman" w:cs="Times New Roman" w:eastAsia="Times New Roman" w:hAnsi="Times New Roman"/>
          <w:sz w:val="15"/>
          <w:szCs w:val="15"/>
          <w:color w:val="auto"/>
        </w:rPr>
        <w:t xml:space="preserve"> These Articles of Amendment shall become effective at 12:01 a.m. ET on October 1,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[SIGNATURES APPEAR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221615</wp:posOffset>
            </wp:positionV>
            <wp:extent cx="715518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45" w:right="319" w:bottom="1440" w:gutter="0" w:footer="0" w:header="0"/>
        </w:sectPr>
      </w:pPr>
    </w:p>
    <w:bookmarkStart w:id="53" w:name="page54"/>
    <w:bookmarkEnd w:id="53"/>
    <w:p>
      <w:pPr>
        <w:ind w:right="60"/>
        <w:spacing w:after="0" w:line="219" w:lineRule="auto"/>
        <w:rPr>
          <w:sz w:val="20"/>
          <w:szCs w:val="20"/>
          <w:color w:val="auto"/>
        </w:rPr>
      </w:pPr>
      <w:r>
        <w:rPr>
          <w:rFonts w:ascii="Times New Roman" w:cs="Times New Roman" w:eastAsia="Times New Roman" w:hAnsi="Times New Roman"/>
          <w:sz w:val="15"/>
          <w:szCs w:val="15"/>
          <w:color w:val="auto"/>
        </w:rPr>
        <w:t>IN WITNESS WHEREOF, Silver Spike Investment Corp. has caused the foregoing Articles of Amendment to be signed and acknowledged in its name and on its behalf by its Chief Executive Officer and attested to by its Secretary on this 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5"/>
          <w:szCs w:val="15"/>
          <w:color w:val="auto"/>
        </w:rPr>
        <w:t xml:space="preserve"> day of September, 2024, and its Chief Executive Officer acknowledges that these Articles of Amendment are the act of the Corporation, and he further acknowledges that, as to all matters or facts set forth herein which are required to be verified under oath, such matters and facts are true in all material respects to the best of his knowledge, information and belief, and that this statement is made under the penalties for perjury.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420" w:type="dxa"/>
            <w:vAlign w:val="bottom"/>
            <w:gridSpan w:val="2"/>
          </w:tcPr>
          <w:p>
            <w:pPr>
              <w:ind w:left="3940"/>
              <w:spacing w:after="0"/>
              <w:rPr>
                <w:sz w:val="20"/>
                <w:szCs w:val="20"/>
                <w:color w:val="auto"/>
              </w:rPr>
            </w:pPr>
            <w:r>
              <w:rPr>
                <w:rFonts w:ascii="Times New Roman" w:cs="Times New Roman" w:eastAsia="Times New Roman" w:hAnsi="Times New Roman"/>
                <w:sz w:val="15"/>
                <w:szCs w:val="15"/>
                <w:color w:val="auto"/>
              </w:rPr>
              <w:t>Silver Spike Investment Corp.</w:t>
            </w:r>
          </w:p>
        </w:tc>
        <w:tc>
          <w:tcPr>
            <w:tcW w:w="2260" w:type="dxa"/>
            <w:vAlign w:val="bottom"/>
          </w:tcPr>
          <w:p>
            <w:pPr>
              <w:spacing w:after="0"/>
              <w:rPr>
                <w:sz w:val="16"/>
                <w:szCs w:val="16"/>
                <w:color w:val="auto"/>
              </w:rPr>
            </w:pPr>
          </w:p>
        </w:tc>
      </w:tr>
      <w:tr>
        <w:trPr>
          <w:trHeight w:val="375"/>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w w:val="94"/>
              </w:rPr>
              <w:t>Attest:</w:t>
            </w:r>
          </w:p>
        </w:tc>
        <w:tc>
          <w:tcPr>
            <w:tcW w:w="16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Umesh Mahajan</w:t>
            </w:r>
          </w:p>
        </w:tc>
        <w:tc>
          <w:tcPr>
            <w:tcW w:w="4280" w:type="dxa"/>
            <w:vAlign w:val="bottom"/>
          </w:tcPr>
          <w:p>
            <w:pPr>
              <w:ind w:left="3940"/>
              <w:spacing w:after="0"/>
              <w:rPr>
                <w:sz w:val="20"/>
                <w:szCs w:val="20"/>
                <w:color w:val="auto"/>
              </w:rPr>
            </w:pPr>
            <w:r>
              <w:rPr>
                <w:rFonts w:ascii="Times New Roman" w:cs="Times New Roman" w:eastAsia="Times New Roman" w:hAnsi="Times New Roman"/>
                <w:sz w:val="15"/>
                <w:szCs w:val="15"/>
                <w:color w:val="auto"/>
              </w:rPr>
              <w:t>By:</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Scott Gordon</w:t>
            </w:r>
          </w:p>
        </w:tc>
        <w:tc>
          <w:tcPr>
            <w:tcW w:w="2260" w:type="dxa"/>
            <w:vAlign w:val="bottom"/>
          </w:tcPr>
          <w:p>
            <w:pPr>
              <w:spacing w:after="0"/>
              <w:rPr>
                <w:sz w:val="24"/>
                <w:szCs w:val="24"/>
                <w:color w:val="auto"/>
              </w:rPr>
            </w:pPr>
          </w:p>
        </w:tc>
      </w:tr>
      <w:tr>
        <w:trPr>
          <w:trHeight w:val="154"/>
        </w:trPr>
        <w:tc>
          <w:tcPr>
            <w:tcW w:w="2580" w:type="dxa"/>
            <w:vAlign w:val="bottom"/>
            <w:gridSpan w:val="3"/>
          </w:tcPr>
          <w:p>
            <w:pPr>
              <w:spacing w:after="0" w:line="154" w:lineRule="exact"/>
              <w:rPr>
                <w:sz w:val="20"/>
                <w:szCs w:val="20"/>
                <w:color w:val="auto"/>
              </w:rPr>
            </w:pPr>
            <w:r>
              <w:rPr>
                <w:rFonts w:ascii="Times New Roman" w:cs="Times New Roman" w:eastAsia="Times New Roman" w:hAnsi="Times New Roman"/>
                <w:sz w:val="15"/>
                <w:szCs w:val="15"/>
                <w:color w:val="auto"/>
              </w:rPr>
              <w:t>Name: Umesh Mahajan</w:t>
            </w:r>
          </w:p>
        </w:tc>
        <w:tc>
          <w:tcPr>
            <w:tcW w:w="4280" w:type="dxa"/>
            <w:vAlign w:val="bottom"/>
          </w:tcPr>
          <w:p>
            <w:pPr>
              <w:ind w:left="3940"/>
              <w:spacing w:after="0" w:line="154" w:lineRule="exact"/>
              <w:rPr>
                <w:sz w:val="20"/>
                <w:szCs w:val="20"/>
                <w:color w:val="auto"/>
              </w:rPr>
            </w:pPr>
            <w:r>
              <w:rPr>
                <w:rFonts w:ascii="Times New Roman" w:cs="Times New Roman" w:eastAsia="Times New Roman" w:hAnsi="Times New Roman"/>
                <w:sz w:val="15"/>
                <w:szCs w:val="15"/>
                <w:color w:val="auto"/>
                <w:w w:val="79"/>
              </w:rPr>
              <w:t>Name:</w:t>
            </w:r>
          </w:p>
        </w:tc>
        <w:tc>
          <w:tcPr>
            <w:tcW w:w="2140" w:type="dxa"/>
            <w:vAlign w:val="bottom"/>
          </w:tcPr>
          <w:p>
            <w:pPr>
              <w:ind w:left="140"/>
              <w:spacing w:after="0" w:line="154" w:lineRule="exact"/>
              <w:rPr>
                <w:sz w:val="20"/>
                <w:szCs w:val="20"/>
                <w:color w:val="auto"/>
              </w:rPr>
            </w:pPr>
            <w:r>
              <w:rPr>
                <w:rFonts w:ascii="Times New Roman" w:cs="Times New Roman" w:eastAsia="Times New Roman" w:hAnsi="Times New Roman"/>
                <w:sz w:val="15"/>
                <w:szCs w:val="15"/>
                <w:color w:val="auto"/>
              </w:rPr>
              <w:t>Scott Gordon</w:t>
            </w:r>
          </w:p>
        </w:tc>
        <w:tc>
          <w:tcPr>
            <w:tcW w:w="2260" w:type="dxa"/>
            <w:vAlign w:val="bottom"/>
          </w:tcPr>
          <w:p>
            <w:pPr>
              <w:spacing w:after="0"/>
              <w:rPr>
                <w:sz w:val="13"/>
                <w:szCs w:val="13"/>
                <w:color w:val="auto"/>
              </w:rPr>
            </w:pPr>
          </w:p>
        </w:tc>
      </w:tr>
      <w:tr>
        <w:trPr>
          <w:trHeight w:val="194"/>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Secretary</w:t>
            </w:r>
          </w:p>
        </w:tc>
        <w:tc>
          <w:tcPr>
            <w:tcW w:w="4280" w:type="dxa"/>
            <w:vAlign w:val="bottom"/>
          </w:tcPr>
          <w:p>
            <w:pPr>
              <w:ind w:left="3940"/>
              <w:spacing w:after="0"/>
              <w:rPr>
                <w:sz w:val="20"/>
                <w:szCs w:val="20"/>
                <w:color w:val="auto"/>
              </w:rPr>
            </w:pPr>
            <w:r>
              <w:rPr>
                <w:rFonts w:ascii="Times New Roman" w:cs="Times New Roman" w:eastAsia="Times New Roman" w:hAnsi="Times New Roman"/>
                <w:sz w:val="15"/>
                <w:szCs w:val="15"/>
                <w:color w:val="auto"/>
                <w:w w:val="98"/>
              </w:rPr>
              <w:t>Title:</w:t>
            </w:r>
          </w:p>
        </w:tc>
        <w:tc>
          <w:tcPr>
            <w:tcW w:w="2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Chief Executive Officer</w:t>
            </w:r>
          </w:p>
        </w:tc>
        <w:tc>
          <w:tcPr>
            <w:tcW w:w="2260" w:type="dxa"/>
            <w:vAlign w:val="bottom"/>
          </w:tcPr>
          <w:p>
            <w:pPr>
              <w:spacing w:after="0"/>
              <w:rPr>
                <w:sz w:val="16"/>
                <w:szCs w:val="16"/>
                <w:color w:val="auto"/>
              </w:rPr>
            </w:pPr>
          </w:p>
        </w:tc>
      </w:tr>
      <w:tr>
        <w:trPr>
          <w:trHeight w:val="443"/>
        </w:trPr>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5"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31.1</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RULES 13a-14(a) AND 15d-14(a) UNDER THE SECURITIES EXCHANGE ACT OF 1934,</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 Andreas Bodmeier, Chief Executive Officer of Chicago Atlantic BDC, Inc., certify that:</w:t>
      </w:r>
    </w:p>
    <w:p>
      <w:pPr>
        <w:spacing w:after="0" w:line="188" w:lineRule="exact"/>
        <w:rPr>
          <w:sz w:val="20"/>
          <w:szCs w:val="20"/>
          <w:color w:val="auto"/>
        </w:rPr>
      </w:pPr>
    </w:p>
    <w:p>
      <w:pPr>
        <w:ind w:left="150" w:hanging="150"/>
        <w:spacing w:after="0"/>
        <w:tabs>
          <w:tab w:leader="none" w:pos="15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Chicago Atlantic BDC, Inc. (the “registrant”) for the quarter ended September 30, 2024;</w:t>
      </w:r>
    </w:p>
    <w:p>
      <w:pPr>
        <w:spacing w:after="0" w:line="188" w:lineRule="exact"/>
        <w:rPr>
          <w:rFonts w:ascii="Times New Roman" w:cs="Times New Roman" w:eastAsia="Times New Roman" w:hAnsi="Times New Roman"/>
          <w:sz w:val="15"/>
          <w:szCs w:val="15"/>
          <w:color w:val="auto"/>
        </w:rPr>
      </w:pPr>
    </w:p>
    <w:p>
      <w:pPr>
        <w:ind w:left="10" w:right="460" w:hanging="10"/>
        <w:spacing w:after="0" w:line="280" w:lineRule="auto"/>
        <w:tabs>
          <w:tab w:leader="none" w:pos="1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8" w:lineRule="exact"/>
        <w:rPr>
          <w:rFonts w:ascii="Times New Roman" w:cs="Times New Roman" w:eastAsia="Times New Roman" w:hAnsi="Times New Roman"/>
          <w:sz w:val="15"/>
          <w:szCs w:val="15"/>
          <w:color w:val="auto"/>
        </w:rPr>
      </w:pPr>
    </w:p>
    <w:p>
      <w:pPr>
        <w:ind w:left="10" w:right="560" w:hanging="10"/>
        <w:spacing w:after="0" w:line="280" w:lineRule="auto"/>
        <w:tabs>
          <w:tab w:leader="none" w:pos="1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38" w:lineRule="exact"/>
        <w:rPr>
          <w:rFonts w:ascii="Times New Roman" w:cs="Times New Roman" w:eastAsia="Times New Roman" w:hAnsi="Times New Roman"/>
          <w:sz w:val="15"/>
          <w:szCs w:val="15"/>
          <w:color w:val="auto"/>
        </w:rPr>
      </w:pPr>
    </w:p>
    <w:p>
      <w:pPr>
        <w:ind w:left="10" w:right="100" w:hanging="10"/>
        <w:spacing w:after="0" w:line="280" w:lineRule="auto"/>
        <w:tabs>
          <w:tab w:leader="none" w:pos="1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sz w:val="20"/>
          <w:szCs w:val="20"/>
          <w:color w:val="auto"/>
        </w:rPr>
      </w:pPr>
    </w:p>
    <w:p>
      <w:pPr>
        <w:ind w:left="10" w:right="120" w:hanging="10"/>
        <w:spacing w:after="0" w:line="280" w:lineRule="auto"/>
        <w:tabs>
          <w:tab w:leader="none" w:pos="172"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38" w:lineRule="exact"/>
        <w:rPr>
          <w:rFonts w:ascii="Times New Roman" w:cs="Times New Roman" w:eastAsia="Times New Roman" w:hAnsi="Times New Roman"/>
          <w:sz w:val="15"/>
          <w:szCs w:val="15"/>
          <w:i w:val="1"/>
          <w:iCs w:val="1"/>
          <w:color w:val="auto"/>
        </w:rPr>
      </w:pPr>
    </w:p>
    <w:p>
      <w:pPr>
        <w:ind w:left="10" w:right="200" w:hanging="10"/>
        <w:spacing w:after="0" w:line="280" w:lineRule="auto"/>
        <w:tabs>
          <w:tab w:leader="none" w:pos="172"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5"/>
          <w:szCs w:val="15"/>
          <w:i w:val="1"/>
          <w:iCs w:val="1"/>
          <w:color w:val="auto"/>
        </w:rPr>
      </w:pPr>
    </w:p>
    <w:p>
      <w:pPr>
        <w:ind w:left="10" w:right="400" w:hanging="10"/>
        <w:spacing w:after="0" w:line="280" w:lineRule="auto"/>
        <w:tabs>
          <w:tab w:leader="none" w:pos="164"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5"/>
          <w:szCs w:val="15"/>
          <w:i w:val="1"/>
          <w:iCs w:val="1"/>
          <w:color w:val="auto"/>
        </w:rPr>
      </w:pPr>
    </w:p>
    <w:p>
      <w:pPr>
        <w:ind w:left="10" w:right="20" w:hanging="10"/>
        <w:spacing w:after="0" w:line="280" w:lineRule="auto"/>
        <w:tabs>
          <w:tab w:leader="none" w:pos="172"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left="10" w:right="260" w:hanging="10"/>
        <w:spacing w:after="0" w:line="280" w:lineRule="auto"/>
        <w:tabs>
          <w:tab w:leader="none" w:pos="1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8" w:lineRule="exact"/>
        <w:rPr>
          <w:sz w:val="20"/>
          <w:szCs w:val="20"/>
          <w:color w:val="auto"/>
        </w:rPr>
      </w:pPr>
    </w:p>
    <w:p>
      <w:pPr>
        <w:ind w:left="10" w:right="60" w:hanging="10"/>
        <w:spacing w:after="0" w:line="280" w:lineRule="auto"/>
        <w:tabs>
          <w:tab w:leader="none" w:pos="172" w:val="left"/>
        </w:tabs>
        <w:numPr>
          <w:ilvl w:val="0"/>
          <w:numId w:val="2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5"/>
          <w:szCs w:val="15"/>
          <w:i w:val="1"/>
          <w:iCs w:val="1"/>
          <w:color w:val="auto"/>
        </w:rPr>
      </w:pPr>
    </w:p>
    <w:p>
      <w:pPr>
        <w:ind w:left="170" w:hanging="170"/>
        <w:spacing w:after="0"/>
        <w:tabs>
          <w:tab w:leader="none" w:pos="170" w:val="left"/>
        </w:tabs>
        <w:numPr>
          <w:ilvl w:val="0"/>
          <w:numId w:val="2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ind w:left="30"/>
        <w:spacing w:after="0"/>
        <w:tabs>
          <w:tab w:leader="none" w:pos="5609" w:val="left"/>
          <w:tab w:leader="none" w:pos="7949" w:val="left"/>
        </w:tabs>
        <w:rPr>
          <w:sz w:val="20"/>
          <w:szCs w:val="20"/>
          <w:color w:val="auto"/>
        </w:rPr>
      </w:pPr>
      <w:r>
        <w:rPr>
          <w:rFonts w:ascii="Times New Roman" w:cs="Times New Roman" w:eastAsia="Times New Roman" w:hAnsi="Times New Roman"/>
          <w:sz w:val="15"/>
          <w:szCs w:val="15"/>
          <w:color w:val="auto"/>
        </w:rPr>
        <w:t>Date: November 7,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13970</wp:posOffset>
            </wp:positionV>
            <wp:extent cx="336296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Andreas Bodmeier</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5518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45"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31.2</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RULES 13a-14(a) AND 15d-14(a) UNDER THE SECURITIES EXCHANGE ACT OF 1934,</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 Umesh Mahajan, Chief Financial Officer of Chicago Atlantic BDC, Inc., certify that:</w:t>
      </w:r>
    </w:p>
    <w:p>
      <w:pPr>
        <w:spacing w:after="0" w:line="188" w:lineRule="exact"/>
        <w:rPr>
          <w:sz w:val="20"/>
          <w:szCs w:val="20"/>
          <w:color w:val="auto"/>
        </w:rPr>
      </w:pPr>
    </w:p>
    <w:p>
      <w:pPr>
        <w:ind w:left="150" w:hanging="150"/>
        <w:spacing w:after="0"/>
        <w:tabs>
          <w:tab w:leader="none" w:pos="15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Chicago Atlantic BDC, Inc. (the “registrant”) for the quarter ended September 30, 2024;</w:t>
      </w:r>
    </w:p>
    <w:p>
      <w:pPr>
        <w:spacing w:after="0" w:line="188" w:lineRule="exact"/>
        <w:rPr>
          <w:rFonts w:ascii="Times New Roman" w:cs="Times New Roman" w:eastAsia="Times New Roman" w:hAnsi="Times New Roman"/>
          <w:sz w:val="15"/>
          <w:szCs w:val="15"/>
          <w:color w:val="auto"/>
        </w:rPr>
      </w:pPr>
    </w:p>
    <w:p>
      <w:pPr>
        <w:ind w:left="10" w:right="460" w:hanging="10"/>
        <w:spacing w:after="0" w:line="280" w:lineRule="auto"/>
        <w:tabs>
          <w:tab w:leader="none" w:pos="1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8" w:lineRule="exact"/>
        <w:rPr>
          <w:rFonts w:ascii="Times New Roman" w:cs="Times New Roman" w:eastAsia="Times New Roman" w:hAnsi="Times New Roman"/>
          <w:sz w:val="15"/>
          <w:szCs w:val="15"/>
          <w:color w:val="auto"/>
        </w:rPr>
      </w:pPr>
    </w:p>
    <w:p>
      <w:pPr>
        <w:ind w:left="10" w:right="560" w:hanging="10"/>
        <w:spacing w:after="0" w:line="280" w:lineRule="auto"/>
        <w:tabs>
          <w:tab w:leader="none" w:pos="1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38" w:lineRule="exact"/>
        <w:rPr>
          <w:rFonts w:ascii="Times New Roman" w:cs="Times New Roman" w:eastAsia="Times New Roman" w:hAnsi="Times New Roman"/>
          <w:sz w:val="15"/>
          <w:szCs w:val="15"/>
          <w:color w:val="auto"/>
        </w:rPr>
      </w:pPr>
    </w:p>
    <w:p>
      <w:pPr>
        <w:ind w:left="10" w:right="100" w:hanging="10"/>
        <w:spacing w:after="0" w:line="280" w:lineRule="auto"/>
        <w:tabs>
          <w:tab w:leader="none" w:pos="1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sz w:val="20"/>
          <w:szCs w:val="20"/>
          <w:color w:val="auto"/>
        </w:rPr>
      </w:pPr>
    </w:p>
    <w:p>
      <w:pPr>
        <w:ind w:left="10" w:right="120" w:hanging="10"/>
        <w:spacing w:after="0" w:line="280" w:lineRule="auto"/>
        <w:tabs>
          <w:tab w:leader="none" w:pos="172"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38" w:lineRule="exact"/>
        <w:rPr>
          <w:rFonts w:ascii="Times New Roman" w:cs="Times New Roman" w:eastAsia="Times New Roman" w:hAnsi="Times New Roman"/>
          <w:sz w:val="15"/>
          <w:szCs w:val="15"/>
          <w:i w:val="1"/>
          <w:iCs w:val="1"/>
          <w:color w:val="auto"/>
        </w:rPr>
      </w:pPr>
    </w:p>
    <w:p>
      <w:pPr>
        <w:ind w:left="10" w:right="200" w:hanging="10"/>
        <w:spacing w:after="0" w:line="280" w:lineRule="auto"/>
        <w:tabs>
          <w:tab w:leader="none" w:pos="172"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5"/>
          <w:szCs w:val="15"/>
          <w:i w:val="1"/>
          <w:iCs w:val="1"/>
          <w:color w:val="auto"/>
        </w:rPr>
      </w:pPr>
    </w:p>
    <w:p>
      <w:pPr>
        <w:ind w:left="10" w:right="400" w:hanging="10"/>
        <w:spacing w:after="0" w:line="280" w:lineRule="auto"/>
        <w:tabs>
          <w:tab w:leader="none" w:pos="164"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5"/>
          <w:szCs w:val="15"/>
          <w:i w:val="1"/>
          <w:iCs w:val="1"/>
          <w:color w:val="auto"/>
        </w:rPr>
      </w:pPr>
    </w:p>
    <w:p>
      <w:pPr>
        <w:ind w:left="10" w:right="20" w:hanging="10"/>
        <w:spacing w:after="0" w:line="280" w:lineRule="auto"/>
        <w:tabs>
          <w:tab w:leader="none" w:pos="172"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left="10" w:right="260" w:hanging="10"/>
        <w:spacing w:after="0" w:line="280" w:lineRule="auto"/>
        <w:tabs>
          <w:tab w:leader="none" w:pos="1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8" w:lineRule="exact"/>
        <w:rPr>
          <w:sz w:val="20"/>
          <w:szCs w:val="20"/>
          <w:color w:val="auto"/>
        </w:rPr>
      </w:pPr>
    </w:p>
    <w:p>
      <w:pPr>
        <w:ind w:left="10" w:right="60" w:hanging="10"/>
        <w:spacing w:after="0" w:line="280" w:lineRule="auto"/>
        <w:tabs>
          <w:tab w:leader="none" w:pos="172" w:val="left"/>
        </w:tabs>
        <w:numPr>
          <w:ilvl w:val="0"/>
          <w:numId w:val="3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5"/>
          <w:szCs w:val="15"/>
          <w:i w:val="1"/>
          <w:iCs w:val="1"/>
          <w:color w:val="auto"/>
        </w:rPr>
      </w:pPr>
    </w:p>
    <w:p>
      <w:pPr>
        <w:ind w:left="170" w:hanging="170"/>
        <w:spacing w:after="0"/>
        <w:tabs>
          <w:tab w:leader="none" w:pos="170" w:val="left"/>
        </w:tabs>
        <w:numPr>
          <w:ilvl w:val="0"/>
          <w:numId w:val="3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ind w:left="10"/>
        <w:spacing w:after="0"/>
        <w:tabs>
          <w:tab w:leader="none" w:pos="5609" w:val="left"/>
          <w:tab w:leader="none" w:pos="8009" w:val="left"/>
        </w:tabs>
        <w:rPr>
          <w:sz w:val="20"/>
          <w:szCs w:val="20"/>
          <w:color w:val="auto"/>
        </w:rPr>
      </w:pPr>
      <w:r>
        <w:rPr>
          <w:rFonts w:ascii="Times New Roman" w:cs="Times New Roman" w:eastAsia="Times New Roman" w:hAnsi="Times New Roman"/>
          <w:sz w:val="15"/>
          <w:szCs w:val="15"/>
          <w:color w:val="auto"/>
        </w:rPr>
        <w:t>Date: November 7,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13970</wp:posOffset>
            </wp:positionV>
            <wp:extent cx="336296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Umesh Mahajan</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5518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45"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32.1</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SECTION 1350, CHAPTER 63 OF TITLE 18, UNITED STATES CODE,</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5" w:lineRule="exact"/>
        <w:rPr>
          <w:sz w:val="20"/>
          <w:szCs w:val="20"/>
          <w:color w:val="auto"/>
        </w:rPr>
      </w:pPr>
    </w:p>
    <w:p>
      <w:pPr>
        <w:ind w:left="10" w:right="100"/>
        <w:spacing w:after="0" w:line="280" w:lineRule="auto"/>
        <w:rPr>
          <w:sz w:val="20"/>
          <w:szCs w:val="20"/>
          <w:color w:val="auto"/>
        </w:rPr>
      </w:pPr>
      <w:r>
        <w:rPr>
          <w:rFonts w:ascii="Times New Roman" w:cs="Times New Roman" w:eastAsia="Times New Roman" w:hAnsi="Times New Roman"/>
          <w:sz w:val="15"/>
          <w:szCs w:val="15"/>
          <w:color w:val="auto"/>
        </w:rPr>
        <w:t>Pursuant to Section 1350, Chapter 63 of Title 18, United States Code, as adopted pursuant to Section 906 of the Sarbanes-Oxley Act of 2002, the undersigned, as Chief Executive Officer of Chicago Atlantic BDC, Inc. (the “Company”), does hereby certify that to the undersigned’s knowledge:</w:t>
      </w:r>
    </w:p>
    <w:p>
      <w:pPr>
        <w:spacing w:after="0" w:line="138" w:lineRule="exact"/>
        <w:rPr>
          <w:sz w:val="20"/>
          <w:szCs w:val="20"/>
          <w:color w:val="auto"/>
        </w:rPr>
      </w:pPr>
    </w:p>
    <w:p>
      <w:pPr>
        <w:ind w:left="10" w:right="300" w:hanging="10"/>
        <w:spacing w:after="0" w:line="280" w:lineRule="auto"/>
        <w:tabs>
          <w:tab w:leader="none" w:pos="172"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Form 10-Q for the quarter ended September 30, 2024 fully complies with the requirements of Section 13(a) or 15(d) as applicable of the Securities Exchange Act of 1934, as amended; and</w:t>
      </w:r>
    </w:p>
    <w:p>
      <w:pPr>
        <w:spacing w:after="0" w:line="138" w:lineRule="exact"/>
        <w:rPr>
          <w:rFonts w:ascii="Times New Roman" w:cs="Times New Roman" w:eastAsia="Times New Roman" w:hAnsi="Times New Roman"/>
          <w:sz w:val="15"/>
          <w:szCs w:val="15"/>
          <w:color w:val="auto"/>
        </w:rPr>
      </w:pPr>
    </w:p>
    <w:p>
      <w:pPr>
        <w:ind w:left="10" w:right="620" w:hanging="10"/>
        <w:spacing w:after="0" w:line="280" w:lineRule="auto"/>
        <w:tabs>
          <w:tab w:leader="none" w:pos="172"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Company’s Form 10-Q for the quarter ended September 30, 2024 fairly presents, in all material respects, the financial condition and results of operations of the Company.</w:t>
      </w:r>
    </w:p>
    <w:p>
      <w:pPr>
        <w:spacing w:after="0" w:line="138" w:lineRule="exact"/>
        <w:rPr>
          <w:sz w:val="20"/>
          <w:szCs w:val="20"/>
          <w:color w:val="auto"/>
        </w:rPr>
      </w:pPr>
    </w:p>
    <w:p>
      <w:pPr>
        <w:ind w:left="10"/>
        <w:spacing w:after="0"/>
        <w:tabs>
          <w:tab w:leader="none" w:pos="5609" w:val="left"/>
          <w:tab w:leader="none" w:pos="7949" w:val="left"/>
        </w:tabs>
        <w:rPr>
          <w:sz w:val="20"/>
          <w:szCs w:val="20"/>
          <w:color w:val="auto"/>
        </w:rPr>
      </w:pPr>
      <w:r>
        <w:rPr>
          <w:rFonts w:ascii="Times New Roman" w:cs="Times New Roman" w:eastAsia="Times New Roman" w:hAnsi="Times New Roman"/>
          <w:sz w:val="15"/>
          <w:szCs w:val="15"/>
          <w:color w:val="auto"/>
        </w:rPr>
        <w:t>Date: November 7,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13970</wp:posOffset>
            </wp:positionV>
            <wp:extent cx="336296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Andreas Bodmeier</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5518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45"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32.2</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SECTION 1350, CHAPTER 63 OF TITLE 18, UNITED STATES CODE,</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5" w:lineRule="exact"/>
        <w:rPr>
          <w:sz w:val="20"/>
          <w:szCs w:val="20"/>
          <w:color w:val="auto"/>
        </w:rPr>
      </w:pPr>
    </w:p>
    <w:p>
      <w:pPr>
        <w:ind w:left="10" w:right="160"/>
        <w:spacing w:after="0" w:line="280" w:lineRule="auto"/>
        <w:rPr>
          <w:sz w:val="20"/>
          <w:szCs w:val="20"/>
          <w:color w:val="auto"/>
        </w:rPr>
      </w:pPr>
      <w:r>
        <w:rPr>
          <w:rFonts w:ascii="Times New Roman" w:cs="Times New Roman" w:eastAsia="Times New Roman" w:hAnsi="Times New Roman"/>
          <w:sz w:val="15"/>
          <w:szCs w:val="15"/>
          <w:color w:val="auto"/>
        </w:rPr>
        <w:t>Pursuant to Section 1350, Chapter 63 of Title 18, United States Code, as adopted pursuant to Section 906 of the Sarbanes-Oxley Act of 2002, the undersigned, as Chief Financial Officer of Chicago Atlantic BDC, Inc. (the “Company”), does hereby certify that to the undersigned’s knowledge:</w:t>
      </w:r>
    </w:p>
    <w:p>
      <w:pPr>
        <w:spacing w:after="0" w:line="138" w:lineRule="exact"/>
        <w:rPr>
          <w:sz w:val="20"/>
          <w:szCs w:val="20"/>
          <w:color w:val="auto"/>
        </w:rPr>
      </w:pPr>
    </w:p>
    <w:p>
      <w:pPr>
        <w:ind w:left="10" w:right="300" w:hanging="10"/>
        <w:spacing w:after="0" w:line="280" w:lineRule="auto"/>
        <w:tabs>
          <w:tab w:leader="none" w:pos="172"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Form 10-Q for the quarter ended September 30, 2024 fully complies with the requirements of Section 13(a) or 15(d) as applicable of the Securities Exchange Act of 1934, as amended; and</w:t>
      </w:r>
    </w:p>
    <w:p>
      <w:pPr>
        <w:spacing w:after="0" w:line="138" w:lineRule="exact"/>
        <w:rPr>
          <w:rFonts w:ascii="Times New Roman" w:cs="Times New Roman" w:eastAsia="Times New Roman" w:hAnsi="Times New Roman"/>
          <w:sz w:val="15"/>
          <w:szCs w:val="15"/>
          <w:color w:val="auto"/>
        </w:rPr>
      </w:pPr>
    </w:p>
    <w:p>
      <w:pPr>
        <w:ind w:left="10" w:right="620" w:hanging="10"/>
        <w:spacing w:after="0" w:line="280" w:lineRule="auto"/>
        <w:tabs>
          <w:tab w:leader="none" w:pos="172"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Company’s Form 10-Q for the quarter ended September 30, 2024 fairly presents, in all material respects, the financial condition and results of operations of the Company.</w:t>
      </w:r>
    </w:p>
    <w:p>
      <w:pPr>
        <w:spacing w:after="0" w:line="138" w:lineRule="exact"/>
        <w:rPr>
          <w:sz w:val="20"/>
          <w:szCs w:val="20"/>
          <w:color w:val="auto"/>
        </w:rPr>
      </w:pPr>
    </w:p>
    <w:p>
      <w:pPr>
        <w:ind w:left="10"/>
        <w:spacing w:after="0"/>
        <w:tabs>
          <w:tab w:leader="none" w:pos="5609" w:val="left"/>
          <w:tab w:leader="none" w:pos="8009" w:val="left"/>
        </w:tabs>
        <w:rPr>
          <w:sz w:val="20"/>
          <w:szCs w:val="20"/>
          <w:color w:val="auto"/>
        </w:rPr>
      </w:pPr>
      <w:r>
        <w:rPr>
          <w:rFonts w:ascii="Times New Roman" w:cs="Times New Roman" w:eastAsia="Times New Roman" w:hAnsi="Times New Roman"/>
          <w:sz w:val="15"/>
          <w:szCs w:val="15"/>
          <w:color w:val="auto"/>
        </w:rPr>
        <w:t>Date: November 7,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13970</wp:posOffset>
            </wp:positionV>
            <wp:extent cx="336296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Umesh Mahajan</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8"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5518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sectPr>
      <w:pgSz w:w="11900" w:h="16838" w:orient="portrait"/>
      <w:cols w:equalWidth="0" w:num="1">
        <w:col w:w="11270"/>
      </w:cols>
      <w:pgMar w:left="310" w:top="24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56" Type="http://schemas.openxmlformats.org/officeDocument/2006/relationships/hyperlink" Target="https://www.sec.gov/Archives/edgar/data/1843162/000095010324002723/dp207225_ex0201.htm" TargetMode="External"/><Relationship Id="rId57" Type="http://schemas.openxmlformats.org/officeDocument/2006/relationships/hyperlink" Target="https://www.sec.gov/Archives/edgar/data/1843162/000095010322011767/dp176400_ex0301.htm" TargetMode="External"/><Relationship Id="rId58" Type="http://schemas.openxmlformats.org/officeDocument/2006/relationships/hyperlink" Target="https://www.sec.gov/Archives/edgar/data/1843162/000095010322011767/dp176400_ex0302.htm" TargetMode="External"/><Relationship Id="rId59" Type="http://schemas.openxmlformats.org/officeDocument/2006/relationships/hyperlink" Target="https://www.sec.gov/Archives/edgar/data/1843162/000095010324014651/dp219097_ex1001.htm" TargetMode="External"/><Relationship Id="rId60" Type="http://schemas.openxmlformats.org/officeDocument/2006/relationships/hyperlink" Target="https://www.sec.gov/Archives/edgar/data/1843162/000095010324014651/dp219097_ex1002.htm" TargetMode="External"/><Relationship Id="rId61" Type="http://schemas.openxmlformats.org/officeDocument/2006/relationships/hyperlink" Target="https://www.sec.gov/Archives/edgar/data/1843162/000095010324014651/dp219097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2024-11-08T05:14:19Z</dcterms:created>
  <dcterms:modified xsi:type="dcterms:W3CDTF">2024-11-08T05:14:19Z</dcterms:modified>
</cp:coreProperties>
</file>