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shd w:fill="FFFFFF" w:val="clear"/>
        </w:rPr>
      </w:pPr>
      <w:bookmarkStart w:id="0" w:name="ef20072364_n2.htm"/>
      <w:bookmarkStart w:id="1" w:name="ksef20072364_n2"/>
      <w:bookmarkEnd w:id="0"/>
      <w:bookmarkEnd w:id="1"/>
      <w:r>
        <w:rPr>
          <w:rFonts w:ascii="Times New Roman" w:hAnsi="Times New Roman"/>
          <w:b/>
          <w:color w:val="000000"/>
          <w:sz w:val="20"/>
          <w:shd w:fill="FFFFFF" w:val="clear"/>
        </w:rPr>
        <w:t>As filed with the Securities and Exchange Commission on May 11, 2026</w:t>
      </w:r>
    </w:p>
    <w:p>
      <w:pPr>
        <w:pStyle w:val="TextBody"/>
        <w:bidi w:val="0"/>
        <w:spacing w:before="0" w:after="0"/>
        <w:jc w:val="center"/>
        <w:rPr>
          <w:b/>
        </w:rPr>
      </w:pPr>
      <w:r>
        <w:rPr>
          <w:b/>
        </w:rPr>
      </w:r>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Securities Act File No. 333- [ ]</w:t>
      </w:r>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Investment Company Act File No. 814-01383</w:t>
      </w: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N-2</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c30034af76144261b087d62aea7d65c6"/>
      <w:bookmarkStart w:id="3" w:name="zc30034af76144261b087d62aea7d65c6"/>
      <w:bookmarkEnd w:id="3"/>
    </w:p>
    <w:tbl>
      <w:tblPr>
        <w:tblW w:w="5440" w:type="dxa"/>
        <w:jc w:val="left"/>
        <w:tblInd w:w="0" w:type="dxa"/>
        <w:tblLayout w:type="fixed"/>
        <w:tblCellMar>
          <w:top w:w="0" w:type="dxa"/>
          <w:left w:w="0" w:type="dxa"/>
          <w:bottom w:w="0" w:type="dxa"/>
          <w:right w:w="0" w:type="dxa"/>
        </w:tblCellMar>
      </w:tblPr>
      <w:tblGrid>
        <w:gridCol w:w="90"/>
        <w:gridCol w:w="5060"/>
        <w:gridCol w:w="290"/>
      </w:tblGrid>
      <w:tr>
        <w:trPr/>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center"/>
              <w:rPr>
                <w:b/>
              </w:rPr>
            </w:pPr>
            <w:r>
              <w:rPr>
                <w:b/>
              </w:rPr>
              <w:t>REGISTRATION STATEMENT</w:t>
            </w:r>
          </w:p>
        </w:tc>
        <w:tc>
          <w:tcPr>
            <w:tcW w:w="290"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center"/>
              <w:rPr>
                <w:b/>
              </w:rPr>
            </w:pPr>
            <w:r>
              <w:rPr>
                <w:b/>
              </w:rPr>
              <w:t>UNDER THE SECURITIES ACT OF 1933</w:t>
            </w:r>
          </w:p>
        </w:tc>
        <w:tc>
          <w:tcPr>
            <w:tcW w:w="290" w:type="dxa"/>
            <w:tcBorders/>
            <w:vAlign w:val="center"/>
          </w:tcPr>
          <w:p>
            <w:pPr>
              <w:pStyle w:val="TableContents"/>
              <w:bidi w:val="0"/>
              <w:spacing w:before="0" w:after="283"/>
              <w:jc w:val="left"/>
              <w:rPr/>
            </w:pPr>
            <w:r>
              <w:rPr/>
              <w:t>☒</w:t>
            </w:r>
          </w:p>
        </w:tc>
      </w:tr>
      <w:tr>
        <w:trPr/>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center"/>
              <w:rPr>
                <w:b/>
              </w:rPr>
            </w:pPr>
            <w:r>
              <w:rPr>
                <w:b/>
              </w:rPr>
              <w:t xml:space="preserve">Pre-Effective Amendment No. </w:t>
            </w:r>
          </w:p>
        </w:tc>
        <w:tc>
          <w:tcPr>
            <w:tcW w:w="290" w:type="dxa"/>
            <w:tcBorders/>
            <w:vAlign w:val="center"/>
          </w:tcPr>
          <w:p>
            <w:pPr>
              <w:pStyle w:val="TableContents"/>
              <w:bidi w:val="0"/>
              <w:spacing w:before="0" w:after="283"/>
              <w:jc w:val="left"/>
              <w:rPr/>
            </w:pPr>
            <w:r>
              <w:rPr/>
              <w:t>☐</w:t>
            </w:r>
          </w:p>
        </w:tc>
      </w:tr>
      <w:tr>
        <w:trPr/>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center"/>
              <w:rPr>
                <w:b/>
              </w:rPr>
            </w:pPr>
            <w:r>
              <w:rPr>
                <w:b/>
              </w:rPr>
              <w:t>Post-Effective Amendment No.</w:t>
            </w:r>
          </w:p>
        </w:tc>
        <w:tc>
          <w:tcPr>
            <w:tcW w:w="290" w:type="dxa"/>
            <w:tcBorders/>
            <w:vAlign w:val="center"/>
          </w:tcPr>
          <w:p>
            <w:pPr>
              <w:pStyle w:val="TableContents"/>
              <w:bidi w:val="0"/>
              <w:spacing w:before="0" w:after="283"/>
              <w:jc w:val="left"/>
              <w:rPr/>
            </w:pPr>
            <w:r>
              <w:rPr/>
              <w:t>☐</w:t>
            </w:r>
          </w:p>
        </w:tc>
      </w:tr>
      <w:tr>
        <w:trPr/>
        <w:tc>
          <w:tcPr>
            <w:tcW w:w="90" w:type="dxa"/>
            <w:tcBorders/>
            <w:vAlign w:val="center"/>
          </w:tcPr>
          <w:p>
            <w:pPr>
              <w:pStyle w:val="TableContents"/>
              <w:bidi w:val="0"/>
              <w:spacing w:before="0" w:after="283"/>
              <w:jc w:val="center"/>
              <w:rPr/>
            </w:pPr>
            <w:r>
              <w:rPr/>
              <w:t> </w:t>
            </w:r>
          </w:p>
        </w:tc>
        <w:tc>
          <w:tcPr>
            <w:tcW w:w="5060" w:type="dxa"/>
            <w:tcBorders/>
            <w:vAlign w:val="center"/>
          </w:tcPr>
          <w:p>
            <w:pPr>
              <w:pStyle w:val="TableContents"/>
              <w:bidi w:val="0"/>
              <w:spacing w:before="0" w:after="283"/>
              <w:jc w:val="center"/>
              <w:rPr/>
            </w:pPr>
            <w:r>
              <w:rPr/>
              <w:t>And</w:t>
            </w:r>
          </w:p>
        </w:tc>
        <w:tc>
          <w:tcPr>
            <w:tcW w:w="290" w:type="dxa"/>
            <w:tcBorders/>
            <w:vAlign w:val="center"/>
          </w:tcPr>
          <w:p>
            <w:pPr>
              <w:pStyle w:val="TableContents"/>
              <w:bidi w:val="0"/>
              <w:spacing w:before="0" w:after="283"/>
              <w:jc w:val="left"/>
              <w:rPr/>
            </w:pPr>
            <w:r>
              <w:rPr/>
            </w:r>
          </w:p>
        </w:tc>
      </w:tr>
      <w:tr>
        <w:trPr/>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center"/>
              <w:rPr>
                <w:b/>
                <w:color w:val="000000"/>
              </w:rPr>
            </w:pPr>
            <w:r>
              <w:rPr>
                <w:b/>
                <w:color w:val="000000"/>
              </w:rPr>
              <w:t>REGISTRATION STATEMENT UNDER THE</w:t>
            </w:r>
          </w:p>
        </w:tc>
        <w:tc>
          <w:tcPr>
            <w:tcW w:w="29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center"/>
              <w:rPr/>
            </w:pPr>
            <w:r>
              <w:rPr/>
              <w:t> </w:t>
            </w:r>
          </w:p>
        </w:tc>
        <w:tc>
          <w:tcPr>
            <w:tcW w:w="5060" w:type="dxa"/>
            <w:tcBorders/>
            <w:vAlign w:val="center"/>
          </w:tcPr>
          <w:p>
            <w:pPr>
              <w:pStyle w:val="TableContents"/>
              <w:bidi w:val="0"/>
              <w:spacing w:before="0" w:after="283"/>
              <w:jc w:val="center"/>
              <w:rPr>
                <w:b/>
              </w:rPr>
            </w:pPr>
            <w:r>
              <w:rPr>
                <w:b/>
              </w:rPr>
              <w:t>INVESTMENT COMPANY ACT OF 1940</w:t>
            </w:r>
          </w:p>
        </w:tc>
        <w:tc>
          <w:tcPr>
            <w:tcW w:w="290" w:type="dxa"/>
            <w:tcBorders/>
            <w:vAlign w:val="center"/>
          </w:tcPr>
          <w:p>
            <w:pPr>
              <w:pStyle w:val="TableContents"/>
              <w:bidi w:val="0"/>
              <w:spacing w:before="0" w:after="283"/>
              <w:jc w:val="left"/>
              <w:rPr/>
            </w:pPr>
            <w:r>
              <w:rPr/>
              <w:t>☐</w:t>
            </w:r>
          </w:p>
        </w:tc>
      </w:tr>
      <w:tr>
        <w:trPr/>
        <w:tc>
          <w:tcPr>
            <w:tcW w:w="90" w:type="dxa"/>
            <w:tcBorders/>
            <w:vAlign w:val="center"/>
          </w:tcPr>
          <w:p>
            <w:pPr>
              <w:pStyle w:val="TableContents"/>
              <w:bidi w:val="0"/>
              <w:spacing w:before="0" w:after="283"/>
              <w:jc w:val="center"/>
              <w:rPr/>
            </w:pPr>
            <w:r>
              <w:rPr/>
              <w:t> </w:t>
            </w:r>
          </w:p>
        </w:tc>
        <w:tc>
          <w:tcPr>
            <w:tcW w:w="5060" w:type="dxa"/>
            <w:tcBorders/>
            <w:vAlign w:val="center"/>
          </w:tcPr>
          <w:p>
            <w:pPr>
              <w:pStyle w:val="TableContents"/>
              <w:bidi w:val="0"/>
              <w:spacing w:before="0" w:after="283"/>
              <w:jc w:val="center"/>
              <w:rPr>
                <w:b/>
              </w:rPr>
            </w:pPr>
            <w:r>
              <w:rPr>
                <w:b/>
              </w:rPr>
              <w:t>Amendment No.</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center"/>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CHICAGO ATLANTIC BDC,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600 Madison Avenue, Suite 1800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10022</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(212) 905-4923</w:t>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(Address, Including Zip Code, and Telephone Number, Including Area Code, of Registrant’s Principal Executive Offices)</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Peter Sack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Scott Gordon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Umesh Mahajan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Chicago Atlantic BDC,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600 Madison Avenue, Suite 1800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10022</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(312) 625-9295</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(Name, Address, Including Zip Code, and Telephone Number, Including Area Code, of Agent For Service)</w:t>
      </w:r>
    </w:p>
    <w:p>
      <w:pPr>
        <w:pStyle w:val="TextBody"/>
        <w:bidi w:val="0"/>
        <w:spacing w:before="0" w:after="0"/>
        <w:jc w:val="center"/>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Copies to:</w:t>
      </w:r>
    </w:p>
    <w:p>
      <w:pPr>
        <w:pStyle w:val="TextBody"/>
        <w:bidi w:val="0"/>
        <w:spacing w:before="0" w:after="0"/>
        <w:jc w:val="center"/>
        <w:rPr>
          <w:b/>
          <w:i/>
        </w:rPr>
      </w:pPr>
      <w:r>
        <w:rPr>
          <w:b/>
          <w:i/>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Owen J. Pinkerton, Esq.</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Eversheds Sutherland (US) LLP</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700 Sixth Street, NW, Suite 700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Washington, DC 20001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Tel: (202) 383-0262</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Approximate date of proposed public offering:</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From time to time after the effective date of this Registration Statement.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 w:name="zf2dabfae2bba4d649a4f1b2ba853cbf2"/>
      <w:bookmarkStart w:id="5" w:name="zf2dabfae2bba4d649a4f1b2ba853cbf2"/>
      <w:bookmarkEnd w:id="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Check box if the only securities being registered on this Form are being offered pursuant to dividend or interest reinvestment plans.</w:t>
            </w:r>
          </w:p>
        </w:tc>
      </w:tr>
    </w:tbl>
    <w:p>
      <w:pPr>
        <w:pStyle w:val="Normal"/>
        <w:bidi w:val="0"/>
        <w:spacing w:before="0" w:after="0"/>
        <w:jc w:val="left"/>
        <w:rPr>
          <w:sz w:val="4"/>
          <w:szCs w:val="4"/>
        </w:rPr>
      </w:pPr>
      <w:r>
        <w:rPr>
          <w:sz w:val="4"/>
          <w:szCs w:val="4"/>
        </w:rPr>
      </w:r>
      <w:bookmarkStart w:id="6" w:name="zd33796ee6b2344b39fd1be22f79fa805"/>
      <w:bookmarkStart w:id="7" w:name="zd33796ee6b2344b39fd1be22f79fa805"/>
      <w:bookmarkEnd w:id="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bl>
    <w:p>
      <w:pPr>
        <w:pStyle w:val="Normal"/>
        <w:bidi w:val="0"/>
        <w:spacing w:before="0" w:after="0"/>
        <w:jc w:val="left"/>
        <w:rPr>
          <w:sz w:val="4"/>
          <w:szCs w:val="4"/>
        </w:rPr>
      </w:pPr>
      <w:r>
        <w:rPr>
          <w:sz w:val="4"/>
          <w:szCs w:val="4"/>
        </w:rPr>
      </w:r>
      <w:bookmarkStart w:id="8" w:name="zc78840f2c3884f018615bfcbe27ef2c6"/>
      <w:bookmarkStart w:id="9" w:name="zc78840f2c3884f018615bfcbe27ef2c6"/>
      <w:bookmarkEnd w:id="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Check box if this Form is a registration statement pursuant to General Instruction A.2 or a post-effective amendment thereto.</w:t>
            </w:r>
          </w:p>
        </w:tc>
      </w:tr>
    </w:tbl>
    <w:p>
      <w:pPr>
        <w:pStyle w:val="Normal"/>
        <w:bidi w:val="0"/>
        <w:spacing w:before="0" w:after="0"/>
        <w:jc w:val="left"/>
        <w:rPr>
          <w:sz w:val="4"/>
          <w:szCs w:val="4"/>
        </w:rPr>
      </w:pPr>
      <w:r>
        <w:rPr>
          <w:sz w:val="4"/>
          <w:szCs w:val="4"/>
        </w:rPr>
      </w:r>
      <w:bookmarkStart w:id="10" w:name="zd718750dce354c9ea40adfdf0ea0f863"/>
      <w:bookmarkStart w:id="11" w:name="zd718750dce354c9ea40adfdf0ea0f863"/>
      <w:bookmarkEnd w:id="11"/>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Check box if this Form is a registration statement pursuant to General Instruction B or a post-effective amendment thereto that will become effective upon filing with the Commission pursuant to Rule 462(e) under the Securities Act.</w:t>
            </w:r>
          </w:p>
        </w:tc>
      </w:tr>
    </w:tbl>
    <w:p>
      <w:pPr>
        <w:pStyle w:val="Normal"/>
        <w:bidi w:val="0"/>
        <w:spacing w:before="0" w:after="0"/>
        <w:jc w:val="left"/>
        <w:rPr>
          <w:sz w:val="4"/>
          <w:szCs w:val="4"/>
        </w:rPr>
      </w:pPr>
      <w:r>
        <w:rPr>
          <w:sz w:val="4"/>
          <w:szCs w:val="4"/>
        </w:rPr>
      </w:r>
      <w:bookmarkStart w:id="12" w:name="zeec0570b271446529b34c519891f9eae"/>
      <w:bookmarkStart w:id="13" w:name="zeec0570b271446529b34c519891f9eae"/>
      <w:bookmarkEnd w:id="13"/>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ind w:left="720" w:right="0" w:hanging="720"/>
        <w:jc w:val="left"/>
        <w:rPr>
          <w:rFonts w:ascii="Times New Roman" w:hAnsi="Times New Roman"/>
          <w:color w:val="000000"/>
          <w:sz w:val="20"/>
          <w:shd w:fill="FFFFFF" w:val="clear"/>
        </w:rPr>
      </w:pPr>
      <w:r>
        <w:rPr>
          <w:rFonts w:ascii="Times New Roman" w:hAnsi="Times New Roman"/>
          <w:color w:val="000000"/>
          <w:sz w:val="20"/>
          <w:shd w:fill="FFFFFF" w:val="clear"/>
        </w:rPr>
        <w:t>It is proposed that this filing will become effective (check appropriate box):</w:t>
      </w:r>
    </w:p>
    <w:p>
      <w:pPr>
        <w:pStyle w:val="Normal"/>
        <w:bidi w:val="0"/>
        <w:spacing w:before="0" w:after="0"/>
        <w:jc w:val="left"/>
        <w:rPr>
          <w:sz w:val="4"/>
          <w:szCs w:val="4"/>
        </w:rPr>
      </w:pPr>
      <w:r>
        <w:rPr>
          <w:sz w:val="4"/>
          <w:szCs w:val="4"/>
        </w:rPr>
      </w:r>
      <w:bookmarkStart w:id="14" w:name="zc229fc6a99c944f29a6a088e751cb8c3"/>
      <w:bookmarkStart w:id="15" w:name="zc229fc6a99c944f29a6a088e751cb8c3"/>
      <w:bookmarkEnd w:id="15"/>
    </w:p>
    <w:tbl>
      <w:tblPr>
        <w:tblW w:w="4885" w:type="dxa"/>
        <w:jc w:val="left"/>
        <w:tblInd w:w="0" w:type="dxa"/>
        <w:tblLayout w:type="fixed"/>
        <w:tblCellMar>
          <w:top w:w="0" w:type="dxa"/>
          <w:left w:w="0" w:type="dxa"/>
          <w:bottom w:w="0" w:type="dxa"/>
          <w:right w:w="0" w:type="dxa"/>
        </w:tblCellMar>
      </w:tblPr>
      <w:tblGrid>
        <w:gridCol w:w="275"/>
        <w:gridCol w:w="4610"/>
      </w:tblGrid>
      <w:tr>
        <w:trPr/>
        <w:tc>
          <w:tcPr>
            <w:tcW w:w="275" w:type="dxa"/>
            <w:tcBorders/>
            <w:vAlign w:val="center"/>
          </w:tcPr>
          <w:p>
            <w:pPr>
              <w:pStyle w:val="TableContents"/>
              <w:bidi w:val="0"/>
              <w:spacing w:before="0" w:after="283"/>
              <w:jc w:val="left"/>
              <w:rPr>
                <w:color w:val="000000"/>
              </w:rPr>
            </w:pPr>
            <w:r>
              <w:rPr>
                <w:color w:val="000000"/>
              </w:rPr>
              <w:t>☐</w:t>
            </w:r>
          </w:p>
        </w:tc>
        <w:tc>
          <w:tcPr>
            <w:tcW w:w="4610" w:type="dxa"/>
            <w:tcBorders/>
            <w:vAlign w:val="center"/>
          </w:tcPr>
          <w:p>
            <w:pPr>
              <w:pStyle w:val="TableContents"/>
              <w:bidi w:val="0"/>
              <w:spacing w:before="0" w:after="0"/>
              <w:jc w:val="left"/>
              <w:rPr>
                <w:color w:val="000000"/>
              </w:rPr>
            </w:pPr>
            <w:r>
              <w:rPr>
                <w:color w:val="000000"/>
              </w:rPr>
              <w:t>when declared effective pursuant to section 8(c)</w:t>
            </w:r>
          </w:p>
        </w:tc>
      </w:tr>
    </w:tbl>
    <w:p>
      <w:pPr>
        <w:pStyle w:val="TextBody"/>
        <w:bidi w:val="0"/>
        <w:spacing w:before="0" w:after="0"/>
        <w:ind w:left="720" w:right="0" w:hanging="720"/>
        <w:jc w:val="left"/>
        <w:rPr>
          <w:rFonts w:ascii="Times New Roman" w:hAnsi="Times New Roman"/>
          <w:color w:val="000000"/>
          <w:sz w:val="20"/>
          <w:shd w:fill="FFFFFF" w:val="clear"/>
        </w:rPr>
      </w:pPr>
      <w:r>
        <w:rPr>
          <w:rFonts w:ascii="Times New Roman" w:hAnsi="Times New Roman"/>
          <w:color w:val="000000"/>
          <w:sz w:val="20"/>
          <w:shd w:fill="FFFFFF" w:val="clear"/>
        </w:rPr>
        <w:t>If appropriate, check the following box:</w:t>
      </w:r>
    </w:p>
    <w:p>
      <w:pPr>
        <w:pStyle w:val="Normal"/>
        <w:bidi w:val="0"/>
        <w:spacing w:before="0" w:after="0"/>
        <w:jc w:val="left"/>
        <w:rPr>
          <w:sz w:val="4"/>
          <w:szCs w:val="4"/>
        </w:rPr>
      </w:pPr>
      <w:r>
        <w:rPr>
          <w:sz w:val="4"/>
          <w:szCs w:val="4"/>
        </w:rPr>
      </w:r>
      <w:bookmarkStart w:id="16" w:name="z0a2fb034e2164d29a608dca03373cdb2"/>
      <w:bookmarkStart w:id="17" w:name="z0a2fb034e2164d29a608dca03373cdb2"/>
      <w:bookmarkEnd w:id="1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This [post-effective] amendment designates a new effective date for a previously filed [post-effective amendment] [registration statement].</w:t>
            </w:r>
          </w:p>
        </w:tc>
      </w:tr>
    </w:tbl>
    <w:p>
      <w:pPr>
        <w:pStyle w:val="Normal"/>
        <w:bidi w:val="0"/>
        <w:spacing w:before="0" w:after="0"/>
        <w:jc w:val="left"/>
        <w:rPr>
          <w:sz w:val="4"/>
          <w:szCs w:val="4"/>
        </w:rPr>
      </w:pPr>
      <w:r>
        <w:rPr>
          <w:sz w:val="4"/>
          <w:szCs w:val="4"/>
        </w:rPr>
      </w:r>
      <w:bookmarkStart w:id="18" w:name="z7daf95ac470f424da306a454cb36ff2f"/>
      <w:bookmarkStart w:id="19" w:name="z7daf95ac470f424da306a454cb36ff2f"/>
      <w:bookmarkEnd w:id="1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This Form is filed to register additional securities for an offering pursuant to Rule 462(b) under the Securities Act, and the Securities Act registration statement number of the earlier effective registration statement for the same offering is:</w:t>
            </w:r>
          </w:p>
        </w:tc>
      </w:tr>
    </w:tbl>
    <w:p>
      <w:pPr>
        <w:pStyle w:val="Normal"/>
        <w:bidi w:val="0"/>
        <w:spacing w:before="0" w:after="0"/>
        <w:jc w:val="left"/>
        <w:rPr>
          <w:sz w:val="4"/>
          <w:szCs w:val="4"/>
        </w:rPr>
      </w:pPr>
      <w:r>
        <w:rPr>
          <w:sz w:val="4"/>
          <w:szCs w:val="4"/>
        </w:rPr>
      </w:r>
      <w:bookmarkStart w:id="20" w:name="z7fcf0d4037ef48d4a3e03ed7cf29f982"/>
      <w:bookmarkStart w:id="21" w:name="z7fcf0d4037ef48d4a3e03ed7cf29f982"/>
      <w:bookmarkEnd w:id="21"/>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This Form is a post-effective amendment filed pursuant to Rule 462(c) under the Securities Act, and the Securities Act registration statement number of the earlier effective registration statement for the same offering is:</w:t>
            </w:r>
          </w:p>
        </w:tc>
      </w:tr>
    </w:tbl>
    <w:p>
      <w:pPr>
        <w:pStyle w:val="Normal"/>
        <w:bidi w:val="0"/>
        <w:spacing w:before="0" w:after="0"/>
        <w:jc w:val="left"/>
        <w:rPr>
          <w:sz w:val="4"/>
          <w:szCs w:val="4"/>
        </w:rPr>
      </w:pPr>
      <w:r>
        <w:rPr>
          <w:sz w:val="4"/>
          <w:szCs w:val="4"/>
        </w:rPr>
      </w:r>
      <w:bookmarkStart w:id="22" w:name="z559351b6e13546a9a0ec3bfba84410b6"/>
      <w:bookmarkStart w:id="23" w:name="z559351b6e13546a9a0ec3bfba84410b6"/>
      <w:bookmarkEnd w:id="23"/>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This Form is a post-effective amendment filed pursuant to Rule 462(d) under the Securities Act, and the Securities Act registration statement number of the earlier effective registration statement for the same offering is:</w:t>
            </w:r>
          </w:p>
        </w:tc>
      </w:tr>
    </w:tbl>
    <w:p>
      <w:pPr>
        <w:pStyle w:val="TextBody"/>
        <w:bidi w:val="0"/>
        <w:spacing w:before="0" w:after="0"/>
        <w:ind w:left="720" w:right="0" w:hanging="720"/>
        <w:jc w:val="left"/>
        <w:rPr>
          <w:rFonts w:ascii="Times New Roman" w:hAnsi="Times New Roman"/>
          <w:color w:val="000000"/>
          <w:sz w:val="20"/>
          <w:shd w:fill="FFFFFF" w:val="clear"/>
        </w:rPr>
      </w:pPr>
      <w:r>
        <w:rPr>
          <w:rFonts w:ascii="Times New Roman" w:hAnsi="Times New Roman"/>
          <w:color w:val="000000"/>
          <w:sz w:val="20"/>
          <w:shd w:fill="FFFFFF" w:val="clear"/>
        </w:rPr>
        <w:t>Check each box that properly characterizes the Registrant:</w:t>
      </w:r>
    </w:p>
    <w:p>
      <w:pPr>
        <w:pStyle w:val="Normal"/>
        <w:bidi w:val="0"/>
        <w:spacing w:before="0" w:after="0"/>
        <w:jc w:val="left"/>
        <w:rPr>
          <w:sz w:val="4"/>
          <w:szCs w:val="4"/>
        </w:rPr>
      </w:pPr>
      <w:r>
        <w:rPr>
          <w:sz w:val="4"/>
          <w:szCs w:val="4"/>
        </w:rPr>
      </w:r>
      <w:bookmarkStart w:id="24" w:name="z5d40f546a3f844739599de0f6c262712"/>
      <w:bookmarkStart w:id="25" w:name="z5d40f546a3f844739599de0f6c262712"/>
      <w:bookmarkEnd w:id="2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Registered Closed-End Fund (closed-end company that is registered under the Investment Company Act of 1940 (“Investment Company Act”)).</w:t>
            </w:r>
          </w:p>
        </w:tc>
      </w:tr>
    </w:tbl>
    <w:p>
      <w:pPr>
        <w:pStyle w:val="Normal"/>
        <w:bidi w:val="0"/>
        <w:spacing w:before="0" w:after="0"/>
        <w:jc w:val="left"/>
        <w:rPr>
          <w:sz w:val="4"/>
          <w:szCs w:val="4"/>
        </w:rPr>
      </w:pPr>
      <w:r>
        <w:rPr>
          <w:sz w:val="4"/>
          <w:szCs w:val="4"/>
        </w:rPr>
      </w:r>
      <w:bookmarkStart w:id="26" w:name="z9657cd3bc9c040619392b17c30b12f34"/>
      <w:bookmarkStart w:id="27" w:name="z9657cd3bc9c040619392b17c30b12f34"/>
      <w:bookmarkEnd w:id="2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Business Development Company (closed-end company that intends or has elected to be regulated as a business development company under the Investment Company Act).</w:t>
            </w:r>
          </w:p>
        </w:tc>
      </w:tr>
    </w:tbl>
    <w:p>
      <w:pPr>
        <w:pStyle w:val="Normal"/>
        <w:bidi w:val="0"/>
        <w:spacing w:before="0" w:after="0"/>
        <w:jc w:val="left"/>
        <w:rPr>
          <w:sz w:val="4"/>
          <w:szCs w:val="4"/>
        </w:rPr>
      </w:pPr>
      <w:r>
        <w:rPr>
          <w:sz w:val="4"/>
          <w:szCs w:val="4"/>
        </w:rPr>
      </w:r>
      <w:bookmarkStart w:id="28" w:name="z285b3b35a71e4a169cf11b82f79b1bd6"/>
      <w:bookmarkStart w:id="29" w:name="z285b3b35a71e4a169cf11b82f79b1bd6"/>
      <w:bookmarkEnd w:id="2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Interval Fund (Registered Closed-End Fund or a Business Development Company that makes periodic repurchase offers under Rule 23c-3 under the Investment Company Act).</w:t>
            </w:r>
          </w:p>
        </w:tc>
      </w:tr>
    </w:tbl>
    <w:p>
      <w:pPr>
        <w:pStyle w:val="Normal"/>
        <w:bidi w:val="0"/>
        <w:spacing w:before="0" w:after="0"/>
        <w:jc w:val="left"/>
        <w:rPr>
          <w:sz w:val="4"/>
          <w:szCs w:val="4"/>
        </w:rPr>
      </w:pPr>
      <w:r>
        <w:rPr>
          <w:sz w:val="4"/>
          <w:szCs w:val="4"/>
        </w:rPr>
      </w:r>
      <w:bookmarkStart w:id="30" w:name="z376419d805b54a6eaae63c0e901620fe"/>
      <w:bookmarkStart w:id="31" w:name="z376419d805b54a6eaae63c0e901620fe"/>
      <w:bookmarkEnd w:id="31"/>
    </w:p>
    <w:tbl>
      <w:tblPr>
        <w:tblW w:w="9310" w:type="dxa"/>
        <w:jc w:val="left"/>
        <w:tblInd w:w="0" w:type="dxa"/>
        <w:tblLayout w:type="fixed"/>
        <w:tblCellMar>
          <w:top w:w="0" w:type="dxa"/>
          <w:left w:w="0" w:type="dxa"/>
          <w:bottom w:w="0" w:type="dxa"/>
          <w:right w:w="0" w:type="dxa"/>
        </w:tblCellMar>
      </w:tblPr>
      <w:tblGrid>
        <w:gridCol w:w="275"/>
        <w:gridCol w:w="9035"/>
      </w:tblGrid>
      <w:tr>
        <w:trPr/>
        <w:tc>
          <w:tcPr>
            <w:tcW w:w="275" w:type="dxa"/>
            <w:tcBorders/>
            <w:vAlign w:val="center"/>
          </w:tcPr>
          <w:p>
            <w:pPr>
              <w:pStyle w:val="TableContents"/>
              <w:bidi w:val="0"/>
              <w:spacing w:before="0" w:after="283"/>
              <w:jc w:val="left"/>
              <w:rPr>
                <w:color w:val="000000"/>
              </w:rPr>
            </w:pPr>
            <w:r>
              <w:rPr>
                <w:color w:val="000000"/>
              </w:rPr>
              <w:t>☒</w:t>
            </w:r>
          </w:p>
        </w:tc>
        <w:tc>
          <w:tcPr>
            <w:tcW w:w="9035" w:type="dxa"/>
            <w:tcBorders/>
            <w:vAlign w:val="center"/>
          </w:tcPr>
          <w:p>
            <w:pPr>
              <w:pStyle w:val="TableContents"/>
              <w:bidi w:val="0"/>
              <w:spacing w:before="0" w:after="0"/>
              <w:jc w:val="left"/>
              <w:rPr>
                <w:color w:val="000000"/>
              </w:rPr>
            </w:pPr>
            <w:r>
              <w:rPr>
                <w:color w:val="000000"/>
              </w:rPr>
              <w:t>A.2 Qualified (qualified to register securities pursuant to General Instruction A.2 of this Form).</w:t>
            </w:r>
          </w:p>
        </w:tc>
      </w:tr>
    </w:tbl>
    <w:p>
      <w:pPr>
        <w:pStyle w:val="Normal"/>
        <w:bidi w:val="0"/>
        <w:spacing w:before="0" w:after="0"/>
        <w:jc w:val="left"/>
        <w:rPr>
          <w:sz w:val="4"/>
          <w:szCs w:val="4"/>
        </w:rPr>
      </w:pPr>
      <w:r>
        <w:rPr>
          <w:sz w:val="4"/>
          <w:szCs w:val="4"/>
        </w:rPr>
      </w:r>
      <w:bookmarkStart w:id="32" w:name="zbb15c9d8769948399d0af8dd07b02308"/>
      <w:bookmarkStart w:id="33" w:name="zbb15c9d8769948399d0af8dd07b02308"/>
      <w:bookmarkEnd w:id="33"/>
    </w:p>
    <w:tbl>
      <w:tblPr>
        <w:tblW w:w="7975" w:type="dxa"/>
        <w:jc w:val="left"/>
        <w:tblInd w:w="0" w:type="dxa"/>
        <w:tblLayout w:type="fixed"/>
        <w:tblCellMar>
          <w:top w:w="0" w:type="dxa"/>
          <w:left w:w="0" w:type="dxa"/>
          <w:bottom w:w="0" w:type="dxa"/>
          <w:right w:w="0" w:type="dxa"/>
        </w:tblCellMar>
      </w:tblPr>
      <w:tblGrid>
        <w:gridCol w:w="275"/>
        <w:gridCol w:w="7700"/>
      </w:tblGrid>
      <w:tr>
        <w:trPr/>
        <w:tc>
          <w:tcPr>
            <w:tcW w:w="275" w:type="dxa"/>
            <w:tcBorders/>
            <w:vAlign w:val="center"/>
          </w:tcPr>
          <w:p>
            <w:pPr>
              <w:pStyle w:val="TableContents"/>
              <w:bidi w:val="0"/>
              <w:spacing w:before="0" w:after="283"/>
              <w:jc w:val="left"/>
              <w:rPr>
                <w:color w:val="000000"/>
              </w:rPr>
            </w:pPr>
            <w:r>
              <w:rPr>
                <w:color w:val="000000"/>
              </w:rPr>
              <w:t>☐</w:t>
            </w:r>
          </w:p>
        </w:tc>
        <w:tc>
          <w:tcPr>
            <w:tcW w:w="7700" w:type="dxa"/>
            <w:tcBorders/>
            <w:vAlign w:val="center"/>
          </w:tcPr>
          <w:p>
            <w:pPr>
              <w:pStyle w:val="TableContents"/>
              <w:bidi w:val="0"/>
              <w:spacing w:before="0" w:after="0"/>
              <w:jc w:val="left"/>
              <w:rPr>
                <w:color w:val="000000"/>
              </w:rPr>
            </w:pPr>
            <w:r>
              <w:rPr>
                <w:color w:val="000000"/>
              </w:rPr>
              <w:t>Well-Known Seasoned Issuer (as defined by Rule 405 under the Securities Act).</w:t>
            </w:r>
          </w:p>
        </w:tc>
      </w:tr>
    </w:tbl>
    <w:p>
      <w:pPr>
        <w:pStyle w:val="Normal"/>
        <w:bidi w:val="0"/>
        <w:spacing w:before="0" w:after="0"/>
        <w:jc w:val="left"/>
        <w:rPr>
          <w:sz w:val="4"/>
          <w:szCs w:val="4"/>
        </w:rPr>
      </w:pPr>
      <w:r>
        <w:rPr>
          <w:sz w:val="4"/>
          <w:szCs w:val="4"/>
        </w:rPr>
      </w:r>
      <w:bookmarkStart w:id="34" w:name="z5e5c9135387245c4b6c16f8aef36d14b"/>
      <w:bookmarkStart w:id="35" w:name="z5e5c9135387245c4b6c16f8aef36d14b"/>
      <w:bookmarkEnd w:id="3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Emerging Growth Company (as defined by Rule 12b-2 under the Securities Exchange Act of 1934 (“Exchange Act”).</w:t>
            </w:r>
          </w:p>
        </w:tc>
      </w:tr>
    </w:tbl>
    <w:p>
      <w:pPr>
        <w:pStyle w:val="Normal"/>
        <w:bidi w:val="0"/>
        <w:spacing w:before="0" w:after="0"/>
        <w:jc w:val="left"/>
        <w:rPr>
          <w:sz w:val="4"/>
          <w:szCs w:val="4"/>
        </w:rPr>
      </w:pPr>
      <w:r>
        <w:rPr>
          <w:sz w:val="4"/>
          <w:szCs w:val="4"/>
        </w:rPr>
      </w:r>
      <w:bookmarkStart w:id="36" w:name="z169ea334491a4a739126ac986c3471a1"/>
      <w:bookmarkStart w:id="37" w:name="z169ea334491a4a739126ac986c3471a1"/>
      <w:bookmarkEnd w:id="3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If an Emerging Growth Company, indicate by check mark if the Registrant has elected not to use the extended transition period for complying with any new or revised financial accounting standards provided pursuant to Section 7(a)(2)(B) of Securities Act.</w:t>
            </w:r>
          </w:p>
        </w:tc>
      </w:tr>
    </w:tbl>
    <w:p>
      <w:pPr>
        <w:pStyle w:val="Normal"/>
        <w:bidi w:val="0"/>
        <w:spacing w:before="0" w:after="0"/>
        <w:jc w:val="left"/>
        <w:rPr>
          <w:sz w:val="4"/>
          <w:szCs w:val="4"/>
        </w:rPr>
      </w:pPr>
      <w:r>
        <w:rPr>
          <w:sz w:val="4"/>
          <w:szCs w:val="4"/>
        </w:rPr>
      </w:r>
      <w:bookmarkStart w:id="38" w:name="z869b5b30fcba4b37ba9217ee2d4f826e"/>
      <w:bookmarkStart w:id="39" w:name="z869b5b30fcba4b37ba9217ee2d4f826e"/>
      <w:bookmarkEnd w:id="3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000000"/>
              </w:rPr>
            </w:pPr>
            <w:r>
              <w:rPr>
                <w:color w:val="000000"/>
              </w:rPr>
              <w:t>☐</w:t>
            </w:r>
          </w:p>
        </w:tc>
        <w:tc>
          <w:tcPr>
            <w:tcW w:w="9930" w:type="dxa"/>
            <w:tcBorders/>
            <w:vAlign w:val="center"/>
          </w:tcPr>
          <w:p>
            <w:pPr>
              <w:pStyle w:val="TableContents"/>
              <w:bidi w:val="0"/>
              <w:spacing w:before="0" w:after="0"/>
              <w:jc w:val="left"/>
              <w:rPr>
                <w:color w:val="000000"/>
              </w:rPr>
            </w:pPr>
            <w:r>
              <w:rPr>
                <w:color w:val="000000"/>
              </w:rPr>
              <w:t>New Registrant (registered or regulated under the Investment Company Act for less than 12 calendar months preceding this filing).</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b/>
          <w:color w:val="000000"/>
          <w:sz w:val="20"/>
          <w:shd w:fill="FFFFFF" w:val="clear"/>
        </w:rPr>
      </w:pPr>
      <w:r>
        <w:rPr>
          <w:rFonts w:ascii="Times New Roman" w:hAnsi="Times New Roman"/>
          <w:b/>
          <w:color w:val="000000"/>
          <w:sz w:val="20"/>
          <w:shd w:fill="FFFFFF" w:val="clear"/>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b/>
          <w:color w:val="FF0000"/>
          <w:sz w:val="20"/>
          <w:shd w:fill="FFFFFF" w:val="clear"/>
        </w:rPr>
      </w:pPr>
      <w:r>
        <w:rPr>
          <w:rFonts w:ascii="Times New Roman" w:hAnsi="Times New Roman"/>
          <w:b/>
          <w:color w:val="FF0000"/>
          <w:sz w:val="20"/>
          <w:shd w:fill="FFFFFF" w:val="clear"/>
        </w:rPr>
        <w:t>The information in this prospectus is not complete and may be changed. The selling securityholders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0" w:after="0"/>
        <w:jc w:val="left"/>
        <w:rPr/>
      </w:pPr>
      <w:r>
        <w:rPr/>
      </w:r>
    </w:p>
    <w:p>
      <w:pPr>
        <w:pStyle w:val="TextBody"/>
        <w:bidi w:val="0"/>
        <w:spacing w:before="0" w:after="0"/>
        <w:jc w:val="center"/>
        <w:rPr>
          <w:rFonts w:ascii="Times New Roman" w:hAnsi="Times New Roman"/>
          <w:b/>
          <w:color w:val="FF0000"/>
          <w:sz w:val="20"/>
          <w:shd w:fill="FFFFFF" w:val="clear"/>
        </w:rPr>
      </w:pPr>
      <w:r>
        <w:rPr>
          <w:rFonts w:ascii="Times New Roman" w:hAnsi="Times New Roman"/>
          <w:b/>
          <w:color w:val="FF0000"/>
          <w:sz w:val="20"/>
          <w:shd w:fill="FFFFFF" w:val="clear"/>
        </w:rPr>
        <w:t>SUBJECT TO COMPLETION, DATED May 11, 2026</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PRELIMINARY 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Chicago Atlantic BDC,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$500,000,000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Common Stock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Preferred stock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Subscription Rights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Warrants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Debt Securities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Units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capital and technology companies, esoteric and asset-based lending opportunities, and liquidity solutions opportunities as described further in “</w:t>
      </w:r>
      <w:r>
        <w:rPr>
          <w:rFonts w:ascii="Times New Roman" w:hAnsi="Times New Roman"/>
          <w:i/>
          <w:color w:val="000000"/>
          <w:sz w:val="20"/>
          <w:shd w:fill="FFFFFF" w:val="clear"/>
        </w:rPr>
        <w:t>Prospectus Summary</w:t>
      </w:r>
      <w:r>
        <w:rPr>
          <w:rFonts w:ascii="Times New Roman" w:hAnsi="Times New Roman"/>
          <w:color w:val="000000"/>
          <w:sz w:val="20"/>
          <w:shd w:fill="FFFFFF" w:val="clear"/>
        </w:rPr>
        <w:t>” in this prospectus.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Part I, Item 1A “</w:t>
      </w:r>
      <w:r>
        <w:rPr>
          <w:rFonts w:ascii="Times New Roman" w:hAnsi="Times New Roman"/>
          <w:i/>
          <w:color w:val="000000"/>
          <w:sz w:val="20"/>
          <w:shd w:fill="FFFFFF" w:val="clear"/>
        </w:rPr>
        <w:t>RISK FACTORS - Risks Relating to Our Investments - Certain assets of our borrowers may not be used as collateral or transferred to us due to applicable state laws and regulations governing the cannabis industry, and such restrictions could negatively impact our profitability</w:t>
      </w:r>
      <w:r>
        <w:rPr>
          <w:rFonts w:ascii="Times New Roman" w:hAnsi="Times New Roman"/>
          <w:color w:val="000000"/>
          <w:sz w:val="20"/>
          <w:shd w:fill="FFFFFF" w:val="clear"/>
        </w:rPr>
        <w:t>” in our most recent Annual Report on Form 10-K.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an externally managed, closed-end, non-diversified management investment company that has elected to be regulated as a business development company (“BDC”) under the Investment Company Act of 1940, as amended (the “1940 Act”). We have elected to be treated, and intend to qualify annually to be treated, as a regulated investment company (“RIC”) under the Internal Revenue Code of 1986, as amended (the “Code”) for U.S. federal income tax purposes. As a BDC and a RIC, we are required to comply with certain regulatory requirements. See Part I, Item 1 “</w:t>
      </w:r>
      <w:r>
        <w:rPr>
          <w:rFonts w:ascii="Times New Roman" w:hAnsi="Times New Roman"/>
          <w:i/>
          <w:color w:val="000000"/>
          <w:sz w:val="20"/>
          <w:shd w:fill="FFFFFF" w:val="clear"/>
        </w:rPr>
        <w:t>BUSINESS – Business Development Company Regulations</w:t>
      </w:r>
      <w:r>
        <w:rPr>
          <w:rFonts w:ascii="Times New Roman" w:hAnsi="Times New Roman"/>
          <w:color w:val="000000"/>
          <w:sz w:val="20"/>
          <w:shd w:fill="FFFFFF" w:val="clear"/>
        </w:rPr>
        <w:t>” in our most recent Annual Report on Form 10-K, and “</w:t>
      </w:r>
      <w:r>
        <w:rPr>
          <w:rFonts w:ascii="Times New Roman" w:hAnsi="Times New Roman"/>
          <w:i/>
          <w:color w:val="000000"/>
          <w:sz w:val="20"/>
          <w:shd w:fill="FFFFFF" w:val="clear"/>
        </w:rPr>
        <w:t>Certain U.S. Federal Income Tax Considerations</w:t>
      </w:r>
      <w:r>
        <w:rPr>
          <w:rFonts w:ascii="Times New Roman" w:hAnsi="Times New Roman"/>
          <w:color w:val="000000"/>
          <w:sz w:val="20"/>
          <w:shd w:fill="FFFFFF" w:val="clear"/>
        </w:rPr>
        <w:t xml:space="preserve">” in this prospectus.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an “emerging growth company,” as defined in Jumpstart Our Business Startups Act of 2012 (the “JOBS Act”), and intend to take advantage of certain exemptions for emerging growth companies allowing us to temporarily forego the auditor attestation requirements of Section 404(b) of the Sarbanes-Oxley Act of 2002.</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advised by Chicago Atlantic BDC Advisers, LLC (the “Adviser”) pursuant to an investment advisory agreement.  The Adviser is registered as an investment adviser with the U.S. Securities and Exchange Commission (the “SEC”). The Adviser is an affiliate of Chicago Atlantic Group, LP (together with its affiliates, “Chicago Atlantic”) and part of Chicago Atlantic’s credit platform, which focuses on direct lending.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or units comprised of any combination of the foregoing,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The aggregate offering price of the securities we sell pursuant to this prospectus will not exceed $500,000,000.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shareholders, (ii) with the prior approval of the majority of our outstanding voting securities or (iii) under such other circumstances as the SEC may permit.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color w:val="000000"/>
          <w:sz w:val="20"/>
          <w:shd w:fill="FFFFFF" w:val="clear"/>
        </w:rPr>
        <w:t>Plan of Distribution</w:t>
      </w:r>
      <w:r>
        <w:rPr>
          <w:rFonts w:ascii="Times New Roman" w:hAnsi="Times New Roman"/>
          <w:color w:val="000000"/>
          <w:sz w:val="20"/>
          <w:shd w:fill="FFFFFF" w:val="clear"/>
        </w:rPr>
        <w:t>” in this prospectus. We may not sell any of the securities pursuant to this registration statement through agents, underwriters or dealers without delivery of this prospectus and a prospectus supplement describing the method and terms of the offering of such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On February 4, 2022, our common stock began trading on the Nasdaq Global Market (“NASDAQ”). Since October 2, 2024, our common stock trades on NASDAQ under the symbol “LIEN.” On May 7, 2026, the last reported sales price of our common stock on NASDAQ was $9.34 per share. The net asset value per share of our common stock at December 31, 2025 (the last date prior to the date of this prospectus for which we reported net asset value) was $13.30.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b/>
          <w:color w:val="000000"/>
          <w:sz w:val="20"/>
          <w:shd w:fill="FFFFFF" w:val="clear"/>
        </w:rPr>
        <w:t>Investing in our securities involves a high degree of risk, including credit risk and the risk of the use of leverage, and is highly speculative. In addition, shares of closed-end investment companies, including BDCs, frequently trade at a discount to their net asset values. Before investing in our securities, you should read the discussion of the material risks of investing in our securities, including the risk of leverage, in “</w:t>
      </w:r>
      <w:r>
        <w:rPr>
          <w:rFonts w:ascii="Times New Roman" w:hAnsi="Times New Roman"/>
          <w:b/>
          <w:i/>
          <w:color w:val="000000"/>
          <w:sz w:val="20"/>
          <w:shd w:fill="FFFFFF" w:val="clear"/>
        </w:rPr>
        <w:t>Risk Factors</w:t>
      </w:r>
      <w:r>
        <w:rPr>
          <w:rFonts w:ascii="Times New Roman" w:hAnsi="Times New Roman"/>
          <w:color w:val="000000"/>
          <w:sz w:val="20"/>
          <w:shd w:fill="FFFFFF" w:val="clear"/>
        </w:rPr>
        <w:t xml:space="preserve">” </w:t>
      </w:r>
      <w:r>
        <w:rPr>
          <w:rFonts w:ascii="Times New Roman" w:hAnsi="Times New Roman"/>
          <w:b/>
          <w:color w:val="000000"/>
          <w:sz w:val="20"/>
          <w:shd w:fill="FFFFFF" w:val="clear"/>
        </w:rPr>
        <w:t>beginning on page 18 of this prospectus, Part I, Item 1A “</w:t>
      </w:r>
      <w:r>
        <w:rPr>
          <w:rFonts w:ascii="Times New Roman" w:hAnsi="Times New Roman"/>
          <w:b/>
          <w:i/>
          <w:color w:val="000000"/>
          <w:sz w:val="20"/>
          <w:shd w:fill="FFFFFF" w:val="clear"/>
        </w:rPr>
        <w:t>RISK FACTORS</w:t>
      </w:r>
      <w:r>
        <w:rPr>
          <w:rFonts w:ascii="Times New Roman" w:hAnsi="Times New Roman"/>
          <w:color w:val="000000"/>
          <w:sz w:val="20"/>
          <w:shd w:fill="FFFFFF" w:val="clear"/>
        </w:rPr>
        <w:t xml:space="preserve">” </w:t>
      </w:r>
      <w:r>
        <w:rPr>
          <w:rFonts w:ascii="Times New Roman" w:hAnsi="Times New Roman"/>
          <w:b/>
          <w:color w:val="000000"/>
          <w:sz w:val="20"/>
          <w:shd w:fill="FFFFFF" w:val="clear"/>
        </w:rPr>
        <w:t xml:space="preserve">in our most recent Annual Report on Form 10-K, as well as in any of our subsequent SEC filings,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bidi w:val="0"/>
        <w:spacing w:before="200" w:after="20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This prospectus contains important information you should know before investing in our securities. Please read this prospectus before investing and keep it for future reference. We also file periodic and current reports, proxy statements and other information about us with the SEC. This information is available free of charge by contacting us at 600 Madison Avenue, Suite 1800, New York, NY 10022, calling us at (312) 625-9295 or visiting our corporate website located at </w:t>
      </w:r>
      <w:r>
        <w:rPr>
          <w:rFonts w:ascii="Times New Roman" w:hAnsi="Times New Roman"/>
          <w:i/>
          <w:color w:val="000000"/>
          <w:sz w:val="20"/>
          <w:shd w:fill="FFFFFF" w:val="clear"/>
        </w:rPr>
        <w:t>lien.chicagoatlantic.com.</w:t>
      </w:r>
      <w:r>
        <w:rPr>
          <w:rFonts w:ascii="Times New Roman" w:hAnsi="Times New Roman"/>
          <w:color w:val="000000"/>
          <w:sz w:val="20"/>
          <w:shd w:fill="FFFFFF" w:val="clear"/>
        </w:rPr>
        <w:t xml:space="preserve"> Information on our website is not incorporated into or a part of this prospectus. The SEC also maintains a website at </w:t>
      </w:r>
      <w:r>
        <w:rPr>
          <w:rFonts w:ascii="Times New Roman" w:hAnsi="Times New Roman"/>
          <w:i/>
          <w:color w:val="000000"/>
          <w:sz w:val="20"/>
          <w:shd w:fill="FFFFFF" w:val="clear"/>
        </w:rPr>
        <w:t>www.sec.gov</w:t>
      </w:r>
      <w:r>
        <w:rPr>
          <w:rFonts w:ascii="Times New Roman" w:hAnsi="Times New Roman"/>
          <w:color w:val="000000"/>
          <w:sz w:val="20"/>
          <w:shd w:fill="FFFFFF" w:val="clear"/>
        </w:rPr>
        <w:t xml:space="preserve"> that contains this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b/>
          <w:color w:val="000000"/>
          <w:sz w:val="20"/>
          <w:shd w:fill="FFFFFF" w:val="clear"/>
        </w:rPr>
      </w:pPr>
      <w:r>
        <w:rPr>
          <w:rFonts w:ascii="Times New Roman" w:hAnsi="Times New Roman"/>
          <w:b/>
          <w:color w:val="000000"/>
          <w:sz w:val="20"/>
          <w:shd w:fill="FFFFFF" w:val="clear"/>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date of this prospectus is , 2026.</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bookmarkStart w:id="40" w:name="TABLEOFCONTENTS"/>
      <w:bookmarkEnd w:id="40"/>
      <w:r>
        <w:rPr>
          <w:rFonts w:ascii="Times New Roman" w:hAnsi="Times New Roman"/>
          <w:b/>
          <w:color w:val="000000"/>
          <w:sz w:val="20"/>
          <w:shd w:fill="FFFFFF" w:val="clear"/>
        </w:rPr>
        <w:t>TABLE OF CONTENTS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 w:name="z5f848b650cce4f8990971394dbbb6fcd"/>
      <w:bookmarkStart w:id="42" w:name="z5f848b650cce4f8990971394dbbb6fcd"/>
      <w:bookmarkEnd w:id="42"/>
    </w:p>
    <w:tbl>
      <w:tblPr>
        <w:tblW w:w="10205" w:type="dxa"/>
        <w:jc w:val="left"/>
        <w:tblInd w:w="0" w:type="dxa"/>
        <w:tblLayout w:type="fixed"/>
        <w:tblCellMar>
          <w:top w:w="0" w:type="dxa"/>
          <w:left w:w="0" w:type="dxa"/>
          <w:bottom w:w="0" w:type="dxa"/>
          <w:right w:w="0" w:type="dxa"/>
        </w:tblCellMar>
      </w:tblPr>
      <w:tblGrid>
        <w:gridCol w:w="9885"/>
        <w:gridCol w:w="320"/>
      </w:tblGrid>
      <w:tr>
        <w:trPr/>
        <w:tc>
          <w:tcPr>
            <w:tcW w:w="9885" w:type="dxa"/>
            <w:tcBorders/>
            <w:shd w:fill="CCEEFF" w:val="clear"/>
            <w:vAlign w:val="center"/>
          </w:tcPr>
          <w:p>
            <w:pPr>
              <w:pStyle w:val="TableContents"/>
              <w:bidi w:val="0"/>
              <w:spacing w:before="0" w:after="0"/>
              <w:jc w:val="left"/>
              <w:rPr/>
            </w:pPr>
            <w:hyperlink w:anchor="PROSPECTUSSUMMARY">
              <w:r>
                <w:rPr>
                  <w:rStyle w:val="InternetLink"/>
                </w:rPr>
                <w:t>PROSPECTUS SUMMARY</w:t>
              </w:r>
            </w:hyperlink>
          </w:p>
        </w:tc>
        <w:tc>
          <w:tcPr>
            <w:tcW w:w="320" w:type="dxa"/>
            <w:tcBorders/>
            <w:shd w:fill="CCEEFF" w:val="clear"/>
            <w:vAlign w:val="center"/>
          </w:tcPr>
          <w:p>
            <w:pPr>
              <w:pStyle w:val="TableContents"/>
              <w:bidi w:val="0"/>
              <w:spacing w:before="0" w:after="0"/>
              <w:jc w:val="right"/>
              <w:rPr/>
            </w:pPr>
            <w:r>
              <w:rPr/>
              <w:t>1</w:t>
            </w:r>
          </w:p>
        </w:tc>
      </w:tr>
      <w:tr>
        <w:trPr/>
        <w:tc>
          <w:tcPr>
            <w:tcW w:w="9885" w:type="dxa"/>
            <w:tcBorders/>
            <w:vAlign w:val="center"/>
          </w:tcPr>
          <w:p>
            <w:pPr>
              <w:pStyle w:val="TableContents"/>
              <w:bidi w:val="0"/>
              <w:spacing w:before="0" w:after="0"/>
              <w:jc w:val="left"/>
              <w:rPr/>
            </w:pPr>
            <w:hyperlink w:anchor="FEESANDEXPENSES">
              <w:r>
                <w:rPr>
                  <w:rStyle w:val="InternetLink"/>
                </w:rPr>
                <w:t>FEES AND EXPENSES</w:t>
              </w:r>
            </w:hyperlink>
          </w:p>
        </w:tc>
        <w:tc>
          <w:tcPr>
            <w:tcW w:w="320" w:type="dxa"/>
            <w:tcBorders/>
            <w:vAlign w:val="center"/>
          </w:tcPr>
          <w:p>
            <w:pPr>
              <w:pStyle w:val="TableContents"/>
              <w:bidi w:val="0"/>
              <w:spacing w:before="0" w:after="283"/>
              <w:jc w:val="right"/>
              <w:rPr/>
            </w:pPr>
            <w:r>
              <w:rPr/>
              <w:t>15</w:t>
            </w:r>
          </w:p>
        </w:tc>
      </w:tr>
      <w:tr>
        <w:trPr/>
        <w:tc>
          <w:tcPr>
            <w:tcW w:w="9885" w:type="dxa"/>
            <w:tcBorders/>
            <w:shd w:fill="CCEEFF" w:val="clear"/>
            <w:vAlign w:val="center"/>
          </w:tcPr>
          <w:p>
            <w:pPr>
              <w:pStyle w:val="TableContents"/>
              <w:bidi w:val="0"/>
              <w:spacing w:before="0" w:after="0"/>
              <w:jc w:val="left"/>
              <w:rPr/>
            </w:pPr>
            <w:hyperlink w:anchor="FINANCIALHIGHLIGHTS">
              <w:r>
                <w:rPr>
                  <w:rStyle w:val="InternetLink"/>
                </w:rPr>
                <w:t>FINANCIAL HIGHLIGHTS</w:t>
              </w:r>
            </w:hyperlink>
          </w:p>
        </w:tc>
        <w:tc>
          <w:tcPr>
            <w:tcW w:w="320" w:type="dxa"/>
            <w:tcBorders/>
            <w:shd w:fill="CCEEFF" w:val="clear"/>
            <w:vAlign w:val="center"/>
          </w:tcPr>
          <w:p>
            <w:pPr>
              <w:pStyle w:val="TableContents"/>
              <w:bidi w:val="0"/>
              <w:spacing w:before="0" w:after="283"/>
              <w:jc w:val="right"/>
              <w:rPr/>
            </w:pPr>
            <w:r>
              <w:rPr/>
              <w:t>17</w:t>
            </w:r>
          </w:p>
        </w:tc>
      </w:tr>
      <w:tr>
        <w:trPr/>
        <w:tc>
          <w:tcPr>
            <w:tcW w:w="9885" w:type="dxa"/>
            <w:tcBorders/>
            <w:vAlign w:val="center"/>
          </w:tcPr>
          <w:p>
            <w:pPr>
              <w:pStyle w:val="TableContents"/>
              <w:bidi w:val="0"/>
              <w:spacing w:before="0" w:after="0"/>
              <w:jc w:val="left"/>
              <w:rPr/>
            </w:pPr>
            <w:hyperlink w:anchor="RISKFACTORS">
              <w:r>
                <w:rPr>
                  <w:rStyle w:val="InternetLink"/>
                </w:rPr>
                <w:t>RISK FACTORS</w:t>
              </w:r>
            </w:hyperlink>
          </w:p>
        </w:tc>
        <w:tc>
          <w:tcPr>
            <w:tcW w:w="320" w:type="dxa"/>
            <w:tcBorders/>
            <w:vAlign w:val="center"/>
          </w:tcPr>
          <w:p>
            <w:pPr>
              <w:pStyle w:val="TableContents"/>
              <w:bidi w:val="0"/>
              <w:spacing w:before="0" w:after="283"/>
              <w:jc w:val="right"/>
              <w:rPr/>
            </w:pPr>
            <w:r>
              <w:rPr/>
              <w:t>18</w:t>
            </w:r>
          </w:p>
        </w:tc>
      </w:tr>
      <w:tr>
        <w:trPr/>
        <w:tc>
          <w:tcPr>
            <w:tcW w:w="9885" w:type="dxa"/>
            <w:tcBorders/>
            <w:shd w:fill="CCEEFF" w:val="clear"/>
            <w:vAlign w:val="center"/>
          </w:tcPr>
          <w:p>
            <w:pPr>
              <w:pStyle w:val="TableContents"/>
              <w:bidi w:val="0"/>
              <w:spacing w:before="0" w:after="0"/>
              <w:jc w:val="left"/>
              <w:rPr/>
            </w:pPr>
            <w:hyperlink w:anchor="SPECIALNOTEREGARDINGFORWA">
              <w:r>
                <w:rPr>
                  <w:rStyle w:val="InternetLink"/>
                </w:rPr>
                <w:t>SPECIAL NOTE REGARDING FORWARD-LOOKING STATEMENTS</w:t>
              </w:r>
            </w:hyperlink>
          </w:p>
        </w:tc>
        <w:tc>
          <w:tcPr>
            <w:tcW w:w="320" w:type="dxa"/>
            <w:tcBorders/>
            <w:shd w:fill="CCEEFF" w:val="clear"/>
            <w:vAlign w:val="center"/>
          </w:tcPr>
          <w:p>
            <w:pPr>
              <w:pStyle w:val="TableContents"/>
              <w:bidi w:val="0"/>
              <w:spacing w:before="0" w:after="283"/>
              <w:jc w:val="right"/>
              <w:rPr/>
            </w:pPr>
            <w:r>
              <w:rPr/>
              <w:t>19</w:t>
            </w:r>
          </w:p>
        </w:tc>
      </w:tr>
      <w:tr>
        <w:trPr/>
        <w:tc>
          <w:tcPr>
            <w:tcW w:w="9885" w:type="dxa"/>
            <w:tcBorders/>
            <w:vAlign w:val="center"/>
          </w:tcPr>
          <w:p>
            <w:pPr>
              <w:pStyle w:val="TableContents"/>
              <w:bidi w:val="0"/>
              <w:spacing w:before="0" w:after="0"/>
              <w:jc w:val="left"/>
              <w:rPr/>
            </w:pPr>
            <w:hyperlink w:anchor="USEOFPROCEEDS">
              <w:r>
                <w:rPr>
                  <w:rStyle w:val="InternetLink"/>
                </w:rPr>
                <w:t>USE OF PROCEEDS</w:t>
              </w:r>
            </w:hyperlink>
          </w:p>
        </w:tc>
        <w:tc>
          <w:tcPr>
            <w:tcW w:w="320" w:type="dxa"/>
            <w:tcBorders/>
            <w:vAlign w:val="center"/>
          </w:tcPr>
          <w:p>
            <w:pPr>
              <w:pStyle w:val="TableContents"/>
              <w:bidi w:val="0"/>
              <w:spacing w:before="0" w:after="283"/>
              <w:jc w:val="right"/>
              <w:rPr/>
            </w:pPr>
            <w:r>
              <w:rPr/>
              <w:t>21</w:t>
            </w:r>
          </w:p>
        </w:tc>
      </w:tr>
      <w:tr>
        <w:trPr/>
        <w:tc>
          <w:tcPr>
            <w:tcW w:w="9885" w:type="dxa"/>
            <w:tcBorders/>
            <w:shd w:fill="CCEEFF" w:val="clear"/>
            <w:vAlign w:val="center"/>
          </w:tcPr>
          <w:p>
            <w:pPr>
              <w:pStyle w:val="TableContents"/>
              <w:bidi w:val="0"/>
              <w:spacing w:before="0" w:after="0"/>
              <w:jc w:val="left"/>
              <w:rPr/>
            </w:pPr>
            <w:hyperlink w:anchor="PRICERANGEOFCOMMONSTOCKAN">
              <w:r>
                <w:rPr>
                  <w:rStyle w:val="InternetLink"/>
                </w:rPr>
                <w:t>PRICE RANGE OF COMMON STOCK AND DISTRIBUTIONS</w:t>
              </w:r>
            </w:hyperlink>
          </w:p>
        </w:tc>
        <w:tc>
          <w:tcPr>
            <w:tcW w:w="320" w:type="dxa"/>
            <w:tcBorders/>
            <w:shd w:fill="CCEEFF" w:val="clear"/>
            <w:vAlign w:val="center"/>
          </w:tcPr>
          <w:p>
            <w:pPr>
              <w:pStyle w:val="TableContents"/>
              <w:bidi w:val="0"/>
              <w:spacing w:before="0" w:after="283"/>
              <w:jc w:val="right"/>
              <w:rPr/>
            </w:pPr>
            <w:r>
              <w:rPr/>
              <w:t>22</w:t>
            </w:r>
          </w:p>
        </w:tc>
      </w:tr>
      <w:tr>
        <w:trPr/>
        <w:tc>
          <w:tcPr>
            <w:tcW w:w="9885" w:type="dxa"/>
            <w:tcBorders/>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320" w:type="dxa"/>
            <w:tcBorders/>
            <w:vAlign w:val="center"/>
          </w:tcPr>
          <w:p>
            <w:pPr>
              <w:pStyle w:val="TableContents"/>
              <w:bidi w:val="0"/>
              <w:spacing w:before="0" w:after="283"/>
              <w:jc w:val="right"/>
              <w:rPr/>
            </w:pPr>
            <w:r>
              <w:rPr/>
              <w:t>25</w:t>
            </w:r>
          </w:p>
        </w:tc>
      </w:tr>
      <w:tr>
        <w:trPr/>
        <w:tc>
          <w:tcPr>
            <w:tcW w:w="9885" w:type="dxa"/>
            <w:tcBorders/>
            <w:shd w:fill="CCEEFF" w:val="clear"/>
            <w:vAlign w:val="center"/>
          </w:tcPr>
          <w:p>
            <w:pPr>
              <w:pStyle w:val="TableContents"/>
              <w:bidi w:val="0"/>
              <w:spacing w:before="0" w:after="0"/>
              <w:jc w:val="left"/>
              <w:rPr/>
            </w:pPr>
            <w:hyperlink w:anchor="THECOMPANY">
              <w:r>
                <w:rPr>
                  <w:rStyle w:val="InternetLink"/>
                </w:rPr>
                <w:t>THE COMPANY</w:t>
              </w:r>
            </w:hyperlink>
          </w:p>
        </w:tc>
        <w:tc>
          <w:tcPr>
            <w:tcW w:w="320" w:type="dxa"/>
            <w:tcBorders/>
            <w:shd w:fill="CCEEFF" w:val="clear"/>
            <w:vAlign w:val="center"/>
          </w:tcPr>
          <w:p>
            <w:pPr>
              <w:pStyle w:val="TableContents"/>
              <w:bidi w:val="0"/>
              <w:spacing w:before="0" w:after="283"/>
              <w:jc w:val="right"/>
              <w:rPr/>
            </w:pPr>
            <w:r>
              <w:rPr/>
              <w:t>26</w:t>
            </w:r>
          </w:p>
        </w:tc>
      </w:tr>
      <w:tr>
        <w:trPr/>
        <w:tc>
          <w:tcPr>
            <w:tcW w:w="9885" w:type="dxa"/>
            <w:tcBorders/>
            <w:vAlign w:val="center"/>
          </w:tcPr>
          <w:p>
            <w:pPr>
              <w:pStyle w:val="TableContents"/>
              <w:bidi w:val="0"/>
              <w:spacing w:before="0" w:after="0"/>
              <w:jc w:val="left"/>
              <w:rPr/>
            </w:pPr>
            <w:hyperlink w:anchor="SENIORSECURITIES">
              <w:r>
                <w:rPr>
                  <w:rStyle w:val="InternetLink"/>
                </w:rPr>
                <w:t>SENIOR SECURITIES</w:t>
              </w:r>
            </w:hyperlink>
          </w:p>
        </w:tc>
        <w:tc>
          <w:tcPr>
            <w:tcW w:w="320" w:type="dxa"/>
            <w:tcBorders/>
            <w:vAlign w:val="center"/>
          </w:tcPr>
          <w:p>
            <w:pPr>
              <w:pStyle w:val="TableContents"/>
              <w:bidi w:val="0"/>
              <w:spacing w:before="0" w:after="283"/>
              <w:jc w:val="right"/>
              <w:rPr/>
            </w:pPr>
            <w:r>
              <w:rPr/>
              <w:t>27</w:t>
            </w:r>
          </w:p>
        </w:tc>
      </w:tr>
      <w:tr>
        <w:trPr/>
        <w:tc>
          <w:tcPr>
            <w:tcW w:w="9885" w:type="dxa"/>
            <w:tcBorders/>
            <w:shd w:fill="CCEEFF" w:val="clear"/>
            <w:vAlign w:val="center"/>
          </w:tcPr>
          <w:p>
            <w:pPr>
              <w:pStyle w:val="TableContents"/>
              <w:bidi w:val="0"/>
              <w:spacing w:before="0" w:after="0"/>
              <w:jc w:val="left"/>
              <w:rPr/>
            </w:pPr>
            <w:hyperlink w:anchor="PORTFOLIOCOMPANIES">
              <w:r>
                <w:rPr>
                  <w:rStyle w:val="InternetLink"/>
                </w:rPr>
                <w:t>PORTFOLIO COMPANIES</w:t>
              </w:r>
            </w:hyperlink>
          </w:p>
        </w:tc>
        <w:tc>
          <w:tcPr>
            <w:tcW w:w="320" w:type="dxa"/>
            <w:tcBorders/>
            <w:shd w:fill="CCEEFF" w:val="clear"/>
            <w:vAlign w:val="center"/>
          </w:tcPr>
          <w:p>
            <w:pPr>
              <w:pStyle w:val="TableContents"/>
              <w:bidi w:val="0"/>
              <w:spacing w:before="0" w:after="283"/>
              <w:jc w:val="right"/>
              <w:rPr/>
            </w:pPr>
            <w:r>
              <w:rPr/>
              <w:t>28</w:t>
            </w:r>
          </w:p>
        </w:tc>
      </w:tr>
      <w:tr>
        <w:trPr/>
        <w:tc>
          <w:tcPr>
            <w:tcW w:w="9885" w:type="dxa"/>
            <w:tcBorders/>
            <w:vAlign w:val="center"/>
          </w:tcPr>
          <w:p>
            <w:pPr>
              <w:pStyle w:val="TableContents"/>
              <w:bidi w:val="0"/>
              <w:spacing w:before="0" w:after="0"/>
              <w:jc w:val="left"/>
              <w:rPr/>
            </w:pPr>
            <w:hyperlink w:anchor="MANAGEMENT">
              <w:r>
                <w:rPr>
                  <w:rStyle w:val="InternetLink"/>
                </w:rPr>
                <w:t>MANAGEMENT</w:t>
              </w:r>
            </w:hyperlink>
          </w:p>
        </w:tc>
        <w:tc>
          <w:tcPr>
            <w:tcW w:w="320" w:type="dxa"/>
            <w:tcBorders/>
            <w:vAlign w:val="center"/>
          </w:tcPr>
          <w:p>
            <w:pPr>
              <w:pStyle w:val="TableContents"/>
              <w:bidi w:val="0"/>
              <w:spacing w:before="0" w:after="0"/>
              <w:jc w:val="right"/>
              <w:rPr/>
            </w:pPr>
            <w:r>
              <w:rPr/>
              <w:t>31</w:t>
            </w:r>
          </w:p>
        </w:tc>
      </w:tr>
      <w:tr>
        <w:trPr/>
        <w:tc>
          <w:tcPr>
            <w:tcW w:w="9885" w:type="dxa"/>
            <w:tcBorders/>
            <w:shd w:fill="CCEEFF" w:val="clear"/>
            <w:vAlign w:val="center"/>
          </w:tcPr>
          <w:p>
            <w:pPr>
              <w:pStyle w:val="TableContents"/>
              <w:bidi w:val="0"/>
              <w:spacing w:before="0" w:after="0"/>
              <w:jc w:val="left"/>
              <w:rPr/>
            </w:pPr>
            <w:hyperlink w:anchor="CERTAINRELATIONSHIPSANDRE">
              <w:r>
                <w:rPr>
                  <w:rStyle w:val="InternetLink"/>
                </w:rPr>
                <w:t>CERTAIN RELATIONSHIPS AND RELATED PARTY TRANSACTIONS</w:t>
              </w:r>
            </w:hyperlink>
          </w:p>
        </w:tc>
        <w:tc>
          <w:tcPr>
            <w:tcW w:w="320" w:type="dxa"/>
            <w:tcBorders/>
            <w:shd w:fill="CCEEFF" w:val="clear"/>
            <w:vAlign w:val="center"/>
          </w:tcPr>
          <w:p>
            <w:pPr>
              <w:pStyle w:val="TableContents"/>
              <w:bidi w:val="0"/>
              <w:spacing w:before="0" w:after="0"/>
              <w:jc w:val="right"/>
              <w:rPr/>
            </w:pPr>
            <w:r>
              <w:rPr/>
              <w:t>32</w:t>
            </w:r>
          </w:p>
        </w:tc>
      </w:tr>
      <w:tr>
        <w:trPr/>
        <w:tc>
          <w:tcPr>
            <w:tcW w:w="9885" w:type="dxa"/>
            <w:tcBorders/>
            <w:vAlign w:val="center"/>
          </w:tcPr>
          <w:p>
            <w:pPr>
              <w:pStyle w:val="TableContents"/>
              <w:bidi w:val="0"/>
              <w:spacing w:before="0" w:after="0"/>
              <w:jc w:val="left"/>
              <w:rPr/>
            </w:pPr>
            <w:hyperlink w:anchor="CONTROLPERSONSANDPRINCIPA">
              <w:r>
                <w:rPr>
                  <w:rStyle w:val="InternetLink"/>
                </w:rPr>
                <w:t>CONTROL PERSONS AND PRINCIPAL SHAREHOLDERS</w:t>
              </w:r>
            </w:hyperlink>
          </w:p>
        </w:tc>
        <w:tc>
          <w:tcPr>
            <w:tcW w:w="320" w:type="dxa"/>
            <w:tcBorders/>
            <w:vAlign w:val="center"/>
          </w:tcPr>
          <w:p>
            <w:pPr>
              <w:pStyle w:val="TableContents"/>
              <w:bidi w:val="0"/>
              <w:spacing w:before="0" w:after="0"/>
              <w:jc w:val="right"/>
              <w:rPr/>
            </w:pPr>
            <w:r>
              <w:rPr/>
              <w:t>33</w:t>
            </w:r>
          </w:p>
        </w:tc>
      </w:tr>
      <w:tr>
        <w:trPr/>
        <w:tc>
          <w:tcPr>
            <w:tcW w:w="9885" w:type="dxa"/>
            <w:tcBorders/>
            <w:shd w:fill="CCEEFF" w:val="clear"/>
            <w:vAlign w:val="center"/>
          </w:tcPr>
          <w:p>
            <w:pPr>
              <w:pStyle w:val="TableContents"/>
              <w:bidi w:val="0"/>
              <w:spacing w:before="0" w:after="0"/>
              <w:jc w:val="left"/>
              <w:rPr/>
            </w:pPr>
            <w:hyperlink w:anchor="DETERMINATIONOFNETASSETVA">
              <w:r>
                <w:rPr>
                  <w:rStyle w:val="InternetLink"/>
                </w:rPr>
                <w:t>DETERMINATION OF NET ASSET VALUE</w:t>
              </w:r>
            </w:hyperlink>
          </w:p>
        </w:tc>
        <w:tc>
          <w:tcPr>
            <w:tcW w:w="320" w:type="dxa"/>
            <w:tcBorders/>
            <w:shd w:fill="CCEEFF" w:val="clear"/>
            <w:vAlign w:val="center"/>
          </w:tcPr>
          <w:p>
            <w:pPr>
              <w:pStyle w:val="TableContents"/>
              <w:bidi w:val="0"/>
              <w:spacing w:before="0" w:after="0"/>
              <w:jc w:val="right"/>
              <w:rPr/>
            </w:pPr>
            <w:r>
              <w:rPr/>
              <w:t>34</w:t>
            </w:r>
          </w:p>
        </w:tc>
      </w:tr>
      <w:tr>
        <w:trPr/>
        <w:tc>
          <w:tcPr>
            <w:tcW w:w="9885" w:type="dxa"/>
            <w:tcBorders/>
            <w:vAlign w:val="center"/>
          </w:tcPr>
          <w:p>
            <w:pPr>
              <w:pStyle w:val="TableContents"/>
              <w:bidi w:val="0"/>
              <w:spacing w:before="0" w:after="0"/>
              <w:jc w:val="left"/>
              <w:rPr/>
            </w:pPr>
            <w:hyperlink w:anchor="DIVIDENDREINVESTMENTPLAN">
              <w:r>
                <w:rPr>
                  <w:rStyle w:val="InternetLink"/>
                </w:rPr>
                <w:t>DIVIDEND REINVESTMENT PLAN</w:t>
              </w:r>
            </w:hyperlink>
          </w:p>
        </w:tc>
        <w:tc>
          <w:tcPr>
            <w:tcW w:w="320" w:type="dxa"/>
            <w:tcBorders/>
            <w:vAlign w:val="center"/>
          </w:tcPr>
          <w:p>
            <w:pPr>
              <w:pStyle w:val="TableContents"/>
              <w:bidi w:val="0"/>
              <w:spacing w:before="0" w:after="0"/>
              <w:jc w:val="right"/>
              <w:rPr/>
            </w:pPr>
            <w:r>
              <w:rPr/>
              <w:t>35</w:t>
            </w:r>
          </w:p>
        </w:tc>
      </w:tr>
      <w:tr>
        <w:trPr/>
        <w:tc>
          <w:tcPr>
            <w:tcW w:w="9885" w:type="dxa"/>
            <w:tcBorders/>
            <w:shd w:fill="CCEEFF" w:val="clear"/>
            <w:vAlign w:val="center"/>
          </w:tcPr>
          <w:p>
            <w:pPr>
              <w:pStyle w:val="TableContents"/>
              <w:bidi w:val="0"/>
              <w:spacing w:before="0" w:after="0"/>
              <w:jc w:val="left"/>
              <w:rPr/>
            </w:pPr>
            <w:hyperlink w:anchor="CERTAINU.S.FEDERALINCOMET">
              <w:r>
                <w:rPr>
                  <w:rStyle w:val="InternetLink"/>
                </w:rPr>
                <w:t>CERTAIN U.S. FEDERAL INCOME TAX CONSIDERATIONS</w:t>
              </w:r>
            </w:hyperlink>
          </w:p>
        </w:tc>
        <w:tc>
          <w:tcPr>
            <w:tcW w:w="320" w:type="dxa"/>
            <w:tcBorders/>
            <w:shd w:fill="CCEEFF" w:val="clear"/>
            <w:vAlign w:val="center"/>
          </w:tcPr>
          <w:p>
            <w:pPr>
              <w:pStyle w:val="TableContents"/>
              <w:bidi w:val="0"/>
              <w:spacing w:before="0" w:after="0"/>
              <w:jc w:val="right"/>
              <w:rPr/>
            </w:pPr>
            <w:r>
              <w:rPr/>
              <w:t>36</w:t>
            </w:r>
          </w:p>
        </w:tc>
      </w:tr>
      <w:tr>
        <w:trPr/>
        <w:tc>
          <w:tcPr>
            <w:tcW w:w="9885" w:type="dxa"/>
            <w:tcBorders/>
            <w:vAlign w:val="center"/>
          </w:tcPr>
          <w:p>
            <w:pPr>
              <w:pStyle w:val="TableContents"/>
              <w:bidi w:val="0"/>
              <w:spacing w:before="0" w:after="0"/>
              <w:jc w:val="left"/>
              <w:rPr/>
            </w:pPr>
            <w:hyperlink w:anchor="DESCRIPTIONOFOURSECURITIE">
              <w:r>
                <w:rPr>
                  <w:rStyle w:val="InternetLink"/>
                </w:rPr>
                <w:t>DESCRIPTION OF OUR SECURITIES</w:t>
              </w:r>
            </w:hyperlink>
          </w:p>
        </w:tc>
        <w:tc>
          <w:tcPr>
            <w:tcW w:w="320" w:type="dxa"/>
            <w:tcBorders/>
            <w:vAlign w:val="center"/>
          </w:tcPr>
          <w:p>
            <w:pPr>
              <w:pStyle w:val="TableContents"/>
              <w:bidi w:val="0"/>
              <w:spacing w:before="0" w:after="0"/>
              <w:jc w:val="right"/>
              <w:rPr/>
            </w:pPr>
            <w:r>
              <w:rPr/>
              <w:t>45</w:t>
            </w:r>
          </w:p>
        </w:tc>
      </w:tr>
      <w:tr>
        <w:trPr/>
        <w:tc>
          <w:tcPr>
            <w:tcW w:w="9885" w:type="dxa"/>
            <w:tcBorders/>
            <w:shd w:fill="CCEEFF" w:val="clear"/>
            <w:vAlign w:val="center"/>
          </w:tcPr>
          <w:p>
            <w:pPr>
              <w:pStyle w:val="TableContents"/>
              <w:bidi w:val="0"/>
              <w:spacing w:before="0" w:after="0"/>
              <w:jc w:val="left"/>
              <w:rPr/>
            </w:pPr>
            <w:hyperlink w:anchor="DESCRIPTIONOFOURCAPITALST">
              <w:r>
                <w:rPr>
                  <w:rStyle w:val="InternetLink"/>
                </w:rPr>
                <w:t>DESCRIPTION OF OUR CAPITAL STOCK</w:t>
              </w:r>
            </w:hyperlink>
          </w:p>
        </w:tc>
        <w:tc>
          <w:tcPr>
            <w:tcW w:w="320" w:type="dxa"/>
            <w:tcBorders/>
            <w:shd w:fill="CCEEFF" w:val="clear"/>
            <w:vAlign w:val="center"/>
          </w:tcPr>
          <w:p>
            <w:pPr>
              <w:pStyle w:val="TableContents"/>
              <w:bidi w:val="0"/>
              <w:spacing w:before="0" w:after="0"/>
              <w:jc w:val="right"/>
              <w:rPr/>
            </w:pPr>
            <w:r>
              <w:rPr/>
              <w:t>45</w:t>
            </w:r>
          </w:p>
        </w:tc>
      </w:tr>
      <w:tr>
        <w:trPr/>
        <w:tc>
          <w:tcPr>
            <w:tcW w:w="9885" w:type="dxa"/>
            <w:tcBorders/>
            <w:vAlign w:val="center"/>
          </w:tcPr>
          <w:p>
            <w:pPr>
              <w:pStyle w:val="TableContents"/>
              <w:bidi w:val="0"/>
              <w:spacing w:before="0" w:after="0"/>
              <w:jc w:val="left"/>
              <w:rPr/>
            </w:pPr>
            <w:hyperlink w:anchor="DESCRIPTIONOFOURPREFERRED">
              <w:r>
                <w:rPr>
                  <w:rStyle w:val="InternetLink"/>
                </w:rPr>
                <w:t>DESCRIPTION OF OUR PREFERRED STOCK</w:t>
              </w:r>
            </w:hyperlink>
          </w:p>
        </w:tc>
        <w:tc>
          <w:tcPr>
            <w:tcW w:w="320" w:type="dxa"/>
            <w:tcBorders/>
            <w:vAlign w:val="center"/>
          </w:tcPr>
          <w:p>
            <w:pPr>
              <w:pStyle w:val="TableContents"/>
              <w:bidi w:val="0"/>
              <w:spacing w:before="0" w:after="0"/>
              <w:jc w:val="right"/>
              <w:rPr/>
            </w:pPr>
            <w:r>
              <w:rPr/>
              <w:t>53</w:t>
            </w:r>
          </w:p>
        </w:tc>
      </w:tr>
      <w:tr>
        <w:trPr/>
        <w:tc>
          <w:tcPr>
            <w:tcW w:w="9885" w:type="dxa"/>
            <w:tcBorders/>
            <w:shd w:fill="CCEEFF" w:val="clear"/>
            <w:vAlign w:val="center"/>
          </w:tcPr>
          <w:p>
            <w:pPr>
              <w:pStyle w:val="TableContents"/>
              <w:bidi w:val="0"/>
              <w:spacing w:before="0" w:after="0"/>
              <w:jc w:val="left"/>
              <w:rPr/>
            </w:pPr>
            <w:hyperlink w:anchor="DESCRIPTIONOFOURSUBSCRIPT">
              <w:r>
                <w:rPr>
                  <w:rStyle w:val="InternetLink"/>
                </w:rPr>
                <w:t>DESCRIPTION OF OUR SUBSCRIPTION RIGHTS</w:t>
              </w:r>
            </w:hyperlink>
          </w:p>
        </w:tc>
        <w:tc>
          <w:tcPr>
            <w:tcW w:w="320" w:type="dxa"/>
            <w:tcBorders/>
            <w:shd w:fill="CCEEFF" w:val="clear"/>
            <w:vAlign w:val="center"/>
          </w:tcPr>
          <w:p>
            <w:pPr>
              <w:pStyle w:val="TableContents"/>
              <w:bidi w:val="0"/>
              <w:spacing w:before="0" w:after="0"/>
              <w:jc w:val="right"/>
              <w:rPr/>
            </w:pPr>
            <w:r>
              <w:rPr/>
              <w:t>54</w:t>
            </w:r>
          </w:p>
        </w:tc>
      </w:tr>
      <w:tr>
        <w:trPr/>
        <w:tc>
          <w:tcPr>
            <w:tcW w:w="9885" w:type="dxa"/>
            <w:tcBorders/>
            <w:vAlign w:val="center"/>
          </w:tcPr>
          <w:p>
            <w:pPr>
              <w:pStyle w:val="TableContents"/>
              <w:bidi w:val="0"/>
              <w:spacing w:before="0" w:after="0"/>
              <w:jc w:val="left"/>
              <w:rPr/>
            </w:pPr>
            <w:hyperlink w:anchor="DESCRIPTIONOFOURWARRANTS">
              <w:r>
                <w:rPr>
                  <w:rStyle w:val="InternetLink"/>
                </w:rPr>
                <w:t>DESCRIPTION OF OUR WARRANTS</w:t>
              </w:r>
            </w:hyperlink>
          </w:p>
        </w:tc>
        <w:tc>
          <w:tcPr>
            <w:tcW w:w="320" w:type="dxa"/>
            <w:tcBorders/>
            <w:vAlign w:val="center"/>
          </w:tcPr>
          <w:p>
            <w:pPr>
              <w:pStyle w:val="TableContents"/>
              <w:bidi w:val="0"/>
              <w:spacing w:before="0" w:after="0"/>
              <w:jc w:val="right"/>
              <w:rPr/>
            </w:pPr>
            <w:r>
              <w:rPr/>
              <w:t>56</w:t>
            </w:r>
          </w:p>
        </w:tc>
      </w:tr>
      <w:tr>
        <w:trPr/>
        <w:tc>
          <w:tcPr>
            <w:tcW w:w="9885" w:type="dxa"/>
            <w:tcBorders/>
            <w:shd w:fill="CCEEFF" w:val="clear"/>
            <w:vAlign w:val="center"/>
          </w:tcPr>
          <w:p>
            <w:pPr>
              <w:pStyle w:val="TableContents"/>
              <w:bidi w:val="0"/>
              <w:spacing w:before="0" w:after="0"/>
              <w:jc w:val="left"/>
              <w:rPr/>
            </w:pPr>
            <w:hyperlink w:anchor="DESCRIPTIONOFOURDEBTSECUR">
              <w:r>
                <w:rPr>
                  <w:rStyle w:val="InternetLink"/>
                </w:rPr>
                <w:t>DESCRIPTION OF OUR DEBT SECURITIES</w:t>
              </w:r>
            </w:hyperlink>
          </w:p>
        </w:tc>
        <w:tc>
          <w:tcPr>
            <w:tcW w:w="320" w:type="dxa"/>
            <w:tcBorders/>
            <w:shd w:fill="CCEEFF" w:val="clear"/>
            <w:vAlign w:val="center"/>
          </w:tcPr>
          <w:p>
            <w:pPr>
              <w:pStyle w:val="TableContents"/>
              <w:bidi w:val="0"/>
              <w:spacing w:before="0" w:after="0"/>
              <w:jc w:val="right"/>
              <w:rPr/>
            </w:pPr>
            <w:r>
              <w:rPr/>
              <w:t>58</w:t>
            </w:r>
          </w:p>
        </w:tc>
      </w:tr>
      <w:tr>
        <w:trPr/>
        <w:tc>
          <w:tcPr>
            <w:tcW w:w="9885" w:type="dxa"/>
            <w:tcBorders/>
            <w:vAlign w:val="center"/>
          </w:tcPr>
          <w:p>
            <w:pPr>
              <w:pStyle w:val="TableContents"/>
              <w:bidi w:val="0"/>
              <w:spacing w:before="0" w:after="0"/>
              <w:jc w:val="left"/>
              <w:rPr/>
            </w:pPr>
            <w:hyperlink w:anchor="DESCRIPTIONOFOURUNITS">
              <w:r>
                <w:rPr>
                  <w:rStyle w:val="InternetLink"/>
                </w:rPr>
                <w:t>DESCRIPTION OF OUR UNITS</w:t>
              </w:r>
            </w:hyperlink>
          </w:p>
        </w:tc>
        <w:tc>
          <w:tcPr>
            <w:tcW w:w="320" w:type="dxa"/>
            <w:tcBorders/>
            <w:vAlign w:val="center"/>
          </w:tcPr>
          <w:p>
            <w:pPr>
              <w:pStyle w:val="TableContents"/>
              <w:bidi w:val="0"/>
              <w:spacing w:before="0" w:after="0"/>
              <w:jc w:val="right"/>
              <w:rPr/>
            </w:pPr>
            <w:r>
              <w:rPr/>
              <w:t>73</w:t>
            </w:r>
          </w:p>
        </w:tc>
      </w:tr>
      <w:tr>
        <w:trPr/>
        <w:tc>
          <w:tcPr>
            <w:tcW w:w="9885" w:type="dxa"/>
            <w:tcBorders/>
            <w:shd w:fill="CCEEFF" w:val="clear"/>
            <w:vAlign w:val="center"/>
          </w:tcPr>
          <w:p>
            <w:pPr>
              <w:pStyle w:val="TableContents"/>
              <w:bidi w:val="0"/>
              <w:spacing w:before="0" w:after="0"/>
              <w:jc w:val="left"/>
              <w:rPr/>
            </w:pPr>
            <w:hyperlink w:anchor="REGULATION">
              <w:r>
                <w:rPr>
                  <w:rStyle w:val="InternetLink"/>
                </w:rPr>
                <w:t>REGULATION</w:t>
              </w:r>
            </w:hyperlink>
          </w:p>
        </w:tc>
        <w:tc>
          <w:tcPr>
            <w:tcW w:w="320" w:type="dxa"/>
            <w:tcBorders/>
            <w:shd w:fill="CCEEFF" w:val="clear"/>
            <w:vAlign w:val="center"/>
          </w:tcPr>
          <w:p>
            <w:pPr>
              <w:pStyle w:val="TableContents"/>
              <w:bidi w:val="0"/>
              <w:spacing w:before="0" w:after="0"/>
              <w:jc w:val="right"/>
              <w:rPr/>
            </w:pPr>
            <w:r>
              <w:rPr/>
              <w:t>74</w:t>
            </w:r>
          </w:p>
        </w:tc>
      </w:tr>
      <w:tr>
        <w:trPr/>
        <w:tc>
          <w:tcPr>
            <w:tcW w:w="9885" w:type="dxa"/>
            <w:tcBorders/>
            <w:vAlign w:val="center"/>
          </w:tcPr>
          <w:p>
            <w:pPr>
              <w:pStyle w:val="TableContents"/>
              <w:bidi w:val="0"/>
              <w:spacing w:before="0" w:after="0"/>
              <w:jc w:val="left"/>
              <w:rPr/>
            </w:pPr>
            <w:hyperlink w:anchor="CUSTODIANTRANSFERANDDIVID">
              <w:r>
                <w:rPr>
                  <w:rStyle w:val="InternetLink"/>
                </w:rPr>
                <w:t>CUSTODIAN, TRANSFER AND DIVIDEND PAYING AGENT AND REGISTRAR</w:t>
              </w:r>
            </w:hyperlink>
          </w:p>
        </w:tc>
        <w:tc>
          <w:tcPr>
            <w:tcW w:w="320" w:type="dxa"/>
            <w:tcBorders/>
            <w:vAlign w:val="center"/>
          </w:tcPr>
          <w:p>
            <w:pPr>
              <w:pStyle w:val="TableContents"/>
              <w:bidi w:val="0"/>
              <w:spacing w:before="0" w:after="0"/>
              <w:jc w:val="right"/>
              <w:rPr/>
            </w:pPr>
            <w:r>
              <w:rPr/>
              <w:t>75</w:t>
            </w:r>
          </w:p>
        </w:tc>
      </w:tr>
      <w:tr>
        <w:trPr/>
        <w:tc>
          <w:tcPr>
            <w:tcW w:w="9885" w:type="dxa"/>
            <w:tcBorders/>
            <w:shd w:fill="CCEEFF" w:val="clear"/>
            <w:vAlign w:val="center"/>
          </w:tcPr>
          <w:p>
            <w:pPr>
              <w:pStyle w:val="TableContents"/>
              <w:bidi w:val="0"/>
              <w:spacing w:before="0" w:after="0"/>
              <w:jc w:val="left"/>
              <w:rPr/>
            </w:pPr>
            <w:hyperlink w:anchor="BROKERAGEALLOCATIONANDOTH">
              <w:r>
                <w:rPr>
                  <w:rStyle w:val="InternetLink"/>
                </w:rPr>
                <w:t>BROKERAGE ALLOCATION AND OTHER PRACTICES</w:t>
              </w:r>
            </w:hyperlink>
          </w:p>
        </w:tc>
        <w:tc>
          <w:tcPr>
            <w:tcW w:w="320" w:type="dxa"/>
            <w:tcBorders/>
            <w:shd w:fill="CCEEFF" w:val="clear"/>
            <w:vAlign w:val="center"/>
          </w:tcPr>
          <w:p>
            <w:pPr>
              <w:pStyle w:val="TableContents"/>
              <w:bidi w:val="0"/>
              <w:spacing w:before="0" w:after="0"/>
              <w:jc w:val="right"/>
              <w:rPr/>
            </w:pPr>
            <w:r>
              <w:rPr/>
              <w:t>76</w:t>
            </w:r>
          </w:p>
        </w:tc>
      </w:tr>
      <w:tr>
        <w:trPr/>
        <w:tc>
          <w:tcPr>
            <w:tcW w:w="9885" w:type="dxa"/>
            <w:tcBorders/>
            <w:vAlign w:val="center"/>
          </w:tcPr>
          <w:p>
            <w:pPr>
              <w:pStyle w:val="TableContents"/>
              <w:bidi w:val="0"/>
              <w:spacing w:before="0" w:after="0"/>
              <w:jc w:val="left"/>
              <w:rPr/>
            </w:pPr>
            <w:hyperlink w:anchor="PLANOFDISTRIBUTION">
              <w:r>
                <w:rPr>
                  <w:rStyle w:val="InternetLink"/>
                </w:rPr>
                <w:t>PLAN OF DISTRIBUTION</w:t>
              </w:r>
            </w:hyperlink>
          </w:p>
        </w:tc>
        <w:tc>
          <w:tcPr>
            <w:tcW w:w="320" w:type="dxa"/>
            <w:tcBorders/>
            <w:vAlign w:val="center"/>
          </w:tcPr>
          <w:p>
            <w:pPr>
              <w:pStyle w:val="TableContents"/>
              <w:bidi w:val="0"/>
              <w:spacing w:before="0" w:after="0"/>
              <w:jc w:val="right"/>
              <w:rPr/>
            </w:pPr>
            <w:r>
              <w:rPr/>
              <w:t>77</w:t>
            </w:r>
          </w:p>
        </w:tc>
      </w:tr>
      <w:tr>
        <w:trPr/>
        <w:tc>
          <w:tcPr>
            <w:tcW w:w="9885" w:type="dxa"/>
            <w:tcBorders/>
            <w:shd w:fill="CCEEFF" w:val="clear"/>
            <w:vAlign w:val="center"/>
          </w:tcPr>
          <w:p>
            <w:pPr>
              <w:pStyle w:val="TableContents"/>
              <w:bidi w:val="0"/>
              <w:spacing w:before="0" w:after="0"/>
              <w:jc w:val="left"/>
              <w:rPr/>
            </w:pPr>
            <w:hyperlink w:anchor="LEGALMATTERS">
              <w:r>
                <w:rPr>
                  <w:rStyle w:val="InternetLink"/>
                </w:rPr>
                <w:t>LEGAL MATTERS</w:t>
              </w:r>
            </w:hyperlink>
          </w:p>
        </w:tc>
        <w:tc>
          <w:tcPr>
            <w:tcW w:w="320" w:type="dxa"/>
            <w:tcBorders/>
            <w:shd w:fill="CCEEFF" w:val="clear"/>
            <w:vAlign w:val="center"/>
          </w:tcPr>
          <w:p>
            <w:pPr>
              <w:pStyle w:val="TableContents"/>
              <w:bidi w:val="0"/>
              <w:spacing w:before="0" w:after="0"/>
              <w:jc w:val="right"/>
              <w:rPr/>
            </w:pPr>
            <w:r>
              <w:rPr/>
              <w:t>79</w:t>
            </w:r>
          </w:p>
        </w:tc>
      </w:tr>
      <w:tr>
        <w:trPr/>
        <w:tc>
          <w:tcPr>
            <w:tcW w:w="9885" w:type="dxa"/>
            <w:tcBorders/>
            <w:vAlign w:val="center"/>
          </w:tcPr>
          <w:p>
            <w:pPr>
              <w:pStyle w:val="TableContents"/>
              <w:bidi w:val="0"/>
              <w:spacing w:before="0" w:after="0"/>
              <w:jc w:val="left"/>
              <w:rPr/>
            </w:pPr>
            <w:hyperlink w:anchor="INDEPENDENTREGISTEREDPUBL">
              <w:r>
                <w:rPr>
                  <w:rStyle w:val="InternetLink"/>
                </w:rPr>
                <w:t>INDEPENDENT REGISTERED PUBLIC ACCOUNTING FIRM</w:t>
              </w:r>
            </w:hyperlink>
          </w:p>
        </w:tc>
        <w:tc>
          <w:tcPr>
            <w:tcW w:w="320" w:type="dxa"/>
            <w:tcBorders/>
            <w:vAlign w:val="center"/>
          </w:tcPr>
          <w:p>
            <w:pPr>
              <w:pStyle w:val="TableContents"/>
              <w:bidi w:val="0"/>
              <w:spacing w:before="0" w:after="0"/>
              <w:jc w:val="right"/>
              <w:rPr/>
            </w:pPr>
            <w:r>
              <w:rPr/>
              <w:t>80</w:t>
            </w:r>
          </w:p>
        </w:tc>
      </w:tr>
      <w:tr>
        <w:trPr/>
        <w:tc>
          <w:tcPr>
            <w:tcW w:w="9885" w:type="dxa"/>
            <w:tcBorders/>
            <w:shd w:fill="CCEEFF" w:val="clear"/>
            <w:vAlign w:val="center"/>
          </w:tcPr>
          <w:p>
            <w:pPr>
              <w:pStyle w:val="TableContents"/>
              <w:bidi w:val="0"/>
              <w:spacing w:before="0" w:after="0"/>
              <w:jc w:val="left"/>
              <w:rPr/>
            </w:pPr>
            <w:hyperlink w:anchor="AVAILABLEINFORMATION">
              <w:r>
                <w:rPr>
                  <w:rStyle w:val="InternetLink"/>
                </w:rPr>
                <w:t>AVAILABLE INFORMATION</w:t>
              </w:r>
            </w:hyperlink>
          </w:p>
        </w:tc>
        <w:tc>
          <w:tcPr>
            <w:tcW w:w="320" w:type="dxa"/>
            <w:tcBorders/>
            <w:shd w:fill="CCEEFF" w:val="clear"/>
            <w:vAlign w:val="center"/>
          </w:tcPr>
          <w:p>
            <w:pPr>
              <w:pStyle w:val="TableContents"/>
              <w:bidi w:val="0"/>
              <w:spacing w:before="0" w:after="0"/>
              <w:jc w:val="right"/>
              <w:rPr/>
            </w:pPr>
            <w:r>
              <w:rPr/>
              <w:t>81</w:t>
            </w:r>
          </w:p>
        </w:tc>
      </w:tr>
      <w:tr>
        <w:trPr/>
        <w:tc>
          <w:tcPr>
            <w:tcW w:w="9885" w:type="dxa"/>
            <w:tcBorders/>
            <w:vAlign w:val="center"/>
          </w:tcPr>
          <w:p>
            <w:pPr>
              <w:pStyle w:val="TableContents"/>
              <w:bidi w:val="0"/>
              <w:spacing w:before="0" w:after="0"/>
              <w:jc w:val="left"/>
              <w:rPr/>
            </w:pPr>
            <w:hyperlink w:anchor="INCORPORATIONOFCERTAININF">
              <w:r>
                <w:rPr>
                  <w:rStyle w:val="InternetLink"/>
                </w:rPr>
                <w:t>INCORPORATION OF CERTAIN INFORMATION BY REFERENCE</w:t>
              </w:r>
            </w:hyperlink>
          </w:p>
        </w:tc>
        <w:tc>
          <w:tcPr>
            <w:tcW w:w="320" w:type="dxa"/>
            <w:tcBorders/>
            <w:vAlign w:val="center"/>
          </w:tcPr>
          <w:p>
            <w:pPr>
              <w:pStyle w:val="TableContents"/>
              <w:bidi w:val="0"/>
              <w:spacing w:before="0" w:after="0"/>
              <w:jc w:val="right"/>
              <w:rPr/>
            </w:pPr>
            <w:r>
              <w:rPr/>
              <w:t>82</w:t>
            </w:r>
          </w:p>
        </w:tc>
      </w:tr>
    </w:tbl>
    <w:p>
      <w:pPr>
        <w:pStyle w:val="TextBody"/>
        <w:bidi w:val="0"/>
        <w:spacing w:before="0" w:after="0"/>
        <w:ind w:left="0" w:right="0" w:firstLine="360"/>
        <w:jc w:val="both"/>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not authorized anyone to give you any information other than in this prospectus, any prospectus supplement to this prospectus, any free writing prospectus, or any information that we have incorporated by reference herein or therein and we take no responsibility for any other information that others may give you. We are not making an offer to sell these securities in any jurisdiction where the offer or sale is not permitted. You should assume that the information appearing or incorporated by reference in this prospectus, any prospectus supplements or any free writing prospectus is accurate only as of the date on their respective front covers. Our business, financial condition, results of operations and prospects may have changed since that date. We will update these documents to reflect material changes only as required by law.</w:t>
      </w:r>
    </w:p>
    <w:p>
      <w:pPr>
        <w:pStyle w:val="TextBody"/>
        <w:bidi w:val="0"/>
        <w:spacing w:before="0" w:after="0"/>
        <w:ind w:left="0" w:right="0" w:firstLine="36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ABOUT THIS 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prospectus is part of a shelf registration statement that we have filed with the SEC. Under the shelf registration process, which constitutes a delayed offering in reliance on Rule 415 under the Securities Act of 1933, as amended, we may offer, from time to time, in one or more offerings or series, our common stock, preferred stock, debt securities, subscription rights to purchase shares of our common stock, warrants representing rights to purchase shares of our common stock, preferred stock or debt securities, or units comprised of any combination of the foregoing, on terms to be determined at the time of the offering.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Such prospectus supplement and/or free writing prospectus (collectively referred to hereinafter as a “prospectus supplement”) may also add, update or change information contained in this prospectus or in the documents we incorporate by reference herein. This prospectus and the prospectus supplement, together with any documents incorporated by reference herein, will include all material information relating to the applicable offering.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Please carefully read this prospectus and the prospectus supplement, together with any documents incorporated by reference in this prospectus and the applicable prospectus supplement, any exhibits and the additional information described or incorporated by reference under the headings “</w:t>
      </w:r>
      <w:r>
        <w:rPr>
          <w:rFonts w:ascii="Times New Roman" w:hAnsi="Times New Roman"/>
          <w:i/>
          <w:color w:val="000000"/>
          <w:sz w:val="20"/>
          <w:shd w:fill="FFFFFF" w:val="clear"/>
        </w:rPr>
        <w:t>Available Information</w:t>
      </w:r>
      <w:r>
        <w:rPr>
          <w:rFonts w:ascii="Times New Roman" w:hAnsi="Times New Roman"/>
          <w:color w:val="000000"/>
          <w:sz w:val="20"/>
          <w:shd w:fill="FFFFFF" w:val="clear"/>
        </w:rPr>
        <w:t>,” “</w:t>
      </w:r>
      <w:r>
        <w:rPr>
          <w:rFonts w:ascii="Times New Roman" w:hAnsi="Times New Roman"/>
          <w:i/>
          <w:color w:val="000000"/>
          <w:sz w:val="20"/>
          <w:shd w:fill="FFFFFF" w:val="clear"/>
        </w:rPr>
        <w:t>Incorporation of Certain Information by Reference,</w:t>
      </w:r>
      <w:r>
        <w:rPr>
          <w:rFonts w:ascii="Times New Roman" w:hAnsi="Times New Roman"/>
          <w:color w:val="000000"/>
          <w:sz w:val="20"/>
          <w:shd w:fill="FFFFFF" w:val="clear"/>
        </w:rPr>
        <w:t>” “</w:t>
      </w:r>
      <w:r>
        <w:rPr>
          <w:rFonts w:ascii="Times New Roman" w:hAnsi="Times New Roman"/>
          <w:i/>
          <w:color w:val="000000"/>
          <w:sz w:val="20"/>
          <w:shd w:fill="FFFFFF" w:val="clear"/>
        </w:rPr>
        <w:t>Prospectus Summary</w:t>
      </w:r>
      <w:r>
        <w:rPr>
          <w:rFonts w:ascii="Times New Roman" w:hAnsi="Times New Roman"/>
          <w:color w:val="000000"/>
          <w:sz w:val="20"/>
          <w:shd w:fill="FFFFFF" w:val="clear"/>
        </w:rPr>
        <w:t>” and “</w:t>
      </w:r>
      <w:r>
        <w:rPr>
          <w:rFonts w:ascii="Times New Roman" w:hAnsi="Times New Roman"/>
          <w:i/>
          <w:color w:val="000000"/>
          <w:sz w:val="20"/>
          <w:shd w:fill="FFFFFF" w:val="clear"/>
        </w:rPr>
        <w:t>Risk Factors</w:t>
      </w:r>
      <w:r>
        <w:rPr>
          <w:rFonts w:ascii="Times New Roman" w:hAnsi="Times New Roman"/>
          <w:color w:val="000000"/>
          <w:sz w:val="20"/>
          <w:shd w:fill="FFFFFF" w:val="clear"/>
        </w:rPr>
        <w:t>” in this prospectus before you make an investment decision.</w:t>
      </w:r>
    </w:p>
    <w:p>
      <w:pPr>
        <w:pStyle w:val="TextBody"/>
        <w:bidi w:val="0"/>
        <w:spacing w:before="0" w:after="0"/>
        <w:ind w:left="0" w:right="0" w:firstLine="36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ii</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bdr w:val="single" w:sz="12" w:space="4" w:color="000000"/>
          <w:shd w:fill="FFFFFF" w:val="clear"/>
        </w:rPr>
      </w:pPr>
      <w:bookmarkStart w:id="43" w:name="PROSPECTUSSUMMARY"/>
      <w:bookmarkEnd w:id="43"/>
      <w:r>
        <w:rPr>
          <w:rFonts w:ascii="Times New Roman" w:hAnsi="Times New Roman"/>
          <w:b/>
          <w:color w:val="000000"/>
          <w:sz w:val="20"/>
          <w:bdr w:val="single" w:sz="12" w:space="4" w:color="000000"/>
          <w:shd w:fill="FFFFFF" w:val="clear"/>
        </w:rPr>
        <w:t>PROSPECTUS SUMMARY</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i/>
          <w:color w:val="000000"/>
          <w:sz w:val="20"/>
          <w:bdr w:val="single" w:sz="12" w:space="4" w:color="000000"/>
          <w:shd w:fill="FFFFFF" w:val="clear"/>
        </w:rPr>
      </w:pPr>
      <w:r>
        <w:rPr>
          <w:rFonts w:ascii="Times New Roman" w:hAnsi="Times New Roman"/>
          <w:i/>
          <w:color w:val="000000"/>
          <w:sz w:val="20"/>
          <w:bdr w:val="single" w:sz="12" w:space="4" w:color="000000"/>
          <w:shd w:fill="FFFFFF" w:val="clear"/>
        </w:rPr>
        <w:t>This summary highlights some of the information in this prospectus. It is not complete and may not contain all of the information that you may want to consider before investing in our securities. You should read our entire prospectus before investing in our securities. Throughout this prospectus we refer to Chicago Atlantic BDC, Inc. as “we,” “us,” “our” or the “Company,” and to “Chicago Atlantic BDC Advisers, LLC,” our investment adviser, as the “Adviser.”</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The Company</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are a specialty finance company focused on investing in companies in highly complex and highly regulated industries typically underserved by other capital providers, including investing across the cannabis ecosystem through investments in the form of direct loans to privately held cannabis companies. Although we primarily focus on investments in the cannabis industry, we may also invest in growth capital and technology companies, esoteric and asset-based lending opportunities, and liquidity solutions opportunities as described below.</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Our investment objective is to maximize risk-adjusted returns on equity for our shareholders. We seek to capitalize on, among other things,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been focused on investing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cannabis borrowers, such as cannabis licenses and cannabis inventory, may not be able to be used as collateral or transferred to us. See Part I, Item 1A “</w:t>
      </w:r>
      <w:r>
        <w:rPr>
          <w:rFonts w:ascii="Times New Roman" w:hAnsi="Times New Roman"/>
          <w:i/>
          <w:color w:val="000000"/>
          <w:sz w:val="20"/>
          <w:bdr w:val="single" w:sz="12" w:space="4" w:color="000000"/>
          <w:shd w:fill="FFFFFF" w:val="clear"/>
        </w:rPr>
        <w:t>Risk Factors - Risks Relating to Our Investments - Certain assets of our borrowers may not be used as collateral or transferred to us due to applicable state laws and regulations governing the cannabis industry, and such restrictions could negatively impact our profitability</w:t>
      </w:r>
      <w:r>
        <w:rPr>
          <w:rFonts w:ascii="Times New Roman" w:hAnsi="Times New Roman"/>
          <w:color w:val="000000"/>
          <w:sz w:val="20"/>
          <w:bdr w:val="single" w:sz="12" w:space="4" w:color="000000"/>
          <w:shd w:fill="FFFFFF" w:val="clear"/>
        </w:rPr>
        <w:t>” in our most recent Annual Report on Form 10-K.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loans in which we tend to invest typically pay interest at rates which are determined periodically on the basis of U.S. Prime Rate (“PRIME”) or Secured Overnight Financing Rate (“SOFR”)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have typically invested in and expect to continue to invest in loans made primarily to private leveraged lower middle-market and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$2 million and $50 million each, although we expect that this investment size will vary proportionately with the size of our capital base.</w:t>
      </w:r>
    </w:p>
    <w:p>
      <w:pPr>
        <w:pStyle w:val="TextBody"/>
        <w:bidi w:val="0"/>
        <w:spacing w:before="0" w:after="0"/>
        <w:jc w:val="both"/>
        <w:rPr/>
      </w:pPr>
      <w:r>
        <w:rPr/>
      </w:r>
    </w:p>
    <w:p>
      <w:pPr>
        <w:pStyle w:val="TextBody"/>
        <w:bidi w:val="0"/>
        <w:spacing w:before="0" w:after="0"/>
        <w:ind w:left="0" w:right="0" w:firstLine="360"/>
        <w:jc w:val="left"/>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 xml:space="preserve">The following describes the four primary current sub-strategies of our principal investment strategy. We are not required to have a minimum investment in any of these sub-strategies. </w:t>
      </w:r>
    </w:p>
    <w:p>
      <w:pPr>
        <w:pStyle w:val="TextBody"/>
        <w:bidi w:val="0"/>
        <w:spacing w:before="0" w:after="0"/>
        <w:jc w:val="both"/>
        <w:rPr/>
      </w:pPr>
      <w:r>
        <w:rPr/>
      </w:r>
    </w:p>
    <w:p>
      <w:pPr>
        <w:pStyle w:val="TextBody"/>
        <w:bidi w:val="0"/>
        <w:spacing w:before="0" w:after="0"/>
        <w:jc w:val="left"/>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Cannabis</w:t>
      </w:r>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All of our cannabis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the Adviser and seek to expand the compliant cannabis investment activities of the Adviser’s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regardless of sector.</w:t>
      </w:r>
    </w:p>
    <w:p>
      <w:pPr>
        <w:pStyle w:val="TextBody"/>
        <w:bidi w:val="0"/>
        <w:spacing w:before="0" w:after="0"/>
        <w:jc w:val="both"/>
        <w:rPr/>
      </w:pPr>
      <w:r>
        <w:rPr/>
      </w:r>
    </w:p>
    <w:p>
      <w:pPr>
        <w:pStyle w:val="TextBody"/>
        <w:bidi w:val="0"/>
        <w:spacing w:before="0" w:after="0"/>
        <w:ind w:left="0" w:right="0" w:firstLine="360"/>
        <w:jc w:val="left"/>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 seeks to invest in cannabis companies that it believes have some or all of the following characteristics:</w:t>
      </w:r>
    </w:p>
    <w:p>
      <w:pPr>
        <w:pStyle w:val="TextBody"/>
        <w:bidi w:val="0"/>
        <w:spacing w:before="0" w:after="0"/>
        <w:jc w:val="both"/>
        <w:rPr/>
      </w:pPr>
      <w:r>
        <w:rPr/>
      </w:r>
    </w:p>
    <w:tbl>
      <w:tblPr>
        <w:tblW w:w="3768" w:type="dxa"/>
        <w:jc w:val="left"/>
        <w:tblInd w:w="0" w:type="dxa"/>
        <w:tblLayout w:type="fixed"/>
        <w:tblCellMar>
          <w:top w:w="0" w:type="dxa"/>
          <w:left w:w="0" w:type="dxa"/>
          <w:bottom w:w="0" w:type="dxa"/>
          <w:right w:w="0" w:type="dxa"/>
        </w:tblCellMar>
      </w:tblPr>
      <w:tblGrid>
        <w:gridCol w:w="68"/>
        <w:gridCol w:w="140"/>
        <w:gridCol w:w="35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both"/>
              <w:rPr/>
            </w:pPr>
            <w:r>
              <w:rPr/>
              <w:t>Growth or EBITDA positive entities</w:t>
            </w:r>
          </w:p>
        </w:tc>
      </w:tr>
    </w:tbl>
    <w:p>
      <w:pPr>
        <w:pStyle w:val="TextBody"/>
        <w:bidi w:val="0"/>
        <w:spacing w:before="0" w:after="0"/>
        <w:jc w:val="left"/>
        <w:rPr/>
      </w:pPr>
      <w:r>
        <w:rPr/>
      </w:r>
    </w:p>
    <w:tbl>
      <w:tblPr>
        <w:tblW w:w="6663" w:type="dxa"/>
        <w:jc w:val="left"/>
        <w:tblInd w:w="0" w:type="dxa"/>
        <w:tblLayout w:type="fixed"/>
        <w:tblCellMar>
          <w:top w:w="0" w:type="dxa"/>
          <w:left w:w="0" w:type="dxa"/>
          <w:bottom w:w="0" w:type="dxa"/>
          <w:right w:w="0" w:type="dxa"/>
        </w:tblCellMar>
      </w:tblPr>
      <w:tblGrid>
        <w:gridCol w:w="68"/>
        <w:gridCol w:w="140"/>
        <w:gridCol w:w="64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0"/>
              <w:jc w:val="both"/>
              <w:rPr/>
            </w:pPr>
            <w:r>
              <w:rPr/>
              <w:t>Companies that require capital but do not want to dilute their equity</w:t>
            </w:r>
          </w:p>
        </w:tc>
      </w:tr>
    </w:tbl>
    <w:p>
      <w:pPr>
        <w:pStyle w:val="TextBody"/>
        <w:bidi w:val="0"/>
        <w:spacing w:before="0" w:after="0"/>
        <w:jc w:val="left"/>
        <w:rPr/>
      </w:pPr>
      <w:r>
        <w:rPr/>
      </w:r>
    </w:p>
    <w:tbl>
      <w:tblPr>
        <w:tblW w:w="8373" w:type="dxa"/>
        <w:jc w:val="left"/>
        <w:tblInd w:w="0" w:type="dxa"/>
        <w:tblLayout w:type="fixed"/>
        <w:tblCellMar>
          <w:top w:w="0" w:type="dxa"/>
          <w:left w:w="0" w:type="dxa"/>
          <w:bottom w:w="0" w:type="dxa"/>
          <w:right w:w="0" w:type="dxa"/>
        </w:tblCellMar>
      </w:tblPr>
      <w:tblGrid>
        <w:gridCol w:w="68"/>
        <w:gridCol w:w="140"/>
        <w:gridCol w:w="81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0"/>
              <w:jc w:val="both"/>
              <w:rPr/>
            </w:pPr>
            <w:r>
              <w:rPr/>
              <w:t>Companies that are showing strong cash flow performance with low leverage profiles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Transactions that tend to be attractively priced and have better than normal covenants and amortization due to complexity of the industry</w:t>
            </w:r>
          </w:p>
        </w:tc>
      </w:tr>
    </w:tbl>
    <w:p>
      <w:pPr>
        <w:pStyle w:val="TextBody"/>
        <w:bidi w:val="0"/>
        <w:spacing w:before="0" w:after="0"/>
        <w:jc w:val="left"/>
        <w:rPr/>
      </w:pPr>
      <w:r>
        <w:rPr/>
      </w:r>
    </w:p>
    <w:tbl>
      <w:tblPr>
        <w:tblW w:w="3003" w:type="dxa"/>
        <w:jc w:val="left"/>
        <w:tblInd w:w="0" w:type="dxa"/>
        <w:tblLayout w:type="fixed"/>
        <w:tblCellMar>
          <w:top w:w="0" w:type="dxa"/>
          <w:left w:w="0" w:type="dxa"/>
          <w:bottom w:w="0" w:type="dxa"/>
          <w:right w:w="0" w:type="dxa"/>
        </w:tblCellMar>
      </w:tblPr>
      <w:tblGrid>
        <w:gridCol w:w="68"/>
        <w:gridCol w:w="140"/>
        <w:gridCol w:w="27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0"/>
              <w:jc w:val="both"/>
              <w:rPr/>
            </w:pPr>
            <w:r>
              <w:rPr/>
              <w:t>Low debt to enterprise value</w:t>
            </w:r>
          </w:p>
        </w:tc>
      </w:tr>
    </w:tbl>
    <w:p>
      <w:pPr>
        <w:pStyle w:val="TextBody"/>
        <w:bidi w:val="0"/>
        <w:spacing w:before="0" w:after="0"/>
        <w:jc w:val="both"/>
        <w:rPr/>
      </w:pPr>
      <w:r>
        <w:rPr/>
      </w:r>
    </w:p>
    <w:p>
      <w:pPr>
        <w:pStyle w:val="TextBody"/>
        <w:bidi w:val="0"/>
        <w:spacing w:before="0" w:after="0"/>
        <w:jc w:val="left"/>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Growth &amp; Technology</w:t>
      </w:r>
    </w:p>
    <w:p>
      <w:pPr>
        <w:pStyle w:val="TextBody"/>
        <w:bidi w:val="0"/>
        <w:spacing w:before="0" w:after="0"/>
        <w:jc w:val="both"/>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Our growth and technology sub-strategy is focused on industry leaders and disruptive companies that are experiencing strong growth trajectories and typically need capital to support continued revenue growth or expansion of the business. In most cases, these businesses have found a niche in their respective markets, proven their customer value proposition, and have already reached significant revenue milestones. These businesses include both private equity and venture capital backed businesses, as well as non-sponsor backed companies.  In most cases, a significant amount of equity capital has been raised, resulting in low overall loan to enterprise value.</w:t>
      </w:r>
    </w:p>
    <w:p>
      <w:pPr>
        <w:pStyle w:val="TextBody"/>
        <w:bidi w:val="0"/>
        <w:spacing w:before="0" w:after="0"/>
        <w:ind w:left="0" w:right="0" w:firstLine="36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 seeks to invest in growth and technology focused companies that it believes have some or all of the following characteristics:</w:t>
      </w:r>
    </w:p>
    <w:p>
      <w:pPr>
        <w:pStyle w:val="TextBody"/>
        <w:bidi w:val="0"/>
        <w:spacing w:before="0" w:after="0"/>
        <w:jc w:val="left"/>
        <w:rPr/>
      </w:pPr>
      <w:r>
        <w:rPr/>
      </w:r>
    </w:p>
    <w:tbl>
      <w:tblPr>
        <w:tblW w:w="6918" w:type="dxa"/>
        <w:jc w:val="left"/>
        <w:tblInd w:w="0" w:type="dxa"/>
        <w:tblLayout w:type="fixed"/>
        <w:tblCellMar>
          <w:top w:w="0" w:type="dxa"/>
          <w:left w:w="0" w:type="dxa"/>
          <w:bottom w:w="0" w:type="dxa"/>
          <w:right w:w="0" w:type="dxa"/>
        </w:tblCellMar>
      </w:tblPr>
      <w:tblGrid>
        <w:gridCol w:w="68"/>
        <w:gridCol w:w="140"/>
        <w:gridCol w:w="67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jc w:val="both"/>
              <w:rPr/>
            </w:pPr>
            <w:r>
              <w:rPr/>
              <w:t>Industry leaders and disruptive companies experiencing strong growth</w:t>
            </w:r>
          </w:p>
        </w:tc>
      </w:tr>
    </w:tbl>
    <w:p>
      <w:pPr>
        <w:pStyle w:val="TextBody"/>
        <w:bidi w:val="0"/>
        <w:spacing w:before="0" w:after="0"/>
        <w:jc w:val="left"/>
        <w:rPr/>
      </w:pPr>
      <w:r>
        <w:rPr/>
      </w:r>
    </w:p>
    <w:tbl>
      <w:tblPr>
        <w:tblW w:w="7518" w:type="dxa"/>
        <w:jc w:val="left"/>
        <w:tblInd w:w="0" w:type="dxa"/>
        <w:tblLayout w:type="fixed"/>
        <w:tblCellMar>
          <w:top w:w="0" w:type="dxa"/>
          <w:left w:w="0" w:type="dxa"/>
          <w:bottom w:w="0" w:type="dxa"/>
          <w:right w:w="0" w:type="dxa"/>
        </w:tblCellMar>
      </w:tblPr>
      <w:tblGrid>
        <w:gridCol w:w="68"/>
        <w:gridCol w:w="140"/>
        <w:gridCol w:w="73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0"/>
              <w:jc w:val="both"/>
              <w:rPr/>
            </w:pPr>
            <w:r>
              <w:rPr/>
              <w:t>Companies that have raised significant equity capital validating market value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Industry focus typically includes software, hardware, e-commerce, direct to consumer and other fast-growing companies</w:t>
            </w:r>
          </w:p>
        </w:tc>
      </w:tr>
    </w:tbl>
    <w:p>
      <w:pPr>
        <w:pStyle w:val="TextBody"/>
        <w:bidi w:val="0"/>
        <w:spacing w:before="0" w:after="0"/>
        <w:jc w:val="left"/>
        <w:rPr/>
      </w:pPr>
      <w:r>
        <w:rPr/>
      </w:r>
    </w:p>
    <w:tbl>
      <w:tblPr>
        <w:tblW w:w="7218" w:type="dxa"/>
        <w:jc w:val="left"/>
        <w:tblInd w:w="0" w:type="dxa"/>
        <w:tblLayout w:type="fixed"/>
        <w:tblCellMar>
          <w:top w:w="0" w:type="dxa"/>
          <w:left w:w="0" w:type="dxa"/>
          <w:bottom w:w="0" w:type="dxa"/>
          <w:right w:w="0" w:type="dxa"/>
        </w:tblCellMar>
      </w:tblPr>
      <w:tblGrid>
        <w:gridCol w:w="68"/>
        <w:gridCol w:w="140"/>
        <w:gridCol w:w="70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both"/>
              <w:rPr/>
            </w:pPr>
            <w:r>
              <w:rPr/>
              <w:t>Liquidity covenants that ensure such company has adequate cash runway</w:t>
            </w:r>
          </w:p>
        </w:tc>
      </w:tr>
    </w:tbl>
    <w:p>
      <w:pPr>
        <w:pStyle w:val="TextBody"/>
        <w:bidi w:val="0"/>
        <w:spacing w:before="0" w:after="0"/>
        <w:jc w:val="left"/>
        <w:rPr/>
      </w:pPr>
      <w:r>
        <w:rPr/>
      </w:r>
    </w:p>
    <w:tbl>
      <w:tblPr>
        <w:tblW w:w="3003" w:type="dxa"/>
        <w:jc w:val="left"/>
        <w:tblInd w:w="0" w:type="dxa"/>
        <w:tblLayout w:type="fixed"/>
        <w:tblCellMar>
          <w:top w:w="0" w:type="dxa"/>
          <w:left w:w="0" w:type="dxa"/>
          <w:bottom w:w="0" w:type="dxa"/>
          <w:right w:w="0" w:type="dxa"/>
        </w:tblCellMar>
      </w:tblPr>
      <w:tblGrid>
        <w:gridCol w:w="68"/>
        <w:gridCol w:w="140"/>
        <w:gridCol w:w="27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0"/>
              <w:jc w:val="both"/>
              <w:rPr/>
            </w:pPr>
            <w:r>
              <w:rPr/>
              <w:t>Low debt to enterprise value</w:t>
            </w:r>
          </w:p>
        </w:tc>
      </w:tr>
    </w:tbl>
    <w:p>
      <w:pPr>
        <w:pStyle w:val="TextBody"/>
        <w:bidi w:val="0"/>
        <w:spacing w:before="0" w:after="0"/>
        <w:jc w:val="left"/>
        <w:rPr/>
      </w:pPr>
      <w:r>
        <w:rPr/>
      </w:r>
    </w:p>
    <w:tbl>
      <w:tblPr>
        <w:tblW w:w="5598" w:type="dxa"/>
        <w:jc w:val="left"/>
        <w:tblInd w:w="0" w:type="dxa"/>
        <w:tblLayout w:type="fixed"/>
        <w:tblCellMar>
          <w:top w:w="0" w:type="dxa"/>
          <w:left w:w="0" w:type="dxa"/>
          <w:bottom w:w="0" w:type="dxa"/>
          <w:right w:w="0" w:type="dxa"/>
        </w:tblCellMar>
      </w:tblPr>
      <w:tblGrid>
        <w:gridCol w:w="68"/>
        <w:gridCol w:w="140"/>
        <w:gridCol w:w="53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0"/>
              <w:jc w:val="both"/>
              <w:rPr/>
            </w:pPr>
            <w:r>
              <w:rPr/>
              <w:t>Profitable or demonstrated path to near term profitability</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Esoteric &amp; Asset-Based Lending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esoteric and asset-based lending sub-strategy is focused on established companies with strong cash flow profiles in industries that carry idiosyncratic or reputational risks, which limit access to traditional sources of capital. The sub-strategy also includes companies or opportunities that have strong asset collateral coverage, low loan values or other attractive risk-reward features. The lack of access to traditional sources of capital typically enables us to extract lender-friendly terms and covenants from companies with relatively low leverage and overall credit risk.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 seeks to invest in esoteric industries or companies in need of asset-based loans that it believes have some or all of the following characteristics: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Companies that are showing strong cash flow performance with low leverage profiles, but the industries carry regulatory, reputational or other risks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Companies with attractive assets, including, but not limited to, accounts receivable, equipment or real estate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Transactions that tend to be attractively priced and have better than normal covenants and amortization due to complexity of the industry or situation</w:t>
            </w:r>
          </w:p>
        </w:tc>
      </w:tr>
    </w:tbl>
    <w:p>
      <w:pPr>
        <w:pStyle w:val="TextBody"/>
        <w:bidi w:val="0"/>
        <w:spacing w:before="0" w:after="0"/>
        <w:jc w:val="left"/>
        <w:rPr/>
      </w:pPr>
      <w:r>
        <w:rPr/>
      </w:r>
    </w:p>
    <w:tbl>
      <w:tblPr>
        <w:tblW w:w="5313" w:type="dxa"/>
        <w:jc w:val="left"/>
        <w:tblInd w:w="0" w:type="dxa"/>
        <w:tblLayout w:type="fixed"/>
        <w:tblCellMar>
          <w:top w:w="0" w:type="dxa"/>
          <w:left w:w="0" w:type="dxa"/>
          <w:bottom w:w="0" w:type="dxa"/>
          <w:right w:w="0" w:type="dxa"/>
        </w:tblCellMar>
      </w:tblPr>
      <w:tblGrid>
        <w:gridCol w:w="68"/>
        <w:gridCol w:w="140"/>
        <w:gridCol w:w="51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0"/>
              <w:jc w:val="both"/>
              <w:rPr/>
            </w:pPr>
            <w:r>
              <w:rPr/>
              <w:t>Low debt to asset value and/or enterprise value ratios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Liquidity Solutions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liquidity solutions lending sub-strategy is typically focused on event-driven opportunities including, but not limited to, mergers, acquisitions, refinancings, dividend recaps or other strategically driven liquidity needs to established businesses. These businesses also tend to be in complex industries, have time-sensitive aspects to financing, or require idiosyncratic structuring expertise that enables us to extract relatively lender friendly terms and covenants.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 seeks to invest in liquidity solutions opportunities that it believes have some or all of the following characteristics:</w:t>
      </w:r>
    </w:p>
    <w:p>
      <w:pPr>
        <w:pStyle w:val="TextBody"/>
        <w:bidi w:val="0"/>
        <w:spacing w:before="0" w:after="0"/>
        <w:jc w:val="left"/>
        <w:rPr/>
      </w:pPr>
      <w:r>
        <w:rPr/>
      </w:r>
    </w:p>
    <w:tbl>
      <w:tblPr>
        <w:tblW w:w="3558" w:type="dxa"/>
        <w:jc w:val="left"/>
        <w:tblInd w:w="0" w:type="dxa"/>
        <w:tblLayout w:type="fixed"/>
        <w:tblCellMar>
          <w:top w:w="0" w:type="dxa"/>
          <w:left w:w="0" w:type="dxa"/>
          <w:bottom w:w="0" w:type="dxa"/>
          <w:right w:w="0" w:type="dxa"/>
        </w:tblCellMar>
      </w:tblPr>
      <w:tblGrid>
        <w:gridCol w:w="68"/>
        <w:gridCol w:w="140"/>
        <w:gridCol w:w="33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0"/>
              <w:jc w:val="both"/>
              <w:rPr/>
            </w:pPr>
            <w:r>
              <w:rPr/>
              <w:t>Financing is typically event driven</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Companies that are pursuing a merger, acquisition, refinancing, dividend recap, or other strategic liquidity need</w:t>
            </w:r>
          </w:p>
        </w:tc>
      </w:tr>
    </w:tbl>
    <w:p>
      <w:pPr>
        <w:pStyle w:val="TextBody"/>
        <w:bidi w:val="0"/>
        <w:spacing w:before="0" w:after="0"/>
        <w:jc w:val="left"/>
        <w:rPr/>
      </w:pPr>
      <w:r>
        <w:rPr/>
      </w:r>
    </w:p>
    <w:tbl>
      <w:tblPr>
        <w:tblW w:w="8373" w:type="dxa"/>
        <w:jc w:val="left"/>
        <w:tblInd w:w="0" w:type="dxa"/>
        <w:tblLayout w:type="fixed"/>
        <w:tblCellMar>
          <w:top w:w="0" w:type="dxa"/>
          <w:left w:w="0" w:type="dxa"/>
          <w:bottom w:w="0" w:type="dxa"/>
          <w:right w:w="0" w:type="dxa"/>
        </w:tblCellMar>
      </w:tblPr>
      <w:tblGrid>
        <w:gridCol w:w="68"/>
        <w:gridCol w:w="140"/>
        <w:gridCol w:w="81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0"/>
              <w:jc w:val="both"/>
              <w:rPr/>
            </w:pPr>
            <w:r>
              <w:rPr/>
              <w:t>Companies that are showing strong cash flow performance with low leverage profiles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9303" w:type="dxa"/>
        <w:jc w:val="left"/>
        <w:tblInd w:w="0" w:type="dxa"/>
        <w:tblLayout w:type="fixed"/>
        <w:tblCellMar>
          <w:top w:w="0" w:type="dxa"/>
          <w:left w:w="0" w:type="dxa"/>
          <w:bottom w:w="0" w:type="dxa"/>
          <w:right w:w="0" w:type="dxa"/>
        </w:tblCellMar>
      </w:tblPr>
      <w:tblGrid>
        <w:gridCol w:w="68"/>
        <w:gridCol w:w="140"/>
        <w:gridCol w:w="90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0"/>
              <w:jc w:val="both"/>
              <w:rPr/>
            </w:pPr>
            <w:r>
              <w:rPr/>
              <w:t>Companies that have multiple areas of value and liquidity in addition to the underlying business</w:t>
            </w:r>
          </w:p>
        </w:tc>
      </w:tr>
    </w:tbl>
    <w:p>
      <w:pPr>
        <w:pStyle w:val="TextBody"/>
        <w:bidi w:val="0"/>
        <w:spacing w:before="0" w:after="0"/>
        <w:jc w:val="left"/>
        <w:rPr/>
      </w:pPr>
      <w:r>
        <w:rPr/>
      </w:r>
    </w:p>
    <w:tbl>
      <w:tblPr>
        <w:tblW w:w="3573" w:type="dxa"/>
        <w:jc w:val="left"/>
        <w:tblInd w:w="0" w:type="dxa"/>
        <w:tblLayout w:type="fixed"/>
        <w:tblCellMar>
          <w:top w:w="0" w:type="dxa"/>
          <w:left w:w="0" w:type="dxa"/>
          <w:bottom w:w="0" w:type="dxa"/>
          <w:right w:w="0" w:type="dxa"/>
        </w:tblCellMar>
      </w:tblPr>
      <w:tblGrid>
        <w:gridCol w:w="68"/>
        <w:gridCol w:w="140"/>
        <w:gridCol w:w="33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pPr>
            <w:r>
              <w:rPr/>
              <w:t>Low debt to enterprise value ratios</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None of our investment policies are fundamental, and thus may be changed without stockholder approval.</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On February 4, 2022, our common stock began trading on the Nasdaq Global Market (“NASDAQ”). Since October 2, 2024, our common stock trades on NASDAQ under the symbol “LIEN.” On May 7, 2026, the last reported sales price of our common stock on NASDAQ was $9.34 per share. The net asset value per share of our common stock at December 31, 2025 (the last date prior to the date of this prospectus for which we reported net asset value) was $13.30.</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are an externally managed, closed-end management investment company that has elected to be regulated as a business development company (“BDC”) under the Investment Company Act of 1940, as amended (the “1940 Act”). In addition, for U.S. federal income tax purposes, we have elected to be treated, and intend to qualify annually, as a regulated investment company (“RIC”) under the Internal Revenue Code of 1986, as amended (the “Code”). As a BDC and a RIC, we are required to comply with certain regulatory requirements. See Part I, Item 1 “</w:t>
      </w:r>
      <w:r>
        <w:rPr>
          <w:rFonts w:ascii="Times New Roman" w:hAnsi="Times New Roman"/>
          <w:i/>
          <w:color w:val="000000"/>
          <w:sz w:val="20"/>
          <w:bdr w:val="single" w:sz="12" w:space="4" w:color="000000"/>
          <w:shd w:fill="FFFFFF" w:val="clear"/>
        </w:rPr>
        <w:t>BUSINESS – Business Development Company Regulations</w:t>
      </w:r>
      <w:r>
        <w:rPr>
          <w:rFonts w:ascii="Times New Roman" w:hAnsi="Times New Roman"/>
          <w:color w:val="000000"/>
          <w:sz w:val="20"/>
          <w:bdr w:val="single" w:sz="12" w:space="4" w:color="000000"/>
          <w:shd w:fill="FFFFFF" w:val="clear"/>
        </w:rPr>
        <w:t>” in our most recent Annual Report on Form 10-K, and “</w:t>
      </w:r>
      <w:r>
        <w:rPr>
          <w:rFonts w:ascii="Times New Roman" w:hAnsi="Times New Roman"/>
          <w:i/>
          <w:color w:val="000000"/>
          <w:sz w:val="20"/>
          <w:bdr w:val="single" w:sz="12" w:space="4" w:color="000000"/>
          <w:shd w:fill="FFFFFF" w:val="clear"/>
        </w:rPr>
        <w:t>Certain U.S. Federal Income Tax Considerations</w:t>
      </w:r>
      <w:r>
        <w:rPr>
          <w:rFonts w:ascii="Times New Roman" w:hAnsi="Times New Roman"/>
          <w:color w:val="000000"/>
          <w:sz w:val="20"/>
          <w:bdr w:val="single" w:sz="12" w:space="4" w:color="000000"/>
          <w:shd w:fill="FFFFFF" w:val="clear"/>
        </w:rPr>
        <w:t xml:space="preserve">” in this prospectus. </w:t>
      </w:r>
    </w:p>
    <w:p>
      <w:pPr>
        <w:pStyle w:val="TextBody"/>
        <w:bidi w:val="0"/>
        <w:spacing w:before="0" w:after="0"/>
        <w:ind w:left="0" w:right="0" w:firstLine="36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generally intend to distribute, out of assets legally available for distribution, substantially all of our available earnings, on a quarterly basis, as determined by our board of directors (the “Board”) in its sole discretion.</w:t>
      </w:r>
    </w:p>
    <w:p>
      <w:pPr>
        <w:pStyle w:val="TextBody"/>
        <w:bidi w:val="0"/>
        <w:spacing w:before="0" w:after="0"/>
        <w:ind w:left="0" w:right="0" w:firstLine="36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are an “emerging growth company,” as defined in the Jumpstart Our Business Startups Act of 2012 (the “JOBS Act”), and intend to take advantage of certain exemptions for emerging growth companies allowing us to temporarily forego the auditor attestation requirements of Section 404(b) of the Sarbanes-Oxley Act of 2002.</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are advised by the Adviser pursuant to an investment advisory agreement (the “Investment Advisory Agreement”). See Part I, Item 1 “</w:t>
      </w:r>
      <w:r>
        <w:rPr>
          <w:rFonts w:ascii="Times New Roman" w:hAnsi="Times New Roman"/>
          <w:i/>
          <w:color w:val="000000"/>
          <w:sz w:val="20"/>
          <w:bdr w:val="single" w:sz="12" w:space="4" w:color="000000"/>
          <w:shd w:fill="FFFFFF" w:val="clear"/>
        </w:rPr>
        <w:t>BUSINESS - Investment Advisory Agreement</w:t>
      </w:r>
      <w:r>
        <w:rPr>
          <w:rFonts w:ascii="Times New Roman" w:hAnsi="Times New Roman"/>
          <w:color w:val="000000"/>
          <w:sz w:val="20"/>
          <w:bdr w:val="single" w:sz="12" w:space="4" w:color="000000"/>
          <w:shd w:fill="FFFFFF" w:val="clear"/>
        </w:rPr>
        <w:t>” in our most recent Annual Report on Form 10-K. The Adviser is an affiliate of Chicago Atlantic Group, LP (together with its affiliates, “Chicago Atlantic”) and part of Chicago Atlantic’s credit platform, which focuses on direct lending. To achieve our investment objective, we will leverage Chicago Atlantic’s, and, in particular, the Adviser’s investment team’s extensive network of relationships with other sophisticated institutions to source, evaluate and, as appropriate, partner with on transactions. There are no assurances that we will achieve our investment objective.</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both"/>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Investment Portfolio</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As of December 31, 2025, we had investments in 39 portfolio companies with an aggregate fair value of approximately $333.3 million.</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As of December 31, 2025, based on fair value, our portfolio consisted of 87.8% first lien senior secured debt investments, 11.2% senior secured debt investments, 0.4% second lien senior secured debt investments, 0.2% preferred equity investments and 0.4% warrants.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As of December 31, 2025, our portfolio was invested across 9 different industries. The largest industry in our portfolio as of December 31, 2025 was cannabis, which represented 74.7% of our total portfolio, based on fair value.</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HorizontalLine"/>
        <w:bidi w:val="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color w:val="000000"/>
          <w:sz w:val="20"/>
          <w:bdr w:val="single" w:sz="12" w:space="4" w:color="000000"/>
          <w:shd w:fill="FFFFFF" w:val="clear"/>
        </w:rPr>
      </w:pPr>
      <w:r>
        <w:rPr>
          <w:rFonts w:ascii="Times New Roman" w:hAnsi="Times New Roman"/>
          <w:b/>
          <w:color w:val="000000"/>
          <w:sz w:val="20"/>
          <w:bdr w:val="single" w:sz="12" w:space="4" w:color="000000"/>
          <w:shd w:fill="FFFFFF" w:val="clear"/>
        </w:rPr>
        <w:t>The Adviser and Administrator</w:t>
      </w:r>
      <w:r>
        <w:rPr>
          <w:rFonts w:ascii="Times New Roman" w:hAnsi="Times New Roman"/>
          <w:color w:val="000000"/>
          <w:sz w:val="20"/>
          <w:bdr w:val="single" w:sz="12" w:space="4" w:color="000000"/>
          <w:shd w:fill="FFFFFF" w:val="clear"/>
        </w:rPr>
        <w:t xml:space="preserve"> </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Chicago Atlantic BDC Advisers, LLC serves as our investment adviser pursuant to the Investment Advisory Agreement. See Part I, Item 1 “</w:t>
      </w:r>
      <w:r>
        <w:rPr>
          <w:rFonts w:ascii="Times New Roman" w:hAnsi="Times New Roman"/>
          <w:i/>
          <w:color w:val="000000"/>
          <w:sz w:val="20"/>
          <w:bdr w:val="single" w:sz="12" w:space="4" w:color="000000"/>
          <w:shd w:fill="FFFFFF" w:val="clear"/>
        </w:rPr>
        <w:t>BUSINESS - Investment Advisory Agreement</w:t>
      </w:r>
      <w:r>
        <w:rPr>
          <w:rFonts w:ascii="Times New Roman" w:hAnsi="Times New Roman"/>
          <w:color w:val="000000"/>
          <w:sz w:val="20"/>
          <w:bdr w:val="single" w:sz="12" w:space="4" w:color="000000"/>
          <w:shd w:fill="FFFFFF" w:val="clear"/>
        </w:rPr>
        <w:t>” in our most recent Annual Report on Form 10-K. The Adviser also serves as our Administrator pursuant to an administration agreement (the “Administration Agreement”) between us and the Adviser. See Part I, Item 1 “</w:t>
      </w:r>
      <w:r>
        <w:rPr>
          <w:rFonts w:ascii="Times New Roman" w:hAnsi="Times New Roman"/>
          <w:i/>
          <w:color w:val="000000"/>
          <w:sz w:val="20"/>
          <w:bdr w:val="single" w:sz="12" w:space="4" w:color="000000"/>
          <w:shd w:fill="FFFFFF" w:val="clear"/>
        </w:rPr>
        <w:t>BUSINESS - Administration Agreement</w:t>
      </w:r>
      <w:r>
        <w:rPr>
          <w:rFonts w:ascii="Times New Roman" w:hAnsi="Times New Roman"/>
          <w:color w:val="000000"/>
          <w:sz w:val="20"/>
          <w:bdr w:val="single" w:sz="12" w:space="4" w:color="000000"/>
          <w:shd w:fill="FFFFFF" w:val="clear"/>
        </w:rPr>
        <w:t>” in our most recent Annual Report on Form 10-K. The Adviser is a Delaware limited liability company that is registered with the U.S. Securities and Exchange Commission (the “SEC”) as an investment adviser under the Investment Advisers Act of 1940, as amended (the “Advisers Act”). The Adviser is an affiliate of Chicago Atlantic and part of Chicago Atlantic’s credit platform, which focuses on direct lending.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Adviser’s investment team (the “Investment Team”) is led by Peter Sack, Scott Gordon, Umesh Mahajan, John Mazarakis and Andreas Bodmeier, and is supported by certain members of the Adviser’s senior executive team and Chicago Atlantic’s credit platform’s investment committees. The Investment Team sources investment opportunities, conducts research, performs due diligence on potential investments, structures the Company’s investments and monitors the Company’s portfolio companies on an ongoing basis. Subject to the overall supervision of the Board, the Adviser manages our day-to-day operations, and provides investment advisory and management services to us.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As of December 31, 2025, Chicago Atlantic had approximately $2.3 billion in capital under management (total committed investor capital, total available leverage including undrawn capital, and capital invested by co-investors and managed by the firm). Chicago Atlantic is an alternative investment manager focused on industries and companies where demand for capital exceeds traditional supply. Chicago Atlantic’s investment strategies include opportunistic private credit and equity with focuses on loans to esoteric industries, specialty asset-based loans, liquidity solutions and growth and technology finance. We refer to the Company, Chicago Atlantic Real Estate Finance, Inc. (NASDAQ: REFI) and the private funds and separately managed accounts managed by Chicago Atlantic as the “Chicago Atlantic Credit Clients.”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Chicago Atlantic Credit Clients may have overlapping objectives with us. The Adviser and its affiliates may face conflicts in the allocation of investment opportunities to us and others. In order to address these conflicts, Chicago Atlantic has put in place an investment allocation policy that addresses the allocation of investment opportunities as well as co-investment restrictions under the 1940 Act. See “</w:t>
      </w:r>
      <w:r>
        <w:rPr>
          <w:rFonts w:ascii="Times New Roman" w:hAnsi="Times New Roman"/>
          <w:i/>
          <w:color w:val="000000"/>
          <w:sz w:val="20"/>
          <w:bdr w:val="single" w:sz="12" w:space="4" w:color="000000"/>
          <w:shd w:fill="FFFFFF" w:val="clear"/>
        </w:rPr>
        <w:t>CERTAIN RELATIONSHIPS AND RELATED PARTY TRANSACTIONS</w:t>
      </w:r>
      <w:r>
        <w:rPr>
          <w:rFonts w:ascii="Times New Roman" w:hAnsi="Times New Roman"/>
          <w:color w:val="000000"/>
          <w:sz w:val="20"/>
          <w:bdr w:val="single" w:sz="12" w:space="4" w:color="000000"/>
          <w:shd w:fill="FFFFFF" w:val="clear"/>
        </w:rPr>
        <w:t>” in our most recent Annual Proxy Statement.</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In addition, we rely on an order for exemptive relief (the “Order”) that has been granted to the Adviser and its affiliates by the SEC to co-invest with other funds managed by the Adviser or its affiliates in a manner consistent with our investment objective, positions, policies, strategies and restrictions as well as regulatory requirements and other pertinent factors. Pursuant to such exemptive relief, we generally are permitted to co-invest with certain of our affiliates if a “required majority” (as defined in Section 57(o) of the 1940 Act) of our directors who are not “interested persons,” as defined in Section 2(a)(19) of the 1940 Act (the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parties to the transaction), except to the extent permitted by the exemptive relief and applicable law, including the limitations set forth in Section 57(k) of the 1940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Chicago Atlantic’s allocation policy incorporates the conditions of the Order. As a result of the Order, there could be significant overlap in our investment portfolio and the investment portfolio of the Chicago Atlantic Credit Clients that could avail themselves of the exemptive relief and that have an investment objective similar to ours. See Part I, Item 1A “</w:t>
      </w:r>
      <w:r>
        <w:rPr>
          <w:rFonts w:ascii="Times New Roman" w:hAnsi="Times New Roman"/>
          <w:i/>
          <w:color w:val="000000"/>
          <w:sz w:val="20"/>
          <w:bdr w:val="single" w:sz="12" w:space="4" w:color="000000"/>
          <w:shd w:fill="FFFFFF" w:val="clear"/>
        </w:rPr>
        <w:t>RISK FACTORS - Risks Relating to Conflicts of Interest – There are significant potential conflicts of interest that could adversely impact our investment returns</w:t>
      </w:r>
      <w:r>
        <w:rPr>
          <w:rFonts w:ascii="Times New Roman" w:hAnsi="Times New Roman"/>
          <w:color w:val="000000"/>
          <w:sz w:val="20"/>
          <w:bdr w:val="single" w:sz="12" w:space="4" w:color="000000"/>
          <w:shd w:fill="FFFFFF" w:val="clear"/>
        </w:rPr>
        <w:t>” in our most recent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 or its affiliates may engage in certain origination activities and receive attendant arrangement, structuring or similar fees from portfolio companies. See Part I, Item 1A “</w:t>
      </w:r>
      <w:r>
        <w:rPr>
          <w:rFonts w:ascii="Times New Roman" w:hAnsi="Times New Roman"/>
          <w:i/>
          <w:color w:val="000000"/>
          <w:sz w:val="20"/>
          <w:bdr w:val="single" w:sz="12" w:space="4" w:color="000000"/>
          <w:shd w:fill="FFFFFF" w:val="clear"/>
        </w:rPr>
        <w:t>RISK FACTORS - Risks Relating to Conflicts of Interest –</w:t>
      </w:r>
      <w:r>
        <w:rPr>
          <w:rFonts w:ascii="Times New Roman" w:hAnsi="Times New Roman"/>
          <w:color w:val="000000"/>
          <w:sz w:val="20"/>
          <w:bdr w:val="single" w:sz="12" w:space="4" w:color="000000"/>
          <w:shd w:fill="FFFFFF" w:val="clear"/>
        </w:rPr>
        <w:t> </w:t>
      </w:r>
      <w:r>
        <w:rPr>
          <w:rFonts w:ascii="Times New Roman" w:hAnsi="Times New Roman"/>
          <w:i/>
          <w:color w:val="000000"/>
          <w:sz w:val="20"/>
          <w:bdr w:val="single" w:sz="12" w:space="4" w:color="000000"/>
          <w:shd w:fill="FFFFFF" w:val="clear"/>
        </w:rPr>
        <w:t>Our Adviser and its affiliates may face conflicts of interest with respect to services performed for issuers in which we may invest</w:t>
      </w:r>
      <w:r>
        <w:rPr>
          <w:rFonts w:ascii="Times New Roman" w:hAnsi="Times New Roman"/>
          <w:color w:val="000000"/>
          <w:sz w:val="20"/>
          <w:bdr w:val="single" w:sz="12" w:space="4" w:color="000000"/>
          <w:shd w:fill="FFFFFF" w:val="clear"/>
        </w:rPr>
        <w:t>” in our most recent Annual Report on Form 10-K.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Adviser’s address is 600 Madison Avenue, Suite 1800, New York, NY 10022.</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both"/>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Investment Advisory Agreement</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and the Adviser entered into the Investment Advisory Agreement on October 1, 2024. See Part I, Item 1 “</w:t>
      </w:r>
      <w:r>
        <w:rPr>
          <w:rFonts w:ascii="Times New Roman" w:hAnsi="Times New Roman"/>
          <w:i/>
          <w:color w:val="000000"/>
          <w:sz w:val="20"/>
          <w:bdr w:val="single" w:sz="12" w:space="4" w:color="000000"/>
          <w:shd w:fill="FFFFFF" w:val="clear"/>
        </w:rPr>
        <w:t>BUSINESS - Investment Advisory Agreement</w:t>
      </w:r>
      <w:r>
        <w:rPr>
          <w:rFonts w:ascii="Times New Roman" w:hAnsi="Times New Roman"/>
          <w:color w:val="000000"/>
          <w:sz w:val="20"/>
          <w:bdr w:val="single" w:sz="12" w:space="4" w:color="000000"/>
          <w:shd w:fill="FFFFFF" w:val="clear"/>
        </w:rPr>
        <w:t>” in our most recent Annual Report on Form 10-K.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pay our Adviser a fee for its services under the Investment Advisory Agreement consisting of two components: a base management fee and an incentive fee. The cost of both the base management fee payable to our Adviser and any incentive fees payable to our Adviser is ultimately borne by our common stockholders.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Base Management Fee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base management fee is calculated at an annual rate of 1.75% of our gross assets (i.e., total assets held before deduction of any liabilities), which includes any investments acquired with the use of leverage and excludes any cash and cash equivalents (as defined in the notes to our financial statements). The fair value of derivatives and swaps, which will not necessarily equal the notional value of such derivatives and swaps, will be included in our calculation of gross assets. The base management fee is calculated based on the average value of our gross assets at the end of the two most recently completed quarters. For example, the average value of our gross assets used for calculating the third quarter base management fee will be equal to our gross assets at the end of the second quarter plus our gross assets at the end of the third quarter, divided by two. The base management fee for any partial month or quarter, as the case may be, will be appropriately prorated and adjusted for any share issuances or repurchases during the relevant month or quarter, as the case may be.</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bdr w:val="single" w:sz="12" w:space="4" w:color="000000"/>
          <w:shd w:fill="FFFFFF" w:val="clear"/>
        </w:rPr>
      </w:pPr>
      <w:r>
        <w:rPr>
          <w:rFonts w:ascii="Times New Roman" w:hAnsi="Times New Roman"/>
          <w:i/>
          <w:color w:val="000000"/>
          <w:sz w:val="20"/>
          <w:u w:val="single"/>
          <w:bdr w:val="single" w:sz="12" w:space="4" w:color="000000"/>
          <w:shd w:fill="FFFFFF" w:val="clear"/>
        </w:rPr>
        <w:t>Incentive Fee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incentive fee has two parts. The first part of the incentive fee, the Incentive Fee on Income, is calculated and payable quarterly in arrears based on our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we receive from portfolio companies, (ii) any gain realized on the extinguishment of our own debt and (iii) any other income of any kind that we are required to distribute to our stockholders in order to maintain our RIC status) accrued during the quarter, minus our operating expenses for the quarter (including the base management fee, expenses payable under the Administration Agreement with the Adviser, and any interest expense and dividends paid on any issued and outstanding preferred stock, but excluding the incentive fee). Pre-Incentive Fee Net Investment Income includes, in the case of investments with a deferred interest feature (such as original issue discount  (“OID”) debt instruments with payment-in-kind (“PIK”) interest and zero coupon securities), accrued income that we have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quarter, will be compared to a “hurdle rate” of 1.75% per quarter (7% annualized), subject to a “catch-up” provision measured as of the end of each quarter. Our net investment income used to calculate the Incentive Fee on Income is also included in the amount of our gross assets used to calculate the 1.75% base management fee. The operation of the Incentive Fee on Income with respect to our Pre-Incentive Fee Net Investment Income for each quarter is as follows: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No Incentive Fee on Income is payable to the Adviser in any quarter in which our Pre-Incentive Fee Net Investment Income does not exceed the “hurdle rate” of 1.75%;</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100% of our Pre-Incentive Fee Net Investment Income, if any, that exceeds the “hurdle rate,” but is less than or equal to 2.19% in any quarter (8.76% annualized), will be payable to the Adviser. We refer to this portion of our Incentive Fee on Income as the catch up. It is intended to provide an Incentive Fee on Income of 20% on all of our Pre-Incentive Fee Net Investment Income when our Pre-Incentive Fee Net Investment Income exceeds 2.19% in any quarter;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For any quarter in which our Pre-Incentive Fee Net Investment Income exceeds 2.19%, the Incentive Fee on Income shall equal 20% of the amount of our Pre-Incentive Fee Net Investment Income, because the preferred return and catch up will have been achieved;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For purposes of computing the Incentive Fee on Income, the calculation methodology will look through derivatives or swaps as if we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us to the derivative or swap counterparty) will be included in the calculation of Pre-Incentive Fee Net Investment Income for purposes of the Incentive Fee on Income.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See Part I, Item 1 “</w:t>
      </w:r>
      <w:r>
        <w:rPr>
          <w:rFonts w:ascii="Times New Roman" w:hAnsi="Times New Roman"/>
          <w:i/>
          <w:color w:val="000000"/>
          <w:sz w:val="20"/>
          <w:bdr w:val="single" w:sz="12" w:space="4" w:color="000000"/>
          <w:shd w:fill="FFFFFF" w:val="clear"/>
        </w:rPr>
        <w:t>BUSINESS – Investment Advisory Agreement</w:t>
      </w:r>
      <w:r>
        <w:rPr>
          <w:rFonts w:ascii="Times New Roman" w:hAnsi="Times New Roman"/>
          <w:color w:val="000000"/>
          <w:sz w:val="20"/>
          <w:bdr w:val="single" w:sz="12" w:space="4" w:color="000000"/>
          <w:shd w:fill="FFFFFF" w:val="clear"/>
        </w:rPr>
        <w:t>” in our most recent Annual Report on Form 10-K.</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Administration Agreement</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have entered into an Administration Agreement with the Adviser, under which the Adviser provides administrative services for us, including office facilities and equipment and clerical, bookkeeping and record-keeping services at such facilities. Under the Administration Agreement, the Adviser also performs, or oversees the performance of, our required administrative services, which includes being responsible for the financial records which we are required to maintain and preparing reports to our stockholders and reports filed with the SEC. In addition, the Adviser assists us in determining and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In addition, pursuant to the terms of the Administration Agreement, the Adviser may delegate its obligations under the Administration Agreement to an affiliate or to a third-party and we will reimburse the Adviser for any services performed for it by such affiliate or third-party.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reimburse our administrator, the Adviser, for the costs and expenses incurred by the Adviser in performing its obligations and providing personnel and facilities under the Administration Agreement (including costs and expenses incurred by the Adviser in connection with the delegation of its obligations under the Administration Agreement to a sub-administrator).</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See Part I, Item 1 “</w:t>
      </w:r>
      <w:r>
        <w:rPr>
          <w:rFonts w:ascii="Times New Roman" w:hAnsi="Times New Roman"/>
          <w:i/>
          <w:color w:val="000000"/>
          <w:sz w:val="20"/>
          <w:bdr w:val="single" w:sz="12" w:space="4" w:color="000000"/>
          <w:shd w:fill="FFFFFF" w:val="clear"/>
        </w:rPr>
        <w:t>BUSINESS - Administration Agreement</w:t>
      </w:r>
      <w:r>
        <w:rPr>
          <w:rFonts w:ascii="Times New Roman" w:hAnsi="Times New Roman"/>
          <w:color w:val="000000"/>
          <w:sz w:val="20"/>
          <w:bdr w:val="single" w:sz="12" w:space="4" w:color="000000"/>
          <w:shd w:fill="FFFFFF" w:val="clear"/>
        </w:rPr>
        <w:t>” in our most recent Annual Report on Form 10-K for further information.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Potential Market Trends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believe the lower middle-market and the middle-market lending environment provides opportunities for us to meet our goal of making investments that generate attractive risk-adjusted returns based on a combination of the following factors, which continue to remain true in the current environment.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 xml:space="preserve">Limited Availability of Capital for Both Cannabis Companies and Non-Cannabis Lower Middle-Market Companies. </w:t>
      </w:r>
      <w:r>
        <w:rPr>
          <w:rFonts w:ascii="Times New Roman" w:hAnsi="Times New Roman"/>
          <w:color w:val="000000"/>
          <w:sz w:val="20"/>
          <w:bdr w:val="single" w:sz="12" w:space="4" w:color="000000"/>
          <w:shd w:fill="FFFFFF" w:val="clear"/>
        </w:rPr>
        <w:t>We believe that regulatory and structural changes in the market have generally reduced the amount of capital available to U.S. lower middle-market and middle-market companies, and, specifically, to cannabis companies. We believe that many commercial and investment banks have, in recent years, de-emphasized their service and product offerings to lower middle-market businesses in favor of lending to large corporate clients and managing capital markets transactions. In addition, these lenders may be constrained in their ability to underwrite and hold bank loans and high-yield securities for lower middle-market issuers as they seek to meet existing and future regulatory capital requirements. We also believe that there is a lack of market participants that are willing to hold meaningful amounts of certain lower middle-market loans. As a result, we believe our ability to minimize syndication risk for a company seeking financing by being able to hold its loans without having to syndicate them, coupled with reduced capacity of traditional lenders to serve the lower middle-market, present an attractive opportunity to invest in lower middle-market companies.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 xml:space="preserve">Robust Demand for Debt and Equity Capital. </w:t>
      </w:r>
      <w:r>
        <w:rPr>
          <w:rFonts w:ascii="Times New Roman" w:hAnsi="Times New Roman"/>
          <w:color w:val="000000"/>
          <w:sz w:val="20"/>
          <w:bdr w:val="single" w:sz="12" w:space="4" w:color="000000"/>
          <w:shd w:fill="FFFFFF" w:val="clear"/>
        </w:rPr>
        <w:t>We believe U.S.-based cannabis companies and lower middle-market non-cannabis companies will continue to require access to debt capital to support growth, refinance existing debt, and finance acquisitions. We expect that private equity sponsors and entrepreneurs will continue to pursue acquisitions and leverage their equity investments with secured and unsecured loans provided by companies such as us.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Attractive Investment Dynamics.</w:t>
      </w:r>
      <w:r>
        <w:rPr>
          <w:rFonts w:ascii="Times New Roman" w:hAnsi="Times New Roman"/>
          <w:i/>
          <w:color w:val="000000"/>
          <w:sz w:val="20"/>
          <w:bdr w:val="single" w:sz="12" w:space="4" w:color="000000"/>
          <w:shd w:fill="FFFFFF" w:val="clear"/>
        </w:rPr>
        <w:t> </w:t>
      </w:r>
      <w:r>
        <w:rPr>
          <w:rFonts w:ascii="Times New Roman" w:hAnsi="Times New Roman"/>
          <w:color w:val="000000"/>
          <w:sz w:val="20"/>
          <w:bdr w:val="single" w:sz="12" w:space="4" w:color="000000"/>
          <w:shd w:fill="FFFFFF" w:val="clear"/>
        </w:rPr>
        <w:t>An imbalance between the supply of, and demand for, cannabis debt capital and lower middle-market loans creates attractive pricing dynamics. We believe the directly negotiated nature of direct 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and other niche lower middle-market companies provides a strong basis for success.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Conservative Capital Structures.</w:t>
      </w:r>
      <w:r>
        <w:rPr>
          <w:rFonts w:ascii="Times New Roman" w:hAnsi="Times New Roman"/>
          <w:i/>
          <w:color w:val="000000"/>
          <w:sz w:val="20"/>
          <w:bdr w:val="single" w:sz="12" w:space="4" w:color="000000"/>
          <w:shd w:fill="FFFFFF" w:val="clear"/>
        </w:rPr>
        <w:t> </w:t>
      </w:r>
      <w:r>
        <w:rPr>
          <w:rFonts w:ascii="Times New Roman" w:hAnsi="Times New Roman"/>
          <w:color w:val="000000"/>
          <w:sz w:val="20"/>
          <w:bdr w:val="single" w:sz="12" w:space="4" w:color="000000"/>
          <w:shd w:fill="FFFFFF" w:val="clear"/>
        </w:rPr>
        <w:t>Given the limited access to credit for the cannabis industry and businesses in the lower middle-market, such companies have typically been funded with equity capital from entrepreneurs, family offices and, to a lesser extent, smaller private equity firms. The significant amount of equity invested in these companies should provide us with opportunities to lend to companies that have a larger percentage of equity as a percentage of their total capitalization than middle-market and upper middle-market companies. With more conservative capital structures, federally legal cannabis companies and other companies in the lower middle-market can have higher levels of cash flows available to service their debt. In addition, we generally expect borrowers we target to have simpler capital structures than larger borrowers, which facilitates a streamlined underwriting process and, when necessary, restructuring process.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Attractive Opportunities in Investments in Loans.</w:t>
      </w:r>
      <w:r>
        <w:rPr>
          <w:rFonts w:ascii="Times New Roman" w:hAnsi="Times New Roman"/>
          <w:i/>
          <w:color w:val="000000"/>
          <w:sz w:val="20"/>
          <w:bdr w:val="single" w:sz="12" w:space="4" w:color="000000"/>
          <w:shd w:fill="FFFFFF" w:val="clear"/>
        </w:rPr>
        <w:t> </w:t>
      </w:r>
      <w:r>
        <w:rPr>
          <w:rFonts w:ascii="Times New Roman" w:hAnsi="Times New Roman"/>
          <w:color w:val="000000"/>
          <w:sz w:val="20"/>
          <w:bdr w:val="single" w:sz="12" w:space="4" w:color="000000"/>
          <w:shd w:fill="FFFFFF" w:val="clear"/>
        </w:rPr>
        <w:t>We invest in senior secured or unsecured loans, subordinated loans or mezzanine loans, equity and equity-related securities. We believe that opportunities in loans are significant because of the floating rate structure of most senior secured debt issuances and because of the strong defensive characteristics of these types of investments. Given the current low interest rate environment, we believe that debt issued with floating interest rates and interest rate floors offer a superior return profile as compared with fixed-rate investments, since floating rate structures are generally less susceptible to declines in value experienced by fixed-rate securities in a volatile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Attractive Opportunities in Equity Investments.</w:t>
      </w:r>
      <w:r>
        <w:rPr>
          <w:rFonts w:ascii="Times New Roman" w:hAnsi="Times New Roman"/>
          <w:i/>
          <w:color w:val="000000"/>
          <w:sz w:val="20"/>
          <w:bdr w:val="single" w:sz="12" w:space="4" w:color="000000"/>
          <w:shd w:fill="FFFFFF" w:val="clear"/>
        </w:rPr>
        <w:t> </w:t>
      </w:r>
      <w:r>
        <w:rPr>
          <w:rFonts w:ascii="Times New Roman" w:hAnsi="Times New Roman"/>
          <w:color w:val="000000"/>
          <w:sz w:val="20"/>
          <w:bdr w:val="single" w:sz="12" w:space="4" w:color="000000"/>
          <w:shd w:fill="FFFFFF" w:val="clear"/>
        </w:rPr>
        <w:t>We believe that opportunities to invest in the equity of federally legal cannabis and non-cannabis businesses are significant. We expect that our ability to identify emerging businesses and to provide credit to these businesses will provide us with proprietary equity investment opportunities. Our management team’s experience investing in and operating businesses in the federally legal cannabis industry and in the lower middle-market will help us identify high-quality businesses, and our management team’s expertise will be beneficial to our portfolio companies.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Potential Competitive Advantages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believe that our Adviser is one of only a select group of specialty lenders that has its depth of knowledge, experience, and track record in lending to businesses in the cannabis industry and the lower middle-market. Our other potential competitive advantages include: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Deep Industry and Operating Expertise</w:t>
      </w:r>
      <w:r>
        <w:rPr>
          <w:rFonts w:ascii="Times New Roman" w:hAnsi="Times New Roman"/>
          <w:color w:val="000000"/>
          <w:sz w:val="20"/>
          <w:u w:val="single"/>
          <w:bdr w:val="single" w:sz="12" w:space="4" w:color="000000"/>
          <w:shd w:fill="FFFFFF" w:val="clear"/>
        </w:rPr>
        <w:t>.</w:t>
      </w:r>
      <w:r>
        <w:rPr>
          <w:rFonts w:ascii="Times New Roman" w:hAnsi="Times New Roman"/>
          <w:color w:val="000000"/>
          <w:sz w:val="20"/>
          <w:bdr w:val="single" w:sz="12" w:space="4" w:color="000000"/>
          <w:shd w:fill="FFFFFF" w:val="clear"/>
        </w:rPr>
        <w:t xml:space="preserve"> Our Adviser has deep industry and operating expertise on its management team and advisory board. Our Adviser has the ability to tap into this expertise for each of our target investment opportunities. The expertise, knowledge and experience of these individuals allows them to understand and evaluate the business plans, products and financing needs of businesses in the cannabis industry and across the middle-market.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Direct Origination Networks That Benefit from Relationships with Entrepreneurs, Business Brokers and Private Equity Firms.</w:t>
      </w:r>
      <w:r>
        <w:rPr>
          <w:rFonts w:ascii="Times New Roman" w:hAnsi="Times New Roman"/>
          <w:color w:val="000000"/>
          <w:sz w:val="20"/>
          <w:bdr w:val="single" w:sz="12" w:space="4" w:color="000000"/>
          <w:shd w:fill="FFFFFF" w:val="clear"/>
        </w:rPr>
        <w:t> Our Adviser seeks to be the first contact for professionals focused on raising capital for businesses in the cannabis industry and the lower middle-market. Given the history of our Adviser’s management team and advisory board as investors in the cannabis industry and the lower middle-market, they have established relationships with the major investment banks and business brokers across various industries. Our Adviser also focuses on sourcing investment opportunities from private equity and venture capital firms that have been active in cannabis or the lower middle-market more broadly. Given our Adviser’s reputation in lending to these types of companies, it also receives referrals directly from executive officers of businesses across many industries.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Dedicated Staff of Professionals Covering Investment Origination and Underwriting, as well as Portfolio Management Functions.</w:t>
      </w:r>
      <w:r>
        <w:rPr>
          <w:rFonts w:ascii="Times New Roman" w:hAnsi="Times New Roman"/>
          <w:color w:val="000000"/>
          <w:sz w:val="20"/>
          <w:bdr w:val="single" w:sz="12" w:space="4" w:color="000000"/>
          <w:shd w:fill="FFFFFF" w:val="clear"/>
        </w:rPr>
        <w:t> Our Adviser has a broad team of professionals focused on every aspect of the industries and opportunities we focus on. Our Adviser has an investment team that manages and oversees our investment process from identification of investment opportunity through negotiations of final term sheet and investment in a portfolio company. The team members serving our investment management and oversight functions have significant industry and operating experience.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Structure of Investments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Our investment objective is to maximize risk adjusted returns on equity for our shareholders.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expect that generally our portfolio composition will be majority debt or income producing securities, which may include “covenant-lite” loans, with a lesser allocation to equity or equity-linked opportunities. In addition, we may invest a portion of our portfolio in opportunistic investments, which will not be our primary focus, but will be intended to enhance returns to our shareholders and from time to time, we may evaluate and enter into strategic portfolio transactions which may result in additional portfolio companies which we are considered to control. These investments may include high-yield bonds and broadly-syndicated loans, which are typically originated and structured by banks on behalf of large corporate borrowers with employee counts, revenues, EBITDAs and enterprise values larger than the middle market characteristics described herein, and equity investments in portfolio companies that make senior secured loans or invest in broadly syndicated loans or structured products, such as life settlements and royalty interests. Our portfolio composition may fluctuate from time to time based on market conditions and interest rates.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Covenants are contractual restrictions that lenders place on companies to limit the corporate actions a company may pursue. Generally, the loans in which we expect to invest will have financial maintenance covenants, which are used to proactively address materially adverse changes in a portfolio company’s financial performance. However, to a lesser extent, we may invest in “covenant-lite” loans.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Debt Investments.</w:t>
      </w:r>
      <w:r>
        <w:rPr>
          <w:rFonts w:ascii="Times New Roman" w:hAnsi="Times New Roman"/>
          <w:color w:val="000000"/>
          <w:sz w:val="20"/>
          <w:bdr w:val="single" w:sz="12" w:space="4" w:color="000000"/>
          <w:shd w:fill="FFFFFF" w:val="clear"/>
        </w:rPr>
        <w:t xml:space="preserve"> The terms of our debt investments are tailored to the facts and circumstances of each transaction. The Adviser negotiates the structure of each investment to protect our rights and manage our risk. We generally invest in the following types of debt:</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First-lien debt.</w:t>
            </w:r>
            <w:r>
              <w:rPr/>
              <w:t xml:space="preserve"> First-lien debt typically is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“unitranche” loans (including “last out” portions of such loans), and secured corporate bonds with similar features to these categories of first-lien loans.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Stand-alone first lien loans.</w:t>
            </w:r>
            <w:r>
              <w:rPr/>
              <w:t xml:space="preserve"> Stand-alone first-lien loans are traditional first-lien loans. All lenders in the facility have equal rights to the collateral that is subject to the first-priority security interest.</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Unitranche loans.</w:t>
            </w:r>
            <w:r>
              <w:rPr/>
              <w:t xml:space="preserve"> Unitranche loans (including the “last out” portions of such loans) combine features of first-lien, second-lien and mezzanine debt, generally in a first-lien position. In many cases, we may provide the issuer most, if not all, of the capital structure above their equity. The primary advantages to the issuer are the ability to negotiate the entire debt financing with one lender and the elimination of intercreditor issues. “Last out” first-lien loans have a secondary priority behind super-senior “first out” first-lien loans in the collateral securing the loans in certain circumstances. The arrangements for a “last out” first-lien loan are typically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 Among the types of first-lien debt in which we may invest, “last out” first-lien loans generally have higher effective interest rates than other types of first-lien loans, since “last out” first-lien loans rank below standalone first-lien loans.</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Second-lien debt.</w:t>
            </w:r>
            <w:r>
              <w:rPr/>
              <w:t xml:space="preserve"> Our second-lien debt may include secured loans, and, to a lesser extent, secured corporate bonds, with a secondary priority behind first-lien debt. Second-lien debt typically is senior on a lien basis to unsecured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Mezzanine debt.</w:t>
            </w:r>
            <w:r>
              <w:rPr/>
              <w:t xml:space="preserve"> Structurally, mezzanine debt usually ranks subordinate in priority of payment to first-lien and second-lien debt, is often 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which could be paid-in-kind, and may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i/>
              </w:rPr>
              <w:t>Broadly syndicated loans.</w:t>
            </w:r>
            <w:r>
              <w:rPr/>
              <w:t xml:space="preserve"> Broadly syndicated loans (whose features are similar to those described under “First-lien debt” and “Second-lien debt” above) are typically originated and structured by banks on behalf of large corporate borrowers with employee counts, revenues, EBITDAs, and enterprise values larger than the middle-market characteristics described above. The proceeds of broadly syndicated loans are often used for leveraged buyout transactions, mergers and acquisitions, recapitalizations, refinancings, and financing capital expenditures. Broadly syndicated loans are typically distributed by the arranging bank to a diverse group of investors primarily consisting of: collateralized loan obligations; senior secured loan and high yield bond mutual funds; closed-end funds, hedge funds, banks, and insurance companies; and finance companies. A borrower must comply with various covenants contained in a loan agreement or note purchase agreement between the borrower and the holders of the broadly syndicated loan. The broadly syndicated loans in which we invest may include loans that are considered “covenant-lite” loans, because of their lack of a full set of financial maintenance covenants.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Our debt investments are typically structured with the maximum seniority and collateral that we can reasonably obtain while seeking to achieve our total return target. The Adviser seeks to limit the downside potential of our investments by:</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requiring a total return on our investments (including both interest and potential equity appreciation) that compensates us for credit risk;</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negotiating covenants in connection with our investments consistent with preservation of our capital. Such restrictions may include affirmative covenants (including reporting requirements), negative covenants (including financial maintenance covenants), lien protection, limitations on debt incurrence, restrictions on asset sales, downside and liquidation cases, restrictions on dividends and other payments, cash flow sweeps, collateral protection, required debt amortization, change of control provisions and board rights, including either observation rights or rights to a seat on the board under some circumstances; and</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including debt amortization requirements, where appropriate, to require the timely repayment of principal of the loan, as well as appropriate maturity dates.</w:t>
            </w:r>
          </w:p>
        </w:tc>
      </w:tr>
    </w:tbl>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Within our portfolio, the Adviser aims to maintain the appropriate proportion among the various types of first-lien loans, as well as second-lien debt and mezzanine debt, to allow us to achieve our target returns while maintaining our targeted amount of credit risk.</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i/>
          <w:color w:val="000000"/>
          <w:sz w:val="20"/>
          <w:u w:val="single"/>
          <w:bdr w:val="single" w:sz="12" w:space="4" w:color="000000"/>
          <w:shd w:fill="FFFFFF" w:val="clear"/>
        </w:rPr>
        <w:t>Equity Investments.</w:t>
      </w:r>
      <w:r>
        <w:rPr>
          <w:rFonts w:ascii="Times New Roman" w:hAnsi="Times New Roman"/>
          <w:color w:val="000000"/>
          <w:sz w:val="20"/>
          <w:bdr w:val="single" w:sz="12" w:space="4" w:color="000000"/>
          <w:shd w:fill="FFFFFF" w:val="clear"/>
        </w:rPr>
        <w:t xml:space="preserve"> Our investment in a portfolio company could be or may include an equity interest, such as common stock or preferred stock, or equity linked interest, such as a warrant or profit participation right. We may make direct and indirect equity investments with or without a concurrent investment in a more senior part of the capital structure of the issuer. Our equity investments are typically not control-oriented investments and we may structure such equity investments to include provisions protecting our rights as a minority-interest holder.</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Operating and Regulatory Structure</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are an externally managed, closed-end, non-diversified management investment company that has elected to be treated as a BDC under the 1940 Act. In addition, for U.S. federal income tax purposes, we have elected to be treated, and intend to qualify annually to be treated, as a RIC under Subchapter M of the Code. See “</w:t>
      </w:r>
      <w:r>
        <w:rPr>
          <w:rFonts w:ascii="Times New Roman" w:hAnsi="Times New Roman"/>
          <w:i/>
          <w:color w:val="000000"/>
          <w:sz w:val="20"/>
          <w:bdr w:val="single" w:sz="12" w:space="4" w:color="000000"/>
          <w:shd w:fill="FFFFFF" w:val="clear"/>
        </w:rPr>
        <w:t>Certain U.S. Federal Income Tax Considerations</w:t>
      </w:r>
      <w:r>
        <w:rPr>
          <w:rFonts w:ascii="Times New Roman" w:hAnsi="Times New Roman"/>
          <w:color w:val="000000"/>
          <w:sz w:val="20"/>
          <w:bdr w:val="single" w:sz="12" w:space="4" w:color="000000"/>
          <w:shd w:fill="FFFFFF" w:val="clear"/>
        </w:rPr>
        <w:t>” in this prospectus. As a BDC and a RIC, we are required to comply with certain regulatory requirements. See Part I, Item 1 “</w:t>
      </w:r>
      <w:r>
        <w:rPr>
          <w:rFonts w:ascii="Times New Roman" w:hAnsi="Times New Roman"/>
          <w:i/>
          <w:color w:val="000000"/>
          <w:sz w:val="20"/>
          <w:bdr w:val="single" w:sz="12" w:space="4" w:color="000000"/>
          <w:shd w:fill="FFFFFF" w:val="clear"/>
        </w:rPr>
        <w:t>BUSINESS – Business Development Company Regulations</w:t>
      </w:r>
      <w:r>
        <w:rPr>
          <w:rFonts w:ascii="Times New Roman" w:hAnsi="Times New Roman"/>
          <w:color w:val="000000"/>
          <w:sz w:val="20"/>
          <w:bdr w:val="single" w:sz="12" w:space="4" w:color="000000"/>
          <w:shd w:fill="FFFFFF" w:val="clear"/>
        </w:rPr>
        <w:t>” in our most recent Annual Report on Form 10-K, and “</w:t>
      </w:r>
      <w:r>
        <w:rPr>
          <w:rFonts w:ascii="Times New Roman" w:hAnsi="Times New Roman"/>
          <w:i/>
          <w:color w:val="000000"/>
          <w:sz w:val="20"/>
          <w:bdr w:val="single" w:sz="12" w:space="4" w:color="000000"/>
          <w:shd w:fill="FFFFFF" w:val="clear"/>
        </w:rPr>
        <w:t>Certain U.S. Federal Income Tax Considerations</w:t>
      </w:r>
      <w:r>
        <w:rPr>
          <w:rFonts w:ascii="Times New Roman" w:hAnsi="Times New Roman"/>
          <w:color w:val="000000"/>
          <w:sz w:val="20"/>
          <w:bdr w:val="single" w:sz="12" w:space="4" w:color="000000"/>
          <w:shd w:fill="FFFFFF" w:val="clear"/>
        </w:rPr>
        <w:t>” in this prospectus. Our investment activities are managed by the Adviser and supervised by the Board, a majority of whom are Independent Directors.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Certain Relationships and Related Transactions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have entered into both the Investment Advisory Agreement and the Administration Agreement with the Adviser. Pursuant to the Investment Advisory Agreement, we will pay the Adviser a base management fee and an incentive fee. See Part I, Item 1 “</w:t>
      </w:r>
      <w:r>
        <w:rPr>
          <w:rFonts w:ascii="Times New Roman" w:hAnsi="Times New Roman"/>
          <w:i/>
          <w:color w:val="000000"/>
          <w:sz w:val="20"/>
          <w:bdr w:val="single" w:sz="12" w:space="4" w:color="000000"/>
          <w:shd w:fill="FFFFFF" w:val="clear"/>
        </w:rPr>
        <w:t>BUSINESS</w:t>
      </w:r>
      <w:r>
        <w:rPr>
          <w:rFonts w:ascii="Times New Roman" w:hAnsi="Times New Roman"/>
          <w:color w:val="000000"/>
          <w:sz w:val="20"/>
          <w:bdr w:val="single" w:sz="12" w:space="4" w:color="000000"/>
          <w:shd w:fill="FFFFFF" w:val="clear"/>
        </w:rPr>
        <w:t xml:space="preserve"> - </w:t>
      </w:r>
      <w:r>
        <w:rPr>
          <w:rFonts w:ascii="Times New Roman" w:hAnsi="Times New Roman"/>
          <w:i/>
          <w:color w:val="000000"/>
          <w:sz w:val="20"/>
          <w:bdr w:val="single" w:sz="12" w:space="4" w:color="000000"/>
          <w:shd w:fill="FFFFFF" w:val="clear"/>
        </w:rPr>
        <w:t>Investment Advisory Agreement</w:t>
      </w:r>
      <w:r>
        <w:rPr>
          <w:rFonts w:ascii="Times New Roman" w:hAnsi="Times New Roman"/>
          <w:color w:val="000000"/>
          <w:sz w:val="20"/>
          <w:bdr w:val="single" w:sz="12" w:space="4" w:color="000000"/>
          <w:shd w:fill="FFFFFF" w:val="clear"/>
        </w:rPr>
        <w:t>” in our most recent Annual Report on Form 10-K for a description of how the fees payable to the Adviser will be determined. Pursuant to the Administration Agreement, we will reimburse the Adviser for expenses necessary to perform services related to our administration and operations. See Part I, Item 1 “</w:t>
      </w:r>
      <w:r>
        <w:rPr>
          <w:rFonts w:ascii="Times New Roman" w:hAnsi="Times New Roman"/>
          <w:i/>
          <w:color w:val="000000"/>
          <w:sz w:val="20"/>
          <w:bdr w:val="single" w:sz="12" w:space="4" w:color="000000"/>
          <w:shd w:fill="FFFFFF" w:val="clear"/>
        </w:rPr>
        <w:t>BUSINESS - Administration Agreement</w:t>
      </w:r>
      <w:r>
        <w:rPr>
          <w:rFonts w:ascii="Times New Roman" w:hAnsi="Times New Roman"/>
          <w:color w:val="000000"/>
          <w:sz w:val="20"/>
          <w:bdr w:val="single" w:sz="12" w:space="4" w:color="000000"/>
          <w:shd w:fill="FFFFFF" w:val="clear"/>
        </w:rPr>
        <w:t>” in our most recent Annual Report on Form 10-K for a description of services for which we reimburse the Adviser. In addition, the Adviser or its affiliates may engage in certain origination activities and receive attendant arrangement, structuring or similar fees.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have entered into a license agreement with the Adviser, pursuant to which the Adviser has agreed to grant us a nonexclusive, royalty-free license to use the name “Chicago Atlantic.” Under this agreement, we will have a right to use the “Chicago Atlantic” name for so long as the Adviser or one of its affiliates remains our investment adviser. Other than with respect to this limited license, we will have no legal right to the “Chicago Atlantic” name.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Chicago Atlantic Admin, LLC (the “Loan Administrator”), serves as a loan administrator and collateral agent for certain loans within the Company’s investment portfolio. Among other customary responsibilities as described in each respective loan document, the Loan Administrator is responsible for: (a) the collection of interest, loan fees, and principal payments from portfolio companies, and (b) the subsequent disbursement of the allocable portion of such collections to the lender(s), including the Company. The Loan Administrator is a wholly-owned subsidiary of Chicago Atlantic Group, LP.</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93f74ccc65ce48ce953364a38d700b52"/>
      <w:bookmarkStart w:id="45" w:name="z93f74ccc65ce48ce953364a38d700b52"/>
      <w:bookmarkEnd w:id="45"/>
    </w:p>
    <w:tbl>
      <w:tblPr>
        <w:tblW w:w="166" w:type="dxa"/>
        <w:jc w:val="left"/>
        <w:tblInd w:w="0" w:type="dxa"/>
        <w:tblLayout w:type="fixed"/>
        <w:tblCellMar>
          <w:top w:w="0" w:type="dxa"/>
          <w:left w:w="0" w:type="dxa"/>
          <w:bottom w:w="0" w:type="dxa"/>
          <w:right w:w="0" w:type="dxa"/>
        </w:tblCellMar>
      </w:tblPr>
      <w:tblGrid>
        <w:gridCol w:w="68"/>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have entered into indemnification agreements with our directors and executive officers. The indemnification agreements are intended to provide our directors and executive officers with the maximum indemnification permitted under Maryland law and the 1940 Act. Each indemnification agreement provides that we will indemnify the director or executive officer who is a party to the agreement, including the advancement of legal expenses, if, by reason of his or her corporate status, such director or executive officer is, or is threatened to be, made a party to or a witness in any threatened, pending, or completed proceeding, to the maximum extent permitted by Maryland law and the 1940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Our executive officers and directors, and certain members of the Adviser, serve or may serve as officers, directors or principals of entities that may operate in the same or a related line of business as us or as investment funds managed by our affiliates. For example, the Adviser and its affiliates manage the Chicago Atlantic Credit Clients, and may also manage other funds in the future that have investment mandates that are similar, in whole or in part, to our investment mandate. Accordingly, they may have obligations to investors in those entities, the fulfillment of which might not be in the best interests of us or our stockholders. For example, the principals of the Adviser may face conflicts of interest in the allocation of investment opportunities to us and such other funds. This conflict of interest could be amplified if our investment advisory fees are lower than those of such other funds.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In order to address potential conflicts of interest, the Adviser and its affiliates have adopted an investment allocation policy that governs the allocation of investment opportunities among the investment funds and other accounts managed by the Adviser and its affiliates. To the extent an investment opportunity is appropriate for either or both of the Company and/or any other investment fund or other account managed by the Adviser or its affiliates, and co-investment is not possible, the Adviser and its affiliates will adhere to their investment allocation policy in order to determine to which account to allocate the opportunity.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the Adviser and certain of our affiliates have been granted an order for exemptive relief (the “Order”) by the SEC to co-invest with other funds managed by the Adviser or its affiliates in a manner consistent with our investment objective, positions, policies, strategies and restrictions as well as regulatory requirements and other pertinent factors. Pursuant to the Order, we generally are permitted to co-invest with certain of our affiliates if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shareholders and do not involve overreaching by us or our shareholders on the part of any person concerned, (2) the transaction is consistent with the interests of our shareholders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the Adviser or its affiliates or any affiliated person of any of them (other than the parties to the transaction), except to the extent permitted by the Order and applicable law, including the limitations set forth in Section 57(k) of the 1940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If the Company is unable to rely on the exemptive relief for a particular opportunity, such opportunity will be allocated in accordance with the investment allocation policy. Although the Adviser and its affiliates will endeavor to allocate investment opportunities in a fair and equitable manner, we and our stockholders could be adversely affected to the extent investment opportunities are allocated among us and other investment vehicles managed by the Adviser or its affiliates.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The investment allocation policy is also designed to manage and mitigate the conflicts of interest associated with the allocation of investment opportunities if we are able to co-invest, either pursuant to SEC interpretive positions or our exemptive order, with other accounts managed by the Adviser or its affiliates. Generally, under the investment allocation policy, co-investments will be allocated pursuant to the conditions of the exemptive order. Under the investment allocation policy, a portion of each opportunity that is appropriate for us and any affiliated fund or other account, which may vary based on asset class and liquidity, among other factors, will generally be offered to us and such other eligible accounts, as determined by the Adviser and its affiliates.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If there is a sufficient amount of securities to satisfy all participants, each order will be fulfilled as placed. If there is an insufficient amount of securities to satisfy all participants, the securities will generally be allocated pro rata based on each participant’s order size or available capital.</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In accordance with the investment allocation policy, the Company might not participate in each individual opportunity, but will, on an overall basis, be entitled to participate equitably with other accounts managed by the Adviser and its affiliates. The Adviser and its affiliates seek to treat all clients fairly and equitably in a manner consistent with their fiduciary duty to each of them; however, in some instances, especially in instances of limited liquidity, the factors may not result in pro rata allocations or may result in situations where certain accounts receive allocations where others do not.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See “</w:t>
      </w:r>
      <w:r>
        <w:rPr>
          <w:rFonts w:ascii="Times New Roman" w:hAnsi="Times New Roman"/>
          <w:i/>
          <w:color w:val="000000"/>
          <w:sz w:val="20"/>
          <w:bdr w:val="single" w:sz="12" w:space="4" w:color="000000"/>
          <w:shd w:fill="FFFFFF" w:val="clear"/>
        </w:rPr>
        <w:t>CERTAIN RELATIONSHIPS AND RELATED PARTY TRANSACTIONS</w:t>
      </w:r>
      <w:r>
        <w:rPr>
          <w:rFonts w:ascii="Times New Roman" w:hAnsi="Times New Roman"/>
          <w:color w:val="000000"/>
          <w:sz w:val="20"/>
          <w:bdr w:val="single" w:sz="12" w:space="4" w:color="000000"/>
          <w:shd w:fill="FFFFFF" w:val="clear"/>
        </w:rPr>
        <w:t>” in our most recent Annual Proxy Statement.</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Corporate Information</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left"/>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 xml:space="preserve">Our principal executive offices are located at 600 Madison Avenue, Suite 1800, New York, NY 10022 and our telephone number is (212) 905-4923. Our corporate website is located at </w:t>
      </w:r>
      <w:r>
        <w:rPr>
          <w:rFonts w:ascii="Times New Roman" w:hAnsi="Times New Roman"/>
          <w:i/>
          <w:color w:val="000000"/>
          <w:sz w:val="20"/>
          <w:bdr w:val="single" w:sz="12" w:space="4" w:color="000000"/>
          <w:shd w:fill="FFFFFF" w:val="clear"/>
        </w:rPr>
        <w:t>lien.chicagoatlantic.com</w:t>
      </w:r>
      <w:r>
        <w:rPr>
          <w:rFonts w:ascii="Times New Roman" w:hAnsi="Times New Roman"/>
          <w:color w:val="000000"/>
          <w:sz w:val="20"/>
          <w:bdr w:val="single" w:sz="12" w:space="4" w:color="000000"/>
          <w:shd w:fill="FFFFFF" w:val="clear"/>
        </w:rPr>
        <w:t>. Information on our website is not incorporated into or a part of this prospectus.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Leverage</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may borrow money from time to time if, immediately after such borrowing, the ratio of our total assets (less total liabilities other than indebtedness represented by senior securities) to our total indebtedness represented by senior securities plus preferred stock, if any, is at least 150%. This means that generally, we can borrow up to $2 for every $1 of investor equity. See Part I, Item 1 “</w:t>
      </w:r>
      <w:r>
        <w:rPr>
          <w:rFonts w:ascii="Times New Roman" w:hAnsi="Times New Roman"/>
          <w:i/>
          <w:color w:val="000000"/>
          <w:sz w:val="20"/>
          <w:bdr w:val="single" w:sz="12" w:space="4" w:color="000000"/>
          <w:shd w:fill="FFFFFF" w:val="clear"/>
        </w:rPr>
        <w:t>BUSINESS – Business Development Company Regulations</w:t>
      </w:r>
      <w:r>
        <w:rPr>
          <w:rFonts w:ascii="Times New Roman" w:hAnsi="Times New Roman"/>
          <w:color w:val="000000"/>
          <w:sz w:val="20"/>
          <w:bdr w:val="single" w:sz="12" w:space="4" w:color="000000"/>
          <w:shd w:fill="FFFFFF" w:val="clear"/>
        </w:rPr>
        <w:t>” and Part I, Item 1A “</w:t>
      </w:r>
      <w:r>
        <w:rPr>
          <w:rFonts w:ascii="Times New Roman" w:hAnsi="Times New Roman"/>
          <w:i/>
          <w:color w:val="000000"/>
          <w:sz w:val="20"/>
          <w:bdr w:val="single" w:sz="12" w:space="4" w:color="000000"/>
          <w:shd w:fill="FFFFFF" w:val="clear"/>
        </w:rPr>
        <w:t xml:space="preserve">Risk Factors - Risks Relating to Our Use of Leverage and Credit Facilities – If we borrow money, the potential for loss on amounts invested in us will be magnified and may increase the risk of investing in us.” </w:t>
      </w:r>
      <w:r>
        <w:rPr>
          <w:rFonts w:ascii="Times New Roman" w:hAnsi="Times New Roman"/>
          <w:color w:val="000000"/>
          <w:sz w:val="20"/>
          <w:bdr w:val="single" w:sz="12" w:space="4" w:color="000000"/>
          <w:shd w:fill="FFFFFF" w:val="clear"/>
        </w:rPr>
        <w:t>in our most recent Annual Report on Form 10-K.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bdr w:val="single" w:sz="12" w:space="4" w:color="000000"/>
          <w:shd w:fill="FFFFFF" w:val="clear"/>
        </w:rPr>
      </w:pPr>
      <w:r>
        <w:rPr>
          <w:rFonts w:ascii="Times New Roman" w:hAnsi="Times New Roman"/>
          <w:color w:val="000000"/>
          <w:sz w:val="20"/>
          <w:u w:val="single"/>
          <w:bdr w:val="single" w:sz="12" w:space="4" w:color="000000"/>
          <w:shd w:fill="FFFFFF" w:val="clear"/>
        </w:rPr>
        <w:t>The Credit Agreement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On February 11, 2025, the Company entered into a senior secured revolving credit agreement (the “Credit Agreement”) among the Company, as borrower, Western Alliance Trust Company, N.A. (“WATC”), as administrative agent, Western Alliance Bank, as an issuing bank and as the initial lender, and the other lenders party thereto from time to time.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Under the Credit Agreement, the lenders have agreed to extend credit to the Company on a revolving basis in an initial aggregate amount of up to $100,000,000 with an option for the Company to request additional commitments, in a minimum amount of $5,000,000, at one or more times from existing and/or new lenders at their election. The Credit Agreement also provides for the issuance of letters of credit in an aggregate face amount of up to $5,000,000.</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Availability under the Credit Agreement (the “Revolving Period”) will terminate on February 11, 2027, and the Credit Agreement has a scheduled maturity date of March 31, 2028.</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Borrowings under the Credit Agreement bear interest at the annual rate of one-month term SOFR plus 3.00%, subject to a minimum interest rate of 6.00%.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We expect to use the Credit Agreement, along with proceeds from the rotation of our portfolio, to finance our investment objectives. As of December 31, 2025, we had $25,000,000 in outstanding borrowings and approximately $75,000,000 available under the Credit Agreement. See Part II, Item 7 “</w:t>
      </w:r>
      <w:r>
        <w:rPr>
          <w:rFonts w:ascii="Times New Roman" w:hAnsi="Times New Roman"/>
          <w:i/>
          <w:color w:val="000000"/>
          <w:sz w:val="20"/>
          <w:bdr w:val="single" w:sz="12" w:space="4" w:color="000000"/>
          <w:shd w:fill="FFFFFF" w:val="clear"/>
        </w:rPr>
        <w:t>MANAGEMENT’S DISCUSSION AND ANALYSIS OF FINANCIAL CONDITION AND RESULTS OF OPERATIONS</w:t>
      </w:r>
      <w:r>
        <w:rPr>
          <w:rFonts w:ascii="Times New Roman" w:hAnsi="Times New Roman"/>
          <w:color w:val="000000"/>
          <w:sz w:val="20"/>
          <w:bdr w:val="single" w:sz="12" w:space="4" w:color="000000"/>
          <w:shd w:fill="FFFFFF" w:val="clear"/>
        </w:rPr>
        <w:t xml:space="preserve"> - </w:t>
      </w:r>
      <w:r>
        <w:rPr>
          <w:rFonts w:ascii="Times New Roman" w:hAnsi="Times New Roman"/>
          <w:i/>
          <w:color w:val="000000"/>
          <w:sz w:val="20"/>
          <w:bdr w:val="single" w:sz="12" w:space="4" w:color="000000"/>
          <w:shd w:fill="FFFFFF" w:val="clear"/>
        </w:rPr>
        <w:t>Debt</w:t>
      </w:r>
      <w:r>
        <w:rPr>
          <w:rFonts w:ascii="Times New Roman" w:hAnsi="Times New Roman"/>
          <w:color w:val="000000"/>
          <w:sz w:val="20"/>
          <w:bdr w:val="single" w:sz="12" w:space="4" w:color="000000"/>
          <w:shd w:fill="FFFFFF" w:val="clear"/>
        </w:rPr>
        <w:t>” in our most recent Annual Report on Form 10-K.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bdr w:val="single" w:sz="12" w:space="4" w:color="000000"/>
          <w:shd w:fill="FFFFFF" w:val="clear"/>
        </w:rPr>
      </w:pPr>
      <w:r>
        <w:rPr>
          <w:rFonts w:ascii="Times New Roman" w:hAnsi="Times New Roman"/>
          <w:b/>
          <w:color w:val="000000"/>
          <w:sz w:val="20"/>
          <w:bdr w:val="single" w:sz="12" w:space="4" w:color="000000"/>
          <w:shd w:fill="FFFFFF" w:val="clear"/>
        </w:rPr>
        <w:t>Risk Factors</w:t>
      </w:r>
    </w:p>
    <w:p>
      <w:pPr>
        <w:pStyle w:val="TextBody"/>
        <w:bidi w:val="0"/>
        <w:spacing w:before="0" w:after="0"/>
        <w:jc w:val="left"/>
        <w:rPr>
          <w:color w:val="000000"/>
          <w:bdr w:val="single" w:sz="12" w:space="4" w:color="000000"/>
          <w:shd w:fill="FFFFFF" w:val="clear"/>
        </w:rPr>
      </w:pPr>
      <w:r>
        <w:rPr>
          <w:color w:val="000000"/>
          <w:bdr w:val="single" w:sz="12" w:space="4" w:color="000000"/>
          <w:shd w:fill="FFFFFF" w:val="clear"/>
        </w:rPr>
        <w:t> </w:t>
      </w:r>
    </w:p>
    <w:p>
      <w:pPr>
        <w:pStyle w:val="TextBody"/>
        <w:bidi w:val="0"/>
        <w:spacing w:before="0" w:after="0"/>
        <w:ind w:left="0" w:right="0" w:firstLine="360"/>
        <w:jc w:val="left"/>
        <w:rPr>
          <w:rFonts w:ascii="Times New Roman" w:hAnsi="Times New Roman"/>
          <w:color w:val="000000"/>
          <w:sz w:val="20"/>
          <w:bdr w:val="single" w:sz="12" w:space="4" w:color="000000"/>
          <w:shd w:fill="FFFFFF" w:val="clear"/>
        </w:rPr>
      </w:pPr>
      <w:r>
        <w:rPr>
          <w:rFonts w:ascii="Times New Roman" w:hAnsi="Times New Roman"/>
          <w:color w:val="000000"/>
          <w:sz w:val="20"/>
          <w:bdr w:val="single" w:sz="12" w:space="4" w:color="000000"/>
          <w:shd w:fill="FFFFFF" w:val="clear"/>
        </w:rPr>
        <w:t>An investment in our securities involves a high degree of risk and may be considered speculative. You should carefully consider the information found under the captions Part I, Item 1A “</w:t>
      </w:r>
      <w:r>
        <w:rPr>
          <w:rFonts w:ascii="Times New Roman" w:hAnsi="Times New Roman"/>
          <w:i/>
          <w:color w:val="000000"/>
          <w:sz w:val="20"/>
          <w:bdr w:val="single" w:sz="12" w:space="4" w:color="000000"/>
          <w:shd w:fill="FFFFFF" w:val="clear"/>
        </w:rPr>
        <w:t>RISK FACTORS</w:t>
      </w:r>
      <w:r>
        <w:rPr>
          <w:rFonts w:ascii="Times New Roman" w:hAnsi="Times New Roman"/>
          <w:color w:val="000000"/>
          <w:sz w:val="20"/>
          <w:bdr w:val="single" w:sz="12" w:space="4" w:color="000000"/>
          <w:shd w:fill="FFFFFF" w:val="clear"/>
        </w:rPr>
        <w:t>” in our most recent Annual Report on Form 10-K, any subsequent filings we have made with the SEC that are incorporated by reference into this prospectus or any prospectus supplement, and “</w:t>
      </w:r>
      <w:r>
        <w:rPr>
          <w:rFonts w:ascii="Times New Roman" w:hAnsi="Times New Roman"/>
          <w:i/>
          <w:color w:val="000000"/>
          <w:sz w:val="20"/>
          <w:bdr w:val="single" w:sz="12" w:space="4" w:color="000000"/>
          <w:shd w:fill="FFFFFF" w:val="clear"/>
        </w:rPr>
        <w:t>Risk Factors</w:t>
      </w:r>
      <w:r>
        <w:rPr>
          <w:rFonts w:ascii="Times New Roman" w:hAnsi="Times New Roman"/>
          <w:color w:val="000000"/>
          <w:sz w:val="20"/>
          <w:bdr w:val="single" w:sz="12" w:space="4" w:color="000000"/>
          <w:shd w:fill="FFFFFF" w:val="clear"/>
        </w:rPr>
        <w:t>” in this prospectus before deciding to invest in our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 w:name="FEESANDEXPENSES"/>
      <w:bookmarkEnd w:id="46"/>
      <w:r>
        <w:rPr>
          <w:rFonts w:ascii="Times New Roman" w:hAnsi="Times New Roman"/>
          <w:b/>
          <w:color w:val="000000"/>
          <w:sz w:val="20"/>
          <w:shd w:fill="FFFFFF" w:val="clear"/>
        </w:rPr>
        <w:t>FEES AND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8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is intended to assist you in understanding the costs and expenses that you will bear directly or indirectly. We caution you that some of the percentages indicated in the table below are estimates and may vary. The expenses shown in the table under “Annual expenses” are based on estimated amounts for our current fiscal year. The following table should not be considered a representation of our future expenses. Actual expenses may be greater or less than shown. Except where the context suggests otherwise, whenever this prospectus contains a reference to fees or expenses paid by “us” or “the Company” or that “we” will pay fees or expenses, you will indirectly bear these fees or expenses as an investor in the Company.</w:t>
      </w:r>
    </w:p>
    <w:p>
      <w:pPr>
        <w:pStyle w:val="TextBody"/>
        <w:bidi w:val="0"/>
        <w:spacing w:before="0" w:after="0"/>
        <w:ind w:left="0" w:right="0" w:firstLine="480"/>
        <w:jc w:val="both"/>
        <w:rPr/>
      </w:pPr>
      <w:r>
        <w:rPr/>
      </w:r>
    </w:p>
    <w:p>
      <w:pPr>
        <w:pStyle w:val="Normal"/>
        <w:bidi w:val="0"/>
        <w:spacing w:before="0" w:after="0"/>
        <w:jc w:val="left"/>
        <w:rPr>
          <w:sz w:val="4"/>
          <w:szCs w:val="4"/>
        </w:rPr>
      </w:pPr>
      <w:r>
        <w:rPr>
          <w:sz w:val="4"/>
          <w:szCs w:val="4"/>
        </w:rPr>
      </w:r>
      <w:bookmarkStart w:id="47" w:name="z5c84e1d0db364c9690a411795761e827"/>
      <w:bookmarkStart w:id="48" w:name="z5c84e1d0db364c9690a411795761e827"/>
      <w:bookmarkEnd w:id="48"/>
    </w:p>
    <w:tbl>
      <w:tblPr>
        <w:tblW w:w="9200" w:type="dxa"/>
        <w:jc w:val="left"/>
        <w:tblInd w:w="0" w:type="dxa"/>
        <w:tblLayout w:type="fixed"/>
        <w:tblCellMar>
          <w:top w:w="0" w:type="dxa"/>
          <w:left w:w="0" w:type="dxa"/>
          <w:bottom w:w="0" w:type="dxa"/>
          <w:right w:w="0" w:type="dxa"/>
        </w:tblCellMar>
      </w:tblPr>
      <w:tblGrid>
        <w:gridCol w:w="7895"/>
        <w:gridCol w:w="90"/>
        <w:gridCol w:w="90"/>
        <w:gridCol w:w="470"/>
        <w:gridCol w:w="245"/>
        <w:gridCol w:w="410"/>
      </w:tblGrid>
      <w:tr>
        <w:trPr/>
        <w:tc>
          <w:tcPr>
            <w:tcW w:w="7895" w:type="dxa"/>
            <w:tcBorders/>
            <w:vAlign w:val="bottom"/>
          </w:tcPr>
          <w:p>
            <w:pPr>
              <w:pStyle w:val="TableContents"/>
              <w:bidi w:val="0"/>
              <w:spacing w:before="0" w:after="0"/>
              <w:ind w:left="144" w:right="0" w:hanging="144"/>
              <w:jc w:val="left"/>
              <w:rPr>
                <w:b/>
                <w:color w:val="000000"/>
              </w:rPr>
            </w:pPr>
            <w:r>
              <w:rPr>
                <w:b/>
                <w:color w:val="000000"/>
              </w:rPr>
              <w:t>Shareholder transaction expenses:</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r>
      <w:tr>
        <w:trPr/>
        <w:tc>
          <w:tcPr>
            <w:tcW w:w="7895" w:type="dxa"/>
            <w:tcBorders/>
            <w:shd w:fill="CCEEFF" w:val="clear"/>
            <w:vAlign w:val="bottom"/>
          </w:tcPr>
          <w:p>
            <w:pPr>
              <w:pStyle w:val="TableContents"/>
              <w:bidi w:val="0"/>
              <w:spacing w:before="0" w:after="0"/>
              <w:ind w:left="144" w:right="0" w:hanging="144"/>
              <w:jc w:val="left"/>
              <w:rPr>
                <w:color w:val="000000"/>
              </w:rPr>
            </w:pPr>
            <w:r>
              <w:rPr>
                <w:color w:val="000000"/>
              </w:rPr>
              <w:t>Sales load (as a percentage of offering price)</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lineRule="auto" w:line="240" w:before="0" w:after="0"/>
              <w:jc w:val="left"/>
              <w:rPr>
                <w:color w:val="000000"/>
              </w:rPr>
            </w:pPr>
            <w:r>
              <w:rPr>
                <w:color w:val="000000"/>
              </w:rPr>
              <w:t>(1) </w:t>
            </w:r>
          </w:p>
        </w:tc>
      </w:tr>
      <w:tr>
        <w:trPr/>
        <w:tc>
          <w:tcPr>
            <w:tcW w:w="7895" w:type="dxa"/>
            <w:tcBorders/>
            <w:vAlign w:val="bottom"/>
          </w:tcPr>
          <w:p>
            <w:pPr>
              <w:pStyle w:val="TableContents"/>
              <w:bidi w:val="0"/>
              <w:spacing w:before="0" w:after="0"/>
              <w:ind w:left="144" w:right="0" w:hanging="144"/>
              <w:jc w:val="left"/>
              <w:rPr>
                <w:color w:val="000000"/>
              </w:rPr>
            </w:pPr>
            <w:r>
              <w:rPr>
                <w:color w:val="000000"/>
              </w:rPr>
              <w:t>Offering expenses (as a percentage of offering price)</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4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410" w:type="dxa"/>
            <w:tcBorders/>
            <w:vAlign w:val="bottom"/>
          </w:tcPr>
          <w:p>
            <w:pPr>
              <w:pStyle w:val="TableContents"/>
              <w:bidi w:val="0"/>
              <w:spacing w:lineRule="auto" w:line="240" w:before="0" w:after="0"/>
              <w:jc w:val="left"/>
              <w:rPr>
                <w:color w:val="000000"/>
              </w:rPr>
            </w:pPr>
            <w:r>
              <w:rPr>
                <w:color w:val="000000"/>
              </w:rPr>
              <w:t>(2) </w:t>
            </w:r>
          </w:p>
        </w:tc>
      </w:tr>
      <w:tr>
        <w:trPr/>
        <w:tc>
          <w:tcPr>
            <w:tcW w:w="7895" w:type="dxa"/>
            <w:tcBorders/>
            <w:shd w:fill="CCEEFF" w:val="clear"/>
            <w:vAlign w:val="bottom"/>
          </w:tcPr>
          <w:p>
            <w:pPr>
              <w:pStyle w:val="TableContents"/>
              <w:bidi w:val="0"/>
              <w:spacing w:before="0" w:after="0"/>
              <w:ind w:left="144" w:right="0" w:hanging="144"/>
              <w:jc w:val="left"/>
              <w:rPr>
                <w:b/>
                <w:color w:val="000000"/>
              </w:rPr>
            </w:pPr>
            <w:r>
              <w:rPr>
                <w:b/>
                <w:color w:val="000000"/>
              </w:rPr>
              <w:t>Total shareholder transaction expenses (as a percentage of offering price)</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before="0" w:after="283"/>
              <w:jc w:val="left"/>
              <w:rPr/>
            </w:pPr>
            <w:r>
              <w:rPr/>
              <w:t> </w:t>
            </w:r>
          </w:p>
        </w:tc>
      </w:tr>
      <w:tr>
        <w:trPr/>
        <w:tc>
          <w:tcPr>
            <w:tcW w:w="78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r>
      <w:tr>
        <w:trPr/>
        <w:tc>
          <w:tcPr>
            <w:tcW w:w="7895" w:type="dxa"/>
            <w:tcBorders/>
            <w:shd w:fill="CCEEFF" w:val="clear"/>
            <w:vAlign w:val="bottom"/>
          </w:tcPr>
          <w:p>
            <w:pPr>
              <w:pStyle w:val="TableContents"/>
              <w:bidi w:val="0"/>
              <w:spacing w:before="0" w:after="0"/>
              <w:ind w:left="144" w:right="0" w:hanging="144"/>
              <w:jc w:val="left"/>
              <w:rPr>
                <w:b/>
                <w:color w:val="000000"/>
              </w:rPr>
            </w:pPr>
            <w:r>
              <w:rPr>
                <w:b/>
                <w:color w:val="000000"/>
              </w:rPr>
              <w:t>Annual expenses (as a percentage of net assets attributable to common stock):</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r>
      <w:tr>
        <w:trPr/>
        <w:tc>
          <w:tcPr>
            <w:tcW w:w="7895" w:type="dxa"/>
            <w:tcBorders/>
            <w:vAlign w:val="bottom"/>
          </w:tcPr>
          <w:p>
            <w:pPr>
              <w:pStyle w:val="TableContents"/>
              <w:bidi w:val="0"/>
              <w:spacing w:before="0" w:after="0"/>
              <w:ind w:left="144" w:right="0" w:hanging="144"/>
              <w:jc w:val="left"/>
              <w:rPr>
                <w:color w:val="000000"/>
              </w:rPr>
            </w:pPr>
            <w:r>
              <w:rPr>
                <w:color w:val="000000"/>
              </w:rPr>
              <w:t>Base management fee payable under the Investment Advisory Agreement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1.81</w:t>
            </w:r>
          </w:p>
        </w:tc>
        <w:tc>
          <w:tcPr>
            <w:tcW w:w="245" w:type="dxa"/>
            <w:tcBorders/>
            <w:vAlign w:val="bottom"/>
          </w:tcPr>
          <w:p>
            <w:pPr>
              <w:pStyle w:val="TableContents"/>
              <w:bidi w:val="0"/>
              <w:spacing w:before="0" w:after="0"/>
              <w:jc w:val="left"/>
              <w:rPr>
                <w:color w:val="000000"/>
              </w:rPr>
            </w:pPr>
            <w:r>
              <w:rPr>
                <w:color w:val="000000"/>
              </w:rPr>
              <w:t>%</w:t>
            </w:r>
          </w:p>
        </w:tc>
        <w:tc>
          <w:tcPr>
            <w:tcW w:w="410" w:type="dxa"/>
            <w:tcBorders/>
            <w:vAlign w:val="bottom"/>
          </w:tcPr>
          <w:p>
            <w:pPr>
              <w:pStyle w:val="TableContents"/>
              <w:bidi w:val="0"/>
              <w:spacing w:lineRule="auto" w:line="240" w:before="0" w:after="0"/>
              <w:jc w:val="left"/>
              <w:rPr>
                <w:color w:val="000000"/>
              </w:rPr>
            </w:pPr>
            <w:r>
              <w:rPr>
                <w:color w:val="000000"/>
              </w:rPr>
              <w:t>(3) </w:t>
            </w:r>
          </w:p>
        </w:tc>
      </w:tr>
      <w:tr>
        <w:trPr/>
        <w:tc>
          <w:tcPr>
            <w:tcW w:w="7895" w:type="dxa"/>
            <w:tcBorders/>
            <w:shd w:fill="CCEEFF" w:val="clear"/>
            <w:vAlign w:val="bottom"/>
          </w:tcPr>
          <w:p>
            <w:pPr>
              <w:pStyle w:val="TableContents"/>
              <w:bidi w:val="0"/>
              <w:spacing w:before="0" w:after="0"/>
              <w:ind w:left="144" w:right="0" w:hanging="144"/>
              <w:jc w:val="left"/>
              <w:rPr>
                <w:color w:val="000000"/>
              </w:rPr>
            </w:pPr>
            <w:r>
              <w:rPr>
                <w:color w:val="000000"/>
              </w:rPr>
              <w:t>Incentive fee payable under the Investment Advisory Agreement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2.75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lineRule="auto" w:line="240" w:before="0" w:after="0"/>
              <w:jc w:val="left"/>
              <w:rPr>
                <w:color w:val="000000"/>
              </w:rPr>
            </w:pPr>
            <w:r>
              <w:rPr>
                <w:color w:val="000000"/>
              </w:rPr>
              <w:t>(4) </w:t>
            </w:r>
          </w:p>
        </w:tc>
      </w:tr>
      <w:tr>
        <w:trPr/>
        <w:tc>
          <w:tcPr>
            <w:tcW w:w="7895" w:type="dxa"/>
            <w:tcBorders/>
            <w:vAlign w:val="bottom"/>
          </w:tcPr>
          <w:p>
            <w:pPr>
              <w:pStyle w:val="TableContents"/>
              <w:bidi w:val="0"/>
              <w:spacing w:before="0" w:after="0"/>
              <w:ind w:left="144" w:right="0" w:hanging="144"/>
              <w:jc w:val="left"/>
              <w:rPr>
                <w:color w:val="000000"/>
              </w:rPr>
            </w:pPr>
            <w:r>
              <w:rPr>
                <w:color w:val="000000"/>
              </w:rPr>
              <w:t>Interest payments on borrowed funds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0.41</w:t>
            </w:r>
          </w:p>
        </w:tc>
        <w:tc>
          <w:tcPr>
            <w:tcW w:w="245" w:type="dxa"/>
            <w:tcBorders/>
            <w:vAlign w:val="bottom"/>
          </w:tcPr>
          <w:p>
            <w:pPr>
              <w:pStyle w:val="TableContents"/>
              <w:bidi w:val="0"/>
              <w:spacing w:before="0" w:after="0"/>
              <w:jc w:val="left"/>
              <w:rPr>
                <w:color w:val="000000"/>
              </w:rPr>
            </w:pPr>
            <w:r>
              <w:rPr>
                <w:color w:val="000000"/>
              </w:rPr>
              <w:t>%</w:t>
            </w:r>
          </w:p>
        </w:tc>
        <w:tc>
          <w:tcPr>
            <w:tcW w:w="410" w:type="dxa"/>
            <w:tcBorders/>
            <w:vAlign w:val="bottom"/>
          </w:tcPr>
          <w:p>
            <w:pPr>
              <w:pStyle w:val="TableContents"/>
              <w:bidi w:val="0"/>
              <w:spacing w:lineRule="auto" w:line="240" w:before="0" w:after="0"/>
              <w:jc w:val="left"/>
              <w:rPr>
                <w:color w:val="000000"/>
              </w:rPr>
            </w:pPr>
            <w:r>
              <w:rPr>
                <w:color w:val="000000"/>
              </w:rPr>
              <w:t>(5) </w:t>
            </w:r>
          </w:p>
        </w:tc>
      </w:tr>
      <w:tr>
        <w:trPr/>
        <w:tc>
          <w:tcPr>
            <w:tcW w:w="7895" w:type="dxa"/>
            <w:tcBorders/>
            <w:shd w:fill="CCEEFF" w:val="clear"/>
            <w:vAlign w:val="bottom"/>
          </w:tcPr>
          <w:p>
            <w:pPr>
              <w:pStyle w:val="TableContents"/>
              <w:bidi w:val="0"/>
              <w:spacing w:before="0" w:after="0"/>
              <w:ind w:left="144" w:right="0" w:hanging="144"/>
              <w:jc w:val="left"/>
              <w:rPr>
                <w:color w:val="000000"/>
              </w:rPr>
            </w:pPr>
            <w:r>
              <w:rPr>
                <w:color w:val="000000"/>
              </w:rPr>
              <w:t>Other expenses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2.71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410" w:type="dxa"/>
            <w:tcBorders/>
            <w:shd w:fill="CCEEFF" w:val="clear"/>
            <w:vAlign w:val="bottom"/>
          </w:tcPr>
          <w:p>
            <w:pPr>
              <w:pStyle w:val="TableContents"/>
              <w:bidi w:val="0"/>
              <w:spacing w:lineRule="auto" w:line="240" w:before="0" w:after="0"/>
              <w:jc w:val="left"/>
              <w:rPr>
                <w:color w:val="000000"/>
              </w:rPr>
            </w:pPr>
            <w:r>
              <w:rPr>
                <w:color w:val="000000"/>
              </w:rPr>
              <w:t>(6) </w:t>
            </w:r>
          </w:p>
        </w:tc>
      </w:tr>
      <w:tr>
        <w:trPr/>
        <w:tc>
          <w:tcPr>
            <w:tcW w:w="7895" w:type="dxa"/>
            <w:tcBorders/>
            <w:vAlign w:val="bottom"/>
          </w:tcPr>
          <w:p>
            <w:pPr>
              <w:pStyle w:val="TableContents"/>
              <w:bidi w:val="0"/>
              <w:spacing w:before="0" w:after="0"/>
              <w:ind w:left="144" w:right="0" w:hanging="144"/>
              <w:jc w:val="left"/>
              <w:rPr>
                <w:b/>
                <w:color w:val="000000"/>
              </w:rPr>
            </w:pPr>
            <w:r>
              <w:rPr>
                <w:b/>
                <w:color w:val="000000"/>
              </w:rPr>
              <w:t>Total annual expenses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7.68</w:t>
            </w:r>
          </w:p>
        </w:tc>
        <w:tc>
          <w:tcPr>
            <w:tcW w:w="245" w:type="dxa"/>
            <w:tcBorders/>
            <w:vAlign w:val="bottom"/>
          </w:tcPr>
          <w:p>
            <w:pPr>
              <w:pStyle w:val="TableContents"/>
              <w:bidi w:val="0"/>
              <w:spacing w:before="0" w:after="0"/>
              <w:jc w:val="left"/>
              <w:rPr>
                <w:color w:val="000000"/>
              </w:rPr>
            </w:pPr>
            <w:r>
              <w:rPr>
                <w:color w:val="000000"/>
              </w:rPr>
              <w:t>%</w:t>
            </w:r>
          </w:p>
        </w:tc>
        <w:tc>
          <w:tcPr>
            <w:tcW w:w="41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49" w:name="z0c2e4563edc7494b937ed3e1ed295aba"/>
      <w:bookmarkStart w:id="50" w:name="z0c2e4563edc7494b937ed3e1ed295aba"/>
      <w:bookmarkEnd w:id="50"/>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pPr>
            <w:r>
              <w:rPr/>
              <w:t>In the event that the securities are sold to or through underwriters, a related prospectus supplement will disclose the applicable sales load (underwriting discount or commission).</w:t>
            </w:r>
          </w:p>
        </w:tc>
      </w:tr>
    </w:tbl>
    <w:p>
      <w:pPr>
        <w:pStyle w:val="Normal"/>
        <w:bidi w:val="0"/>
        <w:spacing w:before="0" w:after="0"/>
        <w:jc w:val="left"/>
        <w:rPr>
          <w:sz w:val="4"/>
          <w:szCs w:val="4"/>
        </w:rPr>
      </w:pPr>
      <w:r>
        <w:rPr>
          <w:sz w:val="4"/>
          <w:szCs w:val="4"/>
        </w:rPr>
      </w:r>
      <w:bookmarkStart w:id="51" w:name="zc6ca7179b2664a599716829b5b4c9cd3"/>
      <w:bookmarkStart w:id="52" w:name="zc6ca7179b2664a599716829b5b4c9cd3"/>
      <w:bookmarkEnd w:id="52"/>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both"/>
              <w:rPr/>
            </w:pPr>
            <w:r>
              <w:rPr/>
              <w:t>A related prospectus supplement will disclose the estimated amount of offering expenses, the offering price and the estimated amount of offering expenses borne by the Company as a percentage of the offering price.</w:t>
            </w:r>
          </w:p>
        </w:tc>
      </w:tr>
    </w:tbl>
    <w:p>
      <w:pPr>
        <w:pStyle w:val="Normal"/>
        <w:bidi w:val="0"/>
        <w:spacing w:before="0" w:after="0"/>
        <w:jc w:val="left"/>
        <w:rPr>
          <w:sz w:val="4"/>
          <w:szCs w:val="4"/>
        </w:rPr>
      </w:pPr>
      <w:r>
        <w:rPr>
          <w:sz w:val="4"/>
          <w:szCs w:val="4"/>
        </w:rPr>
      </w:r>
      <w:bookmarkStart w:id="53" w:name="z52d44a507d2c4ef7ab6e7a8155ae33be"/>
      <w:bookmarkStart w:id="54" w:name="z52d44a507d2c4ef7ab6e7a8155ae33be"/>
      <w:bookmarkEnd w:id="54"/>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both"/>
              <w:rPr/>
            </w:pPr>
            <w:r>
              <w:rPr/>
              <w:t>Our base management fee under the Investment Advisory Agreement is calculated at an annual rate of 1.75% of our average gross assets (i.e., total assets held before deduction of any liabilities), which includes investments acquired with the use of leverage and excludes cash and cash equivalents (as defined in the notes to our financial statements). Consequently, if we have borrowings outstanding, the base management fee as a percentage of net assets attributable to common stock would be higher than if we did not utilize leverage. The base management fee shown in the table above is based on actual amounts incurred during the twelve months ended December 31, 2025. The base management fee of the Company assuming that our average gross assets (excluding cash and cash equivalents) are $311.6 million, which was the actual amount of our average gross assets (excluding cash and cash equivalents) as of December 31, 2025, would be 1.75% of average gross assets.</w:t>
            </w:r>
          </w:p>
        </w:tc>
      </w:tr>
    </w:tbl>
    <w:p>
      <w:pPr>
        <w:pStyle w:val="TextBody"/>
        <w:bidi w:val="0"/>
        <w:spacing w:before="0" w:after="0"/>
        <w:ind w:left="360" w:right="0" w:hanging="0"/>
        <w:jc w:val="both"/>
        <w:rPr/>
      </w:pPr>
      <w:r>
        <w:rPr/>
      </w:r>
    </w:p>
    <w:p>
      <w:pPr>
        <w:pStyle w:val="Normal"/>
        <w:bidi w:val="0"/>
        <w:spacing w:before="0" w:after="0"/>
        <w:jc w:val="left"/>
        <w:rPr>
          <w:sz w:val="4"/>
          <w:szCs w:val="4"/>
        </w:rPr>
      </w:pPr>
      <w:r>
        <w:rPr>
          <w:sz w:val="4"/>
          <w:szCs w:val="4"/>
        </w:rPr>
      </w:r>
      <w:bookmarkStart w:id="55" w:name="ze017ac08e34640dc910ac1aa2945b523"/>
      <w:bookmarkStart w:id="56" w:name="ze017ac08e34640dc910ac1aa2945b523"/>
      <w:bookmarkEnd w:id="56"/>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(4)</w:t>
            </w:r>
          </w:p>
        </w:tc>
        <w:tc>
          <w:tcPr>
            <w:tcW w:w="9941" w:type="dxa"/>
            <w:tcBorders/>
            <w:vAlign w:val="center"/>
          </w:tcPr>
          <w:p>
            <w:pPr>
              <w:pStyle w:val="TableContents"/>
              <w:bidi w:val="0"/>
              <w:spacing w:before="0" w:after="0"/>
              <w:jc w:val="both"/>
              <w:rPr/>
            </w:pPr>
            <w:r>
              <w:rPr/>
              <w:t>Our incentive fee consists of two parts. The first part of the incentive fee, the incentive fee on income, which is payable quarterly in arrears, is equal to 20% of the excess, if any, of our “pre-incentive fee net investment income” that exceeds a 1.75% quarterly (7% annualized) hurdle rate, subject to a “catch up” provision measured at the end of each quarter. The incentive fee on income is computed and paid on income that may include interest that is accrued but not yet received, and may never be received, in cash. 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unrealized capital depreciation and unrealized capital appreciation from inception to the end of each fiscal year, less the aggregate amount of any previously paid incentive fees on capital gains for prior periods. The incentive fee shown in the table is based on actual amounts of incentive fees on income incurred during the twelve months ended December 31, 2025. The incentive fee amount excludes accrued incentive fees on capital gains as of December 31, 2025, which are reflected on a hypothetical liquidation basis in accordance with GAAP and were not payable as of December 31, 2025.</w:t>
            </w:r>
          </w:p>
        </w:tc>
      </w:tr>
    </w:tbl>
    <w:p>
      <w:pPr>
        <w:pStyle w:val="TextBody"/>
        <w:bidi w:val="0"/>
        <w:spacing w:before="0" w:after="0"/>
        <w:ind w:left="360" w:right="0" w:hanging="0"/>
        <w:jc w:val="both"/>
        <w:rPr/>
      </w:pPr>
      <w:r>
        <w:rPr/>
      </w:r>
    </w:p>
    <w:p>
      <w:pPr>
        <w:pStyle w:val="Normal"/>
        <w:bidi w:val="0"/>
        <w:spacing w:before="0" w:after="0"/>
        <w:jc w:val="left"/>
        <w:rPr>
          <w:sz w:val="4"/>
          <w:szCs w:val="4"/>
        </w:rPr>
      </w:pPr>
      <w:r>
        <w:rPr>
          <w:sz w:val="4"/>
          <w:szCs w:val="4"/>
        </w:rPr>
      </w:r>
      <w:bookmarkStart w:id="57" w:name="zafd6dbbe54fb4d8aa7dda640f41b9969"/>
      <w:bookmarkStart w:id="58" w:name="zafd6dbbe54fb4d8aa7dda640f41b9969"/>
      <w:bookmarkEnd w:id="58"/>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both"/>
              <w:rPr/>
            </w:pPr>
            <w:r>
              <w:rPr/>
              <w:t>As of December 31, 2025, we have $25,000,000 in outstanding borrowings under the Credit Agreement. Borrowings under the Credit Agreement bear interest at the annual rate of one-month term Secured Overnight Financing Rate plus 3.00%, subject to a minimum interest rate of 6.00%. The Company will pay a commitment fee of 0.50% per annum on the average daily unused portion of commitments under the Credit Agreement during the Revolving Period. The Company also will be required to pay letter of credit participation fees and a fronting fee on the average daily amount of the lenders’ exposure with respect to any letters of credit issued at the request of the Company under the Credit Agreement. We may borrow funds to make investments, including before we have fully invested the proceeds of this continuous offering. To the extent that we determine it is appropriate to borrow funds to make investments, the costs associated with such borrowing will be indirectly borne by shareholders. The interest payment on borrowed funds referenced in the table above is based on actual amounts of the interest payment on borrowed funds (including unused fees, amortization of deferred financing cost, and debt issuance costs incurred during the twelve months ended December 31, 2025, divided by our net assets as of December 31, 2025. Our ability to incur leverage depends, in large part, on the amount of money we are able to raise through the sale of shares registered in this offering and the availability of financing  in the market.</w:t>
            </w:r>
          </w:p>
        </w:tc>
      </w:tr>
    </w:tbl>
    <w:p>
      <w:pPr>
        <w:pStyle w:val="TextBody"/>
        <w:bidi w:val="0"/>
        <w:spacing w:before="0" w:after="0"/>
        <w:ind w:left="360" w:right="0" w:hanging="0"/>
        <w:jc w:val="both"/>
        <w:rPr/>
      </w:pPr>
      <w:r>
        <w:rPr/>
      </w:r>
    </w:p>
    <w:p>
      <w:pPr>
        <w:pStyle w:val="Normal"/>
        <w:bidi w:val="0"/>
        <w:spacing w:before="0" w:after="0"/>
        <w:jc w:val="left"/>
        <w:rPr>
          <w:sz w:val="4"/>
          <w:szCs w:val="4"/>
        </w:rPr>
      </w:pPr>
      <w:r>
        <w:rPr>
          <w:sz w:val="4"/>
          <w:szCs w:val="4"/>
        </w:rPr>
      </w:r>
      <w:bookmarkStart w:id="59" w:name="zc77f6ef19dd549b6b7ea0cc987f28e7a"/>
      <w:bookmarkStart w:id="60" w:name="zc77f6ef19dd549b6b7ea0cc987f28e7a"/>
      <w:bookmarkEnd w:id="60"/>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(6)</w:t>
            </w:r>
          </w:p>
        </w:tc>
        <w:tc>
          <w:tcPr>
            <w:tcW w:w="9926" w:type="dxa"/>
            <w:tcBorders/>
            <w:vAlign w:val="center"/>
          </w:tcPr>
          <w:p>
            <w:pPr>
              <w:pStyle w:val="TableContents"/>
              <w:bidi w:val="0"/>
              <w:spacing w:before="0" w:after="0"/>
              <w:jc w:val="both"/>
              <w:rPr/>
            </w:pPr>
            <w:r>
              <w:rPr/>
              <w:t>Our other expenses include sub-administrator, legal, audit, insurance, valuation and custodian fees, and general and administrative expenses as well as other professional fees, fees payable to the Independent Directors, and excise tax expense. The amount shown in the table reflects actual amounts incurred during the twelve months ended December 31, 2025.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Example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61" w:name="z54cc4b485196455d9c67ba10e854b0a9"/>
      <w:bookmarkStart w:id="62" w:name="z54cc4b485196455d9c67ba10e854b0a9"/>
      <w:bookmarkEnd w:id="62"/>
    </w:p>
    <w:tbl>
      <w:tblPr>
        <w:tblW w:w="10205" w:type="dxa"/>
        <w:jc w:val="left"/>
        <w:tblInd w:w="0" w:type="dxa"/>
        <w:tblLayout w:type="fixed"/>
        <w:tblCellMar>
          <w:top w:w="28" w:type="dxa"/>
          <w:left w:w="0" w:type="dxa"/>
          <w:bottom w:w="28" w:type="dxa"/>
          <w:right w:w="0" w:type="dxa"/>
        </w:tblCellMar>
      </w:tblPr>
      <w:tblGrid>
        <w:gridCol w:w="6948"/>
        <w:gridCol w:w="90"/>
        <w:gridCol w:w="202"/>
        <w:gridCol w:w="347"/>
        <w:gridCol w:w="90"/>
        <w:gridCol w:w="90"/>
        <w:gridCol w:w="186"/>
        <w:gridCol w:w="453"/>
        <w:gridCol w:w="90"/>
        <w:gridCol w:w="90"/>
        <w:gridCol w:w="186"/>
        <w:gridCol w:w="453"/>
        <w:gridCol w:w="90"/>
        <w:gridCol w:w="90"/>
        <w:gridCol w:w="196"/>
        <w:gridCol w:w="477"/>
        <w:gridCol w:w="127"/>
      </w:tblGrid>
      <w:tr>
        <w:trPr/>
        <w:tc>
          <w:tcPr>
            <w:tcW w:w="6948" w:type="dxa"/>
            <w:tcBorders>
              <w:top w:val="single" w:sz="12" w:space="0" w:color="000000"/>
              <w:bottom w:val="single" w:sz="12" w:space="0" w:color="000000"/>
            </w:tcBorders>
            <w:vAlign w:val="bottom"/>
          </w:tcPr>
          <w:p>
            <w:pPr>
              <w:pStyle w:val="TableContents"/>
              <w:bidi w:val="0"/>
              <w:spacing w:before="0" w:after="0"/>
              <w:jc w:val="left"/>
              <w:rPr>
                <w:color w:val="000000"/>
              </w:rPr>
            </w:pPr>
            <w:r>
              <w:rPr>
                <w:color w:val="000000"/>
              </w:rPr>
              <w:t> </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549" w:type="dxa"/>
            <w:gridSpan w:val="2"/>
            <w:tcBorders>
              <w:top w:val="single" w:sz="12" w:space="0" w:color="000000"/>
              <w:bottom w:val="single" w:sz="12" w:space="0" w:color="000000"/>
            </w:tcBorders>
            <w:vAlign w:val="bottom"/>
          </w:tcPr>
          <w:p>
            <w:pPr>
              <w:pStyle w:val="TableContents"/>
              <w:bidi w:val="0"/>
              <w:spacing w:before="0" w:after="0"/>
              <w:jc w:val="center"/>
              <w:rPr>
                <w:b/>
                <w:color w:val="000000"/>
              </w:rPr>
            </w:pPr>
            <w:r>
              <w:rPr>
                <w:b/>
                <w:color w:val="000000"/>
              </w:rPr>
              <w:t>1 year</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639" w:type="dxa"/>
            <w:gridSpan w:val="2"/>
            <w:tcBorders>
              <w:top w:val="single" w:sz="12" w:space="0" w:color="000000"/>
              <w:bottom w:val="single" w:sz="12" w:space="0" w:color="000000"/>
            </w:tcBorders>
            <w:vAlign w:val="bottom"/>
          </w:tcPr>
          <w:p>
            <w:pPr>
              <w:pStyle w:val="TableContents"/>
              <w:bidi w:val="0"/>
              <w:spacing w:before="0" w:after="0"/>
              <w:jc w:val="center"/>
              <w:rPr>
                <w:b/>
                <w:color w:val="000000"/>
              </w:rPr>
            </w:pPr>
            <w:r>
              <w:rPr>
                <w:b/>
                <w:color w:val="000000"/>
              </w:rPr>
              <w:t>3 years</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639" w:type="dxa"/>
            <w:gridSpan w:val="2"/>
            <w:tcBorders>
              <w:top w:val="single" w:sz="12" w:space="0" w:color="000000"/>
              <w:bottom w:val="single" w:sz="12" w:space="0" w:color="000000"/>
            </w:tcBorders>
            <w:vAlign w:val="bottom"/>
          </w:tcPr>
          <w:p>
            <w:pPr>
              <w:pStyle w:val="TableContents"/>
              <w:bidi w:val="0"/>
              <w:spacing w:before="0" w:after="0"/>
              <w:jc w:val="center"/>
              <w:rPr>
                <w:b/>
                <w:color w:val="000000"/>
              </w:rPr>
            </w:pPr>
            <w:r>
              <w:rPr>
                <w:b/>
                <w:color w:val="000000"/>
              </w:rPr>
              <w:t>5 years</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90" w:type="dxa"/>
            <w:tcBorders>
              <w:top w:val="single" w:sz="12" w:space="0" w:color="000000"/>
              <w:bottom w:val="single" w:sz="12" w:space="0" w:color="000000"/>
            </w:tcBorders>
            <w:vAlign w:val="bottom"/>
          </w:tcPr>
          <w:p>
            <w:pPr>
              <w:pStyle w:val="TableContents"/>
              <w:bidi w:val="0"/>
              <w:spacing w:before="0" w:after="283"/>
              <w:jc w:val="left"/>
              <w:rPr/>
            </w:pPr>
            <w:r>
              <w:rPr/>
              <w:t> </w:t>
            </w:r>
          </w:p>
        </w:tc>
        <w:tc>
          <w:tcPr>
            <w:tcW w:w="673" w:type="dxa"/>
            <w:gridSpan w:val="2"/>
            <w:tcBorders>
              <w:top w:val="single" w:sz="12" w:space="0" w:color="000000"/>
              <w:bottom w:val="single" w:sz="12" w:space="0" w:color="000000"/>
            </w:tcBorders>
            <w:vAlign w:val="bottom"/>
          </w:tcPr>
          <w:p>
            <w:pPr>
              <w:pStyle w:val="TableContents"/>
              <w:bidi w:val="0"/>
              <w:spacing w:before="0" w:after="0"/>
              <w:jc w:val="center"/>
              <w:rPr>
                <w:b/>
                <w:color w:val="000000"/>
              </w:rPr>
            </w:pPr>
            <w:r>
              <w:rPr>
                <w:b/>
                <w:color w:val="000000"/>
              </w:rPr>
              <w:t>10 years</w:t>
            </w:r>
          </w:p>
        </w:tc>
        <w:tc>
          <w:tcPr>
            <w:tcW w:w="127" w:type="dxa"/>
            <w:tcBorders/>
            <w:tcMar>
              <w:top w:w="0" w:type="dxa"/>
              <w:bottom w:w="0" w:type="dxa"/>
            </w:tcMar>
            <w:vAlign w:val="bottom"/>
          </w:tcPr>
          <w:p>
            <w:pPr>
              <w:pStyle w:val="TableContents"/>
              <w:bidi w:val="0"/>
              <w:spacing w:before="0" w:after="283"/>
              <w:jc w:val="left"/>
              <w:rPr/>
            </w:pPr>
            <w:r>
              <w:rPr/>
              <w:t> </w:t>
            </w:r>
          </w:p>
        </w:tc>
      </w:tr>
      <w:tr>
        <w:trPr/>
        <w:tc>
          <w:tcPr>
            <w:tcW w:w="6948" w:type="dxa"/>
            <w:tcBorders/>
            <w:shd w:fill="CCEEFF" w:val="clear"/>
            <w:tcMar>
              <w:top w:w="0" w:type="dxa"/>
              <w:bottom w:w="0" w:type="dxa"/>
            </w:tcMar>
            <w:vAlign w:val="bottom"/>
          </w:tcPr>
          <w:p>
            <w:pPr>
              <w:pStyle w:val="TableContents"/>
              <w:bidi w:val="0"/>
              <w:spacing w:before="0" w:after="0"/>
              <w:ind w:left="180" w:right="0" w:hanging="180"/>
              <w:jc w:val="both"/>
              <w:rPr>
                <w:b/>
                <w:color w:val="000000"/>
              </w:rPr>
            </w:pPr>
            <w:r>
              <w:rPr>
                <w:b/>
                <w:color w:val="000000"/>
              </w:rPr>
              <w:t>You would pay the following expenses on a $1,000 common stock investment, assuming a 5% annual return (assumes no return from net realized capital gains) (none of which is subject to the capital gains incentive fee)</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202" w:type="dxa"/>
            <w:tcBorders/>
            <w:shd w:fill="CCEEFF" w:val="clear"/>
            <w:tcMar>
              <w:top w:w="0" w:type="dxa"/>
              <w:bottom w:w="0" w:type="dxa"/>
            </w:tcMar>
            <w:vAlign w:val="bottom"/>
          </w:tcPr>
          <w:p>
            <w:pPr>
              <w:pStyle w:val="TableContents"/>
              <w:bidi w:val="0"/>
              <w:spacing w:before="0" w:after="0"/>
              <w:jc w:val="left"/>
              <w:rPr>
                <w:color w:val="000000"/>
              </w:rPr>
            </w:pPr>
            <w:r>
              <w:rPr>
                <w:color w:val="000000"/>
              </w:rPr>
              <w:t>$</w:t>
            </w:r>
          </w:p>
        </w:tc>
        <w:tc>
          <w:tcPr>
            <w:tcW w:w="347" w:type="dxa"/>
            <w:tcBorders/>
            <w:shd w:fill="CCEEFF" w:val="clear"/>
            <w:tcMar>
              <w:top w:w="0" w:type="dxa"/>
              <w:bottom w:w="0" w:type="dxa"/>
            </w:tcMar>
            <w:vAlign w:val="bottom"/>
          </w:tcPr>
          <w:p>
            <w:pPr>
              <w:pStyle w:val="TableContents"/>
              <w:bidi w:val="0"/>
              <w:spacing w:before="0" w:after="0"/>
              <w:jc w:val="right"/>
              <w:rPr>
                <w:color w:val="000000"/>
              </w:rPr>
            </w:pPr>
            <w:r>
              <w:rPr>
                <w:color w:val="000000"/>
              </w:rPr>
              <w:t>49</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186" w:type="dxa"/>
            <w:tcBorders/>
            <w:shd w:fill="CCEEFF" w:val="clear"/>
            <w:tcMar>
              <w:top w:w="0" w:type="dxa"/>
              <w:bottom w:w="0" w:type="dxa"/>
            </w:tcMar>
            <w:vAlign w:val="bottom"/>
          </w:tcPr>
          <w:p>
            <w:pPr>
              <w:pStyle w:val="TableContents"/>
              <w:bidi w:val="0"/>
              <w:spacing w:before="0" w:after="0"/>
              <w:jc w:val="left"/>
              <w:rPr>
                <w:color w:val="000000"/>
              </w:rPr>
            </w:pPr>
            <w:r>
              <w:rPr>
                <w:color w:val="000000"/>
              </w:rPr>
              <w:t>$</w:t>
            </w:r>
          </w:p>
        </w:tc>
        <w:tc>
          <w:tcPr>
            <w:tcW w:w="453" w:type="dxa"/>
            <w:tcBorders/>
            <w:shd w:fill="CCEEFF" w:val="clear"/>
            <w:tcMar>
              <w:top w:w="0" w:type="dxa"/>
              <w:bottom w:w="0" w:type="dxa"/>
            </w:tcMar>
            <w:vAlign w:val="bottom"/>
          </w:tcPr>
          <w:p>
            <w:pPr>
              <w:pStyle w:val="TableContents"/>
              <w:bidi w:val="0"/>
              <w:spacing w:before="0" w:after="0"/>
              <w:jc w:val="right"/>
              <w:rPr>
                <w:color w:val="000000"/>
              </w:rPr>
            </w:pPr>
            <w:r>
              <w:rPr>
                <w:color w:val="000000"/>
              </w:rPr>
              <w:t>148</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186" w:type="dxa"/>
            <w:tcBorders/>
            <w:shd w:fill="CCEEFF" w:val="clear"/>
            <w:tcMar>
              <w:top w:w="0" w:type="dxa"/>
              <w:bottom w:w="0" w:type="dxa"/>
            </w:tcMar>
            <w:vAlign w:val="bottom"/>
          </w:tcPr>
          <w:p>
            <w:pPr>
              <w:pStyle w:val="TableContents"/>
              <w:bidi w:val="0"/>
              <w:spacing w:before="0" w:after="0"/>
              <w:jc w:val="left"/>
              <w:rPr>
                <w:color w:val="000000"/>
              </w:rPr>
            </w:pPr>
            <w:r>
              <w:rPr>
                <w:color w:val="000000"/>
              </w:rPr>
              <w:t>$</w:t>
            </w:r>
          </w:p>
        </w:tc>
        <w:tc>
          <w:tcPr>
            <w:tcW w:w="453" w:type="dxa"/>
            <w:tcBorders/>
            <w:shd w:fill="CCEEFF" w:val="clear"/>
            <w:tcMar>
              <w:top w:w="0" w:type="dxa"/>
              <w:bottom w:w="0" w:type="dxa"/>
            </w:tcMar>
            <w:vAlign w:val="bottom"/>
          </w:tcPr>
          <w:p>
            <w:pPr>
              <w:pStyle w:val="TableContents"/>
              <w:bidi w:val="0"/>
              <w:spacing w:before="0" w:after="0"/>
              <w:jc w:val="right"/>
              <w:rPr>
                <w:color w:val="000000"/>
              </w:rPr>
            </w:pPr>
            <w:r>
              <w:rPr>
                <w:color w:val="000000"/>
              </w:rPr>
              <w:t>247</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90" w:type="dxa"/>
            <w:tcBorders/>
            <w:shd w:fill="CCEEFF" w:val="clear"/>
            <w:tcMar>
              <w:top w:w="0" w:type="dxa"/>
              <w:bottom w:w="0" w:type="dxa"/>
            </w:tcMar>
            <w:vAlign w:val="bottom"/>
          </w:tcPr>
          <w:p>
            <w:pPr>
              <w:pStyle w:val="TableContents"/>
              <w:bidi w:val="0"/>
              <w:spacing w:before="0" w:after="283"/>
              <w:jc w:val="left"/>
              <w:rPr/>
            </w:pPr>
            <w:r>
              <w:rPr/>
              <w:t> </w:t>
            </w:r>
          </w:p>
        </w:tc>
        <w:tc>
          <w:tcPr>
            <w:tcW w:w="196" w:type="dxa"/>
            <w:tcBorders/>
            <w:shd w:fill="CCEEFF" w:val="clear"/>
            <w:tcMar>
              <w:top w:w="0" w:type="dxa"/>
              <w:bottom w:w="0" w:type="dxa"/>
            </w:tcMar>
            <w:vAlign w:val="bottom"/>
          </w:tcPr>
          <w:p>
            <w:pPr>
              <w:pStyle w:val="TableContents"/>
              <w:bidi w:val="0"/>
              <w:spacing w:before="0" w:after="0"/>
              <w:jc w:val="left"/>
              <w:rPr>
                <w:color w:val="000000"/>
              </w:rPr>
            </w:pPr>
            <w:r>
              <w:rPr>
                <w:color w:val="000000"/>
              </w:rPr>
              <w:t>$</w:t>
            </w:r>
          </w:p>
        </w:tc>
        <w:tc>
          <w:tcPr>
            <w:tcW w:w="477" w:type="dxa"/>
            <w:tcBorders/>
            <w:shd w:fill="CCEEFF" w:val="clear"/>
            <w:tcMar>
              <w:top w:w="0" w:type="dxa"/>
              <w:bottom w:w="0" w:type="dxa"/>
            </w:tcMar>
            <w:vAlign w:val="bottom"/>
          </w:tcPr>
          <w:p>
            <w:pPr>
              <w:pStyle w:val="TableContents"/>
              <w:bidi w:val="0"/>
              <w:spacing w:before="0" w:after="0"/>
              <w:jc w:val="right"/>
              <w:rPr>
                <w:color w:val="000000"/>
              </w:rPr>
            </w:pPr>
            <w:r>
              <w:rPr>
                <w:color w:val="000000"/>
              </w:rPr>
              <w:t>495</w:t>
            </w:r>
          </w:p>
        </w:tc>
        <w:tc>
          <w:tcPr>
            <w:tcW w:w="127" w:type="dxa"/>
            <w:tcBorders/>
            <w:shd w:fill="CCEEFF" w:val="clear"/>
            <w:tcMar>
              <w:top w:w="0" w:type="dxa"/>
              <w:bottom w:w="0" w:type="dxa"/>
            </w:tcMar>
            <w:vAlign w:val="bottom"/>
          </w:tcPr>
          <w:p>
            <w:pPr>
              <w:pStyle w:val="TableContents"/>
              <w:bidi w:val="0"/>
              <w:spacing w:before="0" w:after="283"/>
              <w:jc w:val="left"/>
              <w:rPr/>
            </w:pPr>
            <w:r>
              <w:rPr/>
              <w:t> </w:t>
            </w:r>
          </w:p>
        </w:tc>
      </w:tr>
      <w:tr>
        <w:trPr/>
        <w:tc>
          <w:tcPr>
            <w:tcW w:w="6948" w:type="dxa"/>
            <w:tcBorders/>
            <w:tcMar>
              <w:top w:w="0" w:type="dxa"/>
              <w:bottom w:w="0" w:type="dxa"/>
            </w:tcMar>
            <w:vAlign w:val="bottom"/>
          </w:tcPr>
          <w:p>
            <w:pPr>
              <w:pStyle w:val="TableContents"/>
              <w:bidi w:val="0"/>
              <w:spacing w:before="0" w:after="0"/>
              <w:ind w:left="180" w:right="0" w:hanging="180"/>
              <w:jc w:val="both"/>
              <w:rPr>
                <w:b/>
                <w:color w:val="000000"/>
              </w:rPr>
            </w:pPr>
            <w:r>
              <w:rPr>
                <w:b/>
                <w:color w:val="000000"/>
              </w:rPr>
              <w:t>You would pay the following expenses on a $1,000 common stock investment, assuming a 5% annual return resulting entirely from net realized capital gains (all of which is subject to the capital gains incentive fee)</w:t>
            </w:r>
          </w:p>
        </w:tc>
        <w:tc>
          <w:tcPr>
            <w:tcW w:w="90" w:type="dxa"/>
            <w:tcBorders/>
            <w:tcMar>
              <w:top w:w="0" w:type="dxa"/>
              <w:bottom w:w="0" w:type="dxa"/>
            </w:tcMar>
            <w:vAlign w:val="bottom"/>
          </w:tcPr>
          <w:p>
            <w:pPr>
              <w:pStyle w:val="TableContents"/>
              <w:bidi w:val="0"/>
              <w:spacing w:before="0" w:after="283"/>
              <w:jc w:val="left"/>
              <w:rPr/>
            </w:pPr>
            <w:r>
              <w:rPr/>
              <w:t> </w:t>
            </w:r>
          </w:p>
        </w:tc>
        <w:tc>
          <w:tcPr>
            <w:tcW w:w="202" w:type="dxa"/>
            <w:tcBorders/>
            <w:tcMar>
              <w:top w:w="0" w:type="dxa"/>
              <w:bottom w:w="0" w:type="dxa"/>
            </w:tcMar>
            <w:vAlign w:val="bottom"/>
          </w:tcPr>
          <w:p>
            <w:pPr>
              <w:pStyle w:val="TableContents"/>
              <w:bidi w:val="0"/>
              <w:spacing w:before="0" w:after="0"/>
              <w:jc w:val="left"/>
              <w:rPr>
                <w:color w:val="000000"/>
              </w:rPr>
            </w:pPr>
            <w:r>
              <w:rPr>
                <w:color w:val="000000"/>
              </w:rPr>
              <w:t>$</w:t>
            </w:r>
          </w:p>
        </w:tc>
        <w:tc>
          <w:tcPr>
            <w:tcW w:w="347" w:type="dxa"/>
            <w:tcBorders/>
            <w:tcMar>
              <w:top w:w="0" w:type="dxa"/>
              <w:bottom w:w="0" w:type="dxa"/>
            </w:tcMar>
            <w:vAlign w:val="bottom"/>
          </w:tcPr>
          <w:p>
            <w:pPr>
              <w:pStyle w:val="TableContents"/>
              <w:bidi w:val="0"/>
              <w:spacing w:before="0" w:after="0"/>
              <w:jc w:val="right"/>
              <w:rPr>
                <w:color w:val="000000"/>
              </w:rPr>
            </w:pPr>
            <w:r>
              <w:rPr>
                <w:color w:val="000000"/>
              </w:rPr>
              <w:t>59</w:t>
            </w:r>
          </w:p>
        </w:tc>
        <w:tc>
          <w:tcPr>
            <w:tcW w:w="90" w:type="dxa"/>
            <w:tcBorders/>
            <w:tcMar>
              <w:top w:w="0" w:type="dxa"/>
              <w:bottom w:w="0" w:type="dxa"/>
            </w:tcMar>
            <w:vAlign w:val="bottom"/>
          </w:tcPr>
          <w:p>
            <w:pPr>
              <w:pStyle w:val="TableContents"/>
              <w:bidi w:val="0"/>
              <w:spacing w:before="0" w:after="283"/>
              <w:jc w:val="left"/>
              <w:rPr/>
            </w:pPr>
            <w:r>
              <w:rPr/>
              <w:t> </w:t>
            </w:r>
          </w:p>
        </w:tc>
        <w:tc>
          <w:tcPr>
            <w:tcW w:w="90" w:type="dxa"/>
            <w:tcBorders/>
            <w:tcMar>
              <w:top w:w="0" w:type="dxa"/>
              <w:bottom w:w="0" w:type="dxa"/>
            </w:tcMar>
            <w:vAlign w:val="bottom"/>
          </w:tcPr>
          <w:p>
            <w:pPr>
              <w:pStyle w:val="TableContents"/>
              <w:bidi w:val="0"/>
              <w:spacing w:before="0" w:after="283"/>
              <w:jc w:val="left"/>
              <w:rPr/>
            </w:pPr>
            <w:r>
              <w:rPr/>
              <w:t> </w:t>
            </w:r>
          </w:p>
        </w:tc>
        <w:tc>
          <w:tcPr>
            <w:tcW w:w="186" w:type="dxa"/>
            <w:tcBorders/>
            <w:tcMar>
              <w:top w:w="0" w:type="dxa"/>
              <w:bottom w:w="0" w:type="dxa"/>
            </w:tcMar>
            <w:vAlign w:val="bottom"/>
          </w:tcPr>
          <w:p>
            <w:pPr>
              <w:pStyle w:val="TableContents"/>
              <w:bidi w:val="0"/>
              <w:spacing w:before="0" w:after="0"/>
              <w:jc w:val="left"/>
              <w:rPr>
                <w:color w:val="000000"/>
              </w:rPr>
            </w:pPr>
            <w:r>
              <w:rPr>
                <w:color w:val="000000"/>
              </w:rPr>
              <w:t>$</w:t>
            </w:r>
          </w:p>
        </w:tc>
        <w:tc>
          <w:tcPr>
            <w:tcW w:w="453" w:type="dxa"/>
            <w:tcBorders/>
            <w:tcMar>
              <w:top w:w="0" w:type="dxa"/>
              <w:bottom w:w="0" w:type="dxa"/>
            </w:tcMar>
            <w:vAlign w:val="bottom"/>
          </w:tcPr>
          <w:p>
            <w:pPr>
              <w:pStyle w:val="TableContents"/>
              <w:bidi w:val="0"/>
              <w:spacing w:before="0" w:after="0"/>
              <w:jc w:val="right"/>
              <w:rPr>
                <w:color w:val="000000"/>
              </w:rPr>
            </w:pPr>
            <w:r>
              <w:rPr>
                <w:color w:val="000000"/>
              </w:rPr>
              <w:t>175</w:t>
            </w:r>
          </w:p>
        </w:tc>
        <w:tc>
          <w:tcPr>
            <w:tcW w:w="90" w:type="dxa"/>
            <w:tcBorders/>
            <w:tcMar>
              <w:top w:w="0" w:type="dxa"/>
              <w:bottom w:w="0" w:type="dxa"/>
            </w:tcMar>
            <w:vAlign w:val="bottom"/>
          </w:tcPr>
          <w:p>
            <w:pPr>
              <w:pStyle w:val="TableContents"/>
              <w:bidi w:val="0"/>
              <w:spacing w:before="0" w:after="283"/>
              <w:jc w:val="left"/>
              <w:rPr/>
            </w:pPr>
            <w:r>
              <w:rPr/>
              <w:t> </w:t>
            </w:r>
          </w:p>
        </w:tc>
        <w:tc>
          <w:tcPr>
            <w:tcW w:w="90" w:type="dxa"/>
            <w:tcBorders/>
            <w:tcMar>
              <w:top w:w="0" w:type="dxa"/>
              <w:bottom w:w="0" w:type="dxa"/>
            </w:tcMar>
            <w:vAlign w:val="bottom"/>
          </w:tcPr>
          <w:p>
            <w:pPr>
              <w:pStyle w:val="TableContents"/>
              <w:bidi w:val="0"/>
              <w:spacing w:before="0" w:after="283"/>
              <w:jc w:val="left"/>
              <w:rPr/>
            </w:pPr>
            <w:r>
              <w:rPr/>
              <w:t> </w:t>
            </w:r>
          </w:p>
        </w:tc>
        <w:tc>
          <w:tcPr>
            <w:tcW w:w="186" w:type="dxa"/>
            <w:tcBorders/>
            <w:tcMar>
              <w:top w:w="0" w:type="dxa"/>
              <w:bottom w:w="0" w:type="dxa"/>
            </w:tcMar>
            <w:vAlign w:val="bottom"/>
          </w:tcPr>
          <w:p>
            <w:pPr>
              <w:pStyle w:val="TableContents"/>
              <w:bidi w:val="0"/>
              <w:spacing w:before="0" w:after="0"/>
              <w:jc w:val="left"/>
              <w:rPr>
                <w:color w:val="000000"/>
              </w:rPr>
            </w:pPr>
            <w:r>
              <w:rPr>
                <w:color w:val="000000"/>
              </w:rPr>
              <w:t>$</w:t>
            </w:r>
          </w:p>
        </w:tc>
        <w:tc>
          <w:tcPr>
            <w:tcW w:w="453" w:type="dxa"/>
            <w:tcBorders/>
            <w:tcMar>
              <w:top w:w="0" w:type="dxa"/>
              <w:bottom w:w="0" w:type="dxa"/>
            </w:tcMar>
            <w:vAlign w:val="bottom"/>
          </w:tcPr>
          <w:p>
            <w:pPr>
              <w:pStyle w:val="TableContents"/>
              <w:bidi w:val="0"/>
              <w:spacing w:before="0" w:after="0"/>
              <w:jc w:val="right"/>
              <w:rPr>
                <w:color w:val="000000"/>
              </w:rPr>
            </w:pPr>
            <w:r>
              <w:rPr>
                <w:color w:val="000000"/>
              </w:rPr>
              <w:t>290</w:t>
            </w:r>
          </w:p>
        </w:tc>
        <w:tc>
          <w:tcPr>
            <w:tcW w:w="90" w:type="dxa"/>
            <w:tcBorders/>
            <w:tcMar>
              <w:top w:w="0" w:type="dxa"/>
              <w:bottom w:w="0" w:type="dxa"/>
            </w:tcMar>
            <w:vAlign w:val="bottom"/>
          </w:tcPr>
          <w:p>
            <w:pPr>
              <w:pStyle w:val="TableContents"/>
              <w:bidi w:val="0"/>
              <w:spacing w:before="0" w:after="283"/>
              <w:jc w:val="left"/>
              <w:rPr/>
            </w:pPr>
            <w:r>
              <w:rPr/>
              <w:t> </w:t>
            </w:r>
          </w:p>
        </w:tc>
        <w:tc>
          <w:tcPr>
            <w:tcW w:w="90" w:type="dxa"/>
            <w:tcBorders/>
            <w:tcMar>
              <w:top w:w="0" w:type="dxa"/>
              <w:bottom w:w="0" w:type="dxa"/>
            </w:tcMar>
            <w:vAlign w:val="bottom"/>
          </w:tcPr>
          <w:p>
            <w:pPr>
              <w:pStyle w:val="TableContents"/>
              <w:bidi w:val="0"/>
              <w:spacing w:before="0" w:after="283"/>
              <w:jc w:val="left"/>
              <w:rPr/>
            </w:pPr>
            <w:r>
              <w:rPr/>
              <w:t> </w:t>
            </w:r>
          </w:p>
        </w:tc>
        <w:tc>
          <w:tcPr>
            <w:tcW w:w="196" w:type="dxa"/>
            <w:tcBorders/>
            <w:tcMar>
              <w:top w:w="0" w:type="dxa"/>
              <w:bottom w:w="0" w:type="dxa"/>
            </w:tcMar>
            <w:vAlign w:val="bottom"/>
          </w:tcPr>
          <w:p>
            <w:pPr>
              <w:pStyle w:val="TableContents"/>
              <w:bidi w:val="0"/>
              <w:spacing w:before="0" w:after="0"/>
              <w:jc w:val="left"/>
              <w:rPr>
                <w:color w:val="000000"/>
              </w:rPr>
            </w:pPr>
            <w:r>
              <w:rPr>
                <w:color w:val="000000"/>
              </w:rPr>
              <w:t>$</w:t>
            </w:r>
          </w:p>
        </w:tc>
        <w:tc>
          <w:tcPr>
            <w:tcW w:w="477" w:type="dxa"/>
            <w:tcBorders/>
            <w:tcMar>
              <w:top w:w="0" w:type="dxa"/>
              <w:bottom w:w="0" w:type="dxa"/>
            </w:tcMar>
            <w:vAlign w:val="bottom"/>
          </w:tcPr>
          <w:p>
            <w:pPr>
              <w:pStyle w:val="TableContents"/>
              <w:bidi w:val="0"/>
              <w:spacing w:before="0" w:after="0"/>
              <w:jc w:val="right"/>
              <w:rPr>
                <w:color w:val="000000"/>
              </w:rPr>
            </w:pPr>
            <w:r>
              <w:rPr>
                <w:color w:val="000000"/>
              </w:rPr>
              <w:t>566</w:t>
            </w:r>
          </w:p>
        </w:tc>
        <w:tc>
          <w:tcPr>
            <w:tcW w:w="127" w:type="dxa"/>
            <w:tcBorders/>
            <w:tcMar>
              <w:top w:w="0" w:type="dxa"/>
              <w:bottom w:w="0" w:type="dxa"/>
            </w:tcMar>
            <w:vAlign w:val="bottom"/>
          </w:tcPr>
          <w:p>
            <w:pPr>
              <w:pStyle w:val="TableContents"/>
              <w:bidi w:val="0"/>
              <w:spacing w:before="0" w:after="283"/>
              <w:jc w:val="left"/>
              <w:rPr/>
            </w:pPr>
            <w:r>
              <w:rPr/>
              <w:t> </w:t>
            </w:r>
          </w:p>
        </w:tc>
      </w:tr>
    </w:tbl>
    <w:p>
      <w:pPr>
        <w:pStyle w:val="TextBody"/>
        <w:bidi w:val="0"/>
        <w:spacing w:before="0" w:after="0"/>
        <w:ind w:left="0" w:right="0" w:firstLine="36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above table is intended to assist you in understanding the various costs and expenses that an investor in shares of our common stock will bear directly or indirectly. While the example assumes, as required by the SEC, a 5% annual return, our performance will vary and may result in a return greater or less than 5%. Because the income portion of the incentive fee for the Company, assuming a 5% annual return and annualized incentive fee hurdle of 7%, would either not be payable or would have an insignificant impact on the expense amounts shown above, the example assumes that the 5% annual return will be generated entirely through net realized capital gains and, as a result, will trigger the payment of the capital gains portion of the incentive fee. If we were to achieve sufficient returns on our investments, including through the realization of capital gains, to trigger income-based incentive fees or capital gains incentive fees of a material amount, our expenses, and returns to our investors, would be higher. The example assumes that, as of December 31, 2025, the sum of realized capital losses and unrealized capital depreciation on a cumulative basis since inception is zero.</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b/>
          <w:color w:val="000000"/>
          <w:sz w:val="20"/>
          <w:shd w:fill="FFFFFF" w:val="clear"/>
        </w:rPr>
      </w:pPr>
      <w:r>
        <w:rPr>
          <w:rFonts w:ascii="Times New Roman" w:hAnsi="Times New Roman"/>
          <w:b/>
          <w:color w:val="000000"/>
          <w:sz w:val="20"/>
          <w:shd w:fill="FFFFFF" w:val="clear"/>
        </w:rPr>
        <w:t>This example and the expenses in the table above should not be considered a representation of our future expenses, and actual expenses (including the cost of debt, if any, and other expenses) may be greater or less than those shown.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63" w:name="FINANCIALHIGHLIGHTS"/>
      <w:bookmarkEnd w:id="63"/>
      <w:r>
        <w:rPr>
          <w:rFonts w:ascii="Times New Roman" w:hAnsi="Times New Roman"/>
          <w:b/>
          <w:color w:val="000000"/>
          <w:sz w:val="20"/>
          <w:shd w:fill="FFFFFF" w:val="clear"/>
        </w:rPr>
        <w:t>FINANCIAL HIGHLIGHTS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pPr>
      <w:r>
        <w:rPr>
          <w:rFonts w:ascii="Times New Roman" w:hAnsi="Times New Roman"/>
          <w:color w:val="000000"/>
          <w:sz w:val="20"/>
          <w:shd w:fill="FFFFFF" w:val="clear"/>
        </w:rPr>
        <w:t xml:space="preserve">Information regarding our financial highlights is incorporated by reference herein from our most recent Annual Report on </w:t>
      </w:r>
      <w:hyperlink r:id="rId2">
        <w:r>
          <w:rPr>
            <w:rStyle w:val="InternetLink"/>
          </w:rPr>
          <w:t>Form 10-K</w:t>
        </w:r>
      </w:hyperlink>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64" w:name="RISKFACTORS"/>
      <w:bookmarkEnd w:id="64"/>
      <w:r>
        <w:rPr>
          <w:rFonts w:ascii="Times New Roman" w:hAnsi="Times New Roman"/>
          <w:b/>
          <w:color w:val="000000"/>
          <w:sz w:val="20"/>
          <w:shd w:fill="FFFFFF" w:val="clear"/>
        </w:rPr>
        <w:t>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pPr>
      <w:r>
        <w:rPr>
          <w:rFonts w:ascii="Times New Roman" w:hAnsi="Times New Roman"/>
          <w:color w:val="000000"/>
          <w:sz w:val="20"/>
          <w:shd w:fill="FFFFFF" w:val="clear"/>
        </w:rPr>
        <w:t>Investing in our securities involves a number of significant risks. Before you invest in our securities, you should be aware of and carefully consider the various risks associated with the investment, including those described in this prospectus, any accompanying prospectus supplement, any free writing prospectus we may authorize in connection with a specific offering, Part I, Item IA “</w:t>
      </w:r>
      <w:r>
        <w:rPr>
          <w:rFonts w:ascii="Times New Roman" w:hAnsi="Times New Roman"/>
          <w:i/>
          <w:color w:val="000000"/>
          <w:sz w:val="20"/>
          <w:shd w:fill="FFFFFF" w:val="clear"/>
        </w:rPr>
        <w:t>RISK FACTORS</w:t>
      </w:r>
      <w:r>
        <w:rPr>
          <w:rFonts w:ascii="Times New Roman" w:hAnsi="Times New Roman"/>
          <w:color w:val="000000"/>
          <w:sz w:val="20"/>
          <w:shd w:fill="FFFFFF" w:val="clear"/>
        </w:rPr>
        <w:t xml:space="preserve">” in our most recent Annual Report on </w:t>
      </w:r>
      <w:hyperlink r:id="rId3">
        <w:r>
          <w:rPr>
            <w:rStyle w:val="InternetLink"/>
          </w:rPr>
          <w:t>Form 10-K</w:t>
        </w:r>
      </w:hyperlink>
      <w:r>
        <w:rPr>
          <w:rFonts w:ascii="Times New Roman" w:hAnsi="Times New Roman"/>
          <w:color w:val="000000"/>
          <w:sz w:val="20"/>
          <w:shd w:fill="FFFFFF" w:val="clear"/>
        </w:rPr>
        <w:t>, which is incorporated by reference into this prospectus in its entirety, and any document incorporated by reference herein. You should carefully consider these risk factors, together with all of the other information included in this prospectus, any accompanying prospectus supplement and any related free writing prospectus we may authorize in connection with a specific offering, before you decide whether to make an investment in our securities. The risks set out and described in these documents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you may lose all or part of your investment. Please also read carefully the section titled “</w:t>
      </w:r>
      <w:r>
        <w:rPr>
          <w:rFonts w:ascii="Times New Roman" w:hAnsi="Times New Roman"/>
          <w:i/>
          <w:color w:val="000000"/>
          <w:sz w:val="20"/>
          <w:shd w:fill="FFFFFF" w:val="clear"/>
        </w:rPr>
        <w:t>Special Note Regarding Forward-Looking Statements</w:t>
      </w:r>
      <w:r>
        <w:rPr>
          <w:rFonts w:ascii="Times New Roman" w:hAnsi="Times New Roman"/>
          <w:color w:val="000000"/>
          <w:sz w:val="20"/>
          <w:shd w:fill="FFFFFF" w:val="clear"/>
        </w:rPr>
        <w:t>” in this prospectus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65" w:name="SPECIALNOTEREGARDINGFORWA"/>
      <w:bookmarkEnd w:id="65"/>
      <w:r>
        <w:rPr>
          <w:rFonts w:ascii="Times New Roman" w:hAnsi="Times New Roman"/>
          <w:b/>
          <w:color w:val="000000"/>
          <w:sz w:val="20"/>
          <w:shd w:fill="FFFFFF" w:val="clear"/>
        </w:rPr>
        <w:t>SPECIAL NOTE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prospectus, any accompanying prospectus supplement, any related free writing prospectus and any documents we may incorporate by reference herein contain forward-looking statements that involve substantial risks and uncertainties. Such statements involve known and unknown risks, uncertainties and other factors, and undue reliance should not be placed thereon.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Accordingly, these statements are only predictions and involve estimates, known and unknown risks, assumptions and uncertainties that could cause actual results to differ materially from those expressed in them. Our actual results could differ materially from those anticipated in such forward-looking statements as a result of several factors more fully described or referenced under the section entitled “</w:t>
      </w:r>
      <w:r>
        <w:rPr>
          <w:rFonts w:ascii="Times New Roman" w:hAnsi="Times New Roman"/>
          <w:i/>
          <w:color w:val="000000"/>
          <w:sz w:val="20"/>
          <w:shd w:fill="FFFFFF" w:val="clear"/>
        </w:rPr>
        <w:t>Risk Factors</w:t>
      </w:r>
      <w:r>
        <w:rPr>
          <w:rFonts w:ascii="Times New Roman" w:hAnsi="Times New Roman"/>
          <w:color w:val="000000"/>
          <w:sz w:val="20"/>
          <w:shd w:fill="FFFFFF" w:val="clear"/>
        </w:rPr>
        <w:t>” and elsewhere in this prospectus, any accompanying prospectus supplement, any related free writing prospectus and any documents we may incorporate by reference herein, including the following factors, among others: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293bf391cb13425fbf6175f63ca1966d"/>
      <w:bookmarkStart w:id="67" w:name="z293bf391cb13425fbf6175f63ca1966d"/>
      <w:bookmarkEnd w:id="6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uncertainties related to the new U.S. Presidential administration, including the potential impact of tariff enactment and tax reductions, and the risk of recession or a shutdown of government services, which could impact our business prospects and the prospects of our portfolio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da23ac47b6b7468e94118857034987fd"/>
      <w:bookmarkStart w:id="69" w:name="zda23ac47b6b7468e94118857034987fd"/>
      <w:bookmarkEnd w:id="69"/>
    </w:p>
    <w:tbl>
      <w:tblPr>
        <w:tblW w:w="5523" w:type="dxa"/>
        <w:jc w:val="left"/>
        <w:tblInd w:w="0" w:type="dxa"/>
        <w:tblLayout w:type="fixed"/>
        <w:tblCellMar>
          <w:top w:w="0" w:type="dxa"/>
          <w:left w:w="0" w:type="dxa"/>
          <w:bottom w:w="0" w:type="dxa"/>
          <w:right w:w="0" w:type="dxa"/>
        </w:tblCellMar>
      </w:tblPr>
      <w:tblGrid>
        <w:gridCol w:w="68"/>
        <w:gridCol w:w="140"/>
        <w:gridCol w:w="53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0"/>
              <w:jc w:val="left"/>
              <w:rPr/>
            </w:pPr>
            <w:r>
              <w:rPr/>
              <w:t>our future operating results and distribution projections;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3f0d0a906edd44129955c052741e6c34"/>
      <w:bookmarkStart w:id="71" w:name="z3f0d0a906edd44129955c052741e6c34"/>
      <w:bookmarkEnd w:id="71"/>
    </w:p>
    <w:tbl>
      <w:tblPr>
        <w:tblW w:w="7308" w:type="dxa"/>
        <w:jc w:val="left"/>
        <w:tblInd w:w="0" w:type="dxa"/>
        <w:tblLayout w:type="fixed"/>
        <w:tblCellMar>
          <w:top w:w="0" w:type="dxa"/>
          <w:left w:w="0" w:type="dxa"/>
          <w:bottom w:w="0" w:type="dxa"/>
          <w:right w:w="0" w:type="dxa"/>
        </w:tblCellMar>
      </w:tblPr>
      <w:tblGrid>
        <w:gridCol w:w="68"/>
        <w:gridCol w:w="140"/>
        <w:gridCol w:w="71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left"/>
              <w:rPr/>
            </w:pPr>
            <w:r>
              <w:rPr/>
              <w:t>the ability of the Adviser to attract and retain highly talented professionals;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9c14d27ac2b344b1975a7fab518d2129"/>
      <w:bookmarkStart w:id="73" w:name="z9c14d27ac2b344b1975a7fab518d2129"/>
      <w:bookmarkEnd w:id="73"/>
    </w:p>
    <w:tbl>
      <w:tblPr>
        <w:tblW w:w="6738" w:type="dxa"/>
        <w:jc w:val="left"/>
        <w:tblInd w:w="0" w:type="dxa"/>
        <w:tblLayout w:type="fixed"/>
        <w:tblCellMar>
          <w:top w:w="0" w:type="dxa"/>
          <w:left w:w="0" w:type="dxa"/>
          <w:bottom w:w="0" w:type="dxa"/>
          <w:right w:w="0" w:type="dxa"/>
        </w:tblCellMar>
      </w:tblPr>
      <w:tblGrid>
        <w:gridCol w:w="68"/>
        <w:gridCol w:w="140"/>
        <w:gridCol w:w="65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0"/>
              <w:jc w:val="left"/>
              <w:rPr/>
            </w:pPr>
            <w:r>
              <w:rPr/>
              <w:t>our business prospects and the prospects of our portfolio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0e73cbcad47b42cda477a77237f42d58"/>
      <w:bookmarkStart w:id="75" w:name="z0e73cbcad47b42cda477a77237f42d58"/>
      <w:bookmarkEnd w:id="7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impact of interest and inflation rates on our business prospects and the prospects of our portfolio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f168877322af448083a7a94110d0d00b"/>
      <w:bookmarkStart w:id="77" w:name="zf168877322af448083a7a94110d0d00b"/>
      <w:bookmarkEnd w:id="77"/>
    </w:p>
    <w:tbl>
      <w:tblPr>
        <w:tblW w:w="5343" w:type="dxa"/>
        <w:jc w:val="left"/>
        <w:tblInd w:w="0" w:type="dxa"/>
        <w:tblLayout w:type="fixed"/>
        <w:tblCellMar>
          <w:top w:w="0" w:type="dxa"/>
          <w:left w:w="0" w:type="dxa"/>
          <w:bottom w:w="0" w:type="dxa"/>
          <w:right w:w="0" w:type="dxa"/>
        </w:tblCellMar>
      </w:tblPr>
      <w:tblGrid>
        <w:gridCol w:w="68"/>
        <w:gridCol w:w="140"/>
        <w:gridCol w:w="513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0"/>
              <w:jc w:val="left"/>
              <w:rPr/>
            </w:pPr>
            <w:r>
              <w:rPr/>
              <w:t>the impact of the investments that we expect to make;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afe9bfffe3c74ed29d86590096a5ed9c"/>
      <w:bookmarkStart w:id="79" w:name="zafe9bfffe3c74ed29d86590096a5ed9c"/>
      <w:bookmarkEnd w:id="79"/>
    </w:p>
    <w:tbl>
      <w:tblPr>
        <w:tblW w:w="6363" w:type="dxa"/>
        <w:jc w:val="left"/>
        <w:tblInd w:w="0" w:type="dxa"/>
        <w:tblLayout w:type="fixed"/>
        <w:tblCellMar>
          <w:top w:w="0" w:type="dxa"/>
          <w:left w:w="0" w:type="dxa"/>
          <w:bottom w:w="0" w:type="dxa"/>
          <w:right w:w="0" w:type="dxa"/>
        </w:tblCellMar>
      </w:tblPr>
      <w:tblGrid>
        <w:gridCol w:w="68"/>
        <w:gridCol w:w="140"/>
        <w:gridCol w:w="61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0"/>
              <w:jc w:val="left"/>
              <w:rPr/>
            </w:pPr>
            <w:r>
              <w:rPr/>
              <w:t>the ability of our portfolio companies to achieve their objectives;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6c1e5bbfbc2e41248baa227bae1ea910"/>
      <w:bookmarkStart w:id="81" w:name="z6c1e5bbfbc2e41248baa227bae1ea910"/>
      <w:bookmarkEnd w:id="81"/>
    </w:p>
    <w:tbl>
      <w:tblPr>
        <w:tblW w:w="9468" w:type="dxa"/>
        <w:jc w:val="left"/>
        <w:tblInd w:w="0" w:type="dxa"/>
        <w:tblLayout w:type="fixed"/>
        <w:tblCellMar>
          <w:top w:w="0" w:type="dxa"/>
          <w:left w:w="0" w:type="dxa"/>
          <w:bottom w:w="0" w:type="dxa"/>
          <w:right w:w="0" w:type="dxa"/>
        </w:tblCellMar>
      </w:tblPr>
      <w:tblGrid>
        <w:gridCol w:w="68"/>
        <w:gridCol w:w="140"/>
        <w:gridCol w:w="92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0"/>
              <w:jc w:val="left"/>
              <w:rPr/>
            </w:pPr>
            <w:r>
              <w:rPr/>
              <w:t>our expected financings and investments and the timing of our investments in our initial portfolio;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83932ed37ae3493b884f04dd4c101bb6"/>
      <w:bookmarkStart w:id="83" w:name="z83932ed37ae3493b884f04dd4c101bb6"/>
      <w:bookmarkEnd w:id="83"/>
    </w:p>
    <w:tbl>
      <w:tblPr>
        <w:tblW w:w="5418" w:type="dxa"/>
        <w:jc w:val="left"/>
        <w:tblInd w:w="0" w:type="dxa"/>
        <w:tblLayout w:type="fixed"/>
        <w:tblCellMar>
          <w:top w:w="0" w:type="dxa"/>
          <w:left w:w="0" w:type="dxa"/>
          <w:bottom w:w="0" w:type="dxa"/>
          <w:right w:w="0" w:type="dxa"/>
        </w:tblCellMar>
      </w:tblPr>
      <w:tblGrid>
        <w:gridCol w:w="68"/>
        <w:gridCol w:w="140"/>
        <w:gridCol w:w="52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0"/>
              <w:jc w:val="left"/>
              <w:rPr/>
            </w:pPr>
            <w:r>
              <w:rPr/>
              <w:t>changes in regulation impacting the cannabis industry;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441a8839bd1f4727bb490f515eed7816"/>
      <w:bookmarkStart w:id="85" w:name="z441a8839bd1f4727bb490f515eed7816"/>
      <w:bookmarkEnd w:id="85"/>
    </w:p>
    <w:tbl>
      <w:tblPr>
        <w:tblW w:w="5598" w:type="dxa"/>
        <w:jc w:val="left"/>
        <w:tblInd w:w="0" w:type="dxa"/>
        <w:tblLayout w:type="fixed"/>
        <w:tblCellMar>
          <w:top w:w="0" w:type="dxa"/>
          <w:left w:w="0" w:type="dxa"/>
          <w:bottom w:w="0" w:type="dxa"/>
          <w:right w:w="0" w:type="dxa"/>
        </w:tblCellMar>
      </w:tblPr>
      <w:tblGrid>
        <w:gridCol w:w="68"/>
        <w:gridCol w:w="140"/>
        <w:gridCol w:w="53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0"/>
              <w:jc w:val="left"/>
              <w:rPr/>
            </w:pPr>
            <w:r>
              <w:rPr/>
              <w:t>the adequacy of our cash resources and working capital;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6" w:name="z0412ae033c9244c3be3a81ab46711131"/>
      <w:bookmarkStart w:id="87" w:name="z0412ae033c9244c3be3a81ab46711131"/>
      <w:bookmarkEnd w:id="87"/>
    </w:p>
    <w:tbl>
      <w:tblPr>
        <w:tblW w:w="7803" w:type="dxa"/>
        <w:jc w:val="left"/>
        <w:tblInd w:w="0" w:type="dxa"/>
        <w:tblLayout w:type="fixed"/>
        <w:tblCellMar>
          <w:top w:w="0" w:type="dxa"/>
          <w:left w:w="0" w:type="dxa"/>
          <w:bottom w:w="0" w:type="dxa"/>
          <w:right w:w="0" w:type="dxa"/>
        </w:tblCellMar>
      </w:tblPr>
      <w:tblGrid>
        <w:gridCol w:w="68"/>
        <w:gridCol w:w="140"/>
        <w:gridCol w:w="75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left"/>
              <w:rPr/>
            </w:pPr>
            <w:r>
              <w:rPr/>
              <w:t>the timing of cash flows, if any, from the operations of our portfolio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7a311da28cb848e1aa1741de348cd727"/>
      <w:bookmarkStart w:id="89" w:name="z7a311da28cb848e1aa1741de348cd727"/>
      <w:bookmarkEnd w:id="8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ability to realize benefits anticipated by the previously announced acquisition from Chicago Atlantic Loan Portfolio, LLC (“CALP”) of a portfolio of loans (the “Loan Portfolio”) in exchange for newly issued shares of the Company’s common stock (the “Loan Portfolio Acquisition”);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d860b3a7eda149e5bafcb3684ebab94b"/>
      <w:bookmarkStart w:id="91" w:name="zd860b3a7eda149e5bafcb3684ebab94b"/>
      <w:bookmarkEnd w:id="9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changes or potential disruptions in our operations, the economy, financial markets or political environment;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18135352ddf0420eb88594fe5663e600"/>
      <w:bookmarkStart w:id="93" w:name="z18135352ddf0420eb88594fe5663e600"/>
      <w:bookmarkEnd w:id="9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possible disruption in our operations or the economy generally due to terrorism, natural disasters, the conflicts between Russia and Ukraine and in the Middle East, and the potential for volatility in energy prices and other commodities and their impact on the industries in which we invest;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2f36288c21b946cca3285a97cfc2e86c"/>
      <w:bookmarkStart w:id="95" w:name="z2f36288c21b946cca3285a97cfc2e86c"/>
      <w:bookmarkEnd w:id="9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impact of information technology system failures, data security breaches, data privacy compliance, network disruptions, and cybersecurity attacks;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96" w:name="z55ea8d390dbe428381ba074e7cb70948"/>
      <w:bookmarkStart w:id="97" w:name="z55ea8d390dbe428381ba074e7cb70948"/>
      <w:bookmarkEnd w:id="9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future changes in laws or regulations (including the interpretation of these laws and regulations by regulatory authorities) and conditions in our operating areas, particularly with respect to BDCs or RICs.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prospectus, any accompanying prospectus supplement, any related free writing prospectus and any documents we may incorporate by reference should not be regarded as a representation by us that our plans and objectives will be achieved. These forward-looking statements apply only as of the dates of this prospectus, any accompanying prospectus supplement, any related free writing prospectus and any documents we may incorporate by reference. Moreover, we assume no duty and do not undertake to update the forward-looking statements. Because we are an investment company, the forward-looking statements and projections contained in this prospectus, any accompanying prospectus supplement, if any, and any documents we may incorporate by reference herein are excluded from the safe harbor protection provided by Section 21E of the Securities Exchange Act of 1934, as amended (the “Exchange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98" w:name="USEOFPROCEEDS"/>
      <w:bookmarkEnd w:id="98"/>
      <w:r>
        <w:rPr>
          <w:rFonts w:ascii="Times New Roman" w:hAnsi="Times New Roman"/>
          <w:b/>
          <w:color w:val="000000"/>
          <w:sz w:val="20"/>
          <w:shd w:fill="FFFFFF" w:val="clear"/>
        </w:rPr>
        <w:t>USE OF PROCEEDS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Unless otherwise specified in any applicable prospectus supplement or in any free writing prospectus we have authorized for use in connection with a specific offering, we intend to use the net proceeds from the sale of our securities pursuant to this prospectus for general corporate purposes, which may include, among other things, investing in accordance with our investment objective and strategies, repayment of any outstanding indebtedness, paying operating expenses and other general corporate purposes.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anticipate that substantially all of the net proceeds of an offering of securities pursuant to this prospectus and any applicable prospectus supplement or free writing prospectus will be used for the above purposes within three months of any such offering, depending on the availability of attractive opportunities, market conditions and the amount raised, but in no event longer than within six months of any such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Pending such uses and investments, we intend to invest any net proceeds from an offering primarily in cash, cash equivalents, U.S. government securities and other high-quality investment grade investments that mature in one year or less from the date of investment. The income we earn on such temporary investments generally will be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99" w:name="PRICERANGEOFCOMMONSTOCKAN"/>
      <w:bookmarkEnd w:id="99"/>
      <w:r>
        <w:rPr>
          <w:rFonts w:ascii="Times New Roman" w:hAnsi="Times New Roman"/>
          <w:b/>
          <w:color w:val="000000"/>
          <w:sz w:val="20"/>
          <w:shd w:fill="FFFFFF" w:val="clear"/>
        </w:rPr>
        <w:t>PRICE RANGE OF COMMON STOCK AND DISTRIBUTIONS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pPr>
      <w:r>
        <w:rPr>
          <w:rFonts w:ascii="Times New Roman" w:hAnsi="Times New Roman"/>
          <w:color w:val="000000"/>
          <w:sz w:val="20"/>
          <w:shd w:fill="FFFFFF" w:val="clear"/>
        </w:rPr>
        <w:t xml:space="preserve">The following information is qualified by reference to, and should be read in conjunction with, the information in our most recent Annual Report on </w:t>
      </w:r>
      <w:hyperlink r:id="rId4">
        <w:r>
          <w:rPr>
            <w:rStyle w:val="InternetLink"/>
          </w:rPr>
          <w:t xml:space="preserve">Form 10-K </w:t>
        </w:r>
      </w:hyperlink>
      <w:r>
        <w:rPr>
          <w:rFonts w:ascii="Times New Roman" w:hAnsi="Times New Roman"/>
          <w:color w:val="000000"/>
          <w:sz w:val="20"/>
          <w:shd w:fill="FFFFFF" w:val="clear"/>
        </w:rPr>
        <w:t>regarding the price range of our common stock, distributions and stockholders of record, which is incorporated by reference herein.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Market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common stock began trading on NASDAQ on February 4, 2022 in connection with our initial public offering of shares of our common stock. Since October 2, 2024, our common stock trades on NASDAQ under the symbol “LIEN.”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lists the net asset value per share of our common stock, the range of high and low closing sales prices of our common stock reported on NASDΑQ, the closing sale prices as a premium (or discount) to our net asset value per share and dividends per share for each fiscal quarter since our common stock began trading on NASDAQ.</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May 7, the last reported closing sales price of our common stock on NASDAQ was $9.34 per share, which represented a discount of approximately 29.8% to our net asset value per share of $13.30 as of December 31, 2025.</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100" w:name="z0045fb20c72e4caa9aed88b130c19a25"/>
      <w:bookmarkStart w:id="101" w:name="z0045fb20c72e4caa9aed88b130c19a25"/>
      <w:bookmarkEnd w:id="101"/>
    </w:p>
    <w:tbl>
      <w:tblPr>
        <w:tblW w:w="10205" w:type="dxa"/>
        <w:jc w:val="left"/>
        <w:tblInd w:w="0" w:type="dxa"/>
        <w:tblLayout w:type="fixed"/>
        <w:tblCellMar>
          <w:top w:w="0" w:type="dxa"/>
          <w:left w:w="0" w:type="dxa"/>
          <w:bottom w:w="0" w:type="dxa"/>
          <w:right w:w="0" w:type="dxa"/>
        </w:tblCellMar>
      </w:tblPr>
      <w:tblGrid>
        <w:gridCol w:w="2805"/>
        <w:gridCol w:w="90"/>
        <w:gridCol w:w="205"/>
        <w:gridCol w:w="714"/>
        <w:gridCol w:w="90"/>
        <w:gridCol w:w="90"/>
        <w:gridCol w:w="170"/>
        <w:gridCol w:w="590"/>
        <w:gridCol w:w="90"/>
        <w:gridCol w:w="90"/>
        <w:gridCol w:w="170"/>
        <w:gridCol w:w="590"/>
        <w:gridCol w:w="90"/>
        <w:gridCol w:w="90"/>
        <w:gridCol w:w="166"/>
        <w:gridCol w:w="1012"/>
        <w:gridCol w:w="245"/>
        <w:gridCol w:w="90"/>
        <w:gridCol w:w="166"/>
        <w:gridCol w:w="1012"/>
        <w:gridCol w:w="245"/>
        <w:gridCol w:w="90"/>
        <w:gridCol w:w="260"/>
        <w:gridCol w:w="720"/>
        <w:gridCol w:w="325"/>
      </w:tblGrid>
      <w:tr>
        <w:trPr/>
        <w:tc>
          <w:tcPr>
            <w:tcW w:w="28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19" w:type="dxa"/>
            <w:gridSpan w:val="2"/>
            <w:tcBorders/>
            <w:vAlign w:val="bottom"/>
          </w:tcPr>
          <w:p>
            <w:pPr>
              <w:pStyle w:val="TableContents"/>
              <w:bidi w:val="0"/>
              <w:spacing w:before="0" w:after="0"/>
              <w:jc w:val="center"/>
              <w:rPr>
                <w:b/>
                <w:color w:val="000000"/>
              </w:rPr>
            </w:pPr>
            <w:r>
              <w:rPr>
                <w:b/>
                <w:color w:val="000000"/>
              </w:rPr>
              <w:t>Net Asset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Price Range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8" w:type="dxa"/>
            <w:gridSpan w:val="2"/>
            <w:tcBorders/>
            <w:vAlign w:val="bottom"/>
          </w:tcPr>
          <w:p>
            <w:pPr>
              <w:pStyle w:val="TableContents"/>
              <w:bidi w:val="0"/>
              <w:spacing w:before="0" w:after="0"/>
              <w:jc w:val="center"/>
              <w:rPr>
                <w:b/>
                <w:color w:val="000000"/>
              </w:rPr>
            </w:pPr>
            <w:r>
              <w:rPr>
                <w:b/>
                <w:color w:val="000000"/>
              </w:rPr>
              <w:t>High Sales</w:t>
            </w:r>
          </w:p>
          <w:p>
            <w:pPr>
              <w:pStyle w:val="TableContents"/>
              <w:bidi w:val="0"/>
              <w:spacing w:before="0" w:after="0"/>
              <w:jc w:val="center"/>
              <w:rPr>
                <w:b/>
                <w:color w:val="000000"/>
              </w:rPr>
            </w:pPr>
            <w:r>
              <w:rPr>
                <w:b/>
                <w:color w:val="000000"/>
              </w:rPr>
              <w:t>Price</w:t>
            </w:r>
          </w:p>
          <w:p>
            <w:pPr>
              <w:pStyle w:val="TableContents"/>
              <w:bidi w:val="0"/>
              <w:spacing w:before="0" w:after="0"/>
              <w:jc w:val="center"/>
              <w:rPr>
                <w:b/>
                <w:color w:val="000000"/>
              </w:rPr>
            </w:pPr>
            <w:r>
              <w:rPr>
                <w:b/>
                <w:color w:val="000000"/>
              </w:rPr>
              <w:t>Premium</w:t>
            </w:r>
          </w:p>
          <w:p>
            <w:pPr>
              <w:pStyle w:val="TableContents"/>
              <w:bidi w:val="0"/>
              <w:spacing w:before="0" w:after="0"/>
              <w:jc w:val="center"/>
              <w:rPr>
                <w:b/>
                <w:color w:val="000000"/>
              </w:rPr>
            </w:pPr>
            <w:r>
              <w:rPr>
                <w:b/>
                <w:color w:val="000000"/>
              </w:rPr>
              <w:t>(Discount)</w:t>
            </w:r>
          </w:p>
          <w:p>
            <w:pPr>
              <w:pStyle w:val="TableContents"/>
              <w:bidi w:val="0"/>
              <w:spacing w:before="0" w:after="0"/>
              <w:jc w:val="center"/>
              <w:rPr>
                <w:b/>
                <w:color w:val="000000"/>
              </w:rPr>
            </w:pPr>
            <w:r>
              <w:rPr>
                <w:b/>
                <w:color w:val="000000"/>
              </w:rPr>
              <w:t>to Net Asset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8" w:type="dxa"/>
            <w:gridSpan w:val="2"/>
            <w:tcBorders/>
            <w:vAlign w:val="bottom"/>
          </w:tcPr>
          <w:p>
            <w:pPr>
              <w:pStyle w:val="TableContents"/>
              <w:bidi w:val="0"/>
              <w:spacing w:before="0" w:after="0"/>
              <w:jc w:val="center"/>
              <w:rPr>
                <w:b/>
                <w:color w:val="000000"/>
              </w:rPr>
            </w:pPr>
            <w:r>
              <w:rPr>
                <w:b/>
                <w:color w:val="000000"/>
              </w:rPr>
              <w:t>Low Sales</w:t>
            </w:r>
          </w:p>
          <w:p>
            <w:pPr>
              <w:pStyle w:val="TableContents"/>
              <w:bidi w:val="0"/>
              <w:spacing w:before="0" w:after="0"/>
              <w:jc w:val="center"/>
              <w:rPr>
                <w:b/>
                <w:color w:val="000000"/>
              </w:rPr>
            </w:pPr>
            <w:r>
              <w:rPr>
                <w:b/>
                <w:color w:val="000000"/>
              </w:rPr>
              <w:t>Price</w:t>
            </w:r>
          </w:p>
          <w:p>
            <w:pPr>
              <w:pStyle w:val="TableContents"/>
              <w:bidi w:val="0"/>
              <w:spacing w:before="0" w:after="0"/>
              <w:jc w:val="center"/>
              <w:rPr>
                <w:b/>
                <w:color w:val="000000"/>
              </w:rPr>
            </w:pPr>
            <w:r>
              <w:rPr>
                <w:b/>
                <w:color w:val="000000"/>
              </w:rPr>
              <w:t>Premium</w:t>
            </w:r>
          </w:p>
          <w:p>
            <w:pPr>
              <w:pStyle w:val="TableContents"/>
              <w:bidi w:val="0"/>
              <w:spacing w:before="0" w:after="0"/>
              <w:jc w:val="center"/>
              <w:rPr>
                <w:b/>
                <w:color w:val="000000"/>
              </w:rPr>
            </w:pPr>
            <w:r>
              <w:rPr>
                <w:b/>
                <w:color w:val="000000"/>
              </w:rPr>
              <w:t>(Discount)</w:t>
            </w:r>
          </w:p>
          <w:p>
            <w:pPr>
              <w:pStyle w:val="TableContents"/>
              <w:bidi w:val="0"/>
              <w:spacing w:before="0" w:after="0"/>
              <w:jc w:val="center"/>
              <w:rPr>
                <w:b/>
                <w:color w:val="000000"/>
              </w:rPr>
            </w:pPr>
            <w:r>
              <w:rPr>
                <w:b/>
                <w:color w:val="000000"/>
              </w:rPr>
              <w:t>to Net Asset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0"/>
              <w:jc w:val="center"/>
              <w:rPr>
                <w:b/>
                <w:color w:val="000000"/>
              </w:rPr>
            </w:pPr>
            <w:r>
              <w:rPr>
                <w:b/>
                <w:color w:val="000000"/>
              </w:rPr>
              <w:t>Cash</w:t>
            </w:r>
          </w:p>
          <w:p>
            <w:pPr>
              <w:pStyle w:val="TableContents"/>
              <w:bidi w:val="0"/>
              <w:spacing w:before="0" w:after="0"/>
              <w:jc w:val="center"/>
              <w:rPr>
                <w:b/>
                <w:color w:val="000000"/>
              </w:rPr>
            </w:pPr>
            <w:r>
              <w:rPr>
                <w:b/>
                <w:color w:val="000000"/>
              </w:rPr>
              <w:t>Dividend</w:t>
            </w:r>
          </w:p>
          <w:p>
            <w:pPr>
              <w:pStyle w:val="TableContents"/>
              <w:bidi w:val="0"/>
              <w:spacing w:before="0" w:after="0"/>
              <w:jc w:val="center"/>
              <w:rPr>
                <w:b/>
                <w:color w:val="000000"/>
              </w:rPr>
            </w:pPr>
            <w:r>
              <w:rPr>
                <w:b/>
                <w:color w:val="000000"/>
              </w:rPr>
              <w:t>Per</w:t>
            </w:r>
          </w:p>
        </w:tc>
        <w:tc>
          <w:tcPr>
            <w:tcW w:w="325" w:type="dxa"/>
            <w:tcBorders/>
            <w:vAlign w:val="bottom"/>
          </w:tcPr>
          <w:p>
            <w:pPr>
              <w:pStyle w:val="TableContents"/>
              <w:bidi w:val="0"/>
              <w:spacing w:before="0" w:after="283"/>
              <w:jc w:val="left"/>
              <w:rPr/>
            </w:pPr>
            <w:r>
              <w:rPr/>
              <w:t> </w:t>
            </w:r>
          </w:p>
        </w:tc>
      </w:tr>
      <w:tr>
        <w:trPr/>
        <w:tc>
          <w:tcPr>
            <w:tcW w:w="2805" w:type="dxa"/>
            <w:tcBorders>
              <w:bottom w:val="single" w:sz="12" w:space="0" w:color="000000"/>
            </w:tcBorders>
            <w:tcMar>
              <w:bottom w:w="28" w:type="dxa"/>
            </w:tcMar>
            <w:vAlign w:val="bottom"/>
          </w:tcPr>
          <w:p>
            <w:pPr>
              <w:pStyle w:val="TableContents"/>
              <w:bidi w:val="0"/>
              <w:spacing w:before="0" w:after="0"/>
              <w:ind w:left="144" w:right="0" w:hanging="144"/>
              <w:jc w:val="center"/>
              <w:rPr>
                <w:b/>
                <w:color w:val="000000"/>
              </w:rPr>
            </w:pPr>
            <w:r>
              <w:rPr>
                <w:b/>
                <w:color w:val="000000"/>
              </w:rPr>
              <w:t>Class and Period</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Value(1)</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High</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Low</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Value(2)</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Value(2)</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rPr>
            </w:pPr>
            <w:r>
              <w:rPr>
                <w:b/>
                <w:color w:val="000000"/>
              </w:rPr>
              <w:t>Share(3)</w:t>
            </w:r>
          </w:p>
        </w:tc>
        <w:tc>
          <w:tcPr>
            <w:tcW w:w="32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b/>
                <w:color w:val="000000"/>
              </w:rPr>
            </w:pPr>
            <w:r>
              <w:rPr>
                <w:b/>
                <w:color w:val="000000"/>
              </w:rPr>
              <w:t>Year Ended December 31, 2026</w:t>
            </w:r>
          </w:p>
        </w:tc>
        <w:tc>
          <w:tcPr>
            <w:tcW w:w="90" w:type="dxa"/>
            <w:tcBorders/>
            <w:shd w:fill="CCEEFF" w:val="clear"/>
            <w:vAlign w:val="bottom"/>
          </w:tcPr>
          <w:p>
            <w:pPr>
              <w:pStyle w:val="TableContents"/>
              <w:bidi w:val="0"/>
              <w:spacing w:before="0" w:after="283"/>
              <w:jc w:val="left"/>
              <w:rPr/>
            </w:pPr>
            <w:r>
              <w:rPr/>
              <w:t> </w:t>
            </w:r>
          </w:p>
        </w:tc>
        <w:tc>
          <w:tcPr>
            <w:tcW w:w="919"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8"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78"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80" w:type="dxa"/>
            <w:gridSpan w:val="2"/>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Second Quarter (Through May 7, 2026)</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9.56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90" w:type="dxa"/>
            <w:tcBorders/>
            <w:vAlign w:val="bottom"/>
          </w:tcPr>
          <w:p>
            <w:pPr>
              <w:pStyle w:val="TableContents"/>
              <w:bidi w:val="0"/>
              <w:spacing w:before="0" w:after="283"/>
              <w:jc w:val="right"/>
              <w:rPr/>
            </w:pPr>
            <w:r>
              <w:rPr/>
              <w:t>9.21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First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10.91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0.34</w:t>
            </w:r>
          </w:p>
        </w:tc>
        <w:tc>
          <w:tcPr>
            <w:tcW w:w="325" w:type="dxa"/>
            <w:tcBorders/>
            <w:shd w:fill="CCEEFF" w:val="clear"/>
            <w:vAlign w:val="bottom"/>
          </w:tcPr>
          <w:p>
            <w:pPr>
              <w:pStyle w:val="TableContents"/>
              <w:bidi w:val="0"/>
              <w:spacing w:lineRule="auto" w:line="240" w:before="0" w:after="0"/>
              <w:jc w:val="left"/>
              <w:rPr>
                <w:color w:val="000000"/>
              </w:rPr>
            </w:pPr>
            <w:r>
              <w:rPr>
                <w:color w:val="000000"/>
              </w:rPr>
              <w:t>(6)</w:t>
            </w:r>
          </w:p>
          <w:p>
            <w:pPr>
              <w:pStyle w:val="TableContents"/>
              <w:bidi w:val="0"/>
              <w:spacing w:lineRule="auto" w:line="240" w:before="0" w:after="0"/>
              <w:jc w:val="left"/>
              <w:rPr/>
            </w:pPr>
            <w:r>
              <w:rPr/>
              <w:t> </w:t>
            </w:r>
          </w:p>
        </w:tc>
      </w:tr>
      <w:tr>
        <w:trPr/>
        <w:tc>
          <w:tcPr>
            <w:tcW w:w="2805" w:type="dxa"/>
            <w:tcBorders/>
            <w:vAlign w:val="bottom"/>
          </w:tcPr>
          <w:p>
            <w:pPr>
              <w:pStyle w:val="TableContents"/>
              <w:bidi w:val="0"/>
              <w:spacing w:before="0" w:after="0"/>
              <w:ind w:left="144" w:right="0" w:hanging="144"/>
              <w:jc w:val="left"/>
              <w:rPr>
                <w:b/>
                <w:color w:val="000000"/>
              </w:rPr>
            </w:pPr>
            <w:r>
              <w:rPr>
                <w:b/>
                <w:color w:val="000000"/>
              </w:rPr>
              <w:t>Year Ended December 31, 2025</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Fourth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11.22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10.03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-15.6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-24.6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0.34</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Third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11.12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10.12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-16.2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-23.7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720" w:type="dxa"/>
            <w:tcBorders/>
            <w:vAlign w:val="bottom"/>
          </w:tcPr>
          <w:p>
            <w:pPr>
              <w:pStyle w:val="TableContents"/>
              <w:bidi w:val="0"/>
              <w:spacing w:before="0" w:after="0"/>
              <w:jc w:val="right"/>
              <w:rPr>
                <w:color w:val="000000"/>
              </w:rPr>
            </w:pPr>
            <w:r>
              <w:rPr>
                <w:color w:val="000000"/>
              </w:rPr>
              <w:t>0.34</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Second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11.11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9.71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-16.0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-26.6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0.34</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First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12.56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10.92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-4.8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-17.2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720" w:type="dxa"/>
            <w:tcBorders/>
            <w:vAlign w:val="bottom"/>
          </w:tcPr>
          <w:p>
            <w:pPr>
              <w:pStyle w:val="TableContents"/>
              <w:bidi w:val="0"/>
              <w:spacing w:before="0" w:after="0"/>
              <w:jc w:val="right"/>
              <w:rPr>
                <w:color w:val="000000"/>
              </w:rPr>
            </w:pPr>
            <w:r>
              <w:rPr>
                <w:color w:val="000000"/>
              </w:rPr>
              <w:t>0.34</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b/>
                <w:color w:val="000000"/>
              </w:rPr>
            </w:pPr>
            <w:r>
              <w:rPr>
                <w:b/>
                <w:color w:val="000000"/>
              </w:rPr>
              <w:t>Year Ended December 31, 2024</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Fourth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13.24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10.74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0.3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-18.7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720" w:type="dxa"/>
            <w:tcBorders/>
            <w:vAlign w:val="bottom"/>
          </w:tcPr>
          <w:p>
            <w:pPr>
              <w:pStyle w:val="TableContents"/>
              <w:bidi w:val="0"/>
              <w:spacing w:before="0" w:after="0"/>
              <w:jc w:val="right"/>
              <w:rPr>
                <w:color w:val="000000"/>
              </w:rPr>
            </w:pPr>
            <w:r>
              <w:rPr>
                <w:color w:val="000000"/>
              </w:rPr>
              <w:t>0.34</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Third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12.00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10.64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-19.9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0.25</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Second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12.38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9.61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-8.7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-29.1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720" w:type="dxa"/>
            <w:tcBorders/>
            <w:vAlign w:val="bottom"/>
          </w:tcPr>
          <w:p>
            <w:pPr>
              <w:pStyle w:val="TableContents"/>
              <w:bidi w:val="0"/>
              <w:spacing w:before="0" w:after="0"/>
              <w:jc w:val="right"/>
              <w:rPr>
                <w:color w:val="000000"/>
              </w:rPr>
            </w:pPr>
            <w:r>
              <w:rPr>
                <w:color w:val="000000"/>
              </w:rPr>
              <w:t>0.25</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First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10.28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-24.4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-43.8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0.25</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b/>
                <w:color w:val="000000"/>
              </w:rPr>
            </w:pPr>
            <w:r>
              <w:rPr>
                <w:b/>
                <w:color w:val="000000"/>
              </w:rPr>
              <w:t>Year Ended December 31, 2023</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lineRule="auto" w:line="240"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Fourth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8.32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-28.8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-39.6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720" w:type="dxa"/>
            <w:tcBorders/>
            <w:shd w:fill="CCEEFF" w:val="clear"/>
            <w:vAlign w:val="bottom"/>
          </w:tcPr>
          <w:p>
            <w:pPr>
              <w:pStyle w:val="TableContents"/>
              <w:bidi w:val="0"/>
              <w:spacing w:before="0" w:after="0"/>
              <w:jc w:val="right"/>
              <w:rPr>
                <w:color w:val="000000"/>
              </w:rPr>
            </w:pPr>
            <w:r>
              <w:rPr>
                <w:color w:val="000000"/>
              </w:rPr>
              <w:t>0.70</w:t>
            </w:r>
          </w:p>
        </w:tc>
        <w:tc>
          <w:tcPr>
            <w:tcW w:w="325" w:type="dxa"/>
            <w:tcBorders/>
            <w:shd w:fill="CCEEFF" w:val="clear"/>
            <w:vAlign w:val="center"/>
          </w:tcPr>
          <w:p>
            <w:pPr>
              <w:pStyle w:val="TableContents"/>
              <w:bidi w:val="0"/>
              <w:spacing w:lineRule="auto" w:line="240" w:before="0" w:after="0"/>
              <w:jc w:val="left"/>
              <w:rPr>
                <w:color w:val="000000"/>
              </w:rPr>
            </w:pPr>
            <w:r>
              <w:rPr>
                <w:color w:val="000000"/>
              </w:rPr>
              <w:t>(7)</w:t>
            </w:r>
          </w:p>
        </w:tc>
      </w:tr>
      <w:tr>
        <w:trPr/>
        <w:tc>
          <w:tcPr>
            <w:tcW w:w="2805" w:type="dxa"/>
            <w:tcBorders/>
            <w:vAlign w:val="bottom"/>
          </w:tcPr>
          <w:p>
            <w:pPr>
              <w:pStyle w:val="TableContents"/>
              <w:bidi w:val="0"/>
              <w:spacing w:before="0" w:after="0"/>
              <w:ind w:left="144" w:right="0" w:hanging="144"/>
              <w:jc w:val="left"/>
              <w:rPr>
                <w:color w:val="000000"/>
              </w:rPr>
            </w:pPr>
            <w:r>
              <w:rPr>
                <w:color w:val="000000"/>
              </w:rPr>
              <w:t>Third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14.06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10.37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7.65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-26.3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-45.6</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left"/>
              <w:rPr>
                <w:color w:val="000000"/>
              </w:rPr>
            </w:pPr>
            <w:r>
              <w:rPr>
                <w:color w:val="000000"/>
              </w:rPr>
              <w:t>$</w:t>
            </w:r>
          </w:p>
        </w:tc>
        <w:tc>
          <w:tcPr>
            <w:tcW w:w="720" w:type="dxa"/>
            <w:tcBorders/>
            <w:vAlign w:val="bottom"/>
          </w:tcPr>
          <w:p>
            <w:pPr>
              <w:pStyle w:val="TableContents"/>
              <w:bidi w:val="0"/>
              <w:spacing w:before="0" w:after="0"/>
              <w:jc w:val="right"/>
              <w:rPr>
                <w:color w:val="000000"/>
              </w:rPr>
            </w:pPr>
            <w:r>
              <w:rPr>
                <w:color w:val="000000"/>
              </w:rPr>
              <w:t>0.63</w:t>
            </w:r>
          </w:p>
        </w:tc>
        <w:tc>
          <w:tcPr>
            <w:tcW w:w="325" w:type="dxa"/>
            <w:tcBorders/>
            <w:vAlign w:val="center"/>
          </w:tcPr>
          <w:p>
            <w:pPr>
              <w:pStyle w:val="TableContents"/>
              <w:bidi w:val="0"/>
              <w:spacing w:lineRule="auto" w:line="240" w:before="0" w:after="0"/>
              <w:jc w:val="left"/>
              <w:rPr>
                <w:color w:val="000000"/>
              </w:rPr>
            </w:pPr>
            <w:r>
              <w:rPr>
                <w:color w:val="000000"/>
              </w:rPr>
              <w:t>(7)</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Second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14.49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7.82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-36.3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-45.8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lineRule="auto" w:line="240"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First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14.29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9.98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8.25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-30.2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-42.3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325" w:type="dxa"/>
            <w:tcBorders/>
            <w:vAlign w:val="bottom"/>
          </w:tcPr>
          <w:p>
            <w:pPr>
              <w:pStyle w:val="TableContents"/>
              <w:bidi w:val="0"/>
              <w:spacing w:before="0" w:after="283"/>
              <w:jc w:val="left"/>
              <w:rPr/>
            </w:pPr>
            <w:r>
              <w:rPr/>
              <w:t> </w:t>
            </w:r>
          </w:p>
        </w:tc>
      </w:tr>
      <w:tr>
        <w:trPr/>
        <w:tc>
          <w:tcPr>
            <w:tcW w:w="2805" w:type="dxa"/>
            <w:tcBorders/>
            <w:shd w:fill="CCEEFF" w:val="clear"/>
            <w:vAlign w:val="bottom"/>
          </w:tcPr>
          <w:p>
            <w:pPr>
              <w:pStyle w:val="TableContents"/>
              <w:bidi w:val="0"/>
              <w:spacing w:lineRule="auto" w:line="240" w:before="0" w:after="0"/>
              <w:ind w:left="144" w:right="0" w:hanging="144"/>
              <w:jc w:val="left"/>
              <w:rPr>
                <w:b/>
                <w:color w:val="000000"/>
              </w:rPr>
            </w:pPr>
            <w:r>
              <w:rPr>
                <w:b/>
                <w:color w:val="000000"/>
              </w:rPr>
              <w:t>Year Ended December 31, 2022(4)</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Fourth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10.55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9.57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-24.2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-31.2</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color w:val="000000"/>
              </w:rPr>
            </w:pPr>
            <w:r>
              <w:rPr>
                <w:color w:val="000000"/>
              </w:rPr>
              <w:t>-</w:t>
            </w:r>
          </w:p>
        </w:tc>
        <w:tc>
          <w:tcPr>
            <w:tcW w:w="325" w:type="dxa"/>
            <w:tcBorders/>
            <w:vAlign w:val="bottom"/>
          </w:tcPr>
          <w:p>
            <w:pPr>
              <w:pStyle w:val="TableContents"/>
              <w:bidi w:val="0"/>
              <w:spacing w:before="0" w:after="283"/>
              <w:jc w:val="left"/>
              <w:rPr/>
            </w:pPr>
            <w:r>
              <w:rPr/>
              <w:t> </w:t>
            </w:r>
          </w:p>
        </w:tc>
      </w:tr>
      <w:tr>
        <w:trPr/>
        <w:tc>
          <w:tcPr>
            <w:tcW w:w="2805" w:type="dxa"/>
            <w:tcBorders/>
            <w:shd w:fill="CCEEFF" w:val="clear"/>
            <w:vAlign w:val="bottom"/>
          </w:tcPr>
          <w:p>
            <w:pPr>
              <w:pStyle w:val="TableContents"/>
              <w:bidi w:val="0"/>
              <w:spacing w:before="0" w:after="0"/>
              <w:ind w:left="144" w:right="0" w:hanging="144"/>
              <w:jc w:val="left"/>
              <w:rPr>
                <w:color w:val="000000"/>
              </w:rPr>
            </w:pPr>
            <w:r>
              <w:rPr>
                <w:color w:val="000000"/>
              </w:rPr>
              <w:t>Third Quarter</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10.74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9.00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-21.8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-34.5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color w:val="000000"/>
              </w:rPr>
            </w:pPr>
            <w:r>
              <w:rPr>
                <w:color w:val="000000"/>
              </w:rPr>
              <w:t>-</w:t>
            </w:r>
          </w:p>
        </w:tc>
        <w:tc>
          <w:tcPr>
            <w:tcW w:w="325" w:type="dxa"/>
            <w:tcBorders/>
            <w:shd w:fill="CCEEFF" w:val="clear"/>
            <w:vAlign w:val="bottom"/>
          </w:tcPr>
          <w:p>
            <w:pPr>
              <w:pStyle w:val="TableContents"/>
              <w:bidi w:val="0"/>
              <w:spacing w:before="0" w:after="283"/>
              <w:jc w:val="left"/>
              <w:rPr/>
            </w:pPr>
            <w:r>
              <w:rPr/>
              <w:t> </w:t>
            </w:r>
          </w:p>
        </w:tc>
      </w:tr>
      <w:tr>
        <w:trPr/>
        <w:tc>
          <w:tcPr>
            <w:tcW w:w="2805" w:type="dxa"/>
            <w:tcBorders/>
            <w:vAlign w:val="bottom"/>
          </w:tcPr>
          <w:p>
            <w:pPr>
              <w:pStyle w:val="TableContents"/>
              <w:bidi w:val="0"/>
              <w:spacing w:before="0" w:after="0"/>
              <w:ind w:left="144" w:right="0" w:hanging="144"/>
              <w:jc w:val="left"/>
              <w:rPr>
                <w:color w:val="000000"/>
              </w:rPr>
            </w:pPr>
            <w:r>
              <w:rPr>
                <w:color w:val="000000"/>
              </w:rPr>
              <w:t>Second Quarter</w:t>
            </w:r>
          </w:p>
        </w:tc>
        <w:tc>
          <w:tcPr>
            <w:tcW w:w="9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color w:val="000000"/>
              </w:rPr>
            </w:pPr>
            <w:r>
              <w:rPr>
                <w:color w:val="000000"/>
              </w:rPr>
              <w:t>$</w:t>
            </w:r>
          </w:p>
        </w:tc>
        <w:tc>
          <w:tcPr>
            <w:tcW w:w="714" w:type="dxa"/>
            <w:tcBorders/>
            <w:vAlign w:val="bottom"/>
          </w:tcPr>
          <w:p>
            <w:pPr>
              <w:pStyle w:val="TableContents"/>
              <w:bidi w:val="0"/>
              <w:spacing w:before="0" w:after="0"/>
              <w:jc w:val="right"/>
              <w:rPr>
                <w:color w:val="000000"/>
              </w:rPr>
            </w:pPr>
            <w:r>
              <w:rPr>
                <w:color w:val="000000"/>
              </w:rPr>
              <w:t>13.64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13.50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590" w:type="dxa"/>
            <w:tcBorders/>
            <w:vAlign w:val="bottom"/>
          </w:tcPr>
          <w:p>
            <w:pPr>
              <w:pStyle w:val="TableContents"/>
              <w:bidi w:val="0"/>
              <w:spacing w:before="0" w:after="0"/>
              <w:jc w:val="right"/>
              <w:rPr>
                <w:color w:val="000000"/>
              </w:rPr>
            </w:pPr>
            <w:r>
              <w:rPr>
                <w:color w:val="000000"/>
              </w:rPr>
              <w:t>7.80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-1.0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0"/>
              <w:jc w:val="right"/>
              <w:rPr>
                <w:color w:val="000000"/>
              </w:rPr>
            </w:pPr>
            <w:r>
              <w:rPr>
                <w:color w:val="000000"/>
              </w:rPr>
              <w:t>-42.8</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0"/>
              <w:jc w:val="right"/>
              <w:rPr>
                <w:color w:val="000000"/>
              </w:rPr>
            </w:pPr>
            <w:r>
              <w:rPr>
                <w:color w:val="000000"/>
              </w:rPr>
              <w:t>-</w:t>
            </w:r>
          </w:p>
        </w:tc>
        <w:tc>
          <w:tcPr>
            <w:tcW w:w="325" w:type="dxa"/>
            <w:tcBorders/>
            <w:vAlign w:val="bottom"/>
          </w:tcPr>
          <w:p>
            <w:pPr>
              <w:pStyle w:val="TableContents"/>
              <w:bidi w:val="0"/>
              <w:spacing w:before="0" w:after="283"/>
              <w:jc w:val="left"/>
              <w:rPr/>
            </w:pPr>
            <w:r>
              <w:rPr/>
              <w:t> </w:t>
            </w:r>
          </w:p>
        </w:tc>
      </w:tr>
      <w:tr>
        <w:trPr/>
        <w:tc>
          <w:tcPr>
            <w:tcW w:w="2805" w:type="dxa"/>
            <w:tcBorders/>
            <w:shd w:fill="CCEEFF" w:val="clear"/>
            <w:vAlign w:val="bottom"/>
          </w:tcPr>
          <w:p>
            <w:pPr>
              <w:pStyle w:val="TableContents"/>
              <w:bidi w:val="0"/>
              <w:spacing w:lineRule="auto" w:line="240" w:before="0" w:after="0"/>
              <w:ind w:left="144" w:right="0" w:hanging="144"/>
              <w:jc w:val="left"/>
              <w:rPr>
                <w:color w:val="000000"/>
              </w:rPr>
            </w:pPr>
            <w:r>
              <w:rPr>
                <w:color w:val="000000"/>
              </w:rPr>
              <w:t>First Quarter(5)</w:t>
            </w:r>
          </w:p>
        </w:tc>
        <w:tc>
          <w:tcPr>
            <w:tcW w:w="9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color w:val="000000"/>
              </w:rPr>
            </w:pPr>
            <w:r>
              <w:rPr>
                <w:color w:val="000000"/>
              </w:rPr>
              <w:t>$</w:t>
            </w:r>
          </w:p>
        </w:tc>
        <w:tc>
          <w:tcPr>
            <w:tcW w:w="714" w:type="dxa"/>
            <w:tcBorders/>
            <w:shd w:fill="CCEEFF" w:val="clear"/>
            <w:vAlign w:val="bottom"/>
          </w:tcPr>
          <w:p>
            <w:pPr>
              <w:pStyle w:val="TableContents"/>
              <w:bidi w:val="0"/>
              <w:spacing w:before="0" w:after="0"/>
              <w:jc w:val="right"/>
              <w:rPr>
                <w:color w:val="000000"/>
              </w:rPr>
            </w:pPr>
            <w:r>
              <w:rPr>
                <w:color w:val="000000"/>
              </w:rPr>
              <w:t>13.61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14.41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12.57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5.9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0"/>
              <w:jc w:val="right"/>
              <w:rPr>
                <w:color w:val="000000"/>
              </w:rPr>
            </w:pPr>
            <w:r>
              <w:rPr>
                <w:color w:val="000000"/>
              </w:rPr>
              <w:t>-7.6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0"/>
              <w:jc w:val="right"/>
              <w:rPr>
                <w:color w:val="000000"/>
              </w:rPr>
            </w:pPr>
            <w:r>
              <w:rPr>
                <w:color w:val="000000"/>
              </w:rPr>
              <w:t>-</w:t>
            </w:r>
          </w:p>
        </w:tc>
        <w:tc>
          <w:tcPr>
            <w:tcW w:w="3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f15f4edeb2744300978ff1326b4d359d"/>
      <w:bookmarkStart w:id="103" w:name="zf15f4edeb2744300978ff1326b4d359d"/>
      <w:bookmarkEnd w:id="103"/>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000000"/>
              </w:rPr>
            </w:pPr>
            <w:r>
              <w:rPr>
                <w:color w:val="000000"/>
              </w:rPr>
              <w:t>(1)</w:t>
            </w:r>
          </w:p>
        </w:tc>
        <w:tc>
          <w:tcPr>
            <w:tcW w:w="9920" w:type="dxa"/>
            <w:tcBorders/>
            <w:vAlign w:val="center"/>
          </w:tcPr>
          <w:p>
            <w:pPr>
              <w:pStyle w:val="TableContents"/>
              <w:bidi w:val="0"/>
              <w:spacing w:before="0" w:after="0"/>
              <w:jc w:val="both"/>
              <w:rPr>
                <w:color w:val="000000"/>
              </w:rPr>
            </w:pPr>
            <w:r>
              <w:rPr>
                <w:color w:val="000000"/>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tc>
      </w:tr>
    </w:tbl>
    <w:p>
      <w:pPr>
        <w:pStyle w:val="Normal"/>
        <w:bidi w:val="0"/>
        <w:spacing w:before="0" w:after="0"/>
        <w:jc w:val="left"/>
        <w:rPr>
          <w:sz w:val="4"/>
          <w:szCs w:val="4"/>
        </w:rPr>
      </w:pPr>
      <w:r>
        <w:rPr>
          <w:sz w:val="4"/>
          <w:szCs w:val="4"/>
        </w:rPr>
      </w:r>
      <w:bookmarkStart w:id="104" w:name="zd056b3bf365a4e8f9622719c01589990"/>
      <w:bookmarkStart w:id="105" w:name="zd056b3bf365a4e8f9622719c01589990"/>
      <w:bookmarkEnd w:id="105"/>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color w:val="000000"/>
              </w:rPr>
            </w:pPr>
            <w:r>
              <w:rPr>
                <w:color w:val="000000"/>
              </w:rPr>
              <w:t>(2)</w:t>
            </w:r>
          </w:p>
        </w:tc>
        <w:tc>
          <w:tcPr>
            <w:tcW w:w="9898" w:type="dxa"/>
            <w:tcBorders/>
            <w:vAlign w:val="center"/>
          </w:tcPr>
          <w:p>
            <w:pPr>
              <w:pStyle w:val="TableContents"/>
              <w:bidi w:val="0"/>
              <w:spacing w:before="0" w:after="0"/>
              <w:jc w:val="both"/>
              <w:rPr>
                <w:color w:val="000000"/>
              </w:rPr>
            </w:pPr>
            <w:r>
              <w:rPr>
                <w:color w:val="000000"/>
              </w:rPr>
              <w:t>Calculated as the respective high or low closing sales price less net asset value, divided by net asset value (in each case, as of the end of the applicable quarter).</w:t>
            </w:r>
          </w:p>
        </w:tc>
      </w:tr>
    </w:tbl>
    <w:p>
      <w:pPr>
        <w:pStyle w:val="Normal"/>
        <w:bidi w:val="0"/>
        <w:spacing w:before="0" w:after="0"/>
        <w:jc w:val="left"/>
        <w:rPr>
          <w:sz w:val="4"/>
          <w:szCs w:val="4"/>
        </w:rPr>
      </w:pPr>
      <w:r>
        <w:rPr>
          <w:sz w:val="4"/>
          <w:szCs w:val="4"/>
        </w:rPr>
      </w:r>
      <w:bookmarkStart w:id="106" w:name="zb434581e7b5a43168aceefcf67f7f820"/>
      <w:bookmarkStart w:id="107" w:name="zb434581e7b5a43168aceefcf67f7f820"/>
      <w:bookmarkEnd w:id="107"/>
    </w:p>
    <w:tbl>
      <w:tblPr>
        <w:tblW w:w="7105" w:type="dxa"/>
        <w:jc w:val="left"/>
        <w:tblInd w:w="0" w:type="dxa"/>
        <w:tblLayout w:type="fixed"/>
        <w:tblCellMar>
          <w:top w:w="0" w:type="dxa"/>
          <w:left w:w="0" w:type="dxa"/>
          <w:bottom w:w="0" w:type="dxa"/>
          <w:right w:w="0" w:type="dxa"/>
        </w:tblCellMar>
      </w:tblPr>
      <w:tblGrid>
        <w:gridCol w:w="335"/>
        <w:gridCol w:w="6770"/>
      </w:tblGrid>
      <w:tr>
        <w:trPr/>
        <w:tc>
          <w:tcPr>
            <w:tcW w:w="335" w:type="dxa"/>
            <w:tcBorders/>
            <w:vAlign w:val="center"/>
          </w:tcPr>
          <w:p>
            <w:pPr>
              <w:pStyle w:val="TableContents"/>
              <w:bidi w:val="0"/>
              <w:spacing w:before="0" w:after="283"/>
              <w:jc w:val="left"/>
              <w:rPr>
                <w:color w:val="000000"/>
              </w:rPr>
            </w:pPr>
            <w:r>
              <w:rPr>
                <w:color w:val="000000"/>
              </w:rPr>
              <w:t>(3)</w:t>
            </w:r>
          </w:p>
        </w:tc>
        <w:tc>
          <w:tcPr>
            <w:tcW w:w="6770" w:type="dxa"/>
            <w:tcBorders/>
            <w:vAlign w:val="center"/>
          </w:tcPr>
          <w:p>
            <w:pPr>
              <w:pStyle w:val="TableContents"/>
              <w:bidi w:val="0"/>
              <w:spacing w:before="0" w:after="0"/>
              <w:jc w:val="both"/>
              <w:rPr>
                <w:color w:val="000000"/>
              </w:rPr>
            </w:pPr>
            <w:r>
              <w:rPr>
                <w:color w:val="000000"/>
              </w:rPr>
              <w:t>Represents the dividend or distribution declared in the relevant quarter.</w:t>
            </w:r>
          </w:p>
        </w:tc>
      </w:tr>
    </w:tbl>
    <w:p>
      <w:pPr>
        <w:pStyle w:val="Normal"/>
        <w:bidi w:val="0"/>
        <w:spacing w:before="0" w:after="0"/>
        <w:jc w:val="left"/>
        <w:rPr>
          <w:sz w:val="4"/>
          <w:szCs w:val="4"/>
        </w:rPr>
      </w:pPr>
      <w:r>
        <w:rPr>
          <w:sz w:val="4"/>
          <w:szCs w:val="4"/>
        </w:rPr>
      </w:r>
      <w:bookmarkStart w:id="108" w:name="z5e47dc244b734adfb7838c1b8c0823df"/>
      <w:bookmarkStart w:id="109" w:name="z5e47dc244b734adfb7838c1b8c0823df"/>
      <w:bookmarkEnd w:id="109"/>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color w:val="000000"/>
              </w:rPr>
            </w:pPr>
            <w:r>
              <w:rPr>
                <w:color w:val="000000"/>
              </w:rPr>
              <w:t>(4)</w:t>
            </w:r>
          </w:p>
        </w:tc>
        <w:tc>
          <w:tcPr>
            <w:tcW w:w="9882" w:type="dxa"/>
            <w:tcBorders/>
            <w:vAlign w:val="center"/>
          </w:tcPr>
          <w:p>
            <w:pPr>
              <w:pStyle w:val="TableContents"/>
              <w:bidi w:val="0"/>
              <w:spacing w:before="0" w:after="0"/>
              <w:jc w:val="both"/>
              <w:rPr>
                <w:color w:val="000000"/>
              </w:rPr>
            </w:pPr>
            <w:r>
              <w:rPr>
                <w:color w:val="000000"/>
              </w:rPr>
              <w:t>On November 8, 2022, our Board of Directors approved a change to our fiscal year end from March 31 to December 31.</w:t>
            </w:r>
          </w:p>
        </w:tc>
      </w:tr>
    </w:tbl>
    <w:p>
      <w:pPr>
        <w:pStyle w:val="Normal"/>
        <w:bidi w:val="0"/>
        <w:spacing w:before="0" w:after="0"/>
        <w:jc w:val="left"/>
        <w:rPr>
          <w:sz w:val="4"/>
          <w:szCs w:val="4"/>
        </w:rPr>
      </w:pPr>
      <w:r>
        <w:rPr>
          <w:sz w:val="4"/>
          <w:szCs w:val="4"/>
        </w:rPr>
      </w:r>
      <w:bookmarkStart w:id="110" w:name="z0fca8d9be65d4bf78073f2effcfba8f2"/>
      <w:bookmarkStart w:id="111" w:name="z0fca8d9be65d4bf78073f2effcfba8f2"/>
      <w:bookmarkEnd w:id="111"/>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color w:val="000000"/>
              </w:rPr>
            </w:pPr>
            <w:r>
              <w:rPr>
                <w:color w:val="000000"/>
              </w:rPr>
              <w:t>(5)</w:t>
            </w:r>
          </w:p>
        </w:tc>
        <w:tc>
          <w:tcPr>
            <w:tcW w:w="9902" w:type="dxa"/>
            <w:tcBorders/>
            <w:vAlign w:val="center"/>
          </w:tcPr>
          <w:p>
            <w:pPr>
              <w:pStyle w:val="TableContents"/>
              <w:bidi w:val="0"/>
              <w:spacing w:before="0" w:after="0"/>
              <w:jc w:val="both"/>
              <w:rPr>
                <w:color w:val="000000"/>
              </w:rPr>
            </w:pPr>
            <w:r>
              <w:rPr>
                <w:color w:val="000000"/>
              </w:rPr>
              <w:t>Shares of our common stock began trading on NASDAQ on February 4, 2022. Since October 2, 2024, our common stock trades on NASDAQ under the symbol “LIEN.”</w:t>
            </w:r>
          </w:p>
        </w:tc>
      </w:tr>
    </w:tbl>
    <w:p>
      <w:pPr>
        <w:pStyle w:val="Normal"/>
        <w:bidi w:val="0"/>
        <w:spacing w:before="0" w:after="0"/>
        <w:jc w:val="left"/>
        <w:rPr>
          <w:sz w:val="4"/>
          <w:szCs w:val="4"/>
        </w:rPr>
      </w:pPr>
      <w:r>
        <w:rPr>
          <w:sz w:val="4"/>
          <w:szCs w:val="4"/>
        </w:rPr>
      </w:r>
      <w:bookmarkStart w:id="112" w:name="z2c85961a67b1453aa60fcc9f75c101a7"/>
      <w:bookmarkStart w:id="113" w:name="z2c85961a67b1453aa60fcc9f75c101a7"/>
      <w:bookmarkEnd w:id="113"/>
    </w:p>
    <w:tbl>
      <w:tblPr>
        <w:tblW w:w="8785" w:type="dxa"/>
        <w:jc w:val="left"/>
        <w:tblInd w:w="0" w:type="dxa"/>
        <w:tblLayout w:type="fixed"/>
        <w:tblCellMar>
          <w:top w:w="0" w:type="dxa"/>
          <w:left w:w="0" w:type="dxa"/>
          <w:bottom w:w="0" w:type="dxa"/>
          <w:right w:w="0" w:type="dxa"/>
        </w:tblCellMar>
      </w:tblPr>
      <w:tblGrid>
        <w:gridCol w:w="335"/>
        <w:gridCol w:w="8450"/>
      </w:tblGrid>
      <w:tr>
        <w:trPr/>
        <w:tc>
          <w:tcPr>
            <w:tcW w:w="335" w:type="dxa"/>
            <w:tcBorders/>
            <w:vAlign w:val="center"/>
          </w:tcPr>
          <w:p>
            <w:pPr>
              <w:pStyle w:val="TableContents"/>
              <w:bidi w:val="0"/>
              <w:spacing w:before="0" w:after="283"/>
              <w:jc w:val="left"/>
              <w:rPr>
                <w:color w:val="000000"/>
              </w:rPr>
            </w:pPr>
            <w:r>
              <w:rPr>
                <w:color w:val="000000"/>
              </w:rPr>
              <w:t>(6)</w:t>
            </w:r>
          </w:p>
        </w:tc>
        <w:tc>
          <w:tcPr>
            <w:tcW w:w="8450" w:type="dxa"/>
            <w:tcBorders/>
            <w:vAlign w:val="center"/>
          </w:tcPr>
          <w:p>
            <w:pPr>
              <w:pStyle w:val="TableContents"/>
              <w:bidi w:val="0"/>
              <w:spacing w:before="0" w:after="0"/>
              <w:jc w:val="both"/>
              <w:rPr>
                <w:color w:val="000000"/>
              </w:rPr>
            </w:pPr>
            <w:r>
              <w:rPr>
                <w:color w:val="000000"/>
              </w:rPr>
              <w:t>The dividend is payable on April 14, 2026 to stockholders of record on March 30, 2026.</w:t>
            </w:r>
          </w:p>
        </w:tc>
      </w:tr>
    </w:tbl>
    <w:p>
      <w:pPr>
        <w:pStyle w:val="Normal"/>
        <w:bidi w:val="0"/>
        <w:spacing w:before="0" w:after="0"/>
        <w:jc w:val="left"/>
        <w:rPr>
          <w:sz w:val="4"/>
          <w:szCs w:val="4"/>
        </w:rPr>
      </w:pPr>
      <w:r>
        <w:rPr>
          <w:sz w:val="4"/>
          <w:szCs w:val="4"/>
        </w:rPr>
      </w:r>
      <w:bookmarkStart w:id="114" w:name="z111b2980cd4347aca704dcc7420b336b"/>
      <w:bookmarkStart w:id="115" w:name="z111b2980cd4347aca704dcc7420b336b"/>
      <w:bookmarkEnd w:id="115"/>
    </w:p>
    <w:tbl>
      <w:tblPr>
        <w:tblW w:w="5650" w:type="dxa"/>
        <w:jc w:val="left"/>
        <w:tblInd w:w="0" w:type="dxa"/>
        <w:tblLayout w:type="fixed"/>
        <w:tblCellMar>
          <w:top w:w="0" w:type="dxa"/>
          <w:left w:w="0" w:type="dxa"/>
          <w:bottom w:w="0" w:type="dxa"/>
          <w:right w:w="0" w:type="dxa"/>
        </w:tblCellMar>
      </w:tblPr>
      <w:tblGrid>
        <w:gridCol w:w="335"/>
        <w:gridCol w:w="5315"/>
      </w:tblGrid>
      <w:tr>
        <w:trPr/>
        <w:tc>
          <w:tcPr>
            <w:tcW w:w="335" w:type="dxa"/>
            <w:tcBorders/>
            <w:vAlign w:val="center"/>
          </w:tcPr>
          <w:p>
            <w:pPr>
              <w:pStyle w:val="TableContents"/>
              <w:bidi w:val="0"/>
              <w:spacing w:before="0" w:after="283"/>
              <w:jc w:val="left"/>
              <w:rPr>
                <w:color w:val="000000"/>
              </w:rPr>
            </w:pPr>
            <w:r>
              <w:rPr>
                <w:color w:val="000000"/>
              </w:rPr>
              <w:t>(7)</w:t>
            </w:r>
          </w:p>
        </w:tc>
        <w:tc>
          <w:tcPr>
            <w:tcW w:w="5315" w:type="dxa"/>
            <w:tcBorders/>
            <w:vAlign w:val="center"/>
          </w:tcPr>
          <w:p>
            <w:pPr>
              <w:pStyle w:val="TableContents"/>
              <w:bidi w:val="0"/>
              <w:spacing w:before="0" w:after="0"/>
              <w:jc w:val="both"/>
              <w:rPr>
                <w:color w:val="000000"/>
              </w:rPr>
            </w:pPr>
            <w:r>
              <w:rPr>
                <w:color w:val="000000"/>
              </w:rPr>
              <w:t>Consists of a quarterly dividend and a special dividend.</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*Not determined at time of filing.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Distribution Policy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To maintain our tax treatment as a RIC, we must distribute (or be treated as distributing) in each taxable year dividends of an amount equal to at least the sum of (i) 90% of our investment company taxable income (which includes, among other items, dividends, interest, the excess of any net short-term capital gains over net long-term capital losses, as well as other taxable income (excluding any net capital gains) reduced by deductible expenses) and (ii) 90% of our net tax-exempt income for that taxable year. As a RIC, we generally will not be subject to corporate-level U.S. federal income tax on our investment company taxable income and net capital gains that we timely distribute to shareholders. In addition, to avoid the imposition of a nondeductible 4% U.S. federal excise tax, we must distribute (or be treated as distributing) in each calendar year an amount at least equal to the sum 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z1a7cce99a99843ca98be84c688c74f0d"/>
      <w:bookmarkStart w:id="117" w:name="z1a7cce99a99843ca98be84c688c74f0d"/>
      <w:bookmarkEnd w:id="11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98% of our net ordinary income, excluding certain ordinary gains and losses, recognized during a calendar year;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8" w:name="zc08aada94fa94a9e81f2bad19c73e13e"/>
      <w:bookmarkStart w:id="119" w:name="zc08aada94fa94a9e81f2bad19c73e13e"/>
      <w:bookmarkEnd w:id="119"/>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98.2% of our capital gain net income, adjusted for certain ordinary gains and losses, recognized for the twelve-month period ending on October 31 of such calendar year;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0" w:name="z501561427ab9409c8d873100d9ffa74d"/>
      <w:bookmarkStart w:id="121" w:name="z501561427ab9409c8d873100d9ffa74d"/>
      <w:bookmarkEnd w:id="12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pPr>
            <w:r>
              <w:rPr/>
              <w:t>100% of any ordinary income and capital gain net income that we recognized in preceding years, but were not distributed in such years, and on which we paid no U.S. federal income tax.</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previously incurred, and can be expected to incur in the future, such excise tax on a portion of our income and gains. While we intend to distribute income and capital gains to minimize exposure to the 4% excise tax, we may not be able to, or may not choose to, distribute amounts sufficient to avoid the imposition of the tax entirely. In that event, we will be liable for the tax only on the amount by which we do not meet the foregoing distribution requirement. See Part I, Item 1A “</w:t>
      </w:r>
      <w:r>
        <w:rPr>
          <w:rFonts w:ascii="Times New Roman" w:hAnsi="Times New Roman"/>
          <w:i/>
          <w:color w:val="000000"/>
          <w:sz w:val="20"/>
          <w:shd w:fill="FFFFFF" w:val="clear"/>
        </w:rPr>
        <w:t xml:space="preserve">RISK FACTORS – Risks Relating to Distributions – We will be subject to corporate-level U.S. federal income tax if we are unable to obtain and maintain our qualification as a RIC under Subchapter M of the Code or do not satisfy the annual distribution requirement” </w:t>
      </w:r>
      <w:r>
        <w:rPr>
          <w:rFonts w:ascii="Times New Roman" w:hAnsi="Times New Roman"/>
          <w:color w:val="000000"/>
          <w:sz w:val="20"/>
          <w:shd w:fill="FFFFFF" w:val="clear"/>
        </w:rPr>
        <w:t>in our most recent Annual Report on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Distributions Declared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reflects the distributions declared on shares of the Company’s common stock from inception through December 31, 2025:</w:t>
      </w:r>
    </w:p>
    <w:p>
      <w:pPr>
        <w:pStyle w:val="TextBody"/>
        <w:bidi w:val="0"/>
        <w:spacing w:before="0" w:after="0"/>
        <w:ind w:left="0" w:right="0" w:firstLine="360"/>
        <w:jc w:val="both"/>
        <w:rPr/>
      </w:pPr>
      <w:r>
        <w:rPr/>
      </w:r>
    </w:p>
    <w:p>
      <w:pPr>
        <w:pStyle w:val="Normal"/>
        <w:bidi w:val="0"/>
        <w:spacing w:before="0" w:after="0"/>
        <w:jc w:val="left"/>
        <w:rPr>
          <w:sz w:val="4"/>
          <w:szCs w:val="4"/>
        </w:rPr>
      </w:pPr>
      <w:r>
        <w:rPr>
          <w:sz w:val="4"/>
          <w:szCs w:val="4"/>
        </w:rPr>
      </w:r>
      <w:bookmarkStart w:id="122" w:name="z48dbeccc89fe4c9b8d00dc93cf3c9bb3"/>
      <w:bookmarkStart w:id="123" w:name="z48dbeccc89fe4c9b8d00dc93cf3c9bb3"/>
      <w:bookmarkEnd w:id="123"/>
    </w:p>
    <w:tbl>
      <w:tblPr>
        <w:tblW w:w="9724" w:type="dxa"/>
        <w:jc w:val="left"/>
        <w:tblInd w:w="0" w:type="dxa"/>
        <w:tblLayout w:type="fixed"/>
        <w:tblCellMar>
          <w:top w:w="0" w:type="dxa"/>
          <w:left w:w="0" w:type="dxa"/>
          <w:bottom w:w="28" w:type="dxa"/>
          <w:right w:w="0" w:type="dxa"/>
        </w:tblCellMar>
      </w:tblPr>
      <w:tblGrid>
        <w:gridCol w:w="1955"/>
        <w:gridCol w:w="90"/>
        <w:gridCol w:w="950"/>
        <w:gridCol w:w="90"/>
        <w:gridCol w:w="1955"/>
        <w:gridCol w:w="90"/>
        <w:gridCol w:w="1955"/>
        <w:gridCol w:w="90"/>
        <w:gridCol w:w="283"/>
        <w:gridCol w:w="786"/>
        <w:gridCol w:w="90"/>
        <w:gridCol w:w="90"/>
        <w:gridCol w:w="170"/>
        <w:gridCol w:w="1010"/>
        <w:gridCol w:w="120"/>
      </w:tblGrid>
      <w:tr>
        <w:trPr/>
        <w:tc>
          <w:tcPr>
            <w:tcW w:w="1955" w:type="dxa"/>
            <w:tcBorders>
              <w:bottom w:val="single" w:sz="12" w:space="0" w:color="000000"/>
            </w:tcBorders>
            <w:vAlign w:val="bottom"/>
          </w:tcPr>
          <w:p>
            <w:pPr>
              <w:pStyle w:val="TableContents"/>
              <w:bidi w:val="0"/>
              <w:spacing w:before="0" w:after="0"/>
              <w:jc w:val="center"/>
              <w:rPr>
                <w:b/>
                <w:color w:val="000000"/>
              </w:rPr>
            </w:pPr>
            <w:r>
              <w:rPr>
                <w:b/>
                <w:color w:val="000000"/>
              </w:rPr>
              <w:t>Declaration Date</w:t>
            </w:r>
          </w:p>
        </w:tc>
        <w:tc>
          <w:tcPr>
            <w:tcW w:w="90" w:type="dxa"/>
            <w:tcBorders/>
            <w:tcMar>
              <w:bottom w:w="0" w:type="dxa"/>
            </w:tcMar>
            <w:vAlign w:val="bottom"/>
          </w:tcPr>
          <w:p>
            <w:pPr>
              <w:pStyle w:val="TableContents"/>
              <w:bidi w:val="0"/>
              <w:spacing w:before="0" w:after="283"/>
              <w:jc w:val="left"/>
              <w:rPr/>
            </w:pPr>
            <w:r>
              <w:rPr/>
              <w:t> </w:t>
            </w:r>
          </w:p>
        </w:tc>
        <w:tc>
          <w:tcPr>
            <w:tcW w:w="950" w:type="dxa"/>
            <w:tcBorders>
              <w:bottom w:val="single" w:sz="12" w:space="0" w:color="000000"/>
            </w:tcBorders>
            <w:vAlign w:val="bottom"/>
          </w:tcPr>
          <w:p>
            <w:pPr>
              <w:pStyle w:val="TableContents"/>
              <w:bidi w:val="0"/>
              <w:spacing w:before="0" w:after="0"/>
              <w:jc w:val="center"/>
              <w:rPr>
                <w:b/>
                <w:color w:val="000000"/>
              </w:rPr>
            </w:pPr>
            <w:r>
              <w:rPr>
                <w:b/>
                <w:color w:val="000000"/>
              </w:rPr>
              <w:t>Type</w:t>
            </w:r>
          </w:p>
        </w:tc>
        <w:tc>
          <w:tcPr>
            <w:tcW w:w="90" w:type="dxa"/>
            <w:tcBorders/>
            <w:tcMar>
              <w:bottom w:w="0" w:type="dxa"/>
            </w:tcMar>
            <w:vAlign w:val="bottom"/>
          </w:tcPr>
          <w:p>
            <w:pPr>
              <w:pStyle w:val="TableContents"/>
              <w:bidi w:val="0"/>
              <w:spacing w:before="0" w:after="283"/>
              <w:jc w:val="left"/>
              <w:rPr/>
            </w:pPr>
            <w:r>
              <w:rPr/>
              <w:t> </w:t>
            </w:r>
          </w:p>
        </w:tc>
        <w:tc>
          <w:tcPr>
            <w:tcW w:w="1955" w:type="dxa"/>
            <w:tcBorders>
              <w:bottom w:val="single" w:sz="12" w:space="0" w:color="000000"/>
            </w:tcBorders>
            <w:vAlign w:val="bottom"/>
          </w:tcPr>
          <w:p>
            <w:pPr>
              <w:pStyle w:val="TableContents"/>
              <w:bidi w:val="0"/>
              <w:spacing w:before="0" w:after="0"/>
              <w:jc w:val="center"/>
              <w:rPr>
                <w:b/>
                <w:color w:val="000000"/>
              </w:rPr>
            </w:pPr>
            <w:r>
              <w:rPr>
                <w:b/>
                <w:color w:val="000000"/>
              </w:rPr>
              <w:t>Record Date</w:t>
            </w:r>
          </w:p>
        </w:tc>
        <w:tc>
          <w:tcPr>
            <w:tcW w:w="90" w:type="dxa"/>
            <w:tcBorders/>
            <w:tcMar>
              <w:bottom w:w="0" w:type="dxa"/>
            </w:tcMar>
            <w:vAlign w:val="bottom"/>
          </w:tcPr>
          <w:p>
            <w:pPr>
              <w:pStyle w:val="TableContents"/>
              <w:bidi w:val="0"/>
              <w:spacing w:before="0" w:after="283"/>
              <w:jc w:val="left"/>
              <w:rPr/>
            </w:pPr>
            <w:r>
              <w:rPr/>
              <w:t> </w:t>
            </w:r>
          </w:p>
        </w:tc>
        <w:tc>
          <w:tcPr>
            <w:tcW w:w="1955" w:type="dxa"/>
            <w:tcBorders>
              <w:bottom w:val="single" w:sz="12" w:space="0" w:color="000000"/>
            </w:tcBorders>
            <w:vAlign w:val="bottom"/>
          </w:tcPr>
          <w:p>
            <w:pPr>
              <w:pStyle w:val="TableContents"/>
              <w:bidi w:val="0"/>
              <w:spacing w:before="0" w:after="0"/>
              <w:jc w:val="center"/>
              <w:rPr>
                <w:b/>
                <w:color w:val="000000"/>
              </w:rPr>
            </w:pPr>
            <w:r>
              <w:rPr>
                <w:b/>
                <w:color w:val="000000"/>
              </w:rPr>
              <w:t>Payment Date</w:t>
            </w:r>
          </w:p>
        </w:tc>
        <w:tc>
          <w:tcPr>
            <w:tcW w:w="90" w:type="dxa"/>
            <w:tcBorders/>
            <w:tcMar>
              <w:bottom w:w="0" w:type="dxa"/>
            </w:tcMar>
            <w:vAlign w:val="bottom"/>
          </w:tcPr>
          <w:p>
            <w:pPr>
              <w:pStyle w:val="TableContents"/>
              <w:bidi w:val="0"/>
              <w:spacing w:before="0" w:after="283"/>
              <w:jc w:val="left"/>
              <w:rPr/>
            </w:pPr>
            <w:r>
              <w:rPr/>
              <w:t> </w:t>
            </w:r>
          </w:p>
        </w:tc>
        <w:tc>
          <w:tcPr>
            <w:tcW w:w="1069" w:type="dxa"/>
            <w:gridSpan w:val="2"/>
            <w:tcBorders>
              <w:bottom w:val="single" w:sz="12" w:space="0" w:color="000000"/>
            </w:tcBorders>
            <w:vAlign w:val="bottom"/>
          </w:tcPr>
          <w:p>
            <w:pPr>
              <w:pStyle w:val="TableContents"/>
              <w:bidi w:val="0"/>
              <w:spacing w:before="0" w:after="0"/>
              <w:jc w:val="center"/>
              <w:rPr>
                <w:b/>
                <w:color w:val="000000"/>
              </w:rPr>
            </w:pPr>
            <w:r>
              <w:rPr>
                <w:b/>
                <w:color w:val="000000"/>
              </w:rPr>
              <w:t>Per Share</w:t>
            </w:r>
          </w:p>
          <w:p>
            <w:pPr>
              <w:pStyle w:val="TableContents"/>
              <w:bidi w:val="0"/>
              <w:spacing w:before="0" w:after="0"/>
              <w:jc w:val="center"/>
              <w:rPr>
                <w:b/>
                <w:color w:val="000000"/>
              </w:rPr>
            </w:pPr>
            <w:r>
              <w:rPr>
                <w:b/>
                <w:color w:val="000000"/>
              </w:rPr>
              <w:t>Amount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b/>
                <w:color w:val="000000"/>
              </w:rPr>
            </w:pPr>
            <w:r>
              <w:rPr>
                <w:b/>
                <w:color w:val="000000"/>
              </w:rPr>
              <w:t>Dividends</w:t>
            </w:r>
          </w:p>
          <w:p>
            <w:pPr>
              <w:pStyle w:val="TableContents"/>
              <w:bidi w:val="0"/>
              <w:spacing w:before="0" w:after="0"/>
              <w:jc w:val="center"/>
              <w:rPr>
                <w:b/>
                <w:color w:val="000000"/>
              </w:rPr>
            </w:pPr>
            <w:r>
              <w:rPr>
                <w:b/>
                <w:color w:val="000000"/>
              </w:rPr>
              <w:t>Declared</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August 10,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September 15,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September 29,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1,429,375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August 10, 2023</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Special</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September 15, 2023</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September 29, 2023</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0.40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2,485,869</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November 9,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December 20,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December 29,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1,553,676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November 9, 2023</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Special</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December 20, 2023</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December 29, 2023</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2,796,617</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March 8,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March 20,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March 28,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1,553,736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May 9, 2024</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Quarterly</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June 20, 2024</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June 28, 2024</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1,553,738</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August 8,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September 19,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September 27,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1,553,741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December 9, 2024</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Quarterly</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December 19, 2024</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December 27, 2024</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7,758,925</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March 14,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March 28,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April 11,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7,758,931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May 12, 2025</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Quarterly</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June 27, 2025</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July 11, 2025</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7,758,939</w:t>
            </w:r>
          </w:p>
        </w:tc>
        <w:tc>
          <w:tcPr>
            <w:tcW w:w="120" w:type="dxa"/>
            <w:tcBorders/>
            <w:tcMar>
              <w:bottom w:w="0" w:type="dxa"/>
            </w:tcMar>
            <w:vAlign w:val="bottom"/>
          </w:tcPr>
          <w:p>
            <w:pPr>
              <w:pStyle w:val="TableContents"/>
              <w:bidi w:val="0"/>
              <w:spacing w:before="0" w:after="283"/>
              <w:jc w:val="left"/>
              <w:rPr/>
            </w:pPr>
            <w:r>
              <w:rPr/>
              <w:t> </w:t>
            </w:r>
          </w:p>
        </w:tc>
      </w:tr>
      <w:tr>
        <w:trPr/>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August 14,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50" w:type="dxa"/>
            <w:tcBorders/>
            <w:shd w:fill="CCEEFF" w:val="clear"/>
            <w:tcMar>
              <w:bottom w:w="0" w:type="dxa"/>
            </w:tcMar>
            <w:vAlign w:val="bottom"/>
          </w:tcPr>
          <w:p>
            <w:pPr>
              <w:pStyle w:val="TableContents"/>
              <w:bidi w:val="0"/>
              <w:spacing w:before="0" w:after="0"/>
              <w:jc w:val="center"/>
              <w:rPr>
                <w:color w:val="000000"/>
              </w:rPr>
            </w:pPr>
            <w:r>
              <w:rPr>
                <w:color w:val="000000"/>
              </w:rPr>
              <w:t>Quarterly</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September 29,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5" w:type="dxa"/>
            <w:tcBorders/>
            <w:shd w:fill="CCEEFF" w:val="clear"/>
            <w:tcMar>
              <w:bottom w:w="0" w:type="dxa"/>
            </w:tcMar>
            <w:vAlign w:val="bottom"/>
          </w:tcPr>
          <w:p>
            <w:pPr>
              <w:pStyle w:val="TableContents"/>
              <w:bidi w:val="0"/>
              <w:spacing w:before="0" w:after="0"/>
              <w:jc w:val="center"/>
              <w:rPr>
                <w:color w:val="000000"/>
              </w:rPr>
            </w:pPr>
            <w:r>
              <w:rPr>
                <w:color w:val="000000"/>
              </w:rPr>
              <w:t>October 10, 2025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283"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786" w:type="dxa"/>
            <w:tcBorders/>
            <w:shd w:fill="CCEEFF" w:val="clear"/>
            <w:tcMar>
              <w:bottom w:w="0" w:type="dxa"/>
            </w:tcMar>
            <w:vAlign w:val="bottom"/>
          </w:tcPr>
          <w:p>
            <w:pPr>
              <w:pStyle w:val="TableContents"/>
              <w:bidi w:val="0"/>
              <w:spacing w:before="0" w:after="0"/>
              <w:jc w:val="right"/>
              <w:rPr>
                <w:color w:val="000000"/>
              </w:rPr>
            </w:pPr>
            <w:r>
              <w:rPr>
                <w:color w:val="000000"/>
              </w:rPr>
              <w:t>0.34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7,759,001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955" w:type="dxa"/>
            <w:tcBorders/>
            <w:tcMar>
              <w:bottom w:w="0" w:type="dxa"/>
            </w:tcMar>
            <w:vAlign w:val="bottom"/>
          </w:tcPr>
          <w:p>
            <w:pPr>
              <w:pStyle w:val="TableContents"/>
              <w:bidi w:val="0"/>
              <w:spacing w:before="0" w:after="0"/>
              <w:jc w:val="center"/>
              <w:rPr>
                <w:color w:val="000000"/>
              </w:rPr>
            </w:pPr>
            <w:r>
              <w:rPr>
                <w:color w:val="000000"/>
              </w:rPr>
              <w:t>November 11, 2025</w:t>
            </w:r>
          </w:p>
        </w:tc>
        <w:tc>
          <w:tcPr>
            <w:tcW w:w="90" w:type="dxa"/>
            <w:tcBorders/>
            <w:tcMar>
              <w:bottom w:w="0" w:type="dxa"/>
            </w:tcMar>
            <w:vAlign w:val="bottom"/>
          </w:tcPr>
          <w:p>
            <w:pPr>
              <w:pStyle w:val="TableContents"/>
              <w:bidi w:val="0"/>
              <w:spacing w:before="0" w:after="283"/>
              <w:jc w:val="left"/>
              <w:rPr/>
            </w:pPr>
            <w:r>
              <w:rPr/>
              <w:t> </w:t>
            </w:r>
          </w:p>
        </w:tc>
        <w:tc>
          <w:tcPr>
            <w:tcW w:w="950" w:type="dxa"/>
            <w:tcBorders/>
            <w:tcMar>
              <w:bottom w:w="0" w:type="dxa"/>
            </w:tcMar>
            <w:vAlign w:val="bottom"/>
          </w:tcPr>
          <w:p>
            <w:pPr>
              <w:pStyle w:val="TableContents"/>
              <w:bidi w:val="0"/>
              <w:spacing w:before="0" w:after="0"/>
              <w:jc w:val="center"/>
              <w:rPr>
                <w:color w:val="000000"/>
              </w:rPr>
            </w:pPr>
            <w:r>
              <w:rPr>
                <w:color w:val="000000"/>
              </w:rPr>
              <w:t>Quarterly</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December 31, 2025</w:t>
            </w:r>
          </w:p>
        </w:tc>
        <w:tc>
          <w:tcPr>
            <w:tcW w:w="90" w:type="dxa"/>
            <w:tcBorders/>
            <w:tcMar>
              <w:bottom w:w="0" w:type="dxa"/>
            </w:tcMar>
            <w:vAlign w:val="bottom"/>
          </w:tcPr>
          <w:p>
            <w:pPr>
              <w:pStyle w:val="TableContents"/>
              <w:bidi w:val="0"/>
              <w:spacing w:before="0" w:after="283"/>
              <w:jc w:val="left"/>
              <w:rPr/>
            </w:pPr>
            <w:r>
              <w:rPr/>
              <w:t> </w:t>
            </w:r>
          </w:p>
        </w:tc>
        <w:tc>
          <w:tcPr>
            <w:tcW w:w="1955" w:type="dxa"/>
            <w:tcBorders/>
            <w:tcMar>
              <w:bottom w:w="0" w:type="dxa"/>
            </w:tcMar>
            <w:vAlign w:val="bottom"/>
          </w:tcPr>
          <w:p>
            <w:pPr>
              <w:pStyle w:val="TableContents"/>
              <w:bidi w:val="0"/>
              <w:spacing w:before="0" w:after="0"/>
              <w:jc w:val="center"/>
              <w:rPr>
                <w:color w:val="000000"/>
              </w:rPr>
            </w:pPr>
            <w:r>
              <w:rPr>
                <w:color w:val="000000"/>
              </w:rPr>
              <w:t>January 15, 2026</w:t>
            </w:r>
          </w:p>
        </w:tc>
        <w:tc>
          <w:tcPr>
            <w:tcW w:w="90" w:type="dxa"/>
            <w:tcBorders/>
            <w:tcMar>
              <w:bottom w:w="0" w:type="dxa"/>
            </w:tcMar>
            <w:vAlign w:val="bottom"/>
          </w:tcPr>
          <w:p>
            <w:pPr>
              <w:pStyle w:val="TableContents"/>
              <w:bidi w:val="0"/>
              <w:spacing w:before="0" w:after="283"/>
              <w:jc w:val="left"/>
              <w:rPr/>
            </w:pPr>
            <w:r>
              <w:rPr/>
              <w:t> </w:t>
            </w:r>
          </w:p>
        </w:tc>
        <w:tc>
          <w:tcPr>
            <w:tcW w:w="283" w:type="dxa"/>
            <w:tcBorders/>
            <w:tcMar>
              <w:bottom w:w="0" w:type="dxa"/>
            </w:tcMar>
            <w:vAlign w:val="bottom"/>
          </w:tcPr>
          <w:p>
            <w:pPr>
              <w:pStyle w:val="TableContents"/>
              <w:bidi w:val="0"/>
              <w:spacing w:before="0" w:after="0"/>
              <w:jc w:val="left"/>
              <w:rPr>
                <w:color w:val="000000"/>
              </w:rPr>
            </w:pPr>
            <w:r>
              <w:rPr>
                <w:color w:val="000000"/>
              </w:rPr>
              <w:t>$</w:t>
            </w:r>
          </w:p>
        </w:tc>
        <w:tc>
          <w:tcPr>
            <w:tcW w:w="786" w:type="dxa"/>
            <w:tcBorders/>
            <w:tcMar>
              <w:bottom w:w="0" w:type="dxa"/>
            </w:tcMar>
            <w:vAlign w:val="bottom"/>
          </w:tcPr>
          <w:p>
            <w:pPr>
              <w:pStyle w:val="TableContents"/>
              <w:bidi w:val="0"/>
              <w:spacing w:before="0" w:after="0"/>
              <w:jc w:val="right"/>
              <w:rPr>
                <w:color w:val="000000"/>
              </w:rPr>
            </w:pPr>
            <w:r>
              <w:rPr>
                <w:color w:val="000000"/>
              </w:rPr>
              <w:t>0.34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0"/>
              <w:jc w:val="left"/>
              <w:rPr>
                <w:color w:val="000000"/>
              </w:rPr>
            </w:pPr>
            <w:r>
              <w:rPr>
                <w:color w:val="000000"/>
              </w:rPr>
              <w:t>$</w:t>
            </w:r>
          </w:p>
        </w:tc>
        <w:tc>
          <w:tcPr>
            <w:tcW w:w="1010" w:type="dxa"/>
            <w:tcBorders/>
            <w:tcMar>
              <w:bottom w:w="0" w:type="dxa"/>
            </w:tcMar>
            <w:vAlign w:val="bottom"/>
          </w:tcPr>
          <w:p>
            <w:pPr>
              <w:pStyle w:val="TableContents"/>
              <w:bidi w:val="0"/>
              <w:spacing w:before="0" w:after="0"/>
              <w:jc w:val="right"/>
              <w:rPr>
                <w:color w:val="000000"/>
              </w:rPr>
            </w:pPr>
            <w:r>
              <w:rPr>
                <w:color w:val="000000"/>
              </w:rPr>
              <w:t>7,759,001</w:t>
            </w:r>
          </w:p>
        </w:tc>
        <w:tc>
          <w:tcPr>
            <w:tcW w:w="12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Dividend Reinvestment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Prior to December 31, 2025, we had an “opt out”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During the year ended December 31, 2025, the Company issued the following shares of common stock under the DRIP:</w:t>
      </w:r>
    </w:p>
    <w:p>
      <w:pPr>
        <w:pStyle w:val="TextBody"/>
        <w:bidi w:val="0"/>
        <w:spacing w:before="0" w:after="0"/>
        <w:ind w:left="0" w:right="0" w:firstLine="360"/>
        <w:jc w:val="both"/>
        <w:rPr>
          <w:color w:val="000000"/>
        </w:rPr>
      </w:pPr>
      <w:r>
        <w:rPr>
          <w:color w:val="000000"/>
        </w:rPr>
      </w:r>
    </w:p>
    <w:p>
      <w:pPr>
        <w:pStyle w:val="Normal"/>
        <w:bidi w:val="0"/>
        <w:spacing w:before="0" w:after="0"/>
        <w:jc w:val="left"/>
        <w:rPr>
          <w:sz w:val="4"/>
          <w:szCs w:val="4"/>
        </w:rPr>
      </w:pPr>
      <w:r>
        <w:rPr>
          <w:sz w:val="4"/>
          <w:szCs w:val="4"/>
        </w:rPr>
      </w:r>
      <w:bookmarkStart w:id="124" w:name="z6ebf4aa6bcd34986baf0bfd7a673682c"/>
      <w:bookmarkStart w:id="125" w:name="z6ebf4aa6bcd34986baf0bfd7a673682c"/>
      <w:bookmarkEnd w:id="125"/>
    </w:p>
    <w:tbl>
      <w:tblPr>
        <w:tblW w:w="6910" w:type="dxa"/>
        <w:jc w:val="left"/>
        <w:tblInd w:w="0" w:type="dxa"/>
        <w:tblLayout w:type="fixed"/>
        <w:tblCellMar>
          <w:top w:w="0" w:type="dxa"/>
          <w:left w:w="0" w:type="dxa"/>
          <w:bottom w:w="28" w:type="dxa"/>
          <w:right w:w="0" w:type="dxa"/>
        </w:tblCellMar>
      </w:tblPr>
      <w:tblGrid>
        <w:gridCol w:w="1775"/>
        <w:gridCol w:w="90"/>
        <w:gridCol w:w="950"/>
        <w:gridCol w:w="90"/>
        <w:gridCol w:w="1565"/>
        <w:gridCol w:w="90"/>
        <w:gridCol w:w="1490"/>
        <w:gridCol w:w="90"/>
        <w:gridCol w:w="770"/>
      </w:tblGrid>
      <w:tr>
        <w:trPr/>
        <w:tc>
          <w:tcPr>
            <w:tcW w:w="1775" w:type="dxa"/>
            <w:tcBorders>
              <w:bottom w:val="single" w:sz="12" w:space="0" w:color="000000"/>
            </w:tcBorders>
            <w:vAlign w:val="center"/>
          </w:tcPr>
          <w:p>
            <w:pPr>
              <w:pStyle w:val="TableContents"/>
              <w:bidi w:val="0"/>
              <w:spacing w:before="0" w:after="0"/>
              <w:jc w:val="center"/>
              <w:rPr>
                <w:b/>
                <w:color w:val="000000"/>
              </w:rPr>
            </w:pPr>
            <w:r>
              <w:rPr>
                <w:b/>
                <w:color w:val="000000"/>
              </w:rPr>
              <w:t>Declaration Date</w:t>
            </w:r>
          </w:p>
        </w:tc>
        <w:tc>
          <w:tcPr>
            <w:tcW w:w="9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b/>
                <w:color w:val="000000"/>
              </w:rPr>
            </w:pPr>
            <w:r>
              <w:rPr>
                <w:b/>
                <w:color w:val="000000"/>
              </w:rPr>
              <w:t>Type</w:t>
            </w:r>
          </w:p>
        </w:tc>
        <w:tc>
          <w:tcPr>
            <w:tcW w:w="9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0"/>
              <w:jc w:val="center"/>
              <w:rPr>
                <w:b/>
                <w:color w:val="000000"/>
              </w:rPr>
            </w:pPr>
            <w:r>
              <w:rPr>
                <w:b/>
                <w:color w:val="000000"/>
              </w:rPr>
              <w:t>Record Date</w:t>
            </w:r>
          </w:p>
        </w:tc>
        <w:tc>
          <w:tcPr>
            <w:tcW w:w="9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0"/>
              <w:jc w:val="center"/>
              <w:rPr>
                <w:b/>
                <w:color w:val="000000"/>
              </w:rPr>
            </w:pPr>
            <w:r>
              <w:rPr>
                <w:b/>
                <w:color w:val="000000"/>
              </w:rPr>
              <w:t>Payment Date</w:t>
            </w:r>
          </w:p>
        </w:tc>
        <w:tc>
          <w:tcPr>
            <w:tcW w:w="9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0"/>
              <w:jc w:val="center"/>
              <w:rPr>
                <w:b/>
                <w:color w:val="000000"/>
              </w:rPr>
            </w:pPr>
            <w:r>
              <w:rPr>
                <w:b/>
                <w:color w:val="000000"/>
              </w:rPr>
              <w:t>Shares</w:t>
            </w:r>
          </w:p>
        </w:tc>
      </w:tr>
      <w:tr>
        <w:trPr/>
        <w:tc>
          <w:tcPr>
            <w:tcW w:w="1775" w:type="dxa"/>
            <w:tcBorders/>
            <w:shd w:fill="CFF0FC" w:val="clear"/>
            <w:tcMar>
              <w:bottom w:w="0" w:type="dxa"/>
            </w:tcMar>
            <w:vAlign w:val="center"/>
          </w:tcPr>
          <w:p>
            <w:pPr>
              <w:pStyle w:val="TableContents"/>
              <w:bidi w:val="0"/>
              <w:spacing w:before="0" w:after="0"/>
              <w:jc w:val="center"/>
              <w:rPr>
                <w:color w:val="000000"/>
              </w:rPr>
            </w:pPr>
            <w:r>
              <w:rPr>
                <w:color w:val="000000"/>
              </w:rPr>
              <w:t>March 14, 2025</w:t>
            </w:r>
          </w:p>
        </w:tc>
        <w:tc>
          <w:tcPr>
            <w:tcW w:w="90" w:type="dxa"/>
            <w:tcBorders/>
            <w:shd w:fill="CFF0FC" w:val="clear"/>
            <w:tcMar>
              <w:bottom w:w="0" w:type="dxa"/>
            </w:tcMar>
            <w:vAlign w:val="center"/>
          </w:tcPr>
          <w:p>
            <w:pPr>
              <w:pStyle w:val="TableContents"/>
              <w:bidi w:val="0"/>
              <w:spacing w:before="0" w:after="283"/>
              <w:jc w:val="left"/>
              <w:rPr/>
            </w:pPr>
            <w:r>
              <w:rPr/>
              <w:t> </w:t>
            </w:r>
          </w:p>
        </w:tc>
        <w:tc>
          <w:tcPr>
            <w:tcW w:w="950" w:type="dxa"/>
            <w:tcBorders/>
            <w:shd w:fill="CFF0FC" w:val="clear"/>
            <w:tcMar>
              <w:bottom w:w="0" w:type="dxa"/>
            </w:tcMar>
            <w:vAlign w:val="center"/>
          </w:tcPr>
          <w:p>
            <w:pPr>
              <w:pStyle w:val="TableContents"/>
              <w:bidi w:val="0"/>
              <w:spacing w:before="0" w:after="0"/>
              <w:jc w:val="center"/>
              <w:rPr>
                <w:color w:val="000000"/>
              </w:rPr>
            </w:pPr>
            <w:r>
              <w:rPr>
                <w:color w:val="000000"/>
              </w:rPr>
              <w:t>Quarterly</w:t>
            </w:r>
          </w:p>
        </w:tc>
        <w:tc>
          <w:tcPr>
            <w:tcW w:w="90" w:type="dxa"/>
            <w:tcBorders/>
            <w:shd w:fill="CFF0FC" w:val="clear"/>
            <w:tcMar>
              <w:bottom w:w="0" w:type="dxa"/>
            </w:tcMar>
            <w:vAlign w:val="center"/>
          </w:tcPr>
          <w:p>
            <w:pPr>
              <w:pStyle w:val="TableContents"/>
              <w:bidi w:val="0"/>
              <w:spacing w:before="0" w:after="283"/>
              <w:jc w:val="left"/>
              <w:rPr/>
            </w:pPr>
            <w:r>
              <w:rPr/>
              <w:t> </w:t>
            </w:r>
          </w:p>
        </w:tc>
        <w:tc>
          <w:tcPr>
            <w:tcW w:w="1565" w:type="dxa"/>
            <w:tcBorders/>
            <w:shd w:fill="CFF0FC" w:val="clear"/>
            <w:tcMar>
              <w:bottom w:w="0" w:type="dxa"/>
            </w:tcMar>
            <w:vAlign w:val="center"/>
          </w:tcPr>
          <w:p>
            <w:pPr>
              <w:pStyle w:val="TableContents"/>
              <w:bidi w:val="0"/>
              <w:spacing w:before="0" w:after="0"/>
              <w:jc w:val="center"/>
              <w:rPr>
                <w:color w:val="000000"/>
              </w:rPr>
            </w:pPr>
            <w:r>
              <w:rPr>
                <w:color w:val="000000"/>
              </w:rPr>
              <w:t>March 28, 2025</w:t>
            </w:r>
          </w:p>
        </w:tc>
        <w:tc>
          <w:tcPr>
            <w:tcW w:w="90" w:type="dxa"/>
            <w:tcBorders/>
            <w:shd w:fill="CFF0FC" w:val="clear"/>
            <w:tcMar>
              <w:bottom w:w="0" w:type="dxa"/>
            </w:tcMar>
            <w:vAlign w:val="center"/>
          </w:tcPr>
          <w:p>
            <w:pPr>
              <w:pStyle w:val="TableContents"/>
              <w:bidi w:val="0"/>
              <w:spacing w:before="0" w:after="283"/>
              <w:jc w:val="left"/>
              <w:rPr/>
            </w:pPr>
            <w:r>
              <w:rPr/>
              <w:t> </w:t>
            </w:r>
          </w:p>
        </w:tc>
        <w:tc>
          <w:tcPr>
            <w:tcW w:w="1490" w:type="dxa"/>
            <w:tcBorders/>
            <w:shd w:fill="CFF0FC" w:val="clear"/>
            <w:tcMar>
              <w:bottom w:w="0" w:type="dxa"/>
            </w:tcMar>
            <w:vAlign w:val="center"/>
          </w:tcPr>
          <w:p>
            <w:pPr>
              <w:pStyle w:val="TableContents"/>
              <w:bidi w:val="0"/>
              <w:spacing w:before="0" w:after="0"/>
              <w:jc w:val="center"/>
              <w:rPr>
                <w:color w:val="000000"/>
              </w:rPr>
            </w:pPr>
            <w:r>
              <w:rPr>
                <w:color w:val="000000"/>
              </w:rPr>
              <w:t>April 11, 2025</w:t>
            </w:r>
          </w:p>
        </w:tc>
        <w:tc>
          <w:tcPr>
            <w:tcW w:w="90" w:type="dxa"/>
            <w:tcBorders/>
            <w:shd w:fill="CFF0FC" w:val="clear"/>
            <w:tcMar>
              <w:bottom w:w="0" w:type="dxa"/>
            </w:tcMar>
            <w:vAlign w:val="center"/>
          </w:tcPr>
          <w:p>
            <w:pPr>
              <w:pStyle w:val="TableContents"/>
              <w:bidi w:val="0"/>
              <w:spacing w:before="0" w:after="283"/>
              <w:jc w:val="left"/>
              <w:rPr/>
            </w:pPr>
            <w:r>
              <w:rPr/>
              <w:t> </w:t>
            </w:r>
          </w:p>
        </w:tc>
        <w:tc>
          <w:tcPr>
            <w:tcW w:w="770" w:type="dxa"/>
            <w:tcBorders/>
            <w:shd w:fill="CFF0FC" w:val="clear"/>
            <w:tcMar>
              <w:bottom w:w="0" w:type="dxa"/>
            </w:tcMar>
            <w:vAlign w:val="center"/>
          </w:tcPr>
          <w:p>
            <w:pPr>
              <w:pStyle w:val="TableContents"/>
              <w:bidi w:val="0"/>
              <w:spacing w:before="0" w:after="0"/>
              <w:jc w:val="right"/>
              <w:rPr>
                <w:color w:val="000000"/>
              </w:rPr>
            </w:pPr>
            <w:r>
              <w:rPr>
                <w:color w:val="000000"/>
              </w:rPr>
              <w:t>22</w:t>
            </w:r>
          </w:p>
        </w:tc>
      </w:tr>
      <w:tr>
        <w:trPr/>
        <w:tc>
          <w:tcPr>
            <w:tcW w:w="1775" w:type="dxa"/>
            <w:tcBorders/>
            <w:tcMar>
              <w:bottom w:w="0" w:type="dxa"/>
            </w:tcMar>
            <w:vAlign w:val="center"/>
          </w:tcPr>
          <w:p>
            <w:pPr>
              <w:pStyle w:val="TableContents"/>
              <w:bidi w:val="0"/>
              <w:spacing w:before="0" w:after="0"/>
              <w:jc w:val="center"/>
              <w:rPr>
                <w:color w:val="000000"/>
              </w:rPr>
            </w:pPr>
            <w:r>
              <w:rPr>
                <w:color w:val="000000"/>
              </w:rPr>
              <w:t>May 12, 2025</w:t>
            </w:r>
          </w:p>
        </w:tc>
        <w:tc>
          <w:tcPr>
            <w:tcW w:w="9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0"/>
              <w:jc w:val="center"/>
              <w:rPr>
                <w:color w:val="000000"/>
              </w:rPr>
            </w:pPr>
            <w:r>
              <w:rPr>
                <w:color w:val="000000"/>
              </w:rPr>
              <w:t>Quarterly</w:t>
            </w:r>
          </w:p>
        </w:tc>
        <w:tc>
          <w:tcPr>
            <w:tcW w:w="9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0"/>
              <w:jc w:val="center"/>
              <w:rPr>
                <w:color w:val="000000"/>
              </w:rPr>
            </w:pPr>
            <w:r>
              <w:rPr>
                <w:color w:val="000000"/>
              </w:rPr>
              <w:t>June 27, 2025</w:t>
            </w:r>
          </w:p>
        </w:tc>
        <w:tc>
          <w:tcPr>
            <w:tcW w:w="9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0"/>
              <w:jc w:val="center"/>
              <w:rPr>
                <w:color w:val="000000"/>
              </w:rPr>
            </w:pPr>
            <w:r>
              <w:rPr>
                <w:color w:val="000000"/>
              </w:rPr>
              <w:t>July 11, 2025</w:t>
            </w:r>
          </w:p>
        </w:tc>
        <w:tc>
          <w:tcPr>
            <w:tcW w:w="9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0"/>
              <w:jc w:val="right"/>
              <w:rPr>
                <w:color w:val="000000"/>
              </w:rPr>
            </w:pPr>
            <w:r>
              <w:rPr>
                <w:color w:val="000000"/>
              </w:rPr>
              <w:t>182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26" w:name="MANAGEMENTSDISCUSSIONANDA"/>
      <w:bookmarkEnd w:id="126"/>
      <w:r>
        <w:rPr>
          <w:rFonts w:ascii="Times New Roman" w:hAnsi="Times New Roman"/>
          <w:b/>
          <w:color w:val="000000"/>
          <w:sz w:val="20"/>
          <w:shd w:fill="FFFFFF" w:val="clear"/>
        </w:rPr>
        <w:t>MANAGEMENT’S DISCUSSION AND ANALYSIS OF FINANCIAL CONDITION AND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ind w:left="0" w:right="0" w:firstLine="360"/>
        <w:jc w:val="both"/>
        <w:rPr/>
      </w:pPr>
      <w:r>
        <w:rPr>
          <w:rFonts w:ascii="Times New Roman" w:hAnsi="Times New Roman"/>
          <w:color w:val="000000"/>
          <w:sz w:val="20"/>
          <w:shd w:fill="FFFFFF" w:val="clear"/>
        </w:rPr>
        <w:t>The information contained in Part II, Item 7 “</w:t>
      </w:r>
      <w:r>
        <w:rPr>
          <w:rFonts w:ascii="Times New Roman" w:hAnsi="Times New Roman"/>
          <w:i/>
          <w:color w:val="000000"/>
          <w:sz w:val="20"/>
          <w:shd w:fill="FFFFFF" w:val="clear"/>
        </w:rPr>
        <w:t>MANAGEMENT’S DISCUSSION AND ANALYSIS OF FINANCIAL CONDITION AND RESULTS OF OPERATIONS</w:t>
      </w:r>
      <w:r>
        <w:rPr>
          <w:rFonts w:ascii="Times New Roman" w:hAnsi="Times New Roman"/>
          <w:color w:val="000000"/>
          <w:sz w:val="20"/>
          <w:shd w:fill="FFFFFF" w:val="clear"/>
        </w:rPr>
        <w:t xml:space="preserve">” of our most recent Annual Report on </w:t>
      </w:r>
      <w:hyperlink r:id="rId5">
        <w:r>
          <w:rPr>
            <w:rStyle w:val="InternetLink"/>
          </w:rPr>
          <w:t>Form 10-K</w:t>
        </w:r>
      </w:hyperlink>
      <w:r>
        <w:rPr>
          <w:rFonts w:ascii="Times New Roman" w:hAnsi="Times New Roman"/>
          <w:color w:val="000000"/>
          <w:sz w:val="20"/>
          <w:shd w:fill="FFFFFF" w:val="clear"/>
        </w:rPr>
        <w:t xml:space="preserve"> is incorporated by reference herein and should be read in conjunction with, and are qualified by reference to, our financial statements and notes thereto included in such Annual Report on </w:t>
      </w:r>
      <w:hyperlink r:id="rId6">
        <w:r>
          <w:rPr>
            <w:rStyle w:val="InternetLink"/>
          </w:rPr>
          <w:t>Form 10-K</w:t>
        </w:r>
      </w:hyperlink>
      <w:r>
        <w:rPr>
          <w:rFonts w:ascii="Times New Roman" w:hAnsi="Times New Roman"/>
          <w:color w:val="000000"/>
          <w:sz w:val="20"/>
          <w:shd w:fill="FFFFFF" w:val="clear"/>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27" w:name="THECOMPANY"/>
      <w:bookmarkEnd w:id="127"/>
      <w:r>
        <w:rPr>
          <w:rFonts w:ascii="Times New Roman" w:hAnsi="Times New Roman"/>
          <w:b/>
          <w:color w:val="000000"/>
          <w:sz w:val="20"/>
          <w:shd w:fill="FFFFFF" w:val="clear"/>
        </w:rPr>
        <w:t>THE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pPr>
      <w:r>
        <w:rPr>
          <w:rFonts w:ascii="Times New Roman" w:hAnsi="Times New Roman"/>
          <w:color w:val="000000"/>
          <w:sz w:val="20"/>
          <w:shd w:fill="FFFFFF" w:val="clear"/>
        </w:rPr>
        <w:t>The information contained in Part I, Item 1 “</w:t>
      </w:r>
      <w:r>
        <w:rPr>
          <w:rFonts w:ascii="Times New Roman" w:hAnsi="Times New Roman"/>
          <w:i/>
          <w:color w:val="000000"/>
          <w:sz w:val="20"/>
          <w:shd w:fill="FFFFFF" w:val="clear"/>
        </w:rPr>
        <w:t>BUSINESS</w:t>
      </w:r>
      <w:r>
        <w:rPr>
          <w:rFonts w:ascii="Times New Roman" w:hAnsi="Times New Roman"/>
          <w:color w:val="000000"/>
          <w:sz w:val="20"/>
          <w:shd w:fill="FFFFFF" w:val="clear"/>
        </w:rPr>
        <w:t>,” Part I, Item 2 “</w:t>
      </w:r>
      <w:r>
        <w:rPr>
          <w:rFonts w:ascii="Times New Roman" w:hAnsi="Times New Roman"/>
          <w:i/>
          <w:color w:val="000000"/>
          <w:sz w:val="20"/>
          <w:shd w:fill="FFFFFF" w:val="clear"/>
        </w:rPr>
        <w:t>PROPERTIES</w:t>
      </w:r>
      <w:r>
        <w:rPr>
          <w:rFonts w:ascii="Times New Roman" w:hAnsi="Times New Roman"/>
          <w:color w:val="000000"/>
          <w:sz w:val="20"/>
          <w:shd w:fill="FFFFFF" w:val="clear"/>
        </w:rPr>
        <w:t>” and Part I, Item 3 “</w:t>
      </w:r>
      <w:r>
        <w:rPr>
          <w:rFonts w:ascii="Times New Roman" w:hAnsi="Times New Roman"/>
          <w:i/>
          <w:color w:val="000000"/>
          <w:sz w:val="20"/>
          <w:shd w:fill="FFFFFF" w:val="clear"/>
        </w:rPr>
        <w:t>LEGAL PROCEEDINGS</w:t>
      </w:r>
      <w:r>
        <w:rPr>
          <w:rFonts w:ascii="Times New Roman" w:hAnsi="Times New Roman"/>
          <w:color w:val="000000"/>
          <w:sz w:val="20"/>
          <w:shd w:fill="FFFFFF" w:val="clear"/>
        </w:rPr>
        <w:t xml:space="preserve">” of our most recent Annual Report on </w:t>
      </w:r>
      <w:hyperlink r:id="rId7">
        <w:r>
          <w:rPr>
            <w:rStyle w:val="InternetLink"/>
          </w:rPr>
          <w:t>Form 10-K</w:t>
        </w:r>
      </w:hyperlink>
      <w:r>
        <w:rPr>
          <w:rFonts w:ascii="Times New Roman" w:hAnsi="Times New Roman"/>
          <w:color w:val="000000"/>
          <w:sz w:val="20"/>
          <w:shd w:fill="FFFFFF" w:val="clear"/>
        </w:rPr>
        <w:t xml:space="preserve"> is incorporated herein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28" w:name="SENIORSECURITIES"/>
      <w:bookmarkEnd w:id="128"/>
      <w:r>
        <w:rPr>
          <w:rFonts w:ascii="Times New Roman" w:hAnsi="Times New Roman"/>
          <w:b/>
          <w:color w:val="000000"/>
          <w:sz w:val="20"/>
          <w:shd w:fill="FFFFFF" w:val="clear"/>
        </w:rPr>
        <w:t>SENIOR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pPr>
      <w:r>
        <w:rPr>
          <w:rFonts w:ascii="Times New Roman" w:hAnsi="Times New Roman"/>
          <w:color w:val="000000"/>
          <w:sz w:val="20"/>
          <w:shd w:fill="FFFFFF" w:val="clear"/>
        </w:rPr>
        <w:t xml:space="preserve">Information about our senior securities as of the end of the fiscal year ended December 31, 2025 is included in Note 5 to our audited financial statements appearing in our most recent Annual Report on </w:t>
      </w:r>
      <w:hyperlink r:id="rId8">
        <w:r>
          <w:rPr>
            <w:rStyle w:val="InternetLink"/>
          </w:rPr>
          <w:t>Form 10-K</w:t>
        </w:r>
      </w:hyperlink>
      <w:r>
        <w:rPr>
          <w:rFonts w:ascii="Times New Roman" w:hAnsi="Times New Roman"/>
          <w:color w:val="000000"/>
          <w:sz w:val="20"/>
          <w:shd w:fill="FFFFFF" w:val="clear"/>
        </w:rPr>
        <w:t>. The report of BDO USA, P.C., an independent registered public accounting firm, on our consolidated financial statements as of December 31, 2025, of which the Senior Securities table is a part, has been incorporated by reference herein.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29" w:name="PORTFOLIOCOMPANIES"/>
      <w:bookmarkEnd w:id="129"/>
      <w:r>
        <w:rPr>
          <w:rFonts w:ascii="Times New Roman" w:hAnsi="Times New Roman"/>
          <w:b/>
          <w:color w:val="000000"/>
          <w:sz w:val="20"/>
          <w:shd w:fill="FFFFFF" w:val="clear"/>
        </w:rPr>
        <w:t>PORTFOLIO COMPANIES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certain information regarding each of the portfolio companies in which we had a debt or equity investment as of December 31, 2025. We offer to make available significant managerial assistance to our portfolio companies. We may receive rights to observe the meetings of our portfolio companies’ board of directors. Other than these investments, our only relationships with our portfolio companies are the managerial assistance we may separately provide to our portfolio companies, which services would be ancillary to our investments. As of December 31, 2025, we did not “control” any of our portfolio companies, and we were not an “affiliate” of any of our portfolio companies, as defined in the 1940 Act. In general, under the 1940 Act, we would “control” a portfolio company if we owned 25.0% or more of its voting securities and would be an “affiliate” of a portfolio company if we owned 5.0 % or more of its voting securities.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0" w:name="zee9b58ae26dd4b91818801e6fcbd0919"/>
      <w:bookmarkStart w:id="131" w:name="zee9b58ae26dd4b91818801e6fcbd0919"/>
      <w:bookmarkEnd w:id="131"/>
    </w:p>
    <w:tbl>
      <w:tblPr>
        <w:tblW w:w="10305" w:type="dxa"/>
        <w:jc w:val="left"/>
        <w:tblInd w:w="0" w:type="dxa"/>
        <w:tblLayout w:type="fixed"/>
        <w:tblCellMar>
          <w:top w:w="0" w:type="dxa"/>
          <w:left w:w="0" w:type="dxa"/>
          <w:bottom w:w="28" w:type="dxa"/>
          <w:right w:w="0" w:type="dxa"/>
        </w:tblCellMar>
      </w:tblPr>
      <w:tblGrid>
        <w:gridCol w:w="1205"/>
        <w:gridCol w:w="90"/>
        <w:gridCol w:w="1190"/>
        <w:gridCol w:w="90"/>
        <w:gridCol w:w="1445"/>
        <w:gridCol w:w="90"/>
        <w:gridCol w:w="1175"/>
        <w:gridCol w:w="230"/>
        <w:gridCol w:w="1130"/>
        <w:gridCol w:w="90"/>
        <w:gridCol w:w="1070"/>
        <w:gridCol w:w="90"/>
        <w:gridCol w:w="965"/>
        <w:gridCol w:w="90"/>
        <w:gridCol w:w="1355"/>
      </w:tblGrid>
      <w:tr>
        <w:trPr/>
        <w:tc>
          <w:tcPr>
            <w:tcW w:w="1205" w:type="dxa"/>
            <w:tcBorders>
              <w:bottom w:val="single" w:sz="12" w:space="0" w:color="000000"/>
            </w:tcBorders>
            <w:vAlign w:val="center"/>
          </w:tcPr>
          <w:p>
            <w:pPr>
              <w:pStyle w:val="TableContents"/>
              <w:bidi w:val="0"/>
              <w:spacing w:before="0" w:after="0"/>
              <w:jc w:val="center"/>
              <w:rPr>
                <w:b/>
                <w:color w:val="000000"/>
              </w:rPr>
            </w:pPr>
            <w:r>
              <w:rPr>
                <w:b/>
                <w:color w:val="000000"/>
              </w:rPr>
              <w:t>Portfolio Company</w:t>
            </w:r>
          </w:p>
        </w:tc>
        <w:tc>
          <w:tcPr>
            <w:tcW w:w="90" w:type="dxa"/>
            <w:tcBorders/>
            <w:tcMar>
              <w:bottom w:w="0" w:type="dxa"/>
            </w:tcMar>
            <w:vAlign w:val="center"/>
          </w:tcPr>
          <w:p>
            <w:pPr>
              <w:pStyle w:val="TableContents"/>
              <w:bidi w:val="0"/>
              <w:spacing w:before="0" w:after="0"/>
              <w:jc w:val="center"/>
              <w:rPr>
                <w:color w:val="000000"/>
              </w:rPr>
            </w:pPr>
            <w:r>
              <w:rPr>
                <w:color w:val="000000"/>
              </w:rPr>
              <w:t> </w:t>
            </w:r>
          </w:p>
        </w:tc>
        <w:tc>
          <w:tcPr>
            <w:tcW w:w="1190" w:type="dxa"/>
            <w:tcBorders>
              <w:bottom w:val="single" w:sz="12" w:space="0" w:color="000000"/>
            </w:tcBorders>
            <w:vAlign w:val="center"/>
          </w:tcPr>
          <w:p>
            <w:pPr>
              <w:pStyle w:val="TableContents"/>
              <w:bidi w:val="0"/>
              <w:spacing w:before="0" w:after="0"/>
              <w:jc w:val="center"/>
              <w:rPr>
                <w:b/>
                <w:color w:val="000000"/>
              </w:rPr>
            </w:pPr>
            <w:r>
              <w:rPr>
                <w:b/>
                <w:color w:val="000000"/>
              </w:rPr>
              <w:t>Address</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0"/>
              <w:jc w:val="center"/>
              <w:rPr>
                <w:b/>
                <w:color w:val="000000"/>
              </w:rPr>
            </w:pPr>
            <w:r>
              <w:rPr>
                <w:b/>
                <w:color w:val="000000"/>
              </w:rPr>
              <w:t>Nature of</w:t>
            </w:r>
          </w:p>
          <w:p>
            <w:pPr>
              <w:pStyle w:val="TableContents"/>
              <w:bidi w:val="0"/>
              <w:spacing w:before="0" w:after="0"/>
              <w:jc w:val="center"/>
              <w:rPr>
                <w:b/>
                <w:color w:val="000000"/>
              </w:rPr>
            </w:pPr>
            <w:r>
              <w:rPr>
                <w:b/>
                <w:color w:val="000000"/>
              </w:rPr>
              <w:t>Business</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0"/>
              <w:jc w:val="center"/>
              <w:rPr>
                <w:b/>
                <w:color w:val="000000"/>
              </w:rPr>
            </w:pPr>
            <w:r>
              <w:rPr>
                <w:b/>
                <w:color w:val="000000"/>
              </w:rPr>
              <w:t>Investment</w:t>
            </w:r>
          </w:p>
          <w:p>
            <w:pPr>
              <w:pStyle w:val="TableContents"/>
              <w:bidi w:val="0"/>
              <w:spacing w:before="0" w:after="0"/>
              <w:jc w:val="center"/>
              <w:rPr>
                <w:b/>
                <w:color w:val="000000"/>
              </w:rPr>
            </w:pPr>
            <w:r>
              <w:rPr>
                <w:b/>
                <w:color w:val="000000"/>
              </w:rPr>
              <w:t>Type</w:t>
            </w:r>
          </w:p>
        </w:tc>
        <w:tc>
          <w:tcPr>
            <w:tcW w:w="230" w:type="dxa"/>
            <w:tcBorders/>
            <w:tcMar>
              <w:bottom w:w="0" w:type="dxa"/>
            </w:tcMar>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0"/>
              <w:jc w:val="center"/>
              <w:rPr>
                <w:b/>
                <w:color w:val="000000"/>
              </w:rPr>
            </w:pPr>
            <w:r>
              <w:rPr>
                <w:b/>
                <w:color w:val="000000"/>
              </w:rPr>
              <w:t>Interest</w:t>
            </w:r>
          </w:p>
          <w:p>
            <w:pPr>
              <w:pStyle w:val="TableContents"/>
              <w:bidi w:val="0"/>
              <w:spacing w:lineRule="auto" w:line="240" w:before="0" w:after="0"/>
              <w:jc w:val="center"/>
              <w:rPr>
                <w:b/>
                <w:color w:val="000000"/>
              </w:rPr>
            </w:pPr>
            <w:r>
              <w:rPr>
                <w:b/>
                <w:color w:val="000000"/>
              </w:rPr>
              <w:t>Terms1</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0"/>
              <w:jc w:val="center"/>
              <w:rPr>
                <w:b/>
                <w:color w:val="000000"/>
              </w:rPr>
            </w:pPr>
            <w:r>
              <w:rPr>
                <w:b/>
                <w:color w:val="000000"/>
              </w:rPr>
              <w:t>Maturity</w:t>
            </w:r>
          </w:p>
        </w:tc>
        <w:tc>
          <w:tcPr>
            <w:tcW w:w="90" w:type="dxa"/>
            <w:tcBorders/>
            <w:tcMar>
              <w:bottom w:w="0" w:type="dxa"/>
            </w:tcMar>
            <w:vAlign w:val="center"/>
          </w:tcPr>
          <w:p>
            <w:pPr>
              <w:pStyle w:val="TableContents"/>
              <w:bidi w:val="0"/>
              <w:spacing w:before="0" w:after="283"/>
              <w:jc w:val="left"/>
              <w:rPr/>
            </w:pPr>
            <w:r>
              <w:rPr/>
              <w:t> </w:t>
            </w:r>
          </w:p>
        </w:tc>
        <w:tc>
          <w:tcPr>
            <w:tcW w:w="1355" w:type="dxa"/>
            <w:tcBorders>
              <w:bottom w:val="single" w:sz="12" w:space="0" w:color="000000"/>
            </w:tcBorders>
            <w:vAlign w:val="center"/>
          </w:tcPr>
          <w:p>
            <w:pPr>
              <w:pStyle w:val="TableContents"/>
              <w:bidi w:val="0"/>
              <w:spacing w:before="0" w:after="0"/>
              <w:jc w:val="center"/>
              <w:rPr>
                <w:b/>
                <w:color w:val="000000"/>
              </w:rPr>
            </w:pPr>
            <w:r>
              <w:rPr>
                <w:b/>
                <w:color w:val="000000"/>
              </w:rPr>
              <w:t>Relationship</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Action Target,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3411 S. Mountain Vista Parkway</w:t>
              <w:br/>
              <w:t>Provo, UT 84606</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Manufacturing</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shd w:fill="CCEEFF" w:val="clear"/>
            <w:tcMar>
              <w:bottom w:w="0" w:type="dxa"/>
            </w:tcMar>
            <w:vAlign w:val="center"/>
          </w:tcPr>
          <w:p>
            <w:pPr>
              <w:pStyle w:val="TableContents"/>
              <w:bidi w:val="0"/>
              <w:spacing w:before="0" w:after="0"/>
              <w:jc w:val="right"/>
              <w:rPr>
                <w:color w:val="000000"/>
              </w:rPr>
            </w:pPr>
            <w:r>
              <w:rPr>
                <w:color w:val="000000"/>
              </w:rPr>
              <w:t> </w:t>
            </w:r>
            <w:r>
              <w:rPr>
                <w:color w:val="000000"/>
              </w:rPr>
              <w:t>$</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2,440,172</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12.00% (P + 2.00%; 1.50% PIK; 8.50%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7/19/2027</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Aeriz Holdings Corp</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351 W. Hubbard Street</w:t>
              <w:br/>
              <w:t>Chicago, IL 60654</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9,589,710</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12.50% (P + 5.75%)</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6/30/2028</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AI Software, LLC (d/b/a Capacity)</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6665 Delmar Blvd., Suite 300</w:t>
              <w:br/>
              <w:t>St. Louis, MO 63130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Information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5,094,858</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16.00% (P + 6.50%; 2.00% PIK; 7.50%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6/13/2029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AI Software, LLC (d/b/a Capacity)</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6665 Delmar Blvd., Suite 300</w:t>
              <w:br/>
              <w:t>St. Louis, MO 63130</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Information</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Warrants</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539,000</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Archos Capital Group, LLC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1504 N. Highland Avenue</w:t>
              <w:br/>
              <w:t>Arlington Heights, IL 60004</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113,065</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14.25% (P + 5.75%; 8.50%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1/5/2026</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Ascend Wellness Holdings, Inc.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174 NJ-17</w:t>
              <w:br/>
              <w:t>Rochelle Park, NJ 07662</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Senior Secured Note</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3,482,500</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12.75% (F @ 12.75%)</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7/16/2029</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Aura Home,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30 Cooper Square, Floor 8</w:t>
              <w:br/>
              <w:t>New York, NY 10003-7120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Retail Trade</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3,308,375</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10.77% (S + 6.50%; 3.75%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9/22/2026</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Aura Home, Inc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30 Cooper Square, Floor 8</w:t>
              <w:br/>
              <w:t>New York, NY 10003-7120</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Retail Trade</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516,336</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10.77% (S + 6.50%; 3.75% Floor)</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9/22/2026</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BeLeaf Medical, LLC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1551 Wall Street, Suite 280</w:t>
              <w:br/>
              <w:t>Saint Charles, Missouri 63303</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14,074,362</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13.25% (P + 5.75%; 7.50%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8/20/2028</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CO Acquisition Vehicle, LLC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5845 Centre Avenue</w:t>
              <w:br/>
              <w:t>Pittsburgh, PA 15206</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15,521,257</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20.00% (F @ 0.00%; 20.00% PIK)</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12/31/2029</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Cresco Labs, LLC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600 West Fulton Street, Suite 800</w:t>
              <w:br/>
              <w:t>Chicago, IL 60661</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7,162,500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12.50% (F @ 12.50%)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8/13/2030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Curaleaf Holdings, Inc.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Burrard Street, Suite 1700-666</w:t>
              <w:br/>
              <w:t>Vancouver, British Columbia, Canada</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Senior Secured Note</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8,330,000</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8.00% (F @ 8.00%)</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12/15/2026</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b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Dreamfields Brands, Inc. (d/b/a Jeeter)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65441 Two Bunch Palms Trail</w:t>
              <w:br/>
              <w:t>Desert Hot Springs, CA 92240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31,745,000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16.25% (P + 8.75%; 7.50%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9/30/2028</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Elevation Cannabis, LLC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6120 E Connecticut Avenue</w:t>
              <w:br/>
              <w:t>Kansas City, MO 64120</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10,767,866</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left"/>
              <w:rPr>
                <w:color w:val="000000"/>
              </w:rPr>
            </w:pPr>
            <w:r>
              <w:rPr>
                <w:color w:val="000000"/>
              </w:rPr>
              <w:t>16.25% (P + 7.75%; 8.50% Floor)</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12/31/2026</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Energize Holdings, Inc. (d/b/a Exos)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2629 E. Rose Garden Lane</w:t>
              <w:br/>
              <w:t>Phoenix, AZ 85050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Educational Services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4,966,078</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11.99% (S + 8.00%; 3.99%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10/24/2029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Energize Holdings, Inc. (d/b/a Exos)</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2629 E. Rose Garden Lane</w:t>
              <w:br/>
              <w:t>Phoenix, AZ 85050</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Educational Services</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Warrants</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35,603</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Engage3 Holdings,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9375 E. Shea Boulevard, Suite 100</w:t>
              <w:br/>
              <w:t>Scottsdale, AZ 85260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Information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5,784,080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14.00% (P + 2.50%; 4.00% PIK; 7.50%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7/22/2030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tcMar>
              <w:bottom w:w="0" w:type="dxa"/>
            </w:tcMar>
            <w:vAlign w:val="center"/>
          </w:tcPr>
          <w:p>
            <w:pPr>
              <w:pStyle w:val="TableContents"/>
              <w:bidi w:val="0"/>
              <w:spacing w:before="0" w:after="0"/>
              <w:jc w:val="left"/>
              <w:rPr>
                <w:color w:val="000000"/>
              </w:rPr>
            </w:pPr>
            <w:r>
              <w:rPr>
                <w:color w:val="000000"/>
              </w:rPr>
              <w:t>Engage3 Holdings, Inc.</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0"/>
              <w:jc w:val="left"/>
              <w:rPr>
                <w:color w:val="000000"/>
              </w:rPr>
            </w:pPr>
            <w:r>
              <w:rPr>
                <w:color w:val="000000"/>
              </w:rPr>
              <w:t>9375 E. Shea Boulevard, Suite 100</w:t>
              <w:br/>
              <w:t>Scottsdale, AZ 85260</w:t>
            </w:r>
          </w:p>
        </w:tc>
        <w:tc>
          <w:tcPr>
            <w:tcW w:w="9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0"/>
              <w:jc w:val="left"/>
              <w:rPr>
                <w:color w:val="000000"/>
              </w:rPr>
            </w:pPr>
            <w:r>
              <w:rPr>
                <w:color w:val="000000"/>
              </w:rPr>
              <w:t>Information</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0"/>
              <w:jc w:val="left"/>
              <w:rPr>
                <w:color w:val="000000"/>
              </w:rPr>
            </w:pPr>
            <w:r>
              <w:rPr>
                <w:color w:val="000000"/>
              </w:rPr>
              <w:t>Warrants</w:t>
            </w:r>
          </w:p>
        </w:tc>
        <w:tc>
          <w:tcPr>
            <w:tcW w:w="23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268,000</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1355"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05" w:type="dxa"/>
            <w:tcBorders/>
            <w:shd w:fill="CCEEFF" w:val="clear"/>
            <w:tcMar>
              <w:bottom w:w="0" w:type="dxa"/>
            </w:tcMar>
            <w:vAlign w:val="center"/>
          </w:tcPr>
          <w:p>
            <w:pPr>
              <w:pStyle w:val="TableContents"/>
              <w:bidi w:val="0"/>
              <w:spacing w:before="0" w:after="0"/>
              <w:jc w:val="left"/>
              <w:rPr>
                <w:color w:val="000000"/>
              </w:rPr>
            </w:pPr>
            <w:r>
              <w:rPr>
                <w:color w:val="000000"/>
              </w:rPr>
              <w:t>Flowery - Bill's Nursery,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90" w:type="dxa"/>
            <w:tcBorders/>
            <w:shd w:fill="CCEEFF" w:val="clear"/>
            <w:tcMar>
              <w:bottom w:w="0" w:type="dxa"/>
            </w:tcMar>
            <w:vAlign w:val="center"/>
          </w:tcPr>
          <w:p>
            <w:pPr>
              <w:pStyle w:val="TableContents"/>
              <w:bidi w:val="0"/>
              <w:spacing w:before="0" w:after="0"/>
              <w:jc w:val="left"/>
              <w:rPr>
                <w:color w:val="000000"/>
              </w:rPr>
            </w:pPr>
            <w:r>
              <w:rPr>
                <w:color w:val="000000"/>
              </w:rPr>
              <w:t>30003 SW 197 Avenue</w:t>
              <w:br/>
              <w:t>Homestead, FL 33030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23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13,908,331</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16.00% (F @ 11.00%; 5.00% PIK)</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12/31/2027</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55"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0615" w:type="dxa"/>
        <w:jc w:val="left"/>
        <w:tblInd w:w="0" w:type="dxa"/>
        <w:tblLayout w:type="fixed"/>
        <w:tblCellMar>
          <w:top w:w="0" w:type="dxa"/>
          <w:left w:w="0" w:type="dxa"/>
          <w:bottom w:w="28" w:type="dxa"/>
          <w:right w:w="0" w:type="dxa"/>
        </w:tblCellMar>
      </w:tblPr>
      <w:tblGrid>
        <w:gridCol w:w="1400"/>
        <w:gridCol w:w="90"/>
        <w:gridCol w:w="1430"/>
        <w:gridCol w:w="90"/>
        <w:gridCol w:w="1445"/>
        <w:gridCol w:w="90"/>
        <w:gridCol w:w="1175"/>
        <w:gridCol w:w="90"/>
        <w:gridCol w:w="1130"/>
        <w:gridCol w:w="90"/>
        <w:gridCol w:w="1070"/>
        <w:gridCol w:w="90"/>
        <w:gridCol w:w="965"/>
        <w:gridCol w:w="90"/>
        <w:gridCol w:w="1370"/>
      </w:tblGrid>
      <w:tr>
        <w:trPr/>
        <w:tc>
          <w:tcPr>
            <w:tcW w:w="1400" w:type="dxa"/>
            <w:tcBorders>
              <w:bottom w:val="single" w:sz="12" w:space="0" w:color="000000"/>
            </w:tcBorders>
            <w:vAlign w:val="center"/>
          </w:tcPr>
          <w:p>
            <w:pPr>
              <w:pStyle w:val="TableContents"/>
              <w:bidi w:val="0"/>
              <w:spacing w:before="0" w:after="0"/>
              <w:jc w:val="center"/>
              <w:rPr>
                <w:b/>
                <w:color w:val="000000"/>
              </w:rPr>
            </w:pPr>
            <w:r>
              <w:rPr>
                <w:b/>
                <w:color w:val="000000"/>
              </w:rPr>
              <w:t>Portfolio Company</w:t>
            </w:r>
          </w:p>
        </w:tc>
        <w:tc>
          <w:tcPr>
            <w:tcW w:w="9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rPr>
            </w:pPr>
            <w:r>
              <w:rPr>
                <w:b/>
              </w:rPr>
              <w:t>Address</w:t>
            </w:r>
          </w:p>
        </w:tc>
        <w:tc>
          <w:tcPr>
            <w:tcW w:w="90" w:type="dxa"/>
            <w:tcBorders/>
            <w:tcMar>
              <w:bottom w:w="0" w:type="dxa"/>
            </w:tcMar>
            <w:vAlign w:val="center"/>
          </w:tcPr>
          <w:p>
            <w:pPr>
              <w:pStyle w:val="TableContents"/>
              <w:bidi w:val="0"/>
              <w:spacing w:before="0" w:after="283"/>
              <w:jc w:val="left"/>
              <w:rPr/>
            </w:pPr>
            <w:r>
              <w:rPr/>
              <w:t> </w:t>
            </w:r>
          </w:p>
        </w:tc>
        <w:tc>
          <w:tcPr>
            <w:tcW w:w="1445" w:type="dxa"/>
            <w:tcBorders>
              <w:bottom w:val="single" w:sz="12" w:space="0" w:color="000000"/>
            </w:tcBorders>
            <w:vAlign w:val="center"/>
          </w:tcPr>
          <w:p>
            <w:pPr>
              <w:pStyle w:val="TableContents"/>
              <w:bidi w:val="0"/>
              <w:spacing w:before="0" w:after="0"/>
              <w:jc w:val="center"/>
              <w:rPr>
                <w:b/>
                <w:color w:val="000000"/>
              </w:rPr>
            </w:pPr>
            <w:r>
              <w:rPr>
                <w:b/>
                <w:color w:val="000000"/>
              </w:rPr>
              <w:t>Nature of</w:t>
            </w:r>
          </w:p>
          <w:p>
            <w:pPr>
              <w:pStyle w:val="TableContents"/>
              <w:bidi w:val="0"/>
              <w:spacing w:before="0" w:after="0"/>
              <w:jc w:val="center"/>
              <w:rPr>
                <w:b/>
                <w:color w:val="000000"/>
              </w:rPr>
            </w:pPr>
            <w:r>
              <w:rPr>
                <w:b/>
                <w:color w:val="000000"/>
              </w:rPr>
              <w:t>Business</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0"/>
              <w:jc w:val="center"/>
              <w:rPr>
                <w:b/>
                <w:color w:val="000000"/>
              </w:rPr>
            </w:pPr>
            <w:r>
              <w:rPr>
                <w:b/>
                <w:color w:val="000000"/>
              </w:rPr>
              <w:t>Investment</w:t>
            </w:r>
          </w:p>
          <w:p>
            <w:pPr>
              <w:pStyle w:val="TableContents"/>
              <w:bidi w:val="0"/>
              <w:spacing w:before="0" w:after="0"/>
              <w:jc w:val="center"/>
              <w:rPr>
                <w:b/>
                <w:color w:val="000000"/>
              </w:rPr>
            </w:pPr>
            <w:r>
              <w:rPr>
                <w:b/>
                <w:color w:val="000000"/>
              </w:rPr>
              <w:t>Type</w:t>
            </w:r>
          </w:p>
        </w:tc>
        <w:tc>
          <w:tcPr>
            <w:tcW w:w="90" w:type="dxa"/>
            <w:tcBorders/>
            <w:tcMar>
              <w:bottom w:w="0" w:type="dxa"/>
            </w:tcMar>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0"/>
              <w:jc w:val="center"/>
              <w:rPr>
                <w:b/>
                <w:color w:val="000000"/>
              </w:rPr>
            </w:pPr>
            <w:r>
              <w:rPr>
                <w:b/>
                <w:color w:val="000000"/>
              </w:rPr>
              <w:t>Interest</w:t>
            </w:r>
          </w:p>
          <w:p>
            <w:pPr>
              <w:pStyle w:val="TableContents"/>
              <w:bidi w:val="0"/>
              <w:spacing w:lineRule="auto" w:line="240" w:before="0" w:after="0"/>
              <w:jc w:val="center"/>
              <w:rPr>
                <w:b/>
                <w:color w:val="000000"/>
              </w:rPr>
            </w:pPr>
            <w:r>
              <w:rPr>
                <w:b/>
                <w:color w:val="000000"/>
              </w:rPr>
              <w:t>Terms1</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center"/>
              <w:rPr>
                <w:b/>
              </w:rPr>
            </w:pPr>
            <w:r>
              <w:rPr>
                <w:b/>
              </w:rPr>
              <w:t>Relationship</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FLUENT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5540 W. Executive Drive, Suite 100</w:t>
              <w:br/>
              <w:t>Tampa, FL 33609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8,311,228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13.00% (F @ 12.00%; 1.00% PIK)</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11/24/2028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HA-MD, LLC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1007 Church Road, Bear</w:t>
              <w:br/>
              <w:t>Delaware 19702</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2,870,000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15.00% (F @ 15.00%)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6/6/2026</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Hugo Technologies,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401 N. Michigan Ave., Suite 1200</w:t>
              <w:br/>
              <w:t>Chicago, IL 60611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Administrative and Support and Waste Management and Remediation Services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3,000,000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11.79% (S + 8.00%; 3.25%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12/10/2030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Illicit - S1 Enterprises, Inc.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3823 N. Cobbler Road</w:t>
              <w:br/>
              <w:t>Independence, MO 64058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14,610,356</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13.96% (S + 10.24%; 3.72%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12/31/2028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Kaleafa,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16489 Oaktree Terrace</w:t>
              <w:br/>
              <w:t>Oregon City, Oregon 97045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2,768,319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17.00% (P + 8.50%; 8.50%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12/3/2027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Kapple Holdings LLC (Cannabis &amp; Glass)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605 East Francis Avenue</w:t>
            </w:r>
          </w:p>
          <w:p>
            <w:pPr>
              <w:pStyle w:val="TableContents"/>
              <w:bidi w:val="0"/>
              <w:spacing w:before="0" w:after="0"/>
              <w:jc w:val="left"/>
              <w:rPr>
                <w:color w:val="000000"/>
              </w:rPr>
            </w:pPr>
            <w:r>
              <w:rPr>
                <w:color w:val="000000"/>
              </w:rPr>
              <w:t>Spokane, WA 99208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3,685,000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14.53% (S + 10.25%; 4.00%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7/28/2028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Nova Farms,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1000 Washington Street</w:t>
              <w:br/>
              <w:t>Attleboro, MA 02703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13,770,063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15.00% (P + 6.50%; 8.50%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3/28/2027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Oasis - AZ GOAT AZ LLC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30 N Gould St., Suite R</w:t>
              <w:br/>
              <w:t>Sheridan, WY 82801</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4,295,859</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15.50% (P + 7.50%; 8.00%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3/31/2027</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Ocular Science,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118 Center Street</w:t>
              <w:br/>
              <w:t>El Segundo, CA 90245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Manufacturing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4,851,017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13.00% (P + 5.25%; 1.00% PIK; 6.75%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6/17/2029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Ocular Science, Inc.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118 Center Street</w:t>
              <w:br/>
              <w:t>El Segundo, CA 90245</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Manufacturing</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Warrants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150,752</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0"/>
              <w:jc w:val="righ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Portofino Labs, Inc. (dba Because Market)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350 Cambridge Ave, Suite 100</w:t>
              <w:br/>
              <w:t>Palo Alto, CA 94306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Retail Trade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5,070,190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12.03% (S + 6.25%; 1.50% PIK; 4.25%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4/30/2029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Portofino Labs, Inc. (dba Because Market)</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350 Cambridge Ave, Suite 100</w:t>
              <w:br/>
              <w:t>Palo Alto, CA 94306</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Retail Trade</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Warrants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19,250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0"/>
              <w:jc w:val="righ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Protect Animals With Satellites LLC (Halo Collar)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50 Tice Boulevard, Suite 340</w:t>
              <w:br/>
              <w:t>Woodcliff Lake, NJ 07677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Information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3,470,145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13.25% (P + 1.75%; 3.00% PIK; 8.50%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11/1/2026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Protect Animals With Satellites LLC (Halo Collar)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50 Tice Boulevard, Suite 340</w:t>
              <w:br/>
              <w:t>Woodcliff Lake, NJ 07677</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Information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Incremental 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1,802,485</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13.25% (P + 1.75%; 3.00% PIK; 8.50%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11/1/2026</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Remedy - Maryland Wellness,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4128 Hayward Ave. Baltimore, MD 21215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1,447,186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20.25% (P + 9.00%; 3.50% PIK; 7.75%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8/1/2028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RTCP, LLC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4215 E McDowell Rd #108</w:t>
              <w:br/>
              <w:t>Mesa, AZ 85215</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Finance and Insurance</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Senior Secured Note</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22,000,000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15.00% (F @ 15.00%)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10/2/2028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Shangri-La Columbia,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1401 Creekwood Parkway</w:t>
              <w:br/>
              <w:t>Columbia, MO 65202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11,343,000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13.25% (P + 5.75%; 7.50%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6/30/2028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Silver Therapeutics, Inc.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89 Court Street</w:t>
              <w:br/>
              <w:t>Saratoga Springs, NY 12866</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6,009,300</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15.00% (P + 7.25%; 7.75%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3/24/2028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Subsero Holdings - Illinois,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1000 S Old Woodward Ave, Suite 105</w:t>
              <w:br/>
              <w:t>Birmingham, MI 48009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2,791,834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16.00% (P + 7.00%; 2.00% PIK; 7.00% Floor)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7/29/2026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TerrAscend Corporation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77 City Centre Drive Suite 501 - East Tower</w:t>
              <w:br/>
              <w:t>Mississauga, Ontario, Canada</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2,936,905</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12.75% (F @ 12.75%)</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8/1/2028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TheraTrue,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4062 Peachtree Road SE, Suite A300</w:t>
              <w:br/>
              <w:t>Atlanta, Georgia 30319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3,015,571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left"/>
              <w:rPr>
                <w:color w:val="000000"/>
              </w:rPr>
            </w:pPr>
            <w:r>
              <w:rPr>
                <w:color w:val="000000"/>
              </w:rPr>
              <w:t>14.50% (F @ 14.50%)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3/13/2027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tcMar>
              <w:bottom w:w="0" w:type="dxa"/>
            </w:tcMar>
            <w:vAlign w:val="center"/>
          </w:tcPr>
          <w:p>
            <w:pPr>
              <w:pStyle w:val="TableContents"/>
              <w:bidi w:val="0"/>
              <w:spacing w:before="0" w:after="0"/>
              <w:jc w:val="left"/>
              <w:rPr>
                <w:color w:val="000000"/>
              </w:rPr>
            </w:pPr>
            <w:r>
              <w:rPr>
                <w:color w:val="000000"/>
              </w:rPr>
              <w:t>Tulip.io Inc.</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30" w:type="dxa"/>
            <w:tcBorders/>
            <w:tcMar>
              <w:bottom w:w="0" w:type="dxa"/>
            </w:tcMar>
            <w:vAlign w:val="center"/>
          </w:tcPr>
          <w:p>
            <w:pPr>
              <w:pStyle w:val="TableContents"/>
              <w:bidi w:val="0"/>
              <w:spacing w:before="0" w:after="0"/>
              <w:jc w:val="left"/>
              <w:rPr>
                <w:color w:val="000000"/>
              </w:rPr>
            </w:pPr>
            <w:r>
              <w:rPr>
                <w:color w:val="000000"/>
              </w:rPr>
              <w:t>210-137 Glasgow Street, Office #192</w:t>
              <w:br/>
              <w:t>Kitchener, N2G 4X8, Ontario, Canada</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445" w:type="dxa"/>
            <w:tcBorders/>
            <w:tcMar>
              <w:bottom w:w="0" w:type="dxa"/>
            </w:tcMar>
            <w:vAlign w:val="center"/>
          </w:tcPr>
          <w:p>
            <w:pPr>
              <w:pStyle w:val="TableContents"/>
              <w:bidi w:val="0"/>
              <w:spacing w:before="0" w:after="0"/>
              <w:jc w:val="left"/>
              <w:rPr>
                <w:color w:val="000000"/>
              </w:rPr>
            </w:pPr>
            <w:r>
              <w:rPr>
                <w:color w:val="000000"/>
              </w:rPr>
              <w:t>Information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75" w:type="dxa"/>
            <w:tcBorders/>
            <w:tcMar>
              <w:bottom w:w="0" w:type="dxa"/>
            </w:tcMar>
            <w:vAlign w:val="center"/>
          </w:tcPr>
          <w:p>
            <w:pPr>
              <w:pStyle w:val="TableContents"/>
              <w:bidi w:val="0"/>
              <w:spacing w:before="0" w:after="0"/>
              <w:jc w:val="left"/>
              <w:rPr>
                <w:color w:val="000000"/>
              </w:rPr>
            </w:pPr>
            <w:r>
              <w:rPr>
                <w:color w:val="000000"/>
              </w:rPr>
              <w:t>Term Loan</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130" w:type="dxa"/>
            <w:tcBorders/>
            <w:tcMar>
              <w:bottom w:w="0" w:type="dxa"/>
            </w:tcMar>
            <w:vAlign w:val="center"/>
          </w:tcPr>
          <w:p>
            <w:pPr>
              <w:pStyle w:val="TableContents"/>
              <w:bidi w:val="0"/>
              <w:spacing w:before="0" w:after="0"/>
              <w:jc w:val="left"/>
              <w:rPr>
                <w:color w:val="000000"/>
              </w:rPr>
            </w:pPr>
            <w:r>
              <w:rPr>
                <w:color w:val="000000"/>
              </w:rPr>
              <w:t>3,052,998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070" w:type="dxa"/>
            <w:tcBorders/>
            <w:tcMar>
              <w:bottom w:w="0" w:type="dxa"/>
            </w:tcMar>
            <w:vAlign w:val="center"/>
          </w:tcPr>
          <w:p>
            <w:pPr>
              <w:pStyle w:val="TableContents"/>
              <w:bidi w:val="0"/>
              <w:spacing w:before="0" w:after="0"/>
              <w:jc w:val="left"/>
              <w:rPr>
                <w:color w:val="000000"/>
              </w:rPr>
            </w:pPr>
            <w:r>
              <w:rPr>
                <w:color w:val="000000"/>
              </w:rPr>
              <w:t>15.00% (P + 4.00%; 3.00% PIK; 8.00% Floor)</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965" w:type="dxa"/>
            <w:tcBorders/>
            <w:tcMar>
              <w:bottom w:w="0" w:type="dxa"/>
            </w:tcMar>
            <w:vAlign w:val="center"/>
          </w:tcPr>
          <w:p>
            <w:pPr>
              <w:pStyle w:val="TableContents"/>
              <w:bidi w:val="0"/>
              <w:spacing w:before="0" w:after="0"/>
              <w:jc w:val="right"/>
              <w:rPr>
                <w:color w:val="000000"/>
              </w:rPr>
            </w:pPr>
            <w:r>
              <w:rPr>
                <w:color w:val="000000"/>
              </w:rPr>
              <w:t>11/4/2028</w:t>
            </w:r>
          </w:p>
        </w:tc>
        <w:tc>
          <w:tcPr>
            <w:tcW w:w="90" w:type="dxa"/>
            <w:tcBorders/>
            <w:tcMar>
              <w:bottom w:w="0" w:type="dxa"/>
            </w:tcMar>
            <w:vAlign w:val="center"/>
          </w:tcPr>
          <w:p>
            <w:pPr>
              <w:pStyle w:val="TableContents"/>
              <w:bidi w:val="0"/>
              <w:spacing w:before="0" w:after="0"/>
              <w:jc w:val="left"/>
              <w:rPr>
                <w:color w:val="000000"/>
              </w:rPr>
            </w:pPr>
            <w:r>
              <w:rPr>
                <w:color w:val="000000"/>
              </w:rPr>
              <w:t> </w:t>
            </w:r>
          </w:p>
        </w:tc>
        <w:tc>
          <w:tcPr>
            <w:tcW w:w="1370"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400" w:type="dxa"/>
            <w:tcBorders/>
            <w:shd w:fill="CCEEFF" w:val="clear"/>
            <w:tcMar>
              <w:bottom w:w="0" w:type="dxa"/>
            </w:tcMar>
            <w:vAlign w:val="center"/>
          </w:tcPr>
          <w:p>
            <w:pPr>
              <w:pStyle w:val="TableContents"/>
              <w:bidi w:val="0"/>
              <w:spacing w:before="0" w:after="0"/>
              <w:jc w:val="left"/>
              <w:rPr>
                <w:color w:val="000000"/>
              </w:rPr>
            </w:pPr>
            <w:r>
              <w:rPr>
                <w:color w:val="000000"/>
              </w:rPr>
              <w:t>Tulip.io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0"/>
              <w:jc w:val="left"/>
              <w:rPr>
                <w:color w:val="000000"/>
              </w:rPr>
            </w:pPr>
            <w:r>
              <w:rPr>
                <w:color w:val="000000"/>
              </w:rPr>
              <w:t>210-137 Glasgow Street, Office #192</w:t>
              <w:br/>
              <w:t>Kitchener, N2G 4X8, Ontario, Canada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45" w:type="dxa"/>
            <w:tcBorders/>
            <w:shd w:fill="CCEEFF" w:val="clear"/>
            <w:tcMar>
              <w:bottom w:w="0" w:type="dxa"/>
            </w:tcMar>
            <w:vAlign w:val="center"/>
          </w:tcPr>
          <w:p>
            <w:pPr>
              <w:pStyle w:val="TableContents"/>
              <w:bidi w:val="0"/>
              <w:spacing w:before="0" w:after="0"/>
              <w:jc w:val="left"/>
              <w:rPr>
                <w:color w:val="000000"/>
              </w:rPr>
            </w:pPr>
            <w:r>
              <w:rPr>
                <w:color w:val="000000"/>
              </w:rPr>
              <w:t>Information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0"/>
              <w:jc w:val="left"/>
              <w:rPr>
                <w:color w:val="000000"/>
              </w:rPr>
            </w:pPr>
            <w:r>
              <w:rPr>
                <w:color w:val="000000"/>
              </w:rPr>
              <w:t>Warrants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jc w:val="right"/>
              <w:rPr>
                <w:color w:val="000000"/>
              </w:rPr>
            </w:pPr>
            <w:r>
              <w:rPr>
                <w:color w:val="00000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n.a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28" w:type="dxa"/>
          <w:right w:w="0" w:type="dxa"/>
        </w:tblCellMar>
      </w:tblPr>
      <w:tblGrid>
        <w:gridCol w:w="1266"/>
        <w:gridCol w:w="90"/>
        <w:gridCol w:w="1112"/>
        <w:gridCol w:w="90"/>
        <w:gridCol w:w="1469"/>
        <w:gridCol w:w="90"/>
        <w:gridCol w:w="1179"/>
        <w:gridCol w:w="90"/>
        <w:gridCol w:w="1130"/>
        <w:gridCol w:w="90"/>
        <w:gridCol w:w="1081"/>
        <w:gridCol w:w="90"/>
        <w:gridCol w:w="965"/>
        <w:gridCol w:w="90"/>
        <w:gridCol w:w="1373"/>
      </w:tblGrid>
      <w:tr>
        <w:trPr/>
        <w:tc>
          <w:tcPr>
            <w:tcW w:w="1266" w:type="dxa"/>
            <w:tcBorders>
              <w:bottom w:val="single" w:sz="12" w:space="0" w:color="000000"/>
            </w:tcBorders>
            <w:vAlign w:val="center"/>
          </w:tcPr>
          <w:p>
            <w:pPr>
              <w:pStyle w:val="TableContents"/>
              <w:bidi w:val="0"/>
              <w:spacing w:before="0" w:after="0"/>
              <w:jc w:val="center"/>
              <w:rPr>
                <w:b/>
              </w:rPr>
            </w:pPr>
            <w:r>
              <w:rPr>
                <w:b/>
              </w:rPr>
              <w:t>Portfolio</w:t>
            </w:r>
          </w:p>
          <w:p>
            <w:pPr>
              <w:pStyle w:val="TableContents"/>
              <w:bidi w:val="0"/>
              <w:spacing w:before="0" w:after="0"/>
              <w:jc w:val="center"/>
              <w:rPr>
                <w:b/>
              </w:rPr>
            </w:pPr>
            <w:r>
              <w:rPr>
                <w:b/>
              </w:rPr>
              <w:t>Company</w:t>
            </w:r>
          </w:p>
        </w:tc>
        <w:tc>
          <w:tcPr>
            <w:tcW w:w="90" w:type="dxa"/>
            <w:tcBorders/>
            <w:tcMar>
              <w:bottom w:w="0" w:type="dxa"/>
            </w:tcMar>
            <w:vAlign w:val="center"/>
          </w:tcPr>
          <w:p>
            <w:pPr>
              <w:pStyle w:val="TableContents"/>
              <w:bidi w:val="0"/>
              <w:spacing w:before="0" w:after="283"/>
              <w:jc w:val="left"/>
              <w:rPr/>
            </w:pPr>
            <w:r>
              <w:rPr/>
              <w:t> </w:t>
            </w:r>
          </w:p>
        </w:tc>
        <w:tc>
          <w:tcPr>
            <w:tcW w:w="1112" w:type="dxa"/>
            <w:tcBorders>
              <w:bottom w:val="single" w:sz="12" w:space="0" w:color="000000"/>
            </w:tcBorders>
            <w:vAlign w:val="center"/>
          </w:tcPr>
          <w:p>
            <w:pPr>
              <w:pStyle w:val="TableContents"/>
              <w:bidi w:val="0"/>
              <w:spacing w:before="0" w:after="283"/>
              <w:jc w:val="center"/>
              <w:rPr>
                <w:b/>
              </w:rPr>
            </w:pPr>
            <w:r>
              <w:rPr>
                <w:b/>
              </w:rPr>
              <w:t>Address</w:t>
            </w:r>
          </w:p>
        </w:tc>
        <w:tc>
          <w:tcPr>
            <w:tcW w:w="90" w:type="dxa"/>
            <w:tcBorders/>
            <w:tcMar>
              <w:bottom w:w="0" w:type="dxa"/>
            </w:tcMar>
            <w:vAlign w:val="center"/>
          </w:tcPr>
          <w:p>
            <w:pPr>
              <w:pStyle w:val="TableContents"/>
              <w:bidi w:val="0"/>
              <w:spacing w:before="0" w:after="283"/>
              <w:jc w:val="left"/>
              <w:rPr/>
            </w:pPr>
            <w:r>
              <w:rPr/>
              <w:t> </w:t>
            </w:r>
          </w:p>
        </w:tc>
        <w:tc>
          <w:tcPr>
            <w:tcW w:w="1469" w:type="dxa"/>
            <w:tcBorders>
              <w:bottom w:val="single" w:sz="12" w:space="0" w:color="000000"/>
            </w:tcBorders>
            <w:vAlign w:val="center"/>
          </w:tcPr>
          <w:p>
            <w:pPr>
              <w:pStyle w:val="TableContents"/>
              <w:bidi w:val="0"/>
              <w:spacing w:before="0" w:after="0"/>
              <w:jc w:val="center"/>
              <w:rPr>
                <w:b/>
                <w:color w:val="000000"/>
              </w:rPr>
            </w:pPr>
            <w:r>
              <w:rPr>
                <w:b/>
                <w:color w:val="000000"/>
              </w:rPr>
              <w:t>Nature of</w:t>
            </w:r>
          </w:p>
          <w:p>
            <w:pPr>
              <w:pStyle w:val="TableContents"/>
              <w:bidi w:val="0"/>
              <w:spacing w:before="0" w:after="0"/>
              <w:jc w:val="center"/>
              <w:rPr>
                <w:b/>
                <w:color w:val="000000"/>
              </w:rPr>
            </w:pPr>
            <w:r>
              <w:rPr>
                <w:b/>
                <w:color w:val="000000"/>
              </w:rPr>
              <w:t>Business</w:t>
            </w:r>
          </w:p>
        </w:tc>
        <w:tc>
          <w:tcPr>
            <w:tcW w:w="90" w:type="dxa"/>
            <w:tcBorders/>
            <w:tcMar>
              <w:bottom w:w="0" w:type="dxa"/>
            </w:tcMar>
            <w:vAlign w:val="center"/>
          </w:tcPr>
          <w:p>
            <w:pPr>
              <w:pStyle w:val="TableContents"/>
              <w:bidi w:val="0"/>
              <w:spacing w:before="0" w:after="283"/>
              <w:jc w:val="left"/>
              <w:rPr/>
            </w:pPr>
            <w:r>
              <w:rPr/>
              <w:t> </w:t>
            </w:r>
          </w:p>
        </w:tc>
        <w:tc>
          <w:tcPr>
            <w:tcW w:w="1179" w:type="dxa"/>
            <w:tcBorders>
              <w:bottom w:val="single" w:sz="12" w:space="0" w:color="000000"/>
            </w:tcBorders>
            <w:vAlign w:val="center"/>
          </w:tcPr>
          <w:p>
            <w:pPr>
              <w:pStyle w:val="TableContents"/>
              <w:bidi w:val="0"/>
              <w:spacing w:before="0" w:after="0"/>
              <w:jc w:val="center"/>
              <w:rPr>
                <w:b/>
                <w:color w:val="000000"/>
              </w:rPr>
            </w:pPr>
            <w:r>
              <w:rPr>
                <w:b/>
                <w:color w:val="000000"/>
              </w:rPr>
              <w:t>Investment</w:t>
            </w:r>
          </w:p>
          <w:p>
            <w:pPr>
              <w:pStyle w:val="TableContents"/>
              <w:bidi w:val="0"/>
              <w:spacing w:before="0" w:after="0"/>
              <w:jc w:val="center"/>
              <w:rPr>
                <w:b/>
                <w:color w:val="000000"/>
              </w:rPr>
            </w:pPr>
            <w:r>
              <w:rPr>
                <w:b/>
                <w:color w:val="000000"/>
              </w:rPr>
              <w:t>Type</w:t>
            </w:r>
          </w:p>
        </w:tc>
        <w:tc>
          <w:tcPr>
            <w:tcW w:w="90" w:type="dxa"/>
            <w:tcBorders/>
            <w:tcMar>
              <w:bottom w:w="0" w:type="dxa"/>
            </w:tcMar>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90" w:type="dxa"/>
            <w:tcBorders/>
            <w:tcMar>
              <w:bottom w:w="0" w:type="dxa"/>
            </w:tcMar>
            <w:vAlign w:val="center"/>
          </w:tcPr>
          <w:p>
            <w:pPr>
              <w:pStyle w:val="TableContents"/>
              <w:bidi w:val="0"/>
              <w:spacing w:before="0" w:after="283"/>
              <w:jc w:val="left"/>
              <w:rPr/>
            </w:pPr>
            <w:r>
              <w:rPr/>
              <w:t> </w:t>
            </w:r>
          </w:p>
        </w:tc>
        <w:tc>
          <w:tcPr>
            <w:tcW w:w="1081" w:type="dxa"/>
            <w:tcBorders>
              <w:bottom w:val="single" w:sz="12" w:space="0" w:color="000000"/>
            </w:tcBorders>
            <w:vAlign w:val="center"/>
          </w:tcPr>
          <w:p>
            <w:pPr>
              <w:pStyle w:val="TableContents"/>
              <w:bidi w:val="0"/>
              <w:spacing w:before="0" w:after="0"/>
              <w:jc w:val="center"/>
              <w:rPr>
                <w:b/>
                <w:color w:val="000000"/>
              </w:rPr>
            </w:pPr>
            <w:r>
              <w:rPr>
                <w:b/>
                <w:color w:val="000000"/>
              </w:rPr>
              <w:t>Interest</w:t>
            </w:r>
          </w:p>
          <w:p>
            <w:pPr>
              <w:pStyle w:val="TableContents"/>
              <w:bidi w:val="0"/>
              <w:spacing w:lineRule="auto" w:line="240" w:before="0" w:after="0"/>
              <w:jc w:val="center"/>
              <w:rPr>
                <w:b/>
                <w:color w:val="000000"/>
              </w:rPr>
            </w:pPr>
            <w:r>
              <w:rPr>
                <w:b/>
                <w:color w:val="000000"/>
              </w:rPr>
              <w:t>Terms1</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373" w:type="dxa"/>
            <w:tcBorders>
              <w:bottom w:val="single" w:sz="12" w:space="0" w:color="000000"/>
            </w:tcBorders>
            <w:vAlign w:val="center"/>
          </w:tcPr>
          <w:p>
            <w:pPr>
              <w:pStyle w:val="TableContents"/>
              <w:bidi w:val="0"/>
              <w:spacing w:before="0" w:after="283"/>
              <w:jc w:val="center"/>
              <w:rPr>
                <w:b/>
              </w:rPr>
            </w:pPr>
            <w:r>
              <w:rPr>
                <w:b/>
              </w:rPr>
              <w:t>Relationship</w:t>
            </w:r>
          </w:p>
        </w:tc>
      </w:tr>
      <w:tr>
        <w:trPr/>
        <w:tc>
          <w:tcPr>
            <w:tcW w:w="1266" w:type="dxa"/>
            <w:tcBorders/>
            <w:shd w:fill="CCEEFF" w:val="clear"/>
            <w:tcMar>
              <w:bottom w:w="0" w:type="dxa"/>
            </w:tcMar>
            <w:vAlign w:val="center"/>
          </w:tcPr>
          <w:p>
            <w:pPr>
              <w:pStyle w:val="TableContents"/>
              <w:bidi w:val="0"/>
              <w:spacing w:before="0" w:after="0"/>
              <w:jc w:val="left"/>
              <w:rPr>
                <w:color w:val="000000"/>
              </w:rPr>
            </w:pPr>
            <w:r>
              <w:rPr>
                <w:color w:val="000000"/>
              </w:rPr>
              <w:t>Verano Holdings Corp.</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12" w:type="dxa"/>
            <w:tcBorders/>
            <w:shd w:fill="CCEEFF" w:val="clear"/>
            <w:tcMar>
              <w:bottom w:w="0" w:type="dxa"/>
            </w:tcMar>
            <w:vAlign w:val="center"/>
          </w:tcPr>
          <w:p>
            <w:pPr>
              <w:pStyle w:val="TableContents"/>
              <w:bidi w:val="0"/>
              <w:spacing w:before="0" w:after="0"/>
              <w:jc w:val="left"/>
              <w:rPr>
                <w:color w:val="000000"/>
              </w:rPr>
            </w:pPr>
            <w:r>
              <w:rPr>
                <w:color w:val="000000"/>
              </w:rPr>
              <w:t>224 W Hill Street, Suite 400</w:t>
              <w:br/>
              <w:t>Chicago, IL 60610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69"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42,248,731</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81" w:type="dxa"/>
            <w:tcBorders/>
            <w:shd w:fill="CCEEFF" w:val="clear"/>
            <w:tcMar>
              <w:bottom w:w="0" w:type="dxa"/>
            </w:tcMar>
            <w:vAlign w:val="center"/>
          </w:tcPr>
          <w:p>
            <w:pPr>
              <w:pStyle w:val="TableContents"/>
              <w:bidi w:val="0"/>
              <w:spacing w:before="0" w:after="0"/>
              <w:jc w:val="left"/>
              <w:rPr>
                <w:color w:val="000000"/>
              </w:rPr>
            </w:pPr>
            <w:r>
              <w:rPr>
                <w:color w:val="000000"/>
              </w:rPr>
              <w:t>13.25% (P + 6.50%; 6.25%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10/30/2026</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73"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tcMar>
              <w:bottom w:w="0" w:type="dxa"/>
            </w:tcMar>
            <w:vAlign w:val="center"/>
          </w:tcPr>
          <w:p>
            <w:pPr>
              <w:pStyle w:val="TableContents"/>
              <w:bidi w:val="0"/>
              <w:spacing w:before="0" w:after="0"/>
              <w:jc w:val="left"/>
              <w:rPr>
                <w:color w:val="000000"/>
              </w:rPr>
            </w:pPr>
            <w:r>
              <w:rPr>
                <w:color w:val="000000"/>
              </w:rPr>
              <w:t>Verano Holdings Corp.</w:t>
            </w:r>
          </w:p>
        </w:tc>
        <w:tc>
          <w:tcPr>
            <w:tcW w:w="90"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0"/>
              <w:jc w:val="left"/>
              <w:rPr>
                <w:color w:val="000000"/>
              </w:rPr>
            </w:pPr>
            <w:r>
              <w:rPr>
                <w:color w:val="000000"/>
              </w:rPr>
              <w:t>224 W Hill Street, Suite 400</w:t>
              <w:br/>
              <w:t>Chicago, IL 60610</w:t>
            </w:r>
          </w:p>
        </w:tc>
        <w:tc>
          <w:tcPr>
            <w:tcW w:w="90" w:type="dxa"/>
            <w:tcBorders/>
            <w:tcMar>
              <w:bottom w:w="0" w:type="dxa"/>
            </w:tcMar>
            <w:vAlign w:val="center"/>
          </w:tcPr>
          <w:p>
            <w:pPr>
              <w:pStyle w:val="TableContents"/>
              <w:bidi w:val="0"/>
              <w:spacing w:before="0" w:after="283"/>
              <w:jc w:val="left"/>
              <w:rPr/>
            </w:pPr>
            <w:r>
              <w:rPr/>
              <w:t> </w:t>
            </w:r>
          </w:p>
        </w:tc>
        <w:tc>
          <w:tcPr>
            <w:tcW w:w="1469" w:type="dxa"/>
            <w:tcBorders/>
            <w:tcMar>
              <w:bottom w:w="0" w:type="dxa"/>
            </w:tcMar>
            <w:vAlign w:val="center"/>
          </w:tcPr>
          <w:p>
            <w:pPr>
              <w:pStyle w:val="TableContents"/>
              <w:bidi w:val="0"/>
              <w:spacing w:before="0" w:after="0"/>
              <w:jc w:val="left"/>
              <w:rPr>
                <w:color w:val="000000"/>
              </w:rPr>
            </w:pPr>
            <w:r>
              <w:rPr>
                <w:color w:val="000000"/>
              </w:rPr>
              <w:t>Cannabis</w:t>
            </w:r>
          </w:p>
        </w:tc>
        <w:tc>
          <w:tcPr>
            <w:tcW w:w="9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0"/>
              <w:jc w:val="left"/>
              <w:rPr>
                <w:color w:val="000000"/>
              </w:rPr>
            </w:pPr>
            <w:r>
              <w:rPr>
                <w:color w:val="000000"/>
              </w:rPr>
              <w:t>Revolver</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10,000,000</w:t>
            </w:r>
          </w:p>
        </w:tc>
        <w:tc>
          <w:tcPr>
            <w:tcW w:w="90" w:type="dxa"/>
            <w:tcBorders/>
            <w:tcMar>
              <w:bottom w:w="0" w:type="dxa"/>
            </w:tcMar>
            <w:vAlign w:val="center"/>
          </w:tcPr>
          <w:p>
            <w:pPr>
              <w:pStyle w:val="TableContents"/>
              <w:bidi w:val="0"/>
              <w:spacing w:before="0" w:after="283"/>
              <w:jc w:val="left"/>
              <w:rPr/>
            </w:pPr>
            <w:r>
              <w:rPr/>
              <w:t> </w:t>
            </w:r>
          </w:p>
        </w:tc>
        <w:tc>
          <w:tcPr>
            <w:tcW w:w="1081" w:type="dxa"/>
            <w:tcBorders/>
            <w:tcMar>
              <w:bottom w:w="0" w:type="dxa"/>
            </w:tcMar>
            <w:vAlign w:val="center"/>
          </w:tcPr>
          <w:p>
            <w:pPr>
              <w:pStyle w:val="TableContents"/>
              <w:bidi w:val="0"/>
              <w:spacing w:before="0" w:after="0"/>
              <w:jc w:val="left"/>
              <w:rPr>
                <w:color w:val="000000"/>
              </w:rPr>
            </w:pPr>
            <w:r>
              <w:rPr>
                <w:color w:val="000000"/>
              </w:rPr>
              <w:t>12.49% (S + 8.33%; 4.00% Floor)</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9/29/2028</w:t>
            </w:r>
          </w:p>
        </w:tc>
        <w:tc>
          <w:tcPr>
            <w:tcW w:w="90"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shd w:fill="CCEEFF" w:val="clear"/>
            <w:tcMar>
              <w:bottom w:w="0" w:type="dxa"/>
            </w:tcMar>
            <w:vAlign w:val="center"/>
          </w:tcPr>
          <w:p>
            <w:pPr>
              <w:pStyle w:val="TableContents"/>
              <w:bidi w:val="0"/>
              <w:spacing w:before="0" w:after="0"/>
              <w:jc w:val="left"/>
              <w:rPr>
                <w:color w:val="000000"/>
              </w:rPr>
            </w:pPr>
            <w:r>
              <w:rPr>
                <w:color w:val="000000"/>
              </w:rPr>
              <w:t>Wellgreens 2.0, LLC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12" w:type="dxa"/>
            <w:tcBorders/>
            <w:shd w:fill="CCEEFF" w:val="clear"/>
            <w:tcMar>
              <w:bottom w:w="0" w:type="dxa"/>
            </w:tcMar>
            <w:vAlign w:val="center"/>
          </w:tcPr>
          <w:p>
            <w:pPr>
              <w:pStyle w:val="TableContents"/>
              <w:bidi w:val="0"/>
              <w:spacing w:before="0" w:after="0"/>
              <w:jc w:val="left"/>
              <w:rPr>
                <w:color w:val="000000"/>
              </w:rPr>
            </w:pPr>
            <w:r>
              <w:rPr>
                <w:color w:val="000000"/>
              </w:rPr>
              <w:t>6859 Federal Blvd., Suite B</w:t>
            </w:r>
          </w:p>
          <w:p>
            <w:pPr>
              <w:pStyle w:val="TableContents"/>
              <w:bidi w:val="0"/>
              <w:spacing w:before="0" w:after="0"/>
              <w:jc w:val="left"/>
              <w:rPr>
                <w:color w:val="000000"/>
              </w:rPr>
            </w:pPr>
            <w:r>
              <w:rPr>
                <w:color w:val="000000"/>
              </w:rPr>
              <w:t>Lemon Grove, CA 91945</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69" w:type="dxa"/>
            <w:tcBorders/>
            <w:shd w:fill="CCEEFF" w:val="clear"/>
            <w:tcMar>
              <w:bottom w:w="0" w:type="dxa"/>
            </w:tcMar>
            <w:vAlign w:val="center"/>
          </w:tcPr>
          <w:p>
            <w:pPr>
              <w:pStyle w:val="TableContents"/>
              <w:bidi w:val="0"/>
              <w:spacing w:before="0" w:after="0"/>
              <w:jc w:val="left"/>
              <w:rPr>
                <w:color w:val="000000"/>
              </w:rPr>
            </w:pPr>
            <w:r>
              <w:rPr>
                <w:color w:val="000000"/>
              </w:rPr>
              <w:t>Cannabis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4,332,519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81" w:type="dxa"/>
            <w:tcBorders/>
            <w:shd w:fill="CCEEFF" w:val="clear"/>
            <w:tcMar>
              <w:bottom w:w="0" w:type="dxa"/>
            </w:tcMar>
            <w:vAlign w:val="center"/>
          </w:tcPr>
          <w:p>
            <w:pPr>
              <w:pStyle w:val="TableContents"/>
              <w:bidi w:val="0"/>
              <w:spacing w:before="0" w:after="0"/>
              <w:jc w:val="left"/>
              <w:rPr>
                <w:color w:val="000000"/>
              </w:rPr>
            </w:pPr>
            <w:r>
              <w:rPr>
                <w:color w:val="000000"/>
              </w:rPr>
              <w:t>14.00% (P + 6.50%; 7.50%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7/31/2029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73"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tcMar>
              <w:bottom w:w="0" w:type="dxa"/>
            </w:tcMar>
            <w:vAlign w:val="center"/>
          </w:tcPr>
          <w:p>
            <w:pPr>
              <w:pStyle w:val="TableContents"/>
              <w:bidi w:val="0"/>
              <w:spacing w:before="0" w:after="0"/>
              <w:jc w:val="left"/>
              <w:rPr>
                <w:color w:val="000000"/>
              </w:rPr>
            </w:pPr>
            <w:r>
              <w:rPr>
                <w:color w:val="000000"/>
              </w:rPr>
              <w:t>West Creek Financial Holdings, Inc. dba Koalafi</w:t>
            </w:r>
          </w:p>
        </w:tc>
        <w:tc>
          <w:tcPr>
            <w:tcW w:w="90"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0"/>
              <w:jc w:val="left"/>
              <w:rPr>
                <w:color w:val="000000"/>
              </w:rPr>
            </w:pPr>
            <w:r>
              <w:rPr>
                <w:color w:val="000000"/>
              </w:rPr>
              <w:t>424 Hull Street, Suite 600,</w:t>
              <w:br/>
              <w:t>Richmond, VA 23224</w:t>
            </w:r>
          </w:p>
        </w:tc>
        <w:tc>
          <w:tcPr>
            <w:tcW w:w="90" w:type="dxa"/>
            <w:tcBorders/>
            <w:tcMar>
              <w:bottom w:w="0" w:type="dxa"/>
            </w:tcMar>
            <w:vAlign w:val="center"/>
          </w:tcPr>
          <w:p>
            <w:pPr>
              <w:pStyle w:val="TableContents"/>
              <w:bidi w:val="0"/>
              <w:spacing w:before="0" w:after="283"/>
              <w:jc w:val="left"/>
              <w:rPr/>
            </w:pPr>
            <w:r>
              <w:rPr/>
              <w:t> </w:t>
            </w:r>
          </w:p>
        </w:tc>
        <w:tc>
          <w:tcPr>
            <w:tcW w:w="1469" w:type="dxa"/>
            <w:tcBorders/>
            <w:tcMar>
              <w:bottom w:w="0" w:type="dxa"/>
            </w:tcMar>
            <w:vAlign w:val="center"/>
          </w:tcPr>
          <w:p>
            <w:pPr>
              <w:pStyle w:val="TableContents"/>
              <w:bidi w:val="0"/>
              <w:spacing w:before="0" w:after="0"/>
              <w:jc w:val="left"/>
              <w:rPr>
                <w:color w:val="000000"/>
              </w:rPr>
            </w:pPr>
            <w:r>
              <w:rPr>
                <w:color w:val="000000"/>
              </w:rPr>
              <w:t>Finance and Insurance</w:t>
            </w:r>
          </w:p>
        </w:tc>
        <w:tc>
          <w:tcPr>
            <w:tcW w:w="9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0"/>
              <w:jc w:val="left"/>
              <w:rPr>
                <w:color w:val="000000"/>
              </w:rPr>
            </w:pPr>
            <w:r>
              <w:rPr>
                <w:color w:val="000000"/>
              </w:rPr>
              <w:t>Series A Senior Note</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3,660,999</w:t>
            </w:r>
          </w:p>
        </w:tc>
        <w:tc>
          <w:tcPr>
            <w:tcW w:w="90" w:type="dxa"/>
            <w:tcBorders/>
            <w:tcMar>
              <w:bottom w:w="0" w:type="dxa"/>
            </w:tcMar>
            <w:vAlign w:val="center"/>
          </w:tcPr>
          <w:p>
            <w:pPr>
              <w:pStyle w:val="TableContents"/>
              <w:bidi w:val="0"/>
              <w:spacing w:before="0" w:after="283"/>
              <w:jc w:val="left"/>
              <w:rPr/>
            </w:pPr>
            <w:r>
              <w:rPr/>
              <w:t> </w:t>
            </w:r>
          </w:p>
        </w:tc>
        <w:tc>
          <w:tcPr>
            <w:tcW w:w="1081" w:type="dxa"/>
            <w:tcBorders/>
            <w:tcMar>
              <w:bottom w:w="0" w:type="dxa"/>
            </w:tcMar>
            <w:vAlign w:val="center"/>
          </w:tcPr>
          <w:p>
            <w:pPr>
              <w:pStyle w:val="TableContents"/>
              <w:bidi w:val="0"/>
              <w:spacing w:before="0" w:after="0"/>
              <w:jc w:val="left"/>
              <w:rPr>
                <w:color w:val="000000"/>
              </w:rPr>
            </w:pPr>
            <w:r>
              <w:rPr>
                <w:color w:val="000000"/>
              </w:rPr>
              <w:t>18.80% (F @ 13.80%; 5.00% PIK)</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11/29/2027</w:t>
            </w:r>
          </w:p>
        </w:tc>
        <w:tc>
          <w:tcPr>
            <w:tcW w:w="90"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shd w:fill="CCEEFF" w:val="clear"/>
            <w:tcMar>
              <w:bottom w:w="0" w:type="dxa"/>
            </w:tcMar>
            <w:vAlign w:val="center"/>
          </w:tcPr>
          <w:p>
            <w:pPr>
              <w:pStyle w:val="TableContents"/>
              <w:bidi w:val="0"/>
              <w:spacing w:before="0" w:after="0"/>
              <w:jc w:val="left"/>
              <w:rPr>
                <w:color w:val="000000"/>
              </w:rPr>
            </w:pPr>
            <w:r>
              <w:rPr>
                <w:color w:val="000000"/>
              </w:rPr>
              <w:t>Workbox Holdings,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12" w:type="dxa"/>
            <w:tcBorders/>
            <w:shd w:fill="CCEEFF" w:val="clear"/>
            <w:tcMar>
              <w:bottom w:w="0" w:type="dxa"/>
            </w:tcMar>
            <w:vAlign w:val="center"/>
          </w:tcPr>
          <w:p>
            <w:pPr>
              <w:pStyle w:val="TableContents"/>
              <w:bidi w:val="0"/>
              <w:spacing w:before="0" w:after="0"/>
              <w:jc w:val="left"/>
              <w:rPr>
                <w:color w:val="000000"/>
              </w:rPr>
            </w:pPr>
            <w:r>
              <w:rPr>
                <w:color w:val="000000"/>
              </w:rPr>
              <w:t>420 North Wabash Avenue, Suite 500</w:t>
              <w:br/>
              <w:t>Chicago, IL 60611</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69" w:type="dxa"/>
            <w:tcBorders/>
            <w:shd w:fill="CCEEFF" w:val="clear"/>
            <w:tcMar>
              <w:bottom w:w="0" w:type="dxa"/>
            </w:tcMar>
            <w:vAlign w:val="center"/>
          </w:tcPr>
          <w:p>
            <w:pPr>
              <w:pStyle w:val="TableContents"/>
              <w:bidi w:val="0"/>
              <w:spacing w:before="0" w:after="0"/>
              <w:jc w:val="left"/>
              <w:rPr>
                <w:color w:val="000000"/>
              </w:rPr>
            </w:pPr>
            <w:r>
              <w:rPr>
                <w:color w:val="000000"/>
              </w:rPr>
              <w:t>Real Estate and Rental and Leasing</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1,987,879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81" w:type="dxa"/>
            <w:tcBorders/>
            <w:shd w:fill="CCEEFF" w:val="clear"/>
            <w:tcMar>
              <w:bottom w:w="0" w:type="dxa"/>
            </w:tcMar>
            <w:vAlign w:val="center"/>
          </w:tcPr>
          <w:p>
            <w:pPr>
              <w:pStyle w:val="TableContents"/>
              <w:bidi w:val="0"/>
              <w:spacing w:before="0" w:after="0"/>
              <w:jc w:val="left"/>
              <w:rPr>
                <w:color w:val="000000"/>
              </w:rPr>
            </w:pPr>
            <w:r>
              <w:rPr>
                <w:color w:val="000000"/>
              </w:rPr>
              <w:t>12.00% (F @ 6.00%; 6.00% PIK)</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5/31/2029</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73"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tcMar>
              <w:bottom w:w="0" w:type="dxa"/>
            </w:tcMar>
            <w:vAlign w:val="center"/>
          </w:tcPr>
          <w:p>
            <w:pPr>
              <w:pStyle w:val="TableContents"/>
              <w:bidi w:val="0"/>
              <w:spacing w:before="0" w:after="0"/>
              <w:jc w:val="left"/>
              <w:rPr>
                <w:color w:val="000000"/>
              </w:rPr>
            </w:pPr>
            <w:r>
              <w:rPr>
                <w:color w:val="000000"/>
              </w:rPr>
              <w:t>Workbox Holdings, Inc.</w:t>
            </w:r>
          </w:p>
        </w:tc>
        <w:tc>
          <w:tcPr>
            <w:tcW w:w="90"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0"/>
              <w:jc w:val="left"/>
              <w:rPr>
                <w:color w:val="000000"/>
              </w:rPr>
            </w:pPr>
            <w:r>
              <w:rPr>
                <w:color w:val="000000"/>
              </w:rPr>
              <w:t>420 North Wabash Avenue, Suite 500</w:t>
              <w:br/>
              <w:t>Chicago, IL 60611</w:t>
            </w:r>
          </w:p>
        </w:tc>
        <w:tc>
          <w:tcPr>
            <w:tcW w:w="90" w:type="dxa"/>
            <w:tcBorders/>
            <w:tcMar>
              <w:bottom w:w="0" w:type="dxa"/>
            </w:tcMar>
            <w:vAlign w:val="center"/>
          </w:tcPr>
          <w:p>
            <w:pPr>
              <w:pStyle w:val="TableContents"/>
              <w:bidi w:val="0"/>
              <w:spacing w:before="0" w:after="283"/>
              <w:jc w:val="left"/>
              <w:rPr/>
            </w:pPr>
            <w:r>
              <w:rPr/>
              <w:t> </w:t>
            </w:r>
          </w:p>
        </w:tc>
        <w:tc>
          <w:tcPr>
            <w:tcW w:w="1469" w:type="dxa"/>
            <w:tcBorders/>
            <w:tcMar>
              <w:bottom w:w="0" w:type="dxa"/>
            </w:tcMar>
            <w:vAlign w:val="center"/>
          </w:tcPr>
          <w:p>
            <w:pPr>
              <w:pStyle w:val="TableContents"/>
              <w:bidi w:val="0"/>
              <w:spacing w:before="0" w:after="0"/>
              <w:jc w:val="left"/>
              <w:rPr>
                <w:color w:val="000000"/>
              </w:rPr>
            </w:pPr>
            <w:r>
              <w:rPr>
                <w:color w:val="000000"/>
              </w:rPr>
              <w:t>Real Estate and Rental and Leasing</w:t>
            </w:r>
          </w:p>
        </w:tc>
        <w:tc>
          <w:tcPr>
            <w:tcW w:w="9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0"/>
              <w:jc w:val="left"/>
              <w:rPr>
                <w:color w:val="000000"/>
              </w:rPr>
            </w:pPr>
            <w:r>
              <w:rPr>
                <w:color w:val="000000"/>
              </w:rPr>
              <w:t>A-1 Preferred</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500,000</w:t>
            </w:r>
          </w:p>
        </w:tc>
        <w:tc>
          <w:tcPr>
            <w:tcW w:w="90" w:type="dxa"/>
            <w:tcBorders/>
            <w:tcMar>
              <w:bottom w:w="0" w:type="dxa"/>
            </w:tcMar>
            <w:vAlign w:val="center"/>
          </w:tcPr>
          <w:p>
            <w:pPr>
              <w:pStyle w:val="TableContents"/>
              <w:bidi w:val="0"/>
              <w:spacing w:before="0" w:after="283"/>
              <w:jc w:val="left"/>
              <w:rPr/>
            </w:pPr>
            <w:r>
              <w:rPr/>
              <w:t> </w:t>
            </w:r>
          </w:p>
        </w:tc>
        <w:tc>
          <w:tcPr>
            <w:tcW w:w="1081"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shd w:fill="CCEEFF" w:val="clear"/>
            <w:tcMar>
              <w:bottom w:w="0" w:type="dxa"/>
            </w:tcMar>
            <w:vAlign w:val="center"/>
          </w:tcPr>
          <w:p>
            <w:pPr>
              <w:pStyle w:val="TableContents"/>
              <w:bidi w:val="0"/>
              <w:spacing w:before="0" w:after="0"/>
              <w:jc w:val="left"/>
              <w:rPr>
                <w:color w:val="000000"/>
              </w:rPr>
            </w:pPr>
            <w:r>
              <w:rPr>
                <w:color w:val="000000"/>
              </w:rPr>
              <w:t>Workbox Holdings, Inc.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12" w:type="dxa"/>
            <w:tcBorders/>
            <w:shd w:fill="CCEEFF" w:val="clear"/>
            <w:tcMar>
              <w:bottom w:w="0" w:type="dxa"/>
            </w:tcMar>
            <w:vAlign w:val="center"/>
          </w:tcPr>
          <w:p>
            <w:pPr>
              <w:pStyle w:val="TableContents"/>
              <w:bidi w:val="0"/>
              <w:spacing w:before="0" w:after="0"/>
              <w:jc w:val="left"/>
              <w:rPr>
                <w:color w:val="000000"/>
              </w:rPr>
            </w:pPr>
            <w:r>
              <w:rPr>
                <w:color w:val="000000"/>
              </w:rPr>
              <w:t>420 North Wabash Avenue, Suite 500</w:t>
              <w:br/>
              <w:t>Chicago, IL 60611</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69" w:type="dxa"/>
            <w:tcBorders/>
            <w:shd w:fill="CCEEFF" w:val="clear"/>
            <w:tcMar>
              <w:bottom w:w="0" w:type="dxa"/>
            </w:tcMar>
            <w:vAlign w:val="center"/>
          </w:tcPr>
          <w:p>
            <w:pPr>
              <w:pStyle w:val="TableContents"/>
              <w:bidi w:val="0"/>
              <w:spacing w:before="0" w:after="0"/>
              <w:jc w:val="left"/>
              <w:rPr>
                <w:color w:val="000000"/>
              </w:rPr>
            </w:pPr>
            <w:r>
              <w:rPr>
                <w:color w:val="000000"/>
              </w:rPr>
              <w:t>Real Estate and Rental and Leasing</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A-3 Warrants</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44,000</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81" w:type="dxa"/>
            <w:tcBorders/>
            <w:shd w:fill="CCEEFF" w:val="clear"/>
            <w:tcMar>
              <w:bottom w:w="0" w:type="dxa"/>
            </w:tcMar>
            <w:vAlign w:val="center"/>
          </w:tcPr>
          <w:p>
            <w:pPr>
              <w:pStyle w:val="TableContents"/>
              <w:bidi w:val="0"/>
              <w:spacing w:before="0" w:after="0"/>
              <w:jc w:val="right"/>
              <w:rPr>
                <w:color w:val="000000"/>
              </w:rPr>
            </w:pPr>
            <w:r>
              <w:rPr>
                <w:color w:val="000000"/>
              </w:rPr>
              <w:t>n.a</w:t>
            </w:r>
          </w:p>
        </w:tc>
        <w:tc>
          <w:tcPr>
            <w:tcW w:w="90" w:type="dxa"/>
            <w:tcBorders/>
            <w:shd w:fill="CCEEFF" w:val="clear"/>
            <w:tcMar>
              <w:bottom w:w="0" w:type="dxa"/>
            </w:tcMar>
            <w:vAlign w:val="center"/>
          </w:tcPr>
          <w:p>
            <w:pPr>
              <w:pStyle w:val="TableContents"/>
              <w:bidi w:val="0"/>
              <w:spacing w:before="0" w:after="0"/>
              <w:jc w:val="righ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n.a</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73"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tcMar>
              <w:bottom w:w="0" w:type="dxa"/>
            </w:tcMar>
            <w:vAlign w:val="center"/>
          </w:tcPr>
          <w:p>
            <w:pPr>
              <w:pStyle w:val="TableContents"/>
              <w:bidi w:val="0"/>
              <w:spacing w:before="0" w:after="0"/>
              <w:jc w:val="left"/>
              <w:rPr>
                <w:color w:val="000000"/>
              </w:rPr>
            </w:pPr>
            <w:r>
              <w:rPr>
                <w:color w:val="000000"/>
              </w:rPr>
              <w:t>Workbox Holdings, Inc.</w:t>
            </w:r>
          </w:p>
        </w:tc>
        <w:tc>
          <w:tcPr>
            <w:tcW w:w="90" w:type="dxa"/>
            <w:tcBorders/>
            <w:tcMar>
              <w:bottom w:w="0" w:type="dxa"/>
            </w:tcMar>
            <w:vAlign w:val="center"/>
          </w:tcPr>
          <w:p>
            <w:pPr>
              <w:pStyle w:val="TableContents"/>
              <w:bidi w:val="0"/>
              <w:spacing w:before="0" w:after="283"/>
              <w:jc w:val="left"/>
              <w:rPr/>
            </w:pPr>
            <w:r>
              <w:rPr/>
              <w:t> </w:t>
            </w:r>
          </w:p>
        </w:tc>
        <w:tc>
          <w:tcPr>
            <w:tcW w:w="1112" w:type="dxa"/>
            <w:tcBorders/>
            <w:tcMar>
              <w:bottom w:w="0" w:type="dxa"/>
            </w:tcMar>
            <w:vAlign w:val="center"/>
          </w:tcPr>
          <w:p>
            <w:pPr>
              <w:pStyle w:val="TableContents"/>
              <w:bidi w:val="0"/>
              <w:spacing w:before="0" w:after="0"/>
              <w:jc w:val="left"/>
              <w:rPr>
                <w:color w:val="000000"/>
              </w:rPr>
            </w:pPr>
            <w:r>
              <w:rPr>
                <w:color w:val="000000"/>
              </w:rPr>
              <w:t>420 North Wabash Avenue, Suite 500</w:t>
              <w:br/>
              <w:t>Chicago, IL 60611</w:t>
            </w:r>
          </w:p>
        </w:tc>
        <w:tc>
          <w:tcPr>
            <w:tcW w:w="90" w:type="dxa"/>
            <w:tcBorders/>
            <w:tcMar>
              <w:bottom w:w="0" w:type="dxa"/>
            </w:tcMar>
            <w:vAlign w:val="center"/>
          </w:tcPr>
          <w:p>
            <w:pPr>
              <w:pStyle w:val="TableContents"/>
              <w:bidi w:val="0"/>
              <w:spacing w:before="0" w:after="283"/>
              <w:jc w:val="left"/>
              <w:rPr/>
            </w:pPr>
            <w:r>
              <w:rPr/>
              <w:t> </w:t>
            </w:r>
          </w:p>
        </w:tc>
        <w:tc>
          <w:tcPr>
            <w:tcW w:w="1469" w:type="dxa"/>
            <w:tcBorders/>
            <w:tcMar>
              <w:bottom w:w="0" w:type="dxa"/>
            </w:tcMar>
            <w:vAlign w:val="center"/>
          </w:tcPr>
          <w:p>
            <w:pPr>
              <w:pStyle w:val="TableContents"/>
              <w:bidi w:val="0"/>
              <w:spacing w:before="0" w:after="0"/>
              <w:jc w:val="left"/>
              <w:rPr>
                <w:color w:val="000000"/>
              </w:rPr>
            </w:pPr>
            <w:r>
              <w:rPr>
                <w:color w:val="000000"/>
              </w:rPr>
              <w:t>Real Estate and Rental and Leasing</w:t>
            </w:r>
          </w:p>
        </w:tc>
        <w:tc>
          <w:tcPr>
            <w:tcW w:w="90" w:type="dxa"/>
            <w:tcBorders/>
            <w:tcMar>
              <w:bottom w:w="0" w:type="dxa"/>
            </w:tcMar>
            <w:vAlign w:val="center"/>
          </w:tcPr>
          <w:p>
            <w:pPr>
              <w:pStyle w:val="TableContents"/>
              <w:bidi w:val="0"/>
              <w:spacing w:before="0" w:after="283"/>
              <w:jc w:val="left"/>
              <w:rPr/>
            </w:pPr>
            <w:r>
              <w:rPr/>
              <w:t> </w:t>
            </w:r>
          </w:p>
        </w:tc>
        <w:tc>
          <w:tcPr>
            <w:tcW w:w="1179" w:type="dxa"/>
            <w:tcBorders/>
            <w:tcMar>
              <w:bottom w:w="0" w:type="dxa"/>
            </w:tcMar>
            <w:vAlign w:val="center"/>
          </w:tcPr>
          <w:p>
            <w:pPr>
              <w:pStyle w:val="TableContents"/>
              <w:bidi w:val="0"/>
              <w:spacing w:before="0" w:after="0"/>
              <w:jc w:val="left"/>
              <w:rPr>
                <w:color w:val="000000"/>
              </w:rPr>
            </w:pPr>
            <w:r>
              <w:rPr>
                <w:color w:val="000000"/>
              </w:rPr>
              <w:t>A-4 Warrants</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0"/>
              <w:jc w:val="left"/>
              <w:rPr>
                <w:color w:val="000000"/>
              </w:rPr>
            </w:pPr>
            <w:r>
              <w:rPr>
                <w:color w:val="000000"/>
              </w:rPr>
              <w:t>115,000</w:t>
            </w:r>
          </w:p>
        </w:tc>
        <w:tc>
          <w:tcPr>
            <w:tcW w:w="90" w:type="dxa"/>
            <w:tcBorders/>
            <w:tcMar>
              <w:bottom w:w="0" w:type="dxa"/>
            </w:tcMar>
            <w:vAlign w:val="center"/>
          </w:tcPr>
          <w:p>
            <w:pPr>
              <w:pStyle w:val="TableContents"/>
              <w:bidi w:val="0"/>
              <w:spacing w:before="0" w:after="283"/>
              <w:jc w:val="left"/>
              <w:rPr/>
            </w:pPr>
            <w:r>
              <w:rPr/>
              <w:t> </w:t>
            </w:r>
          </w:p>
        </w:tc>
        <w:tc>
          <w:tcPr>
            <w:tcW w:w="1081"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jc w:val="right"/>
              <w:rPr>
                <w:color w:val="000000"/>
              </w:rPr>
            </w:pPr>
            <w:r>
              <w:rPr>
                <w:color w:val="000000"/>
              </w:rPr>
              <w:t>n.a</w:t>
            </w:r>
          </w:p>
        </w:tc>
        <w:tc>
          <w:tcPr>
            <w:tcW w:w="90" w:type="dxa"/>
            <w:tcBorders/>
            <w:tcMar>
              <w:bottom w:w="0" w:type="dxa"/>
            </w:tcMar>
            <w:vAlign w:val="center"/>
          </w:tcPr>
          <w:p>
            <w:pPr>
              <w:pStyle w:val="TableContents"/>
              <w:bidi w:val="0"/>
              <w:spacing w:before="0" w:after="283"/>
              <w:jc w:val="left"/>
              <w:rPr/>
            </w:pPr>
            <w:r>
              <w:rPr/>
              <w:t> </w:t>
            </w:r>
          </w:p>
        </w:tc>
        <w:tc>
          <w:tcPr>
            <w:tcW w:w="1373" w:type="dxa"/>
            <w:tcBorders/>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r>
        <w:trPr/>
        <w:tc>
          <w:tcPr>
            <w:tcW w:w="1266" w:type="dxa"/>
            <w:tcBorders/>
            <w:shd w:fill="CCEEFF" w:val="clear"/>
            <w:tcMar>
              <w:bottom w:w="0" w:type="dxa"/>
            </w:tcMar>
            <w:vAlign w:val="center"/>
          </w:tcPr>
          <w:p>
            <w:pPr>
              <w:pStyle w:val="TableContents"/>
              <w:bidi w:val="0"/>
              <w:spacing w:before="0" w:after="0"/>
              <w:jc w:val="left"/>
              <w:rPr>
                <w:color w:val="000000"/>
              </w:rPr>
            </w:pPr>
            <w:r>
              <w:rPr>
                <w:color w:val="000000"/>
              </w:rPr>
              <w:t>Youth Opportunity Investments, LLC</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12" w:type="dxa"/>
            <w:tcBorders/>
            <w:shd w:fill="CCEEFF" w:val="clear"/>
            <w:tcMar>
              <w:bottom w:w="0" w:type="dxa"/>
            </w:tcMar>
            <w:vAlign w:val="center"/>
          </w:tcPr>
          <w:p>
            <w:pPr>
              <w:pStyle w:val="TableContents"/>
              <w:bidi w:val="0"/>
              <w:spacing w:before="0" w:after="0"/>
              <w:jc w:val="left"/>
              <w:rPr>
                <w:color w:val="000000"/>
              </w:rPr>
            </w:pPr>
            <w:r>
              <w:rPr>
                <w:color w:val="000000"/>
              </w:rPr>
              <w:t>12775 Horseferry Rd #230</w:t>
              <w:br/>
              <w:t>Carmel, IN 46032</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469" w:type="dxa"/>
            <w:tcBorders/>
            <w:shd w:fill="CCEEFF" w:val="clear"/>
            <w:tcMar>
              <w:bottom w:w="0" w:type="dxa"/>
            </w:tcMar>
            <w:vAlign w:val="center"/>
          </w:tcPr>
          <w:p>
            <w:pPr>
              <w:pStyle w:val="TableContents"/>
              <w:bidi w:val="0"/>
              <w:spacing w:before="0" w:after="0"/>
              <w:jc w:val="left"/>
              <w:rPr>
                <w:color w:val="000000"/>
              </w:rPr>
            </w:pPr>
            <w:r>
              <w:rPr>
                <w:color w:val="000000"/>
              </w:rPr>
              <w:t>Public Administration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79" w:type="dxa"/>
            <w:tcBorders/>
            <w:shd w:fill="CCEEFF" w:val="clear"/>
            <w:tcMar>
              <w:bottom w:w="0" w:type="dxa"/>
            </w:tcMar>
            <w:vAlign w:val="center"/>
          </w:tcPr>
          <w:p>
            <w:pPr>
              <w:pStyle w:val="TableContents"/>
              <w:bidi w:val="0"/>
              <w:spacing w:before="0" w:after="0"/>
              <w:jc w:val="left"/>
              <w:rPr>
                <w:color w:val="000000"/>
              </w:rPr>
            </w:pPr>
            <w:r>
              <w:rPr>
                <w:color w:val="000000"/>
              </w:rPr>
              <w:t>Term Loan</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130" w:type="dxa"/>
            <w:tcBorders/>
            <w:shd w:fill="CCEEFF" w:val="clear"/>
            <w:tcMar>
              <w:bottom w:w="0" w:type="dxa"/>
            </w:tcMar>
            <w:vAlign w:val="center"/>
          </w:tcPr>
          <w:p>
            <w:pPr>
              <w:pStyle w:val="TableContents"/>
              <w:bidi w:val="0"/>
              <w:spacing w:before="0" w:after="0"/>
              <w:jc w:val="left"/>
              <w:rPr>
                <w:color w:val="000000"/>
              </w:rPr>
            </w:pPr>
            <w:r>
              <w:rPr>
                <w:color w:val="000000"/>
              </w:rPr>
              <w:t>11,504,108</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081" w:type="dxa"/>
            <w:tcBorders/>
            <w:shd w:fill="CCEEFF" w:val="clear"/>
            <w:tcMar>
              <w:bottom w:w="0" w:type="dxa"/>
            </w:tcMar>
            <w:vAlign w:val="center"/>
          </w:tcPr>
          <w:p>
            <w:pPr>
              <w:pStyle w:val="TableContents"/>
              <w:bidi w:val="0"/>
              <w:spacing w:before="0" w:after="0"/>
              <w:jc w:val="left"/>
              <w:rPr>
                <w:color w:val="000000"/>
              </w:rPr>
            </w:pPr>
            <w:r>
              <w:rPr>
                <w:color w:val="000000"/>
              </w:rPr>
              <w:t>12.02% (S + 7.75%; 4.00% Floor)</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965" w:type="dxa"/>
            <w:tcBorders/>
            <w:shd w:fill="CCEEFF" w:val="clear"/>
            <w:tcMar>
              <w:bottom w:w="0" w:type="dxa"/>
            </w:tcMar>
            <w:vAlign w:val="center"/>
          </w:tcPr>
          <w:p>
            <w:pPr>
              <w:pStyle w:val="TableContents"/>
              <w:bidi w:val="0"/>
              <w:spacing w:before="0" w:after="0"/>
              <w:jc w:val="right"/>
              <w:rPr>
                <w:color w:val="000000"/>
              </w:rPr>
            </w:pPr>
            <w:r>
              <w:rPr>
                <w:color w:val="000000"/>
              </w:rPr>
              <w:t>9/18/2026</w:t>
            </w:r>
          </w:p>
        </w:tc>
        <w:tc>
          <w:tcPr>
            <w:tcW w:w="90" w:type="dxa"/>
            <w:tcBorders/>
            <w:shd w:fill="CCEEFF" w:val="clear"/>
            <w:tcMar>
              <w:bottom w:w="0" w:type="dxa"/>
            </w:tcMar>
            <w:vAlign w:val="center"/>
          </w:tcPr>
          <w:p>
            <w:pPr>
              <w:pStyle w:val="TableContents"/>
              <w:bidi w:val="0"/>
              <w:spacing w:before="0" w:after="0"/>
              <w:jc w:val="left"/>
              <w:rPr>
                <w:color w:val="000000"/>
              </w:rPr>
            </w:pPr>
            <w:r>
              <w:rPr>
                <w:color w:val="000000"/>
              </w:rPr>
              <w:t> </w:t>
            </w:r>
          </w:p>
        </w:tc>
        <w:tc>
          <w:tcPr>
            <w:tcW w:w="1373" w:type="dxa"/>
            <w:tcBorders/>
            <w:shd w:fill="CCEEFF" w:val="clear"/>
            <w:tcMar>
              <w:bottom w:w="0" w:type="dxa"/>
            </w:tcMar>
            <w:vAlign w:val="center"/>
          </w:tcPr>
          <w:p>
            <w:pPr>
              <w:pStyle w:val="TableContents"/>
              <w:bidi w:val="0"/>
              <w:spacing w:before="0" w:after="0"/>
              <w:jc w:val="left"/>
              <w:rPr>
                <w:color w:val="000000"/>
              </w:rPr>
            </w:pPr>
            <w:r>
              <w:rPr>
                <w:color w:val="000000"/>
              </w:rPr>
              <w:t>Non-Control,</w:t>
            </w:r>
          </w:p>
          <w:p>
            <w:pPr>
              <w:pStyle w:val="TableContents"/>
              <w:bidi w:val="0"/>
              <w:spacing w:before="0" w:after="0"/>
              <w:jc w:val="left"/>
              <w:rPr>
                <w:color w:val="000000"/>
              </w:rPr>
            </w:pPr>
            <w:r>
              <w:rPr>
                <w:color w:val="000000"/>
              </w:rPr>
              <w:t>Non-Affiliate</w:t>
            </w:r>
          </w:p>
        </w:tc>
      </w:tr>
    </w:tbl>
    <w:p>
      <w:pPr>
        <w:pStyle w:val="TextBody"/>
        <w:bidi w:val="0"/>
        <w:spacing w:before="0" w:after="0"/>
        <w:jc w:val="both"/>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F – Fixed, P – Prime, PIK – Payment-In-Kind, S - SOFR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2" w:name="MANAGEMENT"/>
      <w:bookmarkEnd w:id="132"/>
      <w:r>
        <w:rPr>
          <w:rFonts w:ascii="Times New Roman" w:hAnsi="Times New Roman"/>
          <w:b/>
          <w:color w:val="000000"/>
          <w:sz w:val="20"/>
          <w:shd w:fill="FFFFFF" w:val="clear"/>
        </w:rPr>
        <w:t>MANAGEMENT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pPr>
      <w:r>
        <w:rPr>
          <w:rFonts w:ascii="Times New Roman" w:hAnsi="Times New Roman"/>
          <w:color w:val="000000"/>
          <w:sz w:val="20"/>
          <w:shd w:fill="FFFFFF" w:val="clear"/>
        </w:rPr>
        <w:t>The information in the sections entitled “</w:t>
      </w:r>
      <w:r>
        <w:rPr>
          <w:rFonts w:ascii="Times New Roman" w:hAnsi="Times New Roman"/>
          <w:i/>
          <w:color w:val="000000"/>
          <w:sz w:val="20"/>
          <w:shd w:fill="FFFFFF" w:val="clear"/>
        </w:rPr>
        <w:t>PROPOSAL 1: ELECTION OF DIRECTOR NOMINEE</w:t>
      </w:r>
      <w:r>
        <w:rPr>
          <w:rFonts w:ascii="Times New Roman" w:hAnsi="Times New Roman"/>
          <w:color w:val="000000"/>
          <w:sz w:val="20"/>
          <w:shd w:fill="FFFFFF" w:val="clear"/>
        </w:rPr>
        <w:t>” and “</w:t>
      </w:r>
      <w:r>
        <w:rPr>
          <w:rFonts w:ascii="Times New Roman" w:hAnsi="Times New Roman"/>
          <w:i/>
          <w:color w:val="000000"/>
          <w:sz w:val="20"/>
          <w:shd w:fill="FFFFFF" w:val="clear"/>
        </w:rPr>
        <w:t>CORPORATE GOVERNANCE</w:t>
      </w:r>
      <w:r>
        <w:rPr>
          <w:rFonts w:ascii="Times New Roman" w:hAnsi="Times New Roman"/>
          <w:color w:val="000000"/>
          <w:sz w:val="20"/>
          <w:shd w:fill="FFFFFF" w:val="clear"/>
        </w:rPr>
        <w:t>” in our most recent Annual Proxy Statement, and Part I, Item 1 “</w:t>
      </w:r>
      <w:r>
        <w:rPr>
          <w:rFonts w:ascii="Times New Roman" w:hAnsi="Times New Roman"/>
          <w:i/>
          <w:color w:val="000000"/>
          <w:sz w:val="20"/>
          <w:shd w:fill="FFFFFF" w:val="clear"/>
        </w:rPr>
        <w:t>BUSINESS</w:t>
      </w:r>
      <w:r>
        <w:rPr>
          <w:rFonts w:ascii="Times New Roman" w:hAnsi="Times New Roman"/>
          <w:color w:val="000000"/>
          <w:sz w:val="20"/>
          <w:shd w:fill="FFFFFF" w:val="clear"/>
        </w:rPr>
        <w:t xml:space="preserve">” in our most recent Annual Report on </w:t>
      </w:r>
      <w:hyperlink r:id="rId9">
        <w:r>
          <w:rPr>
            <w:rStyle w:val="InternetLink"/>
          </w:rPr>
          <w:t>Form 10-K</w:t>
        </w:r>
      </w:hyperlink>
      <w:r>
        <w:rPr>
          <w:rFonts w:ascii="Times New Roman" w:hAnsi="Times New Roman"/>
          <w:color w:val="000000"/>
          <w:sz w:val="20"/>
          <w:shd w:fill="FFFFFF" w:val="clear"/>
        </w:rPr>
        <w:t>, are incorporated herein by reference.</w:t>
      </w:r>
    </w:p>
    <w:p>
      <w:pPr>
        <w:pStyle w:val="TextBody"/>
        <w:bidi w:val="0"/>
        <w:spacing w:before="0" w:after="0"/>
        <w:ind w:left="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3" w:name="CERTAINRELATIONSHIPSANDRE"/>
      <w:bookmarkEnd w:id="133"/>
      <w:r>
        <w:rPr>
          <w:rFonts w:ascii="Times New Roman" w:hAnsi="Times New Roman"/>
          <w:b/>
          <w:color w:val="000000"/>
          <w:sz w:val="20"/>
          <w:shd w:fill="FFFFFF" w:val="clear"/>
        </w:rPr>
        <w:t>CERTAIN RELATIONSHIPS AND RELATED PARTY TRANSACTIONS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pPr>
      <w:r>
        <w:rPr>
          <w:rFonts w:ascii="Times New Roman" w:hAnsi="Times New Roman"/>
          <w:color w:val="000000"/>
          <w:sz w:val="20"/>
          <w:shd w:fill="FFFFFF" w:val="clear"/>
        </w:rPr>
        <w:t>The information in the section entitled “</w:t>
      </w:r>
      <w:r>
        <w:rPr>
          <w:rFonts w:ascii="Times New Roman" w:hAnsi="Times New Roman"/>
          <w:i/>
          <w:color w:val="000000"/>
          <w:sz w:val="20"/>
          <w:shd w:fill="FFFFFF" w:val="clear"/>
        </w:rPr>
        <w:t>CERTAIN RELATIONSHIPS AND RELATED PARTY TRANSACTIONS</w:t>
      </w:r>
      <w:r>
        <w:rPr>
          <w:rFonts w:ascii="Times New Roman" w:hAnsi="Times New Roman"/>
          <w:color w:val="000000"/>
          <w:sz w:val="20"/>
          <w:shd w:fill="FFFFFF" w:val="clear"/>
        </w:rPr>
        <w:t xml:space="preserve">” in our most recent </w:t>
      </w:r>
      <w:hyperlink r:id="rId10">
        <w:r>
          <w:rPr>
            <w:rStyle w:val="InternetLink"/>
          </w:rPr>
          <w:t>Annual Proxy Statement</w:t>
        </w:r>
      </w:hyperlink>
      <w:r>
        <w:rPr>
          <w:rFonts w:ascii="Times New Roman" w:hAnsi="Times New Roman"/>
          <w:color w:val="000000"/>
          <w:sz w:val="20"/>
          <w:shd w:fill="FFFFFF" w:val="clear"/>
        </w:rPr>
        <w:t xml:space="preserve"> is incorporated herein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4" w:name="CONTROLPERSONSANDPRINCIPA"/>
      <w:bookmarkEnd w:id="134"/>
      <w:r>
        <w:rPr>
          <w:rFonts w:ascii="Times New Roman" w:hAnsi="Times New Roman"/>
          <w:b/>
          <w:color w:val="000000"/>
          <w:sz w:val="20"/>
          <w:shd w:fill="FFFFFF" w:val="clear"/>
        </w:rPr>
        <w:t>CONTROL PERSONS AND PRINCIPAL SHAREHOLDERS</w:t>
      </w:r>
    </w:p>
    <w:p>
      <w:pPr>
        <w:pStyle w:val="TextBody"/>
        <w:bidi w:val="0"/>
        <w:spacing w:before="0" w:after="0"/>
        <w:ind w:left="0" w:right="0" w:firstLine="360"/>
        <w:jc w:val="left"/>
        <w:rPr/>
      </w:pPr>
      <w:r>
        <w:rPr/>
      </w:r>
    </w:p>
    <w:p>
      <w:pPr>
        <w:pStyle w:val="TextBody"/>
        <w:bidi w:val="0"/>
        <w:spacing w:before="0" w:after="0"/>
        <w:ind w:left="0" w:right="0" w:firstLine="360"/>
        <w:jc w:val="both"/>
        <w:rPr/>
      </w:pPr>
      <w:r>
        <w:rPr>
          <w:rFonts w:ascii="Times New Roman" w:hAnsi="Times New Roman"/>
          <w:color w:val="000000"/>
          <w:sz w:val="20"/>
          <w:shd w:fill="FFFFFF" w:val="clear"/>
        </w:rPr>
        <w:t>The information in the sections titled “</w:t>
      </w:r>
      <w:r>
        <w:rPr>
          <w:rFonts w:ascii="Times New Roman" w:hAnsi="Times New Roman"/>
          <w:i/>
          <w:color w:val="000000"/>
          <w:sz w:val="20"/>
          <w:shd w:fill="FFFFFF" w:val="clear"/>
        </w:rPr>
        <w:t>PROPOSAL 1: ELECTION OF DIRECTOR NOMINEE</w:t>
      </w:r>
      <w:r>
        <w:rPr>
          <w:rFonts w:ascii="Times New Roman" w:hAnsi="Times New Roman"/>
          <w:color w:val="000000"/>
          <w:sz w:val="20"/>
          <w:shd w:fill="FFFFFF" w:val="clear"/>
        </w:rPr>
        <w:t>” and “</w:t>
      </w:r>
      <w:r>
        <w:rPr>
          <w:rFonts w:ascii="Times New Roman" w:hAnsi="Times New Roman"/>
          <w:i/>
          <w:color w:val="000000"/>
          <w:sz w:val="20"/>
          <w:shd w:fill="FFFFFF" w:val="clear"/>
        </w:rPr>
        <w:t>SECURITY OWNERSHIP OF MANAGEMENT AND CERTAIN BENEFICIAL OWNERS</w:t>
      </w:r>
      <w:r>
        <w:rPr>
          <w:rFonts w:ascii="Times New Roman" w:hAnsi="Times New Roman"/>
          <w:color w:val="000000"/>
          <w:sz w:val="20"/>
          <w:shd w:fill="FFFFFF" w:val="clear"/>
        </w:rPr>
        <w:t xml:space="preserve">” in our most recent </w:t>
      </w:r>
      <w:hyperlink r:id="rId11">
        <w:r>
          <w:rPr>
            <w:rStyle w:val="InternetLink"/>
          </w:rPr>
          <w:t>Annual Proxy Statement</w:t>
        </w:r>
      </w:hyperlink>
      <w:r>
        <w:rPr>
          <w:rFonts w:ascii="Times New Roman" w:hAnsi="Times New Roman"/>
          <w:color w:val="000000"/>
          <w:sz w:val="20"/>
          <w:shd w:fill="FFFFFF" w:val="clear"/>
        </w:rPr>
        <w:t xml:space="preserve">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5" w:name="DETERMINATIONOFNETASSETVA"/>
      <w:bookmarkEnd w:id="135"/>
      <w:r>
        <w:rPr>
          <w:rFonts w:ascii="Times New Roman" w:hAnsi="Times New Roman"/>
          <w:b/>
          <w:color w:val="000000"/>
          <w:sz w:val="20"/>
          <w:shd w:fill="FFFFFF" w:val="clear"/>
        </w:rPr>
        <w:t>DETERMINATION OF NET ASSET VALUE</w:t>
      </w:r>
    </w:p>
    <w:p>
      <w:pPr>
        <w:pStyle w:val="TextBody"/>
        <w:bidi w:val="0"/>
        <w:spacing w:before="0" w:after="0"/>
        <w:jc w:val="center"/>
        <w:rPr>
          <w:b/>
        </w:rPr>
      </w:pPr>
      <w:r>
        <w:rPr>
          <w:b/>
        </w:rPr>
      </w:r>
    </w:p>
    <w:p>
      <w:pPr>
        <w:pStyle w:val="TextBody"/>
        <w:bidi w:val="0"/>
        <w:spacing w:before="0" w:after="0"/>
        <w:ind w:left="0" w:right="0" w:firstLine="360"/>
        <w:jc w:val="both"/>
        <w:rPr/>
      </w:pPr>
      <w:r>
        <w:rPr>
          <w:rFonts w:ascii="Times New Roman" w:hAnsi="Times New Roman"/>
          <w:color w:val="000000"/>
          <w:sz w:val="20"/>
          <w:shd w:fill="FFFFFF" w:val="clear"/>
        </w:rPr>
        <w:t>The net asset value per share of our outstanding shares of common stock is determined quarterly by dividing the value of total assets minus liabilities by the total number of shares outstanding. More detailed information regarding our determination of net asset value is incorporated by reference herein from the sections titled Part I, Item 1 “</w:t>
      </w:r>
      <w:r>
        <w:rPr>
          <w:rFonts w:ascii="Times New Roman" w:hAnsi="Times New Roman"/>
          <w:i/>
          <w:color w:val="000000"/>
          <w:sz w:val="20"/>
          <w:shd w:fill="FFFFFF" w:val="clear"/>
        </w:rPr>
        <w:t>BUSINESS – Valuation of Portfolio Investments and Net Asset Value (“NAV”) Determinations</w:t>
      </w:r>
      <w:r>
        <w:rPr>
          <w:rFonts w:ascii="Times New Roman" w:hAnsi="Times New Roman"/>
          <w:color w:val="000000"/>
          <w:sz w:val="20"/>
          <w:shd w:fill="FFFFFF" w:val="clear"/>
        </w:rPr>
        <w:t>” and Part II, Item 7 “</w:t>
      </w:r>
      <w:r>
        <w:rPr>
          <w:rFonts w:ascii="Times New Roman" w:hAnsi="Times New Roman"/>
          <w:i/>
          <w:color w:val="000000"/>
          <w:sz w:val="20"/>
          <w:shd w:fill="FFFFFF" w:val="clear"/>
        </w:rPr>
        <w:t>MANAGEMENT’S DISCUSSION AND ANALYSIS OF FINANCIAL CONDITION AND RESULTS OF OPERATIONS - Critical Accounting Estimates - Investment Valuation</w:t>
      </w:r>
      <w:r>
        <w:rPr>
          <w:rFonts w:ascii="Times New Roman" w:hAnsi="Times New Roman"/>
          <w:color w:val="000000"/>
          <w:sz w:val="20"/>
          <w:shd w:fill="FFFFFF" w:val="clear"/>
        </w:rPr>
        <w:t xml:space="preserve">” of our most recent Annual Report on </w:t>
      </w:r>
      <w:hyperlink r:id="rId12">
        <w:r>
          <w:rPr>
            <w:rStyle w:val="InternetLink"/>
          </w:rPr>
          <w:t>Form 10-K</w:t>
        </w:r>
      </w:hyperlink>
      <w:r>
        <w:rPr>
          <w:rFonts w:ascii="Times New Roman" w:hAnsi="Times New Roman"/>
          <w:color w:val="000000"/>
          <w:sz w:val="20"/>
          <w:shd w:fill="FFFFFF" w:val="clear"/>
        </w:rPr>
        <w:t>, which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6" w:name="DIVIDENDREINVESTMENTPLAN"/>
      <w:bookmarkEnd w:id="136"/>
      <w:r>
        <w:rPr>
          <w:rFonts w:ascii="Times New Roman" w:hAnsi="Times New Roman"/>
          <w:b/>
          <w:color w:val="000000"/>
          <w:sz w:val="20"/>
          <w:shd w:fill="FFFFFF" w:val="clear"/>
        </w:rPr>
        <w:t>DIVIDEND REINVESTMENT PLAN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Prior to December 31, 2025, we had an “opt out” DRIP for our stockholders. As a result, if we declared a dividend, then stockholders’ cash distributions were automatically reinvested in additional shares of our common stock, unless they specifically chose to “opt out” of the DRIP so as to receive cash distributions. Stockholders who received distributions in the form of shares of our common stock generally were subject to the same U.S. federal income tax consequences as were stockholders who elected to receive their distributions in cash.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On November 26, 2025, in accordance with the terms of the DRIP and by unanimous written consent of our Board, the DRIP was terminated with an effective date of December 31, 2025. Following the termination of the DRIP, all cash dividends or distributions on our common stock with a record date for payment after December 31, 2025 will be paid in cash rather than in shares of our 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37" w:name="CERTAINU.S.FEDERALINCOMET"/>
      <w:bookmarkEnd w:id="137"/>
      <w:r>
        <w:rPr>
          <w:rFonts w:ascii="Times New Roman" w:hAnsi="Times New Roman"/>
          <w:b/>
          <w:color w:val="000000"/>
          <w:sz w:val="20"/>
          <w:shd w:fill="FFFFFF" w:val="clear"/>
        </w:rPr>
        <w:t>CERTAIN U.S. FEDERAL INCOME TAX CONSIDERATIONS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 U.S. stockholders (as defined below) whose functional currency is not the U.S. dollar, persons who mark-to-market our shares, persons who hold our shares as part of a “straddle,” “hedge” or “conversion” transaction, certain former citizens and long-term residents of the United States,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Prospective investors should be aware that, although we intend to adopt positions we believe are in accord with current interpretations of the U.S. federal income tax laws, the IRS may not agree with the tax positions taken by us and that, if challenged by the IRS, our tax positions might not be sustained by the courts. This summary does not discuss any aspects of U.S. estate or gift tax or foreign, state or local tax. It does not discuss the special treatment under U.S. federal income tax laws that could result if we invested in tax-exempt securities or certain other investment assets. Tax counsel has not rendered any legal opinion regarding any tax consequences relating to us or our stockholders. Stockholders are urged to consult their own tax advisors to determine the U.S. federal, state, local and foreign tax consequences to them of investing in our shares.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purposes of our discussion, a “U.S. stockholder” means a beneficial owner of shares of our common stock that is for U.S. federal income tax purposes: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d1c91ad3719b4f54939eb0cb33d568ed"/>
      <w:bookmarkStart w:id="139" w:name="zd1c91ad3719b4f54939eb0cb33d568ed"/>
      <w:bookmarkEnd w:id="139"/>
    </w:p>
    <w:tbl>
      <w:tblPr>
        <w:tblW w:w="5118" w:type="dxa"/>
        <w:jc w:val="left"/>
        <w:tblInd w:w="0" w:type="dxa"/>
        <w:tblLayout w:type="fixed"/>
        <w:tblCellMar>
          <w:top w:w="0" w:type="dxa"/>
          <w:left w:w="0" w:type="dxa"/>
          <w:bottom w:w="0" w:type="dxa"/>
          <w:right w:w="0" w:type="dxa"/>
        </w:tblCellMar>
      </w:tblPr>
      <w:tblGrid>
        <w:gridCol w:w="68"/>
        <w:gridCol w:w="140"/>
        <w:gridCol w:w="49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both"/>
              <w:rPr/>
            </w:pPr>
            <w:r>
              <w:rPr/>
              <w:t>a citizen or individual resident of the United States;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0" w:name="za784102063fb4d7fb4a8918aa25d1cd9"/>
      <w:bookmarkStart w:id="141" w:name="za784102063fb4d7fb4a8918aa25d1cd9"/>
      <w:bookmarkEnd w:id="14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corporation, or other entity treated as a corporation, created or organized in or under the laws of the United States or any state thereof or the District of Columbia;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2" w:name="zf0dbf61898fe48aeb0cf55a172471b91"/>
      <w:bookmarkStart w:id="143" w:name="zf0dbf61898fe48aeb0cf55a172471b91"/>
      <w:bookmarkEnd w:id="143"/>
    </w:p>
    <w:tbl>
      <w:tblPr>
        <w:tblW w:w="9618" w:type="dxa"/>
        <w:jc w:val="left"/>
        <w:tblInd w:w="0" w:type="dxa"/>
        <w:tblLayout w:type="fixed"/>
        <w:tblCellMar>
          <w:top w:w="0" w:type="dxa"/>
          <w:left w:w="0" w:type="dxa"/>
          <w:bottom w:w="0" w:type="dxa"/>
          <w:right w:w="0" w:type="dxa"/>
        </w:tblCellMar>
      </w:tblPr>
      <w:tblGrid>
        <w:gridCol w:w="68"/>
        <w:gridCol w:w="140"/>
        <w:gridCol w:w="94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0"/>
              <w:jc w:val="both"/>
              <w:rPr/>
            </w:pPr>
            <w:r>
              <w:rPr/>
              <w:t>an estate, the income of which is subject to U.S. federal income taxation regardless of its source;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4" w:name="z97c8d3db4bc54265a0650898fb760601"/>
      <w:bookmarkStart w:id="145" w:name="z97c8d3db4bc54265a0650898fb760601"/>
      <w:bookmarkEnd w:id="14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 trust if (1) a U.S. court is able to exercise primary supervision over the administration of such trust and one or more U.S. persons have the authority to control all substantial decisions of the trust or (2) it has a valid election in place to be treated as a domestic trust for U.S. federal income tax purposes.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purposes of our discussion, a “Non-U.S. stockholder” means a beneficial owner of shares of our common stock that is neither a U.S. stockholder nor a partnership (including an entity or arrangement treated as a partnership for U.S. federal income tax purposes).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non-U.S. tax laws, eligibility for the benefits of any applicable tax treaty and the effect of any possible changes in the tax laws.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Taxation in Connection with Holding Securities other than our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Election to be Taxed as a RIC</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elected and intend to qualify annually to be treated as a RIC under Subchapter M of the Code. However, no assurance can be given that we will be able to maintain our RIC tax treatment. As a RIC, we generally will not be subject to U.S. federal income tax on any net ordinary income or capital gain net income that we timely distribute to our stockholders as dividends.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nondeductible 4%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Taxation as a RIC</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(or are deemed to distribute) to stockholders as dividends. We will be subject to U.S. federal income tax imposed at corporate rates on any income or capital gain not distributed (or deemed distributed) to our stockholders.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be subject to a nondeductible 4%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and (3) any net ordinary income and net capital gains that we recognized in preceding years, but were not distributed during such years, and on which we paid no U.S. federal income tax.</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order to maintain our status as a RIC for U.S. federal income tax purposes, we must, among other things: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6" w:name="z44137550680c4133bd17a1015ebe73be"/>
      <w:bookmarkStart w:id="147" w:name="z44137550680c4133bd17a1015ebe73be"/>
      <w:bookmarkEnd w:id="14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continue to qualify as a BDC or be registered as a management investment company under the 1940 Act at all times during each taxable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fe2ef74ba643409ba246e04f2400a458"/>
      <w:bookmarkStart w:id="149" w:name="zfe2ef74ba643409ba246e04f2400a458"/>
      <w:bookmarkEnd w:id="14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foreign currencies and net income derived from an interest in a “qualified publicly traded partnership” (as defined in Subchapter M of the Code), or the “90% Income Test”;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0" w:name="z3c768e5c71e54ae2857ad8170ac4c1f2"/>
      <w:bookmarkStart w:id="151" w:name="z3c768e5c71e54ae2857ad8170ac4c1f2"/>
      <w:bookmarkEnd w:id="151"/>
    </w:p>
    <w:tbl>
      <w:tblPr>
        <w:tblW w:w="4938" w:type="dxa"/>
        <w:jc w:val="left"/>
        <w:tblInd w:w="0" w:type="dxa"/>
        <w:tblLayout w:type="fixed"/>
        <w:tblCellMar>
          <w:top w:w="0" w:type="dxa"/>
          <w:left w:w="0" w:type="dxa"/>
          <w:bottom w:w="0" w:type="dxa"/>
          <w:right w:w="0" w:type="dxa"/>
        </w:tblCellMar>
      </w:tblPr>
      <w:tblGrid>
        <w:gridCol w:w="68"/>
        <w:gridCol w:w="140"/>
        <w:gridCol w:w="47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0"/>
              <w:jc w:val="both"/>
              <w:rPr/>
            </w:pPr>
            <w:r>
              <w:rPr/>
              <w:t>satisfy the Annual Distribution Requirement;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52" w:name="z53269fac94184e788ba3f93ffb31b429"/>
      <w:bookmarkStart w:id="153" w:name="z53269fac94184e788ba3f93ffb31b429"/>
      <w:bookmarkEnd w:id="153"/>
    </w:p>
    <w:tbl>
      <w:tblPr>
        <w:tblW w:w="7353" w:type="dxa"/>
        <w:jc w:val="left"/>
        <w:tblInd w:w="0" w:type="dxa"/>
        <w:tblLayout w:type="fixed"/>
        <w:tblCellMar>
          <w:top w:w="0" w:type="dxa"/>
          <w:left w:w="0" w:type="dxa"/>
          <w:bottom w:w="0" w:type="dxa"/>
          <w:right w:w="0" w:type="dxa"/>
        </w:tblCellMar>
      </w:tblPr>
      <w:tblGrid>
        <w:gridCol w:w="68"/>
        <w:gridCol w:w="140"/>
        <w:gridCol w:w="71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0"/>
              <w:jc w:val="both"/>
              <w:rPr/>
            </w:pPr>
            <w:r>
              <w:rPr/>
              <w:t>diversify our holdings so that at the end of each quarter of the taxable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4" w:name="z0eea2a0d07c94f5f97c03902aa3df943"/>
      <w:bookmarkStart w:id="155" w:name="z0eea2a0d07c94f5f97c03902aa3df943"/>
      <w:bookmarkEnd w:id="15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6" w:name="z48da5e1ca78740e88db45dedef75e11f"/>
      <w:bookmarkStart w:id="157" w:name="z48da5e1ca78740e88db45dedef75e11f"/>
      <w:bookmarkEnd w:id="15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Investments by us in non-U.S. securities may be subject to non-U.S. income, withholding and other taxes withheld at the source. In this regard, withholding tax rates in countries with which the United States does not have a tax treaty may be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Therefore, our yield on any such securities may be reduced by such non-U.S. taxes. Stockholders will generally not be entitled to claim a credit or deduction with respect to non-U.S. taxes paid by us because we do not expect to satisfy the requirements necessary to pass through to our stockholders their share of the foreign taxes paid by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we do not presently expect to do so, we are authorized to borrow funds and to sell assets in order to satisfy the Annual Distribution Requirement and the 4% U.S. federal excise tax. However, under the 1940 Act, we are not permitted to make distributions to our stockholders while our debt obligations and other senior securities are outstanding unless certain “asset coverage” tests are met. If we are prohibited from making distributions, we may fail to qualify for tax treatment as a RIC and become subject to U.S. federal income tax. Moreover, our ability to dispose of assets to satisfy the Annual Distribution Requirement and to reduce our U.S. federal income and excise tax liabilities may be limited by (1) the illiquid nature of our portfolio and/or (2) other requirements relating to our status as a RIC, including the Diversification Tests. If we dispose of assets in order to meet the Annual Distribution Requirement or to avoid U.S. federal income tax imposed at corporate rates or the 4% U.S. federal excise tax, we may make such dispositions at times that, from an investment standpoint, are not advantageous.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In addition, expenses can be used only to offset investment company taxable income, not net capital gain. A RIC may not use any net capital losses (that is, realized capital losses in excess of realized capital gains) to offset the RIC’s investment company taxable income, but U.S. federal income tax law generally permits a RIC to carry forward its capital losses. Due to these limits on the deductibility of expenses, over the course of one or more taxable years we may have, for U.S. federal income tax purposes, aggregate taxable income that we are required to distribute and that is taxable to our shareholders,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a shareholder may receive a larger capital gain distribution than we would have received in the absence of such transactions.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Certain of our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and may be required to borrow money or dispose of securities in order to mitigate the effect of these provisions.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“publicly offered regulated investment company” is a RIC whose shares are either (i) continuously offered pursuant to a public offering within the meaning of Section 4 of the Securities Act, (ii) regularly traded on an established securities market or (iii) held by at least 500 persons at all times during the taxable year. If we qualify as a publicly offered regulated investment company, we may make distributions that are payable in cash or shares of our stock at the election of each stockholder. In accordance with Treasury regulations and published guidance issued by the Internal Revenue Service, a publicly offered RIC may treat distributions of its own stock as fulfilling its RIC distribution requirements if each stockholder may elect to receive his, her, or its entire distribution in either cash or stock of the RIC, subject to a limitation that the aggregate amount of cash to be distributed to all stockholders must be at least 20% of the aggregate distribution. If too many stockholders elect to receive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Failure To Obtain RIC Tax Treatment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were unable to maintain our tax treatment as a RIC, and certain cure provisions are not applicable, we would be subject to U.S. federal income tax on all of our taxable income (including our net capital gains) imposed at corporate rates. We would not be able to deduct distributions to stockholders, nor would distributions be compulsory. Distributions, including distributions of net long-term capital gain, would generally be taxable to our stockholders as ordinary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To the extent the amount of a distribution exceeded our current and accumulated earnings and profits, such excess would be treated as a return of capital to the extent of the stockholder’s adjusted tax basis, and to the extent the amount of a distribution exceeded both our current and accumulated earnings and profits and the stockholder’s adjusted tax basis, any excess would be treated as a capital gain.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order to requalify as a RIC, in addition to the other requirements discussed above, we would be required to satisfy the RIC qualification requirements for that year and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imposed at corporate rates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Taxation of U.S. Stockholders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 U.S. stockholder’s adjusted tax basis in such stockholder’s common stock and, after the adjusted basis is reduced to zero, will constitute capital gain to such U.S. stockholder. 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In order to utilize the deemed distribution approach, we must provide written notice to our stockholders prior to the expiration of 60 days after the close of the relevant taxable year. We cannot treat any of our investment company taxable income as a “deemed distribution.”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Certain U.S. stockholders who are individuals, estates or trusts generally will be subject to a 3.8% surtax on their “net investment income,” which generally includes, among other things, dividends on, and capital gain from the sale or other disposition of shares, of our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are not a publicly offered RIC for any period, a noncorporate stockholder’s pro rata portion of our affected expenses, including our management fees, will be treated as an additional distribution to the stockholder, and these fees and expenses will be treated as miscellaneous itemized deductions of such U.S. stockholder. Miscellaneous itemized deductions generally are not deductible by a U.S. stockholder that is an individual, trust or estate.</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be required to withhold U.S. federal income tax, or backup withholding,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w:t>
      </w:r>
    </w:p>
    <w:p>
      <w:pPr>
        <w:pStyle w:val="TextBody"/>
        <w:bidi w:val="0"/>
        <w:spacing w:before="0" w:after="0"/>
        <w:ind w:left="0" w:right="0" w:firstLine="490"/>
        <w:jc w:val="both"/>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Taxation of Non-U.S. Stockholders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Subject to the discussions below concerning backup withholding and FATCA (defined below), 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However, no withholding is required with respect to certain distributions if (i) the distributions are properly reported as “interest-related dividends” or “short-term capital gain dividends,” (ii) the distributions are derived from sources specified in the Code for such dividends and (iii) certain other requirements are satisfied. No assurance can be provided as to whether any of our distributions will be reported as eligible for this exemption. If the distributions are effectively connected with the conduct of a trade or business in the United States (a “U.S. trade or business”) by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Actual or deemed distributions of our net capital gain to a Non-U.S. stockholder, and gain realized by a Non-U.S. stockholder upon the sale or other disposition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the shares may not be appropriate for a Non-U.S. stockholder.</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Accordingly, investment in the shares may not be appropriate for certain Non-U.S. stockholders.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must generally report to our documented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Non-U.S. persons should consult their own tax advisors with respect to the U.S. federal income tax and withholding tax, and state, local and foreign tax consequences of an investment in the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Foreign Account Tax Compliance Act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certain financial information associated with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Possible Legislative or Other Actions Affecting Tax Considerations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 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discussion set forth herein does not constitute tax advice, and potential investors should consult their own tax advisors concerning the tax considerations relevant to their particular situation.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58" w:name="DESCRIPTIONOFOURSECURITIE"/>
      <w:bookmarkEnd w:id="158"/>
      <w:r>
        <w:rPr>
          <w:rFonts w:ascii="Times New Roman" w:hAnsi="Times New Roman"/>
          <w:b/>
          <w:color w:val="000000"/>
          <w:sz w:val="20"/>
          <w:shd w:fill="FFFFFF" w:val="clear"/>
        </w:rPr>
        <w:t>DESCRIPTION OF OUR SECURITIES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prospectus contains a summary of our common stock, preferred stock, subscription rights, debt securities, warrants and units. These summaries are not meant to be a complete description of each security. However, this prospectus and the accompanying prospectus supplement will describe the material terms and conditions for each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159" w:name="DESCRIPTIONOFOURCAPITALST"/>
      <w:bookmarkEnd w:id="159"/>
      <w:r>
        <w:rPr>
          <w:rFonts w:ascii="Times New Roman" w:hAnsi="Times New Roman"/>
          <w:b/>
          <w:color w:val="000000"/>
          <w:sz w:val="20"/>
          <w:shd w:fill="FFFFFF" w:val="clear"/>
        </w:rPr>
        <w:t>DESCRIPTION OF OUR CAPITAL STOCK</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description summarizes material provisions of the Maryland General Corporation Law (the “MGCL”) and our charter and bylaws. This summary is not necessarily complete, and we refer you to the MGCL, our charter and bylaws for a more detailed description of the provisions summarized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Capital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terms of our charter, our authorized capital stock consists of 100,000,000 shares of stock, $0.01 par value per share, all of which are initially designated as common stock. There are no outstanding options or warrants to purchase our stock. Under our charter, the Board is authorized to classify and reclassify any unissued shares of stock into other classes or series of stock and authorize the issuance of the shares of stock without obtaining shareholder approval. As permitted by the MGCL, our charter provides that the Board, without any action by our shareholders, may amend the charter from time to time to increase or decrease the aggregate number of shares of stock or the number of shares of stock of any class or series that we have authority to issue.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our outstanding classes of securities as of May 7,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0" w:name="zd9280b36c51f4ee8a7d98300c98a9123"/>
      <w:bookmarkStart w:id="161" w:name="zd9280b36c51f4ee8a7d98300c98a9123"/>
      <w:bookmarkEnd w:id="161"/>
    </w:p>
    <w:tbl>
      <w:tblPr>
        <w:tblW w:w="7038" w:type="dxa"/>
        <w:jc w:val="left"/>
        <w:tblInd w:w="0" w:type="dxa"/>
        <w:tblLayout w:type="fixed"/>
        <w:tblCellMar>
          <w:top w:w="0" w:type="dxa"/>
          <w:left w:w="0" w:type="dxa"/>
          <w:bottom w:w="28" w:type="dxa"/>
          <w:right w:w="0" w:type="dxa"/>
        </w:tblCellMar>
      </w:tblPr>
      <w:tblGrid>
        <w:gridCol w:w="1550"/>
        <w:gridCol w:w="90"/>
        <w:gridCol w:w="90"/>
        <w:gridCol w:w="1250"/>
        <w:gridCol w:w="90"/>
        <w:gridCol w:w="90"/>
        <w:gridCol w:w="728"/>
        <w:gridCol w:w="1016"/>
        <w:gridCol w:w="90"/>
        <w:gridCol w:w="90"/>
        <w:gridCol w:w="133"/>
        <w:gridCol w:w="1686"/>
        <w:gridCol w:w="135"/>
      </w:tblGrid>
      <w:tr>
        <w:trPr/>
        <w:tc>
          <w:tcPr>
            <w:tcW w:w="1550" w:type="dxa"/>
            <w:tcBorders>
              <w:bottom w:val="single" w:sz="12" w:space="0" w:color="000000"/>
            </w:tcBorders>
            <w:vAlign w:val="bottom"/>
          </w:tcPr>
          <w:p>
            <w:pPr>
              <w:pStyle w:val="TableContents"/>
              <w:bidi w:val="0"/>
              <w:spacing w:before="0" w:after="0"/>
              <w:ind w:left="180" w:right="0" w:hanging="180"/>
              <w:jc w:val="left"/>
              <w:rPr/>
            </w:pPr>
            <w:r>
              <w:rPr/>
              <w:t> </w:t>
            </w:r>
          </w:p>
          <w:p>
            <w:pPr>
              <w:pStyle w:val="TableContents"/>
              <w:bidi w:val="0"/>
              <w:spacing w:before="0" w:after="0"/>
              <w:ind w:left="180" w:right="0" w:hanging="180"/>
              <w:jc w:val="left"/>
              <w:rPr>
                <w:b/>
              </w:rPr>
            </w:pPr>
            <w:r>
              <w:rPr>
                <w:b/>
              </w:rPr>
              <w:t>Title of Class</w:t>
            </w:r>
          </w:p>
        </w:tc>
        <w:tc>
          <w:tcPr>
            <w:tcW w:w="90" w:type="dxa"/>
            <w:tcBorders>
              <w:bottom w:val="single" w:sz="12" w:space="0" w:color="000000"/>
            </w:tcBorders>
            <w:vAlign w:val="bottom"/>
          </w:tcPr>
          <w:p>
            <w:pPr>
              <w:pStyle w:val="TableContents"/>
              <w:bidi w:val="0"/>
              <w:spacing w:before="0" w:after="283"/>
              <w:jc w:val="left"/>
              <w:rPr/>
            </w:pPr>
            <w:r>
              <w:rPr/>
              <w:t> </w:t>
            </w:r>
          </w:p>
        </w:tc>
        <w:tc>
          <w:tcPr>
            <w:tcW w:w="1340" w:type="dxa"/>
            <w:gridSpan w:val="2"/>
            <w:tcBorders>
              <w:bottom w:val="single" w:sz="12" w:space="0" w:color="000000"/>
            </w:tcBorders>
            <w:vAlign w:val="bottom"/>
          </w:tcPr>
          <w:p>
            <w:pPr>
              <w:pStyle w:val="TableContents"/>
              <w:bidi w:val="0"/>
              <w:spacing w:before="0" w:after="0"/>
              <w:jc w:val="center"/>
              <w:rPr>
                <w:b/>
              </w:rPr>
            </w:pPr>
            <w:r>
              <w:rPr>
                <w:b/>
              </w:rPr>
              <w:t>Amount</w:t>
            </w:r>
          </w:p>
          <w:p>
            <w:pPr>
              <w:pStyle w:val="TableContents"/>
              <w:bidi w:val="0"/>
              <w:spacing w:before="0" w:after="0"/>
              <w:jc w:val="center"/>
              <w:rPr>
                <w:b/>
              </w:rPr>
            </w:pPr>
            <w:r>
              <w:rPr>
                <w:b/>
              </w:rPr>
              <w:t>Authorized</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744" w:type="dxa"/>
            <w:gridSpan w:val="2"/>
            <w:tcBorders>
              <w:bottom w:val="single" w:sz="12" w:space="0" w:color="000000"/>
            </w:tcBorders>
            <w:vAlign w:val="bottom"/>
          </w:tcPr>
          <w:p>
            <w:pPr>
              <w:pStyle w:val="TableContents"/>
              <w:bidi w:val="0"/>
              <w:spacing w:before="0" w:after="0"/>
              <w:jc w:val="center"/>
              <w:rPr>
                <w:b/>
              </w:rPr>
            </w:pPr>
            <w:r>
              <w:rPr>
                <w:b/>
              </w:rPr>
              <w:t>Amount Held by</w:t>
            </w:r>
          </w:p>
          <w:p>
            <w:pPr>
              <w:pStyle w:val="TableContents"/>
              <w:bidi w:val="0"/>
              <w:spacing w:before="0" w:after="0"/>
              <w:jc w:val="center"/>
              <w:rPr>
                <w:b/>
              </w:rPr>
            </w:pPr>
            <w:r>
              <w:rPr>
                <w:b/>
              </w:rPr>
              <w:t>Us or for Our</w:t>
            </w:r>
          </w:p>
          <w:p>
            <w:pPr>
              <w:pStyle w:val="TableContents"/>
              <w:bidi w:val="0"/>
              <w:spacing w:before="0" w:after="0"/>
              <w:jc w:val="center"/>
              <w:rPr>
                <w:b/>
              </w:rPr>
            </w:pPr>
            <w:r>
              <w:rPr>
                <w:b/>
              </w:rPr>
              <w:t>Account</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bottom w:val="single" w:sz="12" w:space="0" w:color="000000"/>
            </w:tcBorders>
            <w:vAlign w:val="bottom"/>
          </w:tcPr>
          <w:p>
            <w:pPr>
              <w:pStyle w:val="TableContents"/>
              <w:bidi w:val="0"/>
              <w:spacing w:before="0" w:after="283"/>
              <w:jc w:val="left"/>
              <w:rPr/>
            </w:pPr>
            <w:r>
              <w:rPr/>
              <w:t> </w:t>
            </w:r>
          </w:p>
        </w:tc>
        <w:tc>
          <w:tcPr>
            <w:tcW w:w="1819" w:type="dxa"/>
            <w:gridSpan w:val="2"/>
            <w:tcBorders>
              <w:bottom w:val="single" w:sz="12" w:space="0" w:color="000000"/>
            </w:tcBorders>
            <w:vAlign w:val="bottom"/>
          </w:tcPr>
          <w:p>
            <w:pPr>
              <w:pStyle w:val="TableContents"/>
              <w:bidi w:val="0"/>
              <w:spacing w:before="0" w:after="0"/>
              <w:jc w:val="center"/>
              <w:rPr>
                <w:b/>
              </w:rPr>
            </w:pPr>
            <w:r>
              <w:rPr>
                <w:b/>
              </w:rPr>
              <w:t>Amount</w:t>
            </w:r>
          </w:p>
          <w:p>
            <w:pPr>
              <w:pStyle w:val="TableContents"/>
              <w:bidi w:val="0"/>
              <w:spacing w:before="0" w:after="0"/>
              <w:jc w:val="center"/>
              <w:rPr>
                <w:b/>
              </w:rPr>
            </w:pPr>
            <w:r>
              <w:rPr>
                <w:b/>
              </w:rPr>
              <w:t>Outstanding</w:t>
            </w:r>
          </w:p>
          <w:p>
            <w:pPr>
              <w:pStyle w:val="TableContents"/>
              <w:bidi w:val="0"/>
              <w:spacing w:before="0" w:after="0"/>
              <w:jc w:val="center"/>
              <w:rPr>
                <w:b/>
              </w:rPr>
            </w:pPr>
            <w:r>
              <w:rPr>
                <w:b/>
              </w:rPr>
              <w:t xml:space="preserve">Exclusive of </w:t>
            </w:r>
          </w:p>
          <w:p>
            <w:pPr>
              <w:pStyle w:val="TableContents"/>
              <w:bidi w:val="0"/>
              <w:spacing w:before="0" w:after="0"/>
              <w:jc w:val="center"/>
              <w:rPr>
                <w:b/>
              </w:rPr>
            </w:pPr>
            <w:r>
              <w:rPr>
                <w:b/>
              </w:rPr>
              <w:t>Amount</w:t>
            </w:r>
          </w:p>
          <w:p>
            <w:pPr>
              <w:pStyle w:val="TableContents"/>
              <w:bidi w:val="0"/>
              <w:spacing w:before="0" w:after="0"/>
              <w:jc w:val="center"/>
              <w:rPr>
                <w:b/>
              </w:rPr>
            </w:pPr>
            <w:r>
              <w:rPr>
                <w:b/>
              </w:rPr>
              <w:t>Held by Us or for</w:t>
            </w:r>
          </w:p>
          <w:p>
            <w:pPr>
              <w:pStyle w:val="TableContents"/>
              <w:bidi w:val="0"/>
              <w:spacing w:before="0" w:after="0"/>
              <w:jc w:val="center"/>
              <w:rPr>
                <w:b/>
              </w:rPr>
            </w:pPr>
            <w:r>
              <w:rPr>
                <w:b/>
              </w:rPr>
              <w:t>Our Account</w:t>
            </w:r>
          </w:p>
        </w:tc>
        <w:tc>
          <w:tcPr>
            <w:tcW w:w="135" w:type="dxa"/>
            <w:tcBorders/>
            <w:tcMar>
              <w:bottom w:w="0" w:type="dxa"/>
            </w:tcMar>
            <w:vAlign w:val="bottom"/>
          </w:tcPr>
          <w:p>
            <w:pPr>
              <w:pStyle w:val="TableContents"/>
              <w:bidi w:val="0"/>
              <w:spacing w:before="0" w:after="283"/>
              <w:jc w:val="left"/>
              <w:rPr/>
            </w:pPr>
            <w:r>
              <w:rPr/>
              <w:t> </w:t>
            </w:r>
          </w:p>
        </w:tc>
      </w:tr>
      <w:tr>
        <w:trPr/>
        <w:tc>
          <w:tcPr>
            <w:tcW w:w="1550" w:type="dxa"/>
            <w:tcBorders/>
            <w:shd w:fill="CCEEFF" w:val="clear"/>
            <w:tcMar>
              <w:bottom w:w="0" w:type="dxa"/>
            </w:tcMar>
            <w:vAlign w:val="bottom"/>
          </w:tcPr>
          <w:p>
            <w:pPr>
              <w:pStyle w:val="TableContents"/>
              <w:bidi w:val="0"/>
              <w:spacing w:before="0" w:after="0"/>
              <w:ind w:left="180" w:right="0" w:hanging="180"/>
              <w:jc w:val="left"/>
              <w:rPr/>
            </w:pPr>
            <w:r>
              <w:rPr/>
              <w:t>Common Stock</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50" w:type="dxa"/>
            <w:tcBorders/>
            <w:shd w:fill="CCEEFF" w:val="clear"/>
            <w:tcMar>
              <w:bottom w:w="0" w:type="dxa"/>
            </w:tcMar>
            <w:vAlign w:val="bottom"/>
          </w:tcPr>
          <w:p>
            <w:pPr>
              <w:pStyle w:val="TableContents"/>
              <w:bidi w:val="0"/>
              <w:spacing w:before="0" w:after="0"/>
              <w:jc w:val="right"/>
              <w:rPr/>
            </w:pPr>
            <w:r>
              <w:rPr/>
              <w:t>100,000,000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28" w:type="dxa"/>
            <w:tcBorders/>
            <w:shd w:fill="CCEEFF" w:val="clear"/>
            <w:tcMar>
              <w:bottom w:w="0" w:type="dxa"/>
            </w:tcMar>
            <w:vAlign w:val="bottom"/>
          </w:tcPr>
          <w:p>
            <w:pPr>
              <w:pStyle w:val="TableContents"/>
              <w:bidi w:val="0"/>
              <w:spacing w:before="0" w:after="283"/>
              <w:jc w:val="left"/>
              <w:rPr/>
            </w:pPr>
            <w:r>
              <w:rPr/>
              <w:t> </w:t>
            </w:r>
          </w:p>
        </w:tc>
        <w:tc>
          <w:tcPr>
            <w:tcW w:w="1016" w:type="dxa"/>
            <w:tcBorders/>
            <w:shd w:fill="CCEEFF" w:val="clear"/>
            <w:tcMar>
              <w:bottom w:w="0" w:type="dxa"/>
            </w:tcMar>
            <w:vAlign w:val="bottom"/>
          </w:tcPr>
          <w:p>
            <w:pPr>
              <w:pStyle w:val="TableContents"/>
              <w:bidi w:val="0"/>
              <w:spacing w:before="0" w:after="0"/>
              <w:jc w:val="right"/>
              <w:rPr/>
            </w:pPr>
            <w:r>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33" w:type="dxa"/>
            <w:tcBorders/>
            <w:shd w:fill="CCEEFF" w:val="clear"/>
            <w:tcMar>
              <w:bottom w:w="0" w:type="dxa"/>
            </w:tcMar>
            <w:vAlign w:val="bottom"/>
          </w:tcPr>
          <w:p>
            <w:pPr>
              <w:pStyle w:val="TableContents"/>
              <w:bidi w:val="0"/>
              <w:spacing w:before="0" w:after="283"/>
              <w:jc w:val="left"/>
              <w:rPr/>
            </w:pPr>
            <w:r>
              <w:rPr/>
              <w:t> </w:t>
            </w:r>
          </w:p>
        </w:tc>
        <w:tc>
          <w:tcPr>
            <w:tcW w:w="1686" w:type="dxa"/>
            <w:tcBorders/>
            <w:shd w:fill="CCEEFF" w:val="clear"/>
            <w:tcMar>
              <w:bottom w:w="0" w:type="dxa"/>
            </w:tcMar>
            <w:vAlign w:val="bottom"/>
          </w:tcPr>
          <w:p>
            <w:pPr>
              <w:pStyle w:val="TableContents"/>
              <w:bidi w:val="0"/>
              <w:spacing w:before="0" w:after="0"/>
              <w:jc w:val="right"/>
              <w:rPr/>
            </w:pPr>
            <w:r>
              <w:rPr/>
              <w:t>22,820,590</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Common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None of our shares of common stock are subject to further calls or to assessments, sinking fund provisions, obligations or potential liabilities associated with ownership of the security (not including investment risks).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common stock is listed on NASDAQ under the ticker symbol “LIEN.” No stock has been authorized for issuance under any equity compensation plans. Under Maryland law, our shareholders generally will not be personally liable for our debts or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All shares of our common stock have equal rights as to earnings, assets, dividends and voting and, when they are issued, will be duly authorized, validly issued, fully paid and nonassessable. Distributions may be paid to the holders of our common stock if, as and when authorized by the Board and declared by us out of assets legally available therefor. Shares of our common stock have no preemptive, exchange, conversion or redemption rights, generally have no appraisal rights, and are freely transferable, except where their transfer is restricted by federal and state securities laws or by contract. In the event of a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shareholders,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Preferred Stock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charter authorizes the Board to classify and reclassify any unissued shares of stock into other classes or series of stock, including preferred stock. The cost of any such reclassification would be borne by our existing shareholders. Under the terms of our charter, the Board is authorized to issue preferred stock in one or more classes or series without shareholder approval. Prior to issuance of any other class or series of stock, the Board is required by the MGCL and our charter to set the terms, preferences, conversion or other rights, voting powers, restrictions, limitations as to dividends or other distributions, qualifications and terms or conditions of redemption for each class or series. Thus, our Board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 (1) immediately after issuance and before any dividend or other distribution is made with respect to our common stock and before any purchase of common stock is made, such preferred stock together with all other senior securities must not exceed an amount equal to 50% of our gross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 However, we do not currently have any plans to issue preferred stock.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Limitation on Liability of Directors and Officers; Indemnification and Advance of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Maryland law permits a Maryland corporation to include in its charter a provision limiting the liability of its directors and officers to the corporation and its shareholders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Maryland law requires a corporation (unless its charter provides otherwise, which the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obligates us, to the maximum extent permitted by Maryland law and subject to the requirements of the 1940 Act, to indemnify any present or former director or officer or any individual who, while a director or officer and at our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The bylaws permit us to indemnify and advance expenses to employees and agents who are not officers or directors to the extent permissible under the MGCL and the 1940 Act and as may be determined by the Board.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Provisions of the Maryland General Corporation Law, the Charter and the Bylaws Could Deter Takeover Attempts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Provisions of the MGCL and of the charter and the bylaws could deter takeover attempts and have an adverse impact on the price of our common stock. The MGCL, the charter and the bylaws contain provisions that may discourage, delay or make more difficult a change in control of us or the removal of our directors. In addition to the matters described below, we have adopted other measures pursuant to the MGCL, some of which are described above, that may make it difficult for a third-party to obtain control of us, including provisions of the charter authorizing the Board to classify or reclassify shares of our stock in one or more classes or series, to cause the issuance of additional shares of our stock, and to amend the charter, without shareholder approval, to increase or decrease the number of shares of stock that we have authority to issue. These provisions, as well as other provisions of the charter and the bylaws, may delay, defer or prevent a transaction or a change in control that might otherwise be in the best interests of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These provisions are expected to discourage certain coercive takeover practices and inadequate takeover bids and to encourage persons seeking to acquire control of us to negotiate first with the Board. We believe that the benefits of these provisions outweigh the potential disadvantages of discouraging any such acquisition proposals because, among other things, the negotiation of such proposals may improve their terms.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Classified Board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Board is divided into three classes of directors serving staggered three-year terms. At each annual meeting of our shareholders, the successors to the class of directors whose terms expire at such meeting will be elected to hold office for a term expiring at the annual meeting of shareholders held in the third year following the year of their election. Each director holds office for the term to which he or she is elected and until his or her successor is duly elected and qualified. A classified board of directors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Election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provides that the affirmative vote of the holders of a majority of the shares of stock outstanding and entitled to vote in the election of directors will be required to elect a director, unless the bylaws provide otherwise. The bylaws provide that the affirmative vote of a plurality of the votes cast in the election of directors at a meeting of shareholders duly called and at which a quorum is present will be required to elect a director, unless there is a contested election, in which case a director will be elected only if the director receives a majority of the votes entitled to be cast for that director. The Board has the exclusive right to amend the bylaws to alter the vote required to elect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Number of Directors; Vacancies; Removal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provides that the number of directors will be set only by the Board in accordance with the bylaws. The bylaws provide that a majority of the Board may at any time increase or decrease the number of directors. However, unless the bylaws are amended, the number of directors may never be less than one nor more than 15. Pursuant to Section 3-802(b) of the MGCL, we have elected in the charter to be subject to Section 3-804(c) of the MGCL regarding the filling of vacancies on the Board. Accordingly, except as may be provided by the Board in setting the terms of any class or series of preferred stock, any and all vacancies on the Board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qualified, subject to any applicable requirements of the 1940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provides that, subject to the rights of holders of preferred stock, a director may be removed only for cause, as defined in the charter, and then only by the affirmative vote of at least 80% of the votes entitled to be cast generally in the election of directors.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Action by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MGCL, unless a corporation’s charter provides otherwise (which our charter does not) shareholder action can be taken only at an annual or special meeting of shareholders or by unanimous written consent in lieu of a meeting. These provisions, combined with the requirements of the bylaws regarding the calling of a shareholder-requested special meeting of shareholders discussed below, may have the effect of delaying consideration of a shareholder proposal until the next annual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Advance Notice Provisions for Shareholder Nominations and Shareholder Proposals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bylaws provide that with respect to an annual meeting of shareholders, nominations of individuals for election to the Board and the proposal of other business to be considered by shareholders may be made only (1) pursuant to our notice of the meeting, (2) by or at the direction of the Board or (3) by any shareholder who was a shareholder of record at the record date set by the Board for the purpose of determining shareholders entitled to vote at the meeting, at the time of giving notice as provided for in the bylaws and at the time of the meeting (and any postponement or adjournment thereof), who is entitled to vote at the meeting in the election of each individual so nominated or on such other business and who has complied with the advance notice procedures of the bylaws. With respect to special meetings of shareholders, only the business specified in our notice of the meeting may be brought before the meeting. Nominations of individuals for election to the Board at a special meeting may be made only (1) by or at the direction of the Board or (2) provided that the special meeting has been properly called for the purpose of electing directors, by any shareholder who was a shareholder of record at the record date set by the Board for the purpose of determining shareholders entitled to vote at the meeting, at the time of giving notice as provided for in the bylaws and at the time of the meeting (and any postponement or adjournment thereof), who is entitled to vote at the meeting in the election of each individual so nominated and who has complied with the advance notice provisions of the bylaws.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purpose of requiring shareholders to give us advance notice of nominations and other business is to afford the Board a meaningful opportunity to consider the qualifications of the proposed nominees and the advisability of any other proposed business and, to the extent deemed necessary or desirable by the Board, to inform shareholders and make recommendations about such qualifications or business, as well as to provide a more orderly procedure for conducting meetings of shareholders. Although the bylaws do not give the Board any power to disapprove shareholder nominations for the election of directors or proposals recommending certain action, they may have the effect of precluding a contest for the election of directors or the consideration of shareholder proposals if proper procedures are not followed and of discouraging or deterring a third-party from conducting a solicitation of proxies to elect its own slate of directors or to approve its own proposal without regard to whether consideration of such nominees or proposals might be harmful or beneficial to us and our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Calling of Special Meetings of Shareholders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bylaws provide that special meetings of shareholders may be called by the Board, the Chairperson of the Board, and certain of our officers. Additionally, the bylaws provide that, subject to the satisfaction of certain procedural and informational requirements by the shareholders requesting the meeting, a special meeting of shareholders will be called by our secretary upon the written request of shareholders entitled to cast not less than a majority of all the votes entitled to be cast at such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Approval of Extraordinary Corporate Action; Amendment of the Charter and the Bylaws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Maryland law, a Maryland corporation generally cannot dissolve, amend its charter, merge, convert to another form of entity, sell all or substantially all of its assets, engage in a share exchange or engage in similar transactions outside the ordinary course of business, unless approved by the affirmative vote of shareholders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The charter generally provides for approval of charter amendments and extraordinary transactions by the shareholders entitled to cast at least a majority of the votes entitled to be cast on the matter if such action is declared advisable by the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However, the charter provides that approval of the following matters requires the affirmative vote of shareholders entitled to cast at least 80% of the votes entitled to be cast on the matter: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2" w:name="zea8c1ddcf01445a5a8d5e2384fad0ede"/>
      <w:bookmarkStart w:id="163" w:name="zea8c1ddcf01445a5a8d5e2384fad0ede"/>
      <w:bookmarkEnd w:id="163"/>
    </w:p>
    <w:tbl>
      <w:tblPr>
        <w:tblW w:w="10205" w:type="dxa"/>
        <w:jc w:val="left"/>
        <w:tblInd w:w="0" w:type="dxa"/>
        <w:tblLayout w:type="fixed"/>
        <w:tblCellMar>
          <w:top w:w="0" w:type="dxa"/>
          <w:left w:w="0" w:type="dxa"/>
          <w:bottom w:w="0" w:type="dxa"/>
          <w:right w:w="0" w:type="dxa"/>
        </w:tblCellMar>
      </w:tblPr>
      <w:tblGrid>
        <w:gridCol w:w="105"/>
        <w:gridCol w:w="250"/>
        <w:gridCol w:w="9850"/>
      </w:tblGrid>
      <w:tr>
        <w:trPr/>
        <w:tc>
          <w:tcPr>
            <w:tcW w:w="10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(a)</w:t>
            </w:r>
          </w:p>
        </w:tc>
        <w:tc>
          <w:tcPr>
            <w:tcW w:w="9850" w:type="dxa"/>
            <w:tcBorders/>
            <w:vAlign w:val="center"/>
          </w:tcPr>
          <w:p>
            <w:pPr>
              <w:pStyle w:val="TableContents"/>
              <w:bidi w:val="0"/>
              <w:spacing w:before="0" w:after="0"/>
              <w:jc w:val="both"/>
              <w:rPr/>
            </w:pPr>
            <w:r>
              <w:rPr/>
              <w:t>amendments to the provisions of the charter relating to our purpose, the classification of the Board, the power of the Board to fix the number of directors and to fill vacancies on the Board, the vote required to elect or remove a director, amendments to the charter, extraordinary transactions, and the Board’s exclusive power to amend the bylaws;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4" w:name="z74f6ce9ba2464fc5b8254ea48b869f5e"/>
      <w:bookmarkStart w:id="165" w:name="z74f6ce9ba2464fc5b8254ea48b869f5e"/>
      <w:bookmarkEnd w:id="165"/>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0"/>
              <w:jc w:val="both"/>
              <w:rPr/>
            </w:pPr>
            <w:r>
              <w:rPr/>
              <w:t>charter amendments that would convert us from a closed-end company to an open-end company or make our common stock a redeemable security (within the meaning of the 1940 Act);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6" w:name="z57b7d0ed1e3f4d38a010c70bcb177eae"/>
      <w:bookmarkStart w:id="167" w:name="z57b7d0ed1e3f4d38a010c70bcb177eae"/>
      <w:bookmarkEnd w:id="167"/>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pPr>
            <w:r>
              <w:rPr/>
            </w:r>
          </w:p>
        </w:tc>
        <w:tc>
          <w:tcPr>
            <w:tcW w:w="302" w:type="dxa"/>
            <w:tcBorders/>
            <w:vAlign w:val="center"/>
          </w:tcPr>
          <w:p>
            <w:pPr>
              <w:pStyle w:val="TableContents"/>
              <w:bidi w:val="0"/>
              <w:spacing w:before="0" w:after="283"/>
              <w:jc w:val="left"/>
              <w:rPr/>
            </w:pPr>
            <w:r>
              <w:rPr/>
              <w:t>(c)</w:t>
            </w:r>
          </w:p>
        </w:tc>
        <w:tc>
          <w:tcPr>
            <w:tcW w:w="9835" w:type="dxa"/>
            <w:tcBorders/>
            <w:vAlign w:val="center"/>
          </w:tcPr>
          <w:p>
            <w:pPr>
              <w:pStyle w:val="TableContents"/>
              <w:bidi w:val="0"/>
              <w:spacing w:before="0" w:after="0"/>
              <w:jc w:val="both"/>
              <w:rPr/>
            </w:pPr>
            <w:r>
              <w:rPr/>
              <w:t>our liquidation or dissolution or any amendment to the charter to effect any such liquidation or dissolution;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68" w:name="zcf6e456759fa440da9c63ecc69a76a86"/>
      <w:bookmarkStart w:id="169" w:name="zcf6e456759fa440da9c63ecc69a76a86"/>
      <w:bookmarkEnd w:id="169"/>
    </w:p>
    <w:tbl>
      <w:tblPr>
        <w:tblW w:w="10205" w:type="dxa"/>
        <w:jc w:val="left"/>
        <w:tblInd w:w="0" w:type="dxa"/>
        <w:tblLayout w:type="fixed"/>
        <w:tblCellMar>
          <w:top w:w="0" w:type="dxa"/>
          <w:left w:w="0" w:type="dxa"/>
          <w:bottom w:w="0" w:type="dxa"/>
          <w:right w:w="0" w:type="dxa"/>
        </w:tblCellMar>
      </w:tblPr>
      <w:tblGrid>
        <w:gridCol w:w="68"/>
        <w:gridCol w:w="312"/>
        <w:gridCol w:w="9825"/>
      </w:tblGrid>
      <w:tr>
        <w:trPr/>
        <w:tc>
          <w:tcPr>
            <w:tcW w:w="68" w:type="dxa"/>
            <w:tcBorders/>
            <w:vAlign w:val="center"/>
          </w:tcPr>
          <w:p>
            <w:pPr>
              <w:pStyle w:val="TableContents"/>
              <w:bidi w:val="0"/>
              <w:spacing w:before="0" w:after="283"/>
              <w:jc w:val="left"/>
              <w:rPr/>
            </w:pPr>
            <w:r>
              <w:rPr/>
            </w:r>
          </w:p>
        </w:tc>
        <w:tc>
          <w:tcPr>
            <w:tcW w:w="312" w:type="dxa"/>
            <w:tcBorders/>
            <w:vAlign w:val="center"/>
          </w:tcPr>
          <w:p>
            <w:pPr>
              <w:pStyle w:val="TableContents"/>
              <w:bidi w:val="0"/>
              <w:spacing w:before="0" w:after="283"/>
              <w:jc w:val="left"/>
              <w:rPr/>
            </w:pPr>
            <w:r>
              <w:rPr/>
              <w:t>(d)</w:t>
            </w:r>
          </w:p>
        </w:tc>
        <w:tc>
          <w:tcPr>
            <w:tcW w:w="9825" w:type="dxa"/>
            <w:tcBorders/>
            <w:vAlign w:val="center"/>
          </w:tcPr>
          <w:p>
            <w:pPr>
              <w:pStyle w:val="TableContents"/>
              <w:bidi w:val="0"/>
              <w:spacing w:before="0" w:after="0"/>
              <w:jc w:val="both"/>
              <w:rPr/>
            </w:pPr>
            <w:r>
              <w:rPr/>
              <w:t>any merger, consolidation, conversion, share exchange, or sale or exchange of all or substantially all of our assets;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0" w:name="z24dbbeb262b54b9d9b49f91dce5f54cb"/>
      <w:bookmarkStart w:id="171" w:name="z24dbbeb262b54b9d9b49f91dce5f54cb"/>
      <w:bookmarkEnd w:id="171"/>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pPr>
            <w:r>
              <w:rPr/>
              <w:t>(e)</w:t>
            </w:r>
          </w:p>
        </w:tc>
        <w:tc>
          <w:tcPr>
            <w:tcW w:w="9893" w:type="dxa"/>
            <w:tcBorders/>
            <w:vAlign w:val="center"/>
          </w:tcPr>
          <w:p>
            <w:pPr>
              <w:pStyle w:val="TableContents"/>
              <w:bidi w:val="0"/>
              <w:spacing w:before="0" w:after="0"/>
              <w:jc w:val="both"/>
              <w:rPr/>
            </w:pPr>
            <w:r>
              <w:rPr/>
              <w:t>transaction between us and any person or group of persons acting together that is entitled to exercise or direct the exercise, or acquire the right to exercise or direct the exercise, directly or indirectly (other than solely by virtue of a revocable proxy), of one-tenth or more of the voting power in the election of our directors generally, or any person controlling, controlled by, or under common control with, employed by or acting as an agent of, any such person or member of such group; or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2" w:name="zfced7aa852d64a0fb550183d0da5d900"/>
      <w:bookmarkStart w:id="173" w:name="zfced7aa852d64a0fb550183d0da5d900"/>
      <w:bookmarkEnd w:id="173"/>
    </w:p>
    <w:tbl>
      <w:tblPr>
        <w:tblW w:w="10205" w:type="dxa"/>
        <w:jc w:val="left"/>
        <w:tblInd w:w="0" w:type="dxa"/>
        <w:tblLayout w:type="fixed"/>
        <w:tblCellMar>
          <w:top w:w="0" w:type="dxa"/>
          <w:left w:w="0" w:type="dxa"/>
          <w:bottom w:w="0" w:type="dxa"/>
          <w:right w:w="0" w:type="dxa"/>
        </w:tblCellMar>
      </w:tblPr>
      <w:tblGrid>
        <w:gridCol w:w="68"/>
        <w:gridCol w:w="208"/>
        <w:gridCol w:w="9929"/>
      </w:tblGrid>
      <w:tr>
        <w:trPr/>
        <w:tc>
          <w:tcPr>
            <w:tcW w:w="6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0"/>
              <w:jc w:val="both"/>
              <w:rPr/>
            </w:pPr>
            <w:r>
              <w:rPr/>
              <w:t>issuance or transfer by us (in one transaction or a series of transactions in any 12-month period) of any securities of the Company to any other person in exchange for cash, securities or other property (or a combination thereof) having an aggregate fair market value (as determined by the Board) of $1,000,000 or more excluding (i) issuances or transfers of debt securities of the Company, (ii) sales of any securities of the Company in connection with a public offering, (iii) issuances of any securities of the Company pursuant to a dividend reinvestment plan and/or cash purchase plan adopted by us, (iv) issuances of any securities of the Company upon the exercise of any stock subscription rights distributed by us and (v) portfolio transactions effected by us in the ordinary course of business.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However, if such amendment, proposal, or transaction is approved by at least two-thirds of our continuing directors (in addition to approval by the Board), such amendment, proposal, or transactions may be approved by a majority of the votes entitled to be cast on such a matter, except that any of the proposals or transactions contemplated by paragraphs (d), (e) or (f) above that would not otherwise require shareholder approval under the MGCL will not require further shareholder approval unless another provision of the charter requires such approval. In either event, in accordance with the requirements of the 1940 Act, any such amendment, proposal, or transaction that would have the effect of changing the nature of our business so as to cause us to cease to be, or to withdraw our election as, a BDC would be required to be approved by a majority of our outstanding voting securities, as defined under the 1940 Act. The “continuing directors” are defined in the charter as (1) our current directors as named therein, (2) those directors whose nomination for election by the shareholders or whose election by the directors to fill vacancies is approved by a majority of such named directors then on the Board, or (3) any successor directors whose nomination for election by the shareholders or whose election by the directors to fill vacancies is approved by a majority of continuing directors or successor continuing directors then in office. The holders of any preferred stock outstanding would have a separate class vote on any conversion to an open-end company.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and the bylaws provide that the Board shall have the exclusive power to adopt, alter or repeal any provision of the bylaws and to make new bylaws.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 Appraisal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Except with respect to appraisal rights arising in connection with the Maryland Control Share Acquisition Act discussed below, as permitted by the MGCL, the charter provides that shareholders will not be entitled to exercise appraisal rights unless the Board, upon the affirmative vote of a majority of the entire Board, shall determine that such rights shall apply.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Control Share Acquisitions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Subtitle 7 of Title 3 of the MGCL, the “Maryland Control Share Acquisition Act.” The Maryland Control Share Acquisition Act provides that control shares of a Maryland corporation acquired in a control share acquisition have no voting rights except to the extent approved by the affirmative vote of shareholders entitled to cast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4" w:name="z40b9f8eb24794cd590587bb7edefa443"/>
      <w:bookmarkStart w:id="175" w:name="z40b9f8eb24794cd590587bb7edefa443"/>
      <w:bookmarkEnd w:id="175"/>
    </w:p>
    <w:tbl>
      <w:tblPr>
        <w:tblW w:w="4188" w:type="dxa"/>
        <w:jc w:val="left"/>
        <w:tblInd w:w="0" w:type="dxa"/>
        <w:tblLayout w:type="fixed"/>
        <w:tblCellMar>
          <w:top w:w="0" w:type="dxa"/>
          <w:left w:w="0" w:type="dxa"/>
          <w:bottom w:w="0" w:type="dxa"/>
          <w:right w:w="0" w:type="dxa"/>
        </w:tblCellMar>
      </w:tblPr>
      <w:tblGrid>
        <w:gridCol w:w="68"/>
        <w:gridCol w:w="140"/>
        <w:gridCol w:w="39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both"/>
              <w:rPr/>
            </w:pPr>
            <w:r>
              <w:rPr/>
              <w:t>one-tenth or more but less than one-third;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6" w:name="zfe9688896be040bcb70812ba7327d116"/>
      <w:bookmarkStart w:id="177" w:name="zfe9688896be040bcb70812ba7327d116"/>
      <w:bookmarkEnd w:id="177"/>
    </w:p>
    <w:tbl>
      <w:tblPr>
        <w:tblW w:w="4503" w:type="dxa"/>
        <w:jc w:val="left"/>
        <w:tblInd w:w="0" w:type="dxa"/>
        <w:tblLayout w:type="fixed"/>
        <w:tblCellMar>
          <w:top w:w="0" w:type="dxa"/>
          <w:left w:w="0" w:type="dxa"/>
          <w:bottom w:w="0" w:type="dxa"/>
          <w:right w:w="0" w:type="dxa"/>
        </w:tblCellMar>
      </w:tblPr>
      <w:tblGrid>
        <w:gridCol w:w="68"/>
        <w:gridCol w:w="140"/>
        <w:gridCol w:w="42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0"/>
              <w:jc w:val="both"/>
              <w:rPr/>
            </w:pPr>
            <w:r>
              <w:rPr/>
              <w:t>one-third or more but less than a majority; or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78" w:name="z631ec6c4a4df4998b0fc1436b09e7591"/>
      <w:bookmarkStart w:id="179" w:name="z631ec6c4a4df4998b0fc1436b09e7591"/>
      <w:bookmarkEnd w:id="179"/>
    </w:p>
    <w:tbl>
      <w:tblPr>
        <w:tblW w:w="3963" w:type="dxa"/>
        <w:jc w:val="left"/>
        <w:tblInd w:w="0" w:type="dxa"/>
        <w:tblLayout w:type="fixed"/>
        <w:tblCellMar>
          <w:top w:w="0" w:type="dxa"/>
          <w:left w:w="0" w:type="dxa"/>
          <w:bottom w:w="0" w:type="dxa"/>
          <w:right w:w="0" w:type="dxa"/>
        </w:tblCellMar>
      </w:tblPr>
      <w:tblGrid>
        <w:gridCol w:w="68"/>
        <w:gridCol w:w="140"/>
        <w:gridCol w:w="37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both"/>
              <w:rPr/>
            </w:pPr>
            <w:r>
              <w:rPr/>
              <w:t>a majority or more of all voting power.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general, the requisite shareholder approval must be obtained each time an acquirer crosses one of the thresholds of voting power set forth above or increases its ownership within one of the tiers for which shareholder approval was previously obtained. Control shares do not include shares that the acquiring person is then entitled to vote as a result of having previously obtained shareholder approval. A control share acquisition means the acquisition of issued and outstanding control shares, subject to certain exceptions.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person who has made or proposes to make a control share acquisition may compel the board of directors of the corporation to call a special meeting of shareholders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shareholders’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the bylaws, compliance with the 1940 Act. Fair value is determined, without regard to the absence of voting rights for the control shares, as of the date of the last control share acquisition by the acquirer or, if a meeting of shareholders at which the voting rights of the shares are considered and not approved is held, as of the date of such meeting. If voting rights for control shares are approved at a shareholders’ meeting and the acquirer becomes entitled to vote a majority of the shares entitled to vote, all other shareholders may exercise appraisal rights. The fair value of the shares as determined for purposes of appraisal rights may not be less than the highest price per share paid by the acquirer in the control share acquisition.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Maryland Control Share Acquisition Act does not apply (a) to shares acquired in a merger, consolidation or share exchange if the corporation is a party to the transaction or (b) to acquisitions approved or exempted by the charter or bylaws of the corporation. The bylaws provide that the Maryland Control Share Acquisition Act does not apply to shares acquired by the Adviser and/or the Adviser’s affiliates.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Business Combinations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Subtitle 6 of Title 3 of the MGCL, the “Maryland Business Combination Act,” subject to any applicable requirements of the 1940 Act. Pursuant to the Maryland Business Combination Act, certain “business combinations” between a Maryland corporation and an interested shareholder or an affiliate of an interested shareholder are prohibited for five years after the most recent date on which the interested shareholder becomes an interested shareholder. Such “business combinations” include a merger, consolidation, share exchange or, in circumstances specified in the statute, an asset transfer or issuance or reclassification of equity securities. An interested shareholder is defined as: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80" w:name="zb4515350c22d470f822d98abc5a55800"/>
      <w:bookmarkStart w:id="181" w:name="zb4515350c22d470f822d98abc5a55800"/>
      <w:bookmarkEnd w:id="18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person who beneficially owns 10% or more of the voting power of the corporation’s outstanding voting stock; or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82" w:name="zf7e9533c81ac47b2a4001bcc265a5b52"/>
      <w:bookmarkStart w:id="183" w:name="zf7e9533c81ac47b2a4001bcc265a5b52"/>
      <w:bookmarkEnd w:id="18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affiliate or associate of the corporation who, at any time within the two-year period prior to the date in question, was the beneficial owner of 10% or more of the voting power of the then-outstanding voting stock of the corporation.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person is not an interested shareholder under this statute if the corporation’s board of directors approves in advance the transaction by which the shareholder otherwise would have become an interested shareholder. However, in approving a transaction, the board may provide that its approval is subject to compliance, at or after the time of approval, with any terms and conditions determined by the board.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After the five-year prohibition, any business combination between the corporation and an interested shareholder generally must be recommended by the corporation’s board of directors and approved by the affirmative vote of at least: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84" w:name="z258c961358ee44859beefdf34f4fe86a"/>
      <w:bookmarkStart w:id="185" w:name="z258c961358ee44859beefdf34f4fe86a"/>
      <w:bookmarkEnd w:id="18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80% of the votes entitled to be cast by holders of outstanding shares of voting stock of the corporation;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86" w:name="z57ff5c62c83445d6b620d6977763a811"/>
      <w:bookmarkStart w:id="187" w:name="z57ff5c62c83445d6b620d6977763a811"/>
      <w:bookmarkEnd w:id="18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two-thirds of the votes entitled to be cast by holders of voting stock of the corporation other than voting stock held by the interested shareholder with whom or with whose affiliate the business combination is to be effected or held by an affiliate or associate of the interested shareholder.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These super-majority vote requirements do not apply if the corporation’s common shareholders receive a minimum price, as defined under Maryland law, for their shares in the form of cash or other consideration in the same form as previously paid by the interested shareholder for its shares.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statute permits various exemptions from its provisions, including business combinations that are exempted by the board of directors before the time that the interested shareholder becomes an interested shareholder. The Board has adopted a resolution that any business combination between us and any other person is exempted from the provisions of the Business Combination Act, provided that the business combination is first approved by the Board, including a majority of the Independent Directors. This resolution, however, may be altered or repealed in whole or in part at any time. If this resolution is repealed, or the Board does not otherwise approve a business combination, the statute may discourage others from trying to acquire control of us and increase the difficulty of consummating such a transaction.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Subtitle 8 Title 3 of the Maryland General Corporation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are subject to Subtitle 8 of Title 3 of the MGCL. Subtitle 8 permits Maryland corporations with a class of equity securities registered under the Exchange Act and at least three independent directors to elect to be subject, by provision in its charter or bylaws or a resolution of its board of directors, without shareholder approval, and notwithstanding any contrary provision in the charter or bylaws, to any or all of the following five provisions: a classified board; a two-thirds shareholder vote requirement for removing a director; a requirement that the number of directors may be fixed only by vote of the directors; a requirement that a vacancy on the board be filled only by the remaining directors and that directors elected to fill a vacancy will serve for the remainder of the full term of the class of directors in which the vacancy occurred; and that the request of shareholders entitled to cast at least a majority of all the votes entitled to be cast at the meeting is required for the calling of a special meeting of shareholders. Through provisions in the charter and the bylaws, some unrelated to Subtitle 8, we already include provisions classifying the Board in three classes serving staggered three-year terms; require the affirmative vote of the holders of not less than 80% of all of the votes entitled to be cast on the matter for the removal of any director from the Board, which removal is allowed only for cause; vest in the Board the exclusive power to fix the number of directorships, subject to limitations set forth in the charter and the bylaws, and fill vacancies for the remainder of the full term of the class of directors in which the vacancy occurred; and require the written request of shareholders entitled to cast not less than a majority of all votes entitled to be cast at such meeting to call a shareholder-initiated special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Forum Selection Clause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bylaws provide that, unless we consent in writing to the selection of an alternative forum, the sole and exclusive forum for (a) any derivative action or proceeding brought on our behalf, (b) any Internal Corporate Claim, as such term is defined in the MGCL, (c) any action asserting a claim of breach of any duty owed by any of our directors, officers, employees or other agents to us or to our shareholders, (d) any action asserting a claim against us or any of our directors, officers, employees or other agents arising pursuant to any provision of the MGCL, the charter or the bylaws, or (e) any other action asserting a claim against us or any of our directors, officers, employees or other agents that is governed by the internal affairs doctrine shall be, in each case, the Circuit Court for Baltimore City, Maryland, or, if that court does not have jurisdiction, the United States District Court for the District of Maryland, Northern Division. Notwithstanding the foregoing, this provision does not apply to claims arising under the federal securities laws, or any other claim for which the federal courts have exclusive jurisdiction.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Any investor purchasing or otherwise acquiring our shares is deemed to have notice of and consented to the exclusive forum selection provision. The provision may increase costs for a shareholder to bring a claim and may discourage claims or limit shareholders’ ability to bring a claim in a judicial forum that they find favorable. It is also possible that a court could rule that the provision is inapplicable or unenforceable.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Waiver of Corporate Opportunity Doctrine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charter provides that we, by resolution of the Board, may renounce any interest or expectancy of ours in (or in being offered an opportunity to participate in) business opportunities that are presented to us or developed by or presented to one or more of our directors or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Conflict with the 1940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bylaws provide that, if and to the extent that any provision of the MGCL, including the Maryland Control Share Acquisition Act and the Maryland Business Combination Act, or any provision of the charter or the bylaws, conflicts with any provision of the 1940 Act, or the rules, regulations, or guidance of the SEC or its staff thereunder, the applicable provision of the 1940 Act or the rules, regulations, or guidance of the SEC or its staff thereunder will control.</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88" w:name="DESCRIPTIONOFOURPREFERRED"/>
      <w:bookmarkEnd w:id="188"/>
      <w:r>
        <w:rPr>
          <w:rFonts w:ascii="Times New Roman" w:hAnsi="Times New Roman"/>
          <w:b/>
          <w:color w:val="000000"/>
          <w:sz w:val="20"/>
          <w:shd w:fill="FFFFFF" w:val="clear"/>
        </w:rPr>
        <w:t>DESCRIPTION OF OUR PREFERRED STOCK</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shareholder approval. Prior to issuance of shares of each class or series, the Board is required by Maryland law and by our charter to set, subject to the express terms of any of our then outstanding classes or series of stock, the preferences, conversion or other rights, voting powers, restrictions, limitations as to dividends or other distributions, qualifications and terms or conditions of redemption for each class or series. Any such issuance must adhere to the requirements of the 1940 Act, Maryland law and any other limitations imposed by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1940 Act limits our flexibility as to certain rights and preferences of the preferred stock under our charter.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89" w:name="zc5c8f96f40a144a59c0b02c4254c78d5"/>
      <w:bookmarkStart w:id="190" w:name="zc5c8f96f40a144a59c0b02c4254c78d5"/>
      <w:bookmarkEnd w:id="1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immediately after issuance and before any distribution is made with respect to common stock, we must meet a coverage ratio of total assets (less total liabilities other than indebtedness) to total indebtedness plus preferred stock, of at least 150%;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1" w:name="z878de90e492b4447953fd6fa0ec351b5"/>
      <w:bookmarkStart w:id="192" w:name="z878de90e492b4447953fd6fa0ec351b5"/>
      <w:bookmarkEnd w:id="19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features of the preferred stock are further limited by the requirements applicable to RICs under the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any class or series of preferred stock that we may issue, the Board will determine and the articles supplementary and the prospectus supplement relating to such class or series will describe: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3" w:name="z418f72bfa09c41f79df5dd1b61ae47d3"/>
      <w:bookmarkStart w:id="194" w:name="z418f72bfa09c41f79df5dd1b61ae47d3"/>
      <w:bookmarkEnd w:id="194"/>
    </w:p>
    <w:tbl>
      <w:tblPr>
        <w:tblW w:w="5973" w:type="dxa"/>
        <w:jc w:val="left"/>
        <w:tblInd w:w="0" w:type="dxa"/>
        <w:tblLayout w:type="fixed"/>
        <w:tblCellMar>
          <w:top w:w="0" w:type="dxa"/>
          <w:left w:w="0" w:type="dxa"/>
          <w:bottom w:w="0" w:type="dxa"/>
          <w:right w:w="0" w:type="dxa"/>
        </w:tblCellMar>
      </w:tblPr>
      <w:tblGrid>
        <w:gridCol w:w="68"/>
        <w:gridCol w:w="140"/>
        <w:gridCol w:w="57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0"/>
              <w:jc w:val="both"/>
              <w:rPr/>
            </w:pPr>
            <w:r>
              <w:rPr/>
              <w:t>the designation and number of shares of such class or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5" w:name="z8ba486c75de8454a8570165795f647e4"/>
      <w:bookmarkStart w:id="196" w:name="z8ba486c75de8454a8570165795f647e4"/>
      <w:bookmarkEnd w:id="19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rate and time at which, and the preferences and conditions under which, any dividends will be paid on shares of such class or series, as well as whether such dividends are participating or non-participating;</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7" w:name="z5a9f08cb130541beb843bf01a57cf933"/>
      <w:bookmarkStart w:id="198" w:name="z5a9f08cb130541beb843bf01a57cf933"/>
      <w:bookmarkEnd w:id="19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provisions relating to convertibility or exchangeability of the shares of such class or series, including adjustments to the conversion price of such class or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9" w:name="z05a52112326b48c1a72f362d23498cab"/>
      <w:bookmarkStart w:id="200" w:name="z05a52112326b48c1a72f362d23498cab"/>
      <w:bookmarkEnd w:id="20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rights and preferences, if any, of holders of shares of such class or series upon our liquidation, dissolution or winding up of our affairs;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1" w:name="z465424d5722c4e4fb1d35e66c7faf41d"/>
      <w:bookmarkStart w:id="202" w:name="z465424d5722c4e4fb1d35e66c7faf41d"/>
      <w:bookmarkEnd w:id="202"/>
    </w:p>
    <w:tbl>
      <w:tblPr>
        <w:tblW w:w="7128" w:type="dxa"/>
        <w:jc w:val="left"/>
        <w:tblInd w:w="0" w:type="dxa"/>
        <w:tblLayout w:type="fixed"/>
        <w:tblCellMar>
          <w:top w:w="0" w:type="dxa"/>
          <w:left w:w="0" w:type="dxa"/>
          <w:bottom w:w="0" w:type="dxa"/>
          <w:right w:w="0" w:type="dxa"/>
        </w:tblCellMar>
      </w:tblPr>
      <w:tblGrid>
        <w:gridCol w:w="68"/>
        <w:gridCol w:w="140"/>
        <w:gridCol w:w="69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0"/>
              <w:jc w:val="both"/>
              <w:rPr/>
            </w:pPr>
            <w:r>
              <w:rPr/>
              <w:t>the voting powers, if any, of the holders of shares of such class or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3" w:name="zde83fcb9f4814101987fb1727fc2ceb5"/>
      <w:bookmarkStart w:id="204" w:name="zde83fcb9f4814101987fb1727fc2ceb5"/>
      <w:bookmarkEnd w:id="204"/>
    </w:p>
    <w:tbl>
      <w:tblPr>
        <w:tblW w:w="7563" w:type="dxa"/>
        <w:jc w:val="left"/>
        <w:tblInd w:w="0" w:type="dxa"/>
        <w:tblLayout w:type="fixed"/>
        <w:tblCellMar>
          <w:top w:w="0" w:type="dxa"/>
          <w:left w:w="0" w:type="dxa"/>
          <w:bottom w:w="0" w:type="dxa"/>
          <w:right w:w="0" w:type="dxa"/>
        </w:tblCellMar>
      </w:tblPr>
      <w:tblGrid>
        <w:gridCol w:w="68"/>
        <w:gridCol w:w="140"/>
        <w:gridCol w:w="73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0"/>
              <w:jc w:val="both"/>
              <w:rPr/>
            </w:pPr>
            <w:r>
              <w:rPr/>
              <w:t>any provisions relating to the redemption of the shares of such class or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5" w:name="zb6ea3b64218e4bf1b094e424e5519746"/>
      <w:bookmarkStart w:id="206" w:name="zb6ea3b64218e4bf1b094e424e5519746"/>
      <w:bookmarkEnd w:id="2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limitations on our ability to pay dividends or make distributions on, or acquire or redeem, other securities while shares of such class or series are outstanding;</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7" w:name="z8bb04b7b042c48a58f761d91a4ba16c2"/>
      <w:bookmarkStart w:id="208" w:name="z8bb04b7b042c48a58f761d91a4ba16c2"/>
      <w:bookmarkEnd w:id="20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conditions or restrictions on our ability to issue additional shares of such class or series or other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09" w:name="z437891d6f1ce4570b2f76aa4f21a2935"/>
      <w:bookmarkStart w:id="210" w:name="z437891d6f1ce4570b2f76aa4f21a2935"/>
      <w:bookmarkEnd w:id="210"/>
    </w:p>
    <w:tbl>
      <w:tblPr>
        <w:tblW w:w="7833" w:type="dxa"/>
        <w:jc w:val="left"/>
        <w:tblInd w:w="0" w:type="dxa"/>
        <w:tblLayout w:type="fixed"/>
        <w:tblCellMar>
          <w:top w:w="0" w:type="dxa"/>
          <w:left w:w="0" w:type="dxa"/>
          <w:bottom w:w="0" w:type="dxa"/>
          <w:right w:w="0" w:type="dxa"/>
        </w:tblCellMar>
      </w:tblPr>
      <w:tblGrid>
        <w:gridCol w:w="68"/>
        <w:gridCol w:w="140"/>
        <w:gridCol w:w="76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both"/>
              <w:rPr/>
            </w:pPr>
            <w:r>
              <w:rPr/>
              <w:t>if applicable, a discussion of certain U.S. federal income tax considerations;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1" w:name="z0cfb38c90b7a4d4fbfd573879baf2178"/>
      <w:bookmarkStart w:id="212" w:name="z0cfb38c90b7a4d4fbfd573879baf2178"/>
      <w:bookmarkEnd w:id="2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other relative powers, preferences and participating, optional or special rights of shares of such class or series, and the qualifications, limitations or restrictions thereof.</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All shares of preferred stock that we may issue will be identical and of equal rank except as to the particular terms thereof that may be fixed by the Board, and all shares of each class or series of preferred stock will be identical and of equal rank except as to the dates from which dividends, if any, thereon will be cumulative.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13" w:name="DESCRIPTIONOFOURSUBSCRIPT"/>
      <w:bookmarkEnd w:id="213"/>
      <w:r>
        <w:rPr>
          <w:rFonts w:ascii="Times New Roman" w:hAnsi="Times New Roman"/>
          <w:b/>
          <w:color w:val="000000"/>
          <w:sz w:val="20"/>
          <w:shd w:fill="FFFFFF" w:val="clear"/>
        </w:rPr>
        <w:t>DESCRIPTION OF OUR SUBSCRIPTION RIGHTS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subscription rights to our shareholders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applicable prospectus supplement would describe the following terms of subscription rights in respect of which this prospectus is being delivered: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4" w:name="zd2a49e7dee264c5396e2a241f4e8b69e"/>
      <w:bookmarkStart w:id="215" w:name="zd2a49e7dee264c5396e2a241f4e8b69e"/>
      <w:bookmarkEnd w:id="21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period of time the offering would remain open (which shall be open a minimum number of days such that all record holders would be eligible to participate in the offering and shall not be open longer than 120 days);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6" w:name="zac25b55ca3ad4555aa027a3ef2fe5bd2"/>
      <w:bookmarkStart w:id="217" w:name="zac25b55ca3ad4555aa027a3ef2fe5bd2"/>
      <w:bookmarkEnd w:id="217"/>
    </w:p>
    <w:tbl>
      <w:tblPr>
        <w:tblW w:w="3588" w:type="dxa"/>
        <w:jc w:val="left"/>
        <w:tblInd w:w="0" w:type="dxa"/>
        <w:tblLayout w:type="fixed"/>
        <w:tblCellMar>
          <w:top w:w="0" w:type="dxa"/>
          <w:left w:w="0" w:type="dxa"/>
          <w:bottom w:w="0" w:type="dxa"/>
          <w:right w:w="0" w:type="dxa"/>
        </w:tblCellMar>
      </w:tblPr>
      <w:tblGrid>
        <w:gridCol w:w="68"/>
        <w:gridCol w:w="140"/>
        <w:gridCol w:w="33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0"/>
              <w:jc w:val="both"/>
              <w:rPr/>
            </w:pPr>
            <w:r>
              <w:rPr/>
              <w:t>the title of such subscription rights;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18" w:name="z5b14a09e4c574b339dbc2ba69e529931"/>
      <w:bookmarkStart w:id="219" w:name="z5b14a09e4c574b339dbc2ba69e529931"/>
      <w:bookmarkEnd w:id="219"/>
    </w:p>
    <w:tbl>
      <w:tblPr>
        <w:tblW w:w="7833" w:type="dxa"/>
        <w:jc w:val="left"/>
        <w:tblInd w:w="0" w:type="dxa"/>
        <w:tblLayout w:type="fixed"/>
        <w:tblCellMar>
          <w:top w:w="0" w:type="dxa"/>
          <w:left w:w="0" w:type="dxa"/>
          <w:bottom w:w="0" w:type="dxa"/>
          <w:right w:w="0" w:type="dxa"/>
        </w:tblCellMar>
      </w:tblPr>
      <w:tblGrid>
        <w:gridCol w:w="68"/>
        <w:gridCol w:w="140"/>
        <w:gridCol w:w="76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both"/>
              <w:rPr/>
            </w:pPr>
            <w:r>
              <w:rPr/>
              <w:t>the exercise price for such subscription rights (or method of calculation thereof);</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20" w:name="z4852ea254ec9409e9798543813fa7b01"/>
      <w:bookmarkStart w:id="221" w:name="z4852ea254ec9409e9798543813fa7b01"/>
      <w:bookmarkEnd w:id="22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ratio of the offering (which, in the case of transferable rights, will require a minimum of three shares to be held of record before a person is entitled to purchase an additional share);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22" w:name="z7c77e0442dc44c5d937301586f70a4c9"/>
      <w:bookmarkStart w:id="223" w:name="z7c77e0442dc44c5d937301586f70a4c9"/>
      <w:bookmarkEnd w:id="223"/>
    </w:p>
    <w:tbl>
      <w:tblPr>
        <w:tblW w:w="6498" w:type="dxa"/>
        <w:jc w:val="left"/>
        <w:tblInd w:w="0" w:type="dxa"/>
        <w:tblLayout w:type="fixed"/>
        <w:tblCellMar>
          <w:top w:w="0" w:type="dxa"/>
          <w:left w:w="0" w:type="dxa"/>
          <w:bottom w:w="0" w:type="dxa"/>
          <w:right w:w="0" w:type="dxa"/>
        </w:tblCellMar>
      </w:tblPr>
      <w:tblGrid>
        <w:gridCol w:w="68"/>
        <w:gridCol w:w="140"/>
        <w:gridCol w:w="62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jc w:val="both"/>
              <w:rPr/>
            </w:pPr>
            <w:r>
              <w:rPr/>
              <w:t>the number of such subscription rights issued to each shareholder;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24" w:name="z3e271db8da3e469084eb359c5d65d17e"/>
      <w:bookmarkStart w:id="225" w:name="z3e271db8da3e469084eb359c5d65d17e"/>
      <w:bookmarkEnd w:id="22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extent to which such subscription rights are transferable and the market on which they may be traded if they are transferable;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26" w:name="zf5779709bea548d9a4380645e5da37cb"/>
      <w:bookmarkStart w:id="227" w:name="zf5779709bea548d9a4380645e5da37cb"/>
      <w:bookmarkEnd w:id="22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applicable, a discussion of certain U.S. federal income tax considerations applicable to the issuance or exercise of such subscription rights;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28" w:name="z2d3d0f68909845b8b47a22b1a02249d2"/>
      <w:bookmarkStart w:id="229" w:name="z2d3d0f68909845b8b47a22b1a02249d2"/>
      <w:bookmarkEnd w:id="22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date on which the right to exercise such subscription rights shall commence, and the date on which such right shall expire (subject to any extension);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0" w:name="z450848c1cc4b4fa987706c9493dffbee"/>
      <w:bookmarkStart w:id="231" w:name="z450848c1cc4b4fa987706c9493dffbee"/>
      <w:bookmarkEnd w:id="23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extent to which such subscription rights include an over-subscription privilege with respect to unsubscribed securities and the terms of such over-subscription privilege;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2" w:name="z86c952af032f41b980e5a618db321daa"/>
      <w:bookmarkStart w:id="233" w:name="z86c952af032f41b980e5a618db321daa"/>
      <w:bookmarkEnd w:id="233"/>
    </w:p>
    <w:tbl>
      <w:tblPr>
        <w:tblW w:w="8958" w:type="dxa"/>
        <w:jc w:val="left"/>
        <w:tblInd w:w="0" w:type="dxa"/>
        <w:tblLayout w:type="fixed"/>
        <w:tblCellMar>
          <w:top w:w="0" w:type="dxa"/>
          <w:left w:w="0" w:type="dxa"/>
          <w:bottom w:w="0" w:type="dxa"/>
          <w:right w:w="0" w:type="dxa"/>
        </w:tblCellMar>
      </w:tblPr>
      <w:tblGrid>
        <w:gridCol w:w="68"/>
        <w:gridCol w:w="140"/>
        <w:gridCol w:w="87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0"/>
              <w:jc w:val="both"/>
              <w:rPr/>
            </w:pPr>
            <w:r>
              <w:rPr/>
              <w:t>any termination right we may have in connection with such subscription rights offering;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4" w:name="ze33702eb82e24c37adbd6e14251a9955"/>
      <w:bookmarkStart w:id="235" w:name="ze33702eb82e24c37adbd6e14251a9955"/>
      <w:bookmarkEnd w:id="23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other terms of such subscription rights, including exercise, settlement and other procedures and limitations relating to the transfer and exercise of such subscription rights.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Exercise of Subscription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Dilutive Effects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shareholder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shareholders will also indirectly bear the expenses associated with any rights offering we may conduct, regardless of whether they elect to exercise any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36" w:name="DESCRIPTIONOFOURWARRANTS"/>
      <w:bookmarkEnd w:id="236"/>
      <w:r>
        <w:rPr>
          <w:rFonts w:ascii="Times New Roman" w:hAnsi="Times New Roman"/>
          <w:b/>
          <w:color w:val="000000"/>
          <w:sz w:val="20"/>
          <w:shd w:fill="FFFFFF" w:val="clear"/>
        </w:rPr>
        <w:t>DESCRIPTION OF OUR WARRANTS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general description of the terms of the warrants we may issue from time to time. Particular terms of any warrants we offer will be described in the prospectus supplement relating to such warrants.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prospectus supplement will describe the particular terms of any series of warrants we may issue, including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7" w:name="z83b64288834e42459410e24191fc5add"/>
      <w:bookmarkStart w:id="238" w:name="z83b64288834e42459410e24191fc5add"/>
      <w:bookmarkEnd w:id="238"/>
    </w:p>
    <w:tbl>
      <w:tblPr>
        <w:tblW w:w="2673" w:type="dxa"/>
        <w:jc w:val="left"/>
        <w:tblInd w:w="0" w:type="dxa"/>
        <w:tblLayout w:type="fixed"/>
        <w:tblCellMar>
          <w:top w:w="0" w:type="dxa"/>
          <w:left w:w="0" w:type="dxa"/>
          <w:bottom w:w="0" w:type="dxa"/>
          <w:right w:w="0" w:type="dxa"/>
        </w:tblCellMar>
      </w:tblPr>
      <w:tblGrid>
        <w:gridCol w:w="68"/>
        <w:gridCol w:w="140"/>
        <w:gridCol w:w="24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0"/>
              <w:jc w:val="both"/>
              <w:rPr/>
            </w:pPr>
            <w:r>
              <w:rPr/>
              <w:t>the title of such warrants;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39" w:name="zced5a1937dfb4cfd8092d995c35f1525"/>
      <w:bookmarkStart w:id="240" w:name="zced5a1937dfb4cfd8092d995c35f1525"/>
      <w:bookmarkEnd w:id="240"/>
    </w:p>
    <w:tbl>
      <w:tblPr>
        <w:tblW w:w="4023" w:type="dxa"/>
        <w:jc w:val="left"/>
        <w:tblInd w:w="0" w:type="dxa"/>
        <w:tblLayout w:type="fixed"/>
        <w:tblCellMar>
          <w:top w:w="0" w:type="dxa"/>
          <w:left w:w="0" w:type="dxa"/>
          <w:bottom w:w="0" w:type="dxa"/>
          <w:right w:w="0" w:type="dxa"/>
        </w:tblCellMar>
      </w:tblPr>
      <w:tblGrid>
        <w:gridCol w:w="68"/>
        <w:gridCol w:w="140"/>
        <w:gridCol w:w="38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0"/>
              <w:jc w:val="both"/>
              <w:rPr/>
            </w:pPr>
            <w:r>
              <w:rPr/>
              <w:t>the aggregate number of such warrants;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41" w:name="z959fad43fa33422182ab764eab0f7aa4"/>
      <w:bookmarkStart w:id="242" w:name="z959fad43fa33422182ab764eab0f7aa4"/>
      <w:bookmarkEnd w:id="242"/>
    </w:p>
    <w:tbl>
      <w:tblPr>
        <w:tblW w:w="5628" w:type="dxa"/>
        <w:jc w:val="left"/>
        <w:tblInd w:w="0" w:type="dxa"/>
        <w:tblLayout w:type="fixed"/>
        <w:tblCellMar>
          <w:top w:w="0" w:type="dxa"/>
          <w:left w:w="0" w:type="dxa"/>
          <w:bottom w:w="0" w:type="dxa"/>
          <w:right w:w="0" w:type="dxa"/>
        </w:tblCellMar>
      </w:tblPr>
      <w:tblGrid>
        <w:gridCol w:w="68"/>
        <w:gridCol w:w="140"/>
        <w:gridCol w:w="54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0"/>
              <w:jc w:val="both"/>
              <w:rPr/>
            </w:pPr>
            <w:r>
              <w:rPr/>
              <w:t>the price or prices at which such warrants will be issued;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43" w:name="z48174605e20a4e4082062332758bfe7a"/>
      <w:bookmarkStart w:id="244" w:name="z48174605e20a4e4082062332758bfe7a"/>
      <w:bookmarkEnd w:id="24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currency or currencies, including composite currencies, in which the price of such warrants may be payable;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45" w:name="z2b81459c12534490b76ed7fd3b4125d6"/>
      <w:bookmarkStart w:id="246" w:name="z2b81459c12534490b76ed7fd3b4125d6"/>
      <w:bookmarkEnd w:id="24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applicable, the designation and terms of the securities with which the warrants are issued and the number of warrants issued with each such security or each principal amount of such security;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47" w:name="z8fc3bace7a824036a907940d179a2d60"/>
      <w:bookmarkStart w:id="248" w:name="z8fc3bace7a824036a907940d179a2d60"/>
      <w:bookmarkEnd w:id="24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49" w:name="z6c993a6de72f40f3986e7bfa86a3b194"/>
      <w:bookmarkStart w:id="250" w:name="z6c993a6de72f40f3986e7bfa86a3b194"/>
      <w:bookmarkEnd w:id="25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1" w:name="ze6f2fb69ea7c4f09aef64f9ec1ec2f41"/>
      <w:bookmarkStart w:id="252" w:name="ze6f2fb69ea7c4f09aef64f9ec1ec2f41"/>
      <w:bookmarkEnd w:id="25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date on which the right to exercise such warrants shall commence and the date on which such right will expire;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3" w:name="zced658b756b04e10b7115b1db1241a07"/>
      <w:bookmarkStart w:id="254" w:name="zced658b756b04e10b7115b1db1241a07"/>
      <w:bookmarkEnd w:id="254"/>
    </w:p>
    <w:tbl>
      <w:tblPr>
        <w:tblW w:w="6978" w:type="dxa"/>
        <w:jc w:val="left"/>
        <w:tblInd w:w="0" w:type="dxa"/>
        <w:tblLayout w:type="fixed"/>
        <w:tblCellMar>
          <w:top w:w="0" w:type="dxa"/>
          <w:left w:w="0" w:type="dxa"/>
          <w:bottom w:w="0" w:type="dxa"/>
          <w:right w:w="0" w:type="dxa"/>
        </w:tblCellMar>
      </w:tblPr>
      <w:tblGrid>
        <w:gridCol w:w="68"/>
        <w:gridCol w:w="140"/>
        <w:gridCol w:w="67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0"/>
              <w:jc w:val="both"/>
              <w:rPr/>
            </w:pPr>
            <w:r>
              <w:rPr/>
              <w:t>whether such warrants will be issued in registered form or bearer form;</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5" w:name="z7cee0854506d4b839aaaceafe2e2d874"/>
      <w:bookmarkStart w:id="256" w:name="z7cee0854506d4b839aaaceafe2e2d874"/>
      <w:bookmarkEnd w:id="25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applicable, the minimum or maximum amount of such warrants which may be exercised at any one time;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7" w:name="z94157122f3734662b74471dcff139dd2"/>
      <w:bookmarkStart w:id="258" w:name="z94157122f3734662b74471dcff139dd2"/>
      <w:bookmarkEnd w:id="25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applicable, the date on and after which such warrants and the related securities will be separately transferable;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9" w:name="z2a8a1ee764b14cc2a2898e9f959f2d73"/>
      <w:bookmarkStart w:id="260" w:name="z2a8a1ee764b14cc2a2898e9f959f2d73"/>
      <w:bookmarkEnd w:id="260"/>
    </w:p>
    <w:tbl>
      <w:tblPr>
        <w:tblW w:w="5748" w:type="dxa"/>
        <w:jc w:val="left"/>
        <w:tblInd w:w="0" w:type="dxa"/>
        <w:tblLayout w:type="fixed"/>
        <w:tblCellMar>
          <w:top w:w="0" w:type="dxa"/>
          <w:left w:w="0" w:type="dxa"/>
          <w:bottom w:w="0" w:type="dxa"/>
          <w:right w:w="0" w:type="dxa"/>
        </w:tblCellMar>
      </w:tblPr>
      <w:tblGrid>
        <w:gridCol w:w="68"/>
        <w:gridCol w:w="140"/>
        <w:gridCol w:w="55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0"/>
              <w:jc w:val="both"/>
              <w:rPr/>
            </w:pPr>
            <w:r>
              <w:rPr/>
              <w:t>information with respect to book-entry procedures, if any;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61" w:name="z0253eff34f5f46998fdcde4e665bb971"/>
      <w:bookmarkStart w:id="262" w:name="z0253eff34f5f46998fdcde4e665bb971"/>
      <w:bookmarkEnd w:id="262"/>
    </w:p>
    <w:tbl>
      <w:tblPr>
        <w:tblW w:w="6393" w:type="dxa"/>
        <w:jc w:val="left"/>
        <w:tblInd w:w="0" w:type="dxa"/>
        <w:tblLayout w:type="fixed"/>
        <w:tblCellMar>
          <w:top w:w="0" w:type="dxa"/>
          <w:left w:w="0" w:type="dxa"/>
          <w:bottom w:w="0" w:type="dxa"/>
          <w:right w:w="0" w:type="dxa"/>
        </w:tblCellMar>
      </w:tblPr>
      <w:tblGrid>
        <w:gridCol w:w="68"/>
        <w:gridCol w:w="140"/>
        <w:gridCol w:w="61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0"/>
              <w:jc w:val="both"/>
              <w:rPr/>
            </w:pPr>
            <w:r>
              <w:rPr/>
              <w:t>the terms of the securities issuable upon exercise of the warrants;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63" w:name="zb3a3da507e6c493594e303f209cc71b9"/>
      <w:bookmarkStart w:id="264" w:name="zb3a3da507e6c493594e303f209cc71b9"/>
      <w:bookmarkEnd w:id="264"/>
    </w:p>
    <w:tbl>
      <w:tblPr>
        <w:tblW w:w="7833" w:type="dxa"/>
        <w:jc w:val="left"/>
        <w:tblInd w:w="0" w:type="dxa"/>
        <w:tblLayout w:type="fixed"/>
        <w:tblCellMar>
          <w:top w:w="0" w:type="dxa"/>
          <w:left w:w="0" w:type="dxa"/>
          <w:bottom w:w="0" w:type="dxa"/>
          <w:right w:w="0" w:type="dxa"/>
        </w:tblCellMar>
      </w:tblPr>
      <w:tblGrid>
        <w:gridCol w:w="68"/>
        <w:gridCol w:w="140"/>
        <w:gridCol w:w="76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both"/>
              <w:rPr/>
            </w:pPr>
            <w:r>
              <w:rPr/>
              <w:t>if applicable, a discussion of certain U.S. federal income tax considerations;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65" w:name="zb5d35b8f68554ecf8d83e6667089211a"/>
      <w:bookmarkStart w:id="266" w:name="zb5d35b8f68554ecf8d83e6667089211a"/>
      <w:bookmarkEnd w:id="26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other terms of such warrants, including terms, procedures and limitations relating to the exchange and exercise of such warrants.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1940 Act, we may generally only offer warrants provided that (1) the warrants expire by their terms within ten years; (2) the exercise or conversion price is not less than the current market value at the date of issuance; (3) our shareholders authorize the proposal to issue such warrants, and the Board approves such issuance on the basis that the issuance is in the best interests of us and our shareholders;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267" w:name="DESCRIPTIONOFOURDEBTSECUR"/>
      <w:bookmarkEnd w:id="267"/>
      <w:r>
        <w:rPr>
          <w:rFonts w:ascii="Times New Roman" w:hAnsi="Times New Roman"/>
          <w:b/>
          <w:color w:val="000000"/>
          <w:sz w:val="20"/>
          <w:shd w:fill="FFFFFF" w:val="clear"/>
        </w:rPr>
        <w:t>DESCRIPTION OF OUR DEBT SECURITIES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 We will file a supplemental indenture with the SEC in connection with any debt offering, at which time the supplemental indenture would be publicly available. See “</w:t>
      </w:r>
      <w:r>
        <w:rPr>
          <w:rFonts w:ascii="Times New Roman" w:hAnsi="Times New Roman"/>
          <w:i/>
          <w:color w:val="000000"/>
          <w:sz w:val="20"/>
          <w:shd w:fill="FFFFFF" w:val="clear"/>
        </w:rPr>
        <w:t>Available Information</w:t>
      </w:r>
      <w:r>
        <w:rPr>
          <w:rFonts w:ascii="Times New Roman" w:hAnsi="Times New Roman"/>
          <w:color w:val="000000"/>
          <w:sz w:val="20"/>
          <w:shd w:fill="FFFFFF" w:val="clear"/>
        </w:rPr>
        <w:t>” for information on how to obtain a copy of the applicable indenture.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prospectus supplement, which will accompany this prospectus, will describe the particular series of debt securities being offered, including, among other things: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68" w:name="ze99a055efcd94c93a577d76465a565d6"/>
      <w:bookmarkStart w:id="269" w:name="ze99a055efcd94c93a577d76465a565d6"/>
      <w:bookmarkEnd w:id="269"/>
    </w:p>
    <w:tbl>
      <w:tblPr>
        <w:tblW w:w="5283" w:type="dxa"/>
        <w:jc w:val="left"/>
        <w:tblInd w:w="0" w:type="dxa"/>
        <w:tblLayout w:type="fixed"/>
        <w:tblCellMar>
          <w:top w:w="0" w:type="dxa"/>
          <w:left w:w="0" w:type="dxa"/>
          <w:bottom w:w="0" w:type="dxa"/>
          <w:right w:w="0" w:type="dxa"/>
        </w:tblCellMar>
      </w:tblPr>
      <w:tblGrid>
        <w:gridCol w:w="68"/>
        <w:gridCol w:w="140"/>
        <w:gridCol w:w="50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jc w:val="both"/>
              <w:rPr/>
            </w:pPr>
            <w:r>
              <w:rPr/>
              <w:t>the designation or title of the series of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0" w:name="z46f6c8baa8cc4630904015b49d3a743a"/>
      <w:bookmarkStart w:id="271" w:name="z46f6c8baa8cc4630904015b49d3a743a"/>
      <w:bookmarkEnd w:id="271"/>
    </w:p>
    <w:tbl>
      <w:tblPr>
        <w:tblW w:w="5598" w:type="dxa"/>
        <w:jc w:val="left"/>
        <w:tblInd w:w="0" w:type="dxa"/>
        <w:tblLayout w:type="fixed"/>
        <w:tblCellMar>
          <w:top w:w="0" w:type="dxa"/>
          <w:left w:w="0" w:type="dxa"/>
          <w:bottom w:w="0" w:type="dxa"/>
          <w:right w:w="0" w:type="dxa"/>
        </w:tblCellMar>
      </w:tblPr>
      <w:tblGrid>
        <w:gridCol w:w="68"/>
        <w:gridCol w:w="140"/>
        <w:gridCol w:w="53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0"/>
              <w:jc w:val="both"/>
              <w:rPr/>
            </w:pPr>
            <w:r>
              <w:rPr/>
              <w:t>the total principal amount of the series of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2" w:name="za10d06b3200d454583322a36780d048c"/>
      <w:bookmarkStart w:id="273" w:name="za10d06b3200d454583322a36780d048c"/>
      <w:bookmarkEnd w:id="273"/>
    </w:p>
    <w:tbl>
      <w:tblPr>
        <w:tblW w:w="8868" w:type="dxa"/>
        <w:jc w:val="left"/>
        <w:tblInd w:w="0" w:type="dxa"/>
        <w:tblLayout w:type="fixed"/>
        <w:tblCellMar>
          <w:top w:w="0" w:type="dxa"/>
          <w:left w:w="0" w:type="dxa"/>
          <w:bottom w:w="0" w:type="dxa"/>
          <w:right w:w="0" w:type="dxa"/>
        </w:tblCellMar>
      </w:tblPr>
      <w:tblGrid>
        <w:gridCol w:w="68"/>
        <w:gridCol w:w="140"/>
        <w:gridCol w:w="86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0"/>
              <w:jc w:val="both"/>
              <w:rPr/>
            </w:pPr>
            <w:r>
              <w:rPr/>
              <w:t>the percentage of the principal amount at which the series of debt securities will be offered;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4" w:name="z910fd33882e64260894178f09e31fba3"/>
      <w:bookmarkStart w:id="275" w:name="z910fd33882e64260894178f09e31fba3"/>
      <w:bookmarkEnd w:id="275"/>
    </w:p>
    <w:tbl>
      <w:tblPr>
        <w:tblW w:w="5223" w:type="dxa"/>
        <w:jc w:val="left"/>
        <w:tblInd w:w="0" w:type="dxa"/>
        <w:tblLayout w:type="fixed"/>
        <w:tblCellMar>
          <w:top w:w="0" w:type="dxa"/>
          <w:left w:w="0" w:type="dxa"/>
          <w:bottom w:w="0" w:type="dxa"/>
          <w:right w:w="0" w:type="dxa"/>
        </w:tblCellMar>
      </w:tblPr>
      <w:tblGrid>
        <w:gridCol w:w="68"/>
        <w:gridCol w:w="140"/>
        <w:gridCol w:w="50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both"/>
              <w:rPr/>
            </w:pPr>
            <w:r>
              <w:rPr/>
              <w:t>the date or dates on which principal will be payable;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6" w:name="z333656f8630e434981cec0b70e22dff9"/>
      <w:bookmarkStart w:id="277" w:name="z333656f8630e434981cec0b70e22dff9"/>
      <w:bookmarkEnd w:id="27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rate or rates (which may be either fixed or variable) and/or the method of determining such rate or rates of interest, if any;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8" w:name="z0c9fcab5f5754b1fb7f706581bb497a6"/>
      <w:bookmarkStart w:id="279" w:name="z0c9fcab5f5754b1fb7f706581bb497a6"/>
      <w:bookmarkEnd w:id="27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date or dates from which any interest will accrue, or the method of determining such date or dates, and the date or dates on which any interest will be payable;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0" w:name="z8f5ee0f6569b40d9a56962767a82beda"/>
      <w:bookmarkStart w:id="281" w:name="z8f5ee0f6569b40d9a56962767a82beda"/>
      <w:bookmarkEnd w:id="28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whether any interest may be paid by issuing additional securities of the same series in lieu of cash (and the terms upon which any such interest may be paid by issuing additional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2" w:name="z7f01e73910d9428296a69cc8218dadd2"/>
      <w:bookmarkStart w:id="283" w:name="z7f01e73910d9428296a69cc8218dadd2"/>
      <w:bookmarkEnd w:id="283"/>
    </w:p>
    <w:tbl>
      <w:tblPr>
        <w:tblW w:w="6183" w:type="dxa"/>
        <w:jc w:val="left"/>
        <w:tblInd w:w="0" w:type="dxa"/>
        <w:tblLayout w:type="fixed"/>
        <w:tblCellMar>
          <w:top w:w="0" w:type="dxa"/>
          <w:left w:w="0" w:type="dxa"/>
          <w:bottom w:w="0" w:type="dxa"/>
          <w:right w:w="0" w:type="dxa"/>
        </w:tblCellMar>
      </w:tblPr>
      <w:tblGrid>
        <w:gridCol w:w="68"/>
        <w:gridCol w:w="140"/>
        <w:gridCol w:w="59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jc w:val="both"/>
              <w:rPr/>
            </w:pPr>
            <w:r>
              <w:rPr/>
              <w:t>the terms for redemption, extension or early repayment, if any;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4" w:name="z5e2fe96bdd2a4423878a757318549e69"/>
      <w:bookmarkStart w:id="285" w:name="z5e2fe96bdd2a4423878a757318549e69"/>
      <w:bookmarkEnd w:id="285"/>
    </w:p>
    <w:tbl>
      <w:tblPr>
        <w:tblW w:w="7323" w:type="dxa"/>
        <w:jc w:val="left"/>
        <w:tblInd w:w="0" w:type="dxa"/>
        <w:tblLayout w:type="fixed"/>
        <w:tblCellMar>
          <w:top w:w="0" w:type="dxa"/>
          <w:left w:w="0" w:type="dxa"/>
          <w:bottom w:w="0" w:type="dxa"/>
          <w:right w:w="0" w:type="dxa"/>
        </w:tblCellMar>
      </w:tblPr>
      <w:tblGrid>
        <w:gridCol w:w="68"/>
        <w:gridCol w:w="140"/>
        <w:gridCol w:w="71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115" w:type="dxa"/>
            <w:tcBorders/>
            <w:vAlign w:val="center"/>
          </w:tcPr>
          <w:p>
            <w:pPr>
              <w:pStyle w:val="TableContents"/>
              <w:bidi w:val="0"/>
              <w:spacing w:before="0" w:after="0"/>
              <w:jc w:val="both"/>
              <w:rPr/>
            </w:pPr>
            <w:r>
              <w:rPr/>
              <w:t>the currencies in which the series of debt securities are issued and payable;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6" w:name="z4449f0f90d1a4924947dd46703739303"/>
      <w:bookmarkStart w:id="287" w:name="z4449f0f90d1a4924947dd46703739303"/>
      <w:bookmarkEnd w:id="28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88" w:name="z8aedd05bd10b480e8484634ce34781a9"/>
      <w:bookmarkStart w:id="289" w:name="z8aedd05bd10b480e8484634ce34781a9"/>
      <w:bookmarkEnd w:id="28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place or places, if any, other than or in addition to the Borough of Manhattan in the City of New York, of payment, transfer, conversion and/or exchange of the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0" w:name="ze0f38ba5e84447268240e9e483618f4f"/>
      <w:bookmarkStart w:id="291" w:name="ze0f38ba5e84447268240e9e483618f4f"/>
      <w:bookmarkEnd w:id="29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denominations in which the offered debt securities will be issued (if other than $1,000 and any integral multiple thereof);</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2" w:name="z4ffc0defb23e4e619002c7c5c2f5dde8"/>
      <w:bookmarkStart w:id="293" w:name="z4ffc0defb23e4e619002c7c5c2f5dde8"/>
      <w:bookmarkEnd w:id="293"/>
    </w:p>
    <w:tbl>
      <w:tblPr>
        <w:tblW w:w="3573" w:type="dxa"/>
        <w:jc w:val="left"/>
        <w:tblInd w:w="0" w:type="dxa"/>
        <w:tblLayout w:type="fixed"/>
        <w:tblCellMar>
          <w:top w:w="0" w:type="dxa"/>
          <w:left w:w="0" w:type="dxa"/>
          <w:bottom w:w="0" w:type="dxa"/>
          <w:right w:w="0" w:type="dxa"/>
        </w:tblCellMar>
      </w:tblPr>
      <w:tblGrid>
        <w:gridCol w:w="68"/>
        <w:gridCol w:w="140"/>
        <w:gridCol w:w="33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0"/>
              <w:jc w:val="both"/>
              <w:rPr/>
            </w:pPr>
            <w:r>
              <w:rPr/>
              <w:t>the provision for any sinking fund;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294" w:name="z1d827221a3114191a562070037fe3f4b"/>
      <w:bookmarkStart w:id="295" w:name="z1d827221a3114191a562070037fe3f4b"/>
      <w:bookmarkEnd w:id="295"/>
    </w:p>
    <w:tbl>
      <w:tblPr>
        <w:tblW w:w="2688" w:type="dxa"/>
        <w:jc w:val="left"/>
        <w:tblInd w:w="0" w:type="dxa"/>
        <w:tblLayout w:type="fixed"/>
        <w:tblCellMar>
          <w:top w:w="0" w:type="dxa"/>
          <w:left w:w="0" w:type="dxa"/>
          <w:bottom w:w="0" w:type="dxa"/>
          <w:right w:w="0" w:type="dxa"/>
        </w:tblCellMar>
      </w:tblPr>
      <w:tblGrid>
        <w:gridCol w:w="68"/>
        <w:gridCol w:w="140"/>
        <w:gridCol w:w="24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0"/>
              <w:jc w:val="both"/>
              <w:rPr/>
            </w:pPr>
            <w:r>
              <w:rPr/>
              <w:t>any restrictive covenants;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6" w:name="z479414ef015349c39be22bb524c0e5a9"/>
      <w:bookmarkStart w:id="297" w:name="z479414ef015349c39be22bb524c0e5a9"/>
      <w:bookmarkEnd w:id="297"/>
    </w:p>
    <w:tbl>
      <w:tblPr>
        <w:tblW w:w="2433" w:type="dxa"/>
        <w:jc w:val="left"/>
        <w:tblInd w:w="0" w:type="dxa"/>
        <w:tblLayout w:type="fixed"/>
        <w:tblCellMar>
          <w:top w:w="0" w:type="dxa"/>
          <w:left w:w="0" w:type="dxa"/>
          <w:bottom w:w="0" w:type="dxa"/>
          <w:right w:w="0" w:type="dxa"/>
        </w:tblCellMar>
      </w:tblPr>
      <w:tblGrid>
        <w:gridCol w:w="68"/>
        <w:gridCol w:w="140"/>
        <w:gridCol w:w="22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jc w:val="both"/>
              <w:rPr/>
            </w:pPr>
            <w:r>
              <w:rPr/>
              <w:t>any Events of Default;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98" w:name="z5be2796c11d84a0d9f6f3ec0fdd7f82d"/>
      <w:bookmarkStart w:id="299" w:name="z5be2796c11d84a0d9f6f3ec0fdd7f82d"/>
      <w:bookmarkEnd w:id="299"/>
    </w:p>
    <w:tbl>
      <w:tblPr>
        <w:tblW w:w="6573" w:type="dxa"/>
        <w:jc w:val="left"/>
        <w:tblInd w:w="0" w:type="dxa"/>
        <w:tblLayout w:type="fixed"/>
        <w:tblCellMar>
          <w:top w:w="0" w:type="dxa"/>
          <w:left w:w="0" w:type="dxa"/>
          <w:bottom w:w="0" w:type="dxa"/>
          <w:right w:w="0" w:type="dxa"/>
        </w:tblCellMar>
      </w:tblPr>
      <w:tblGrid>
        <w:gridCol w:w="68"/>
        <w:gridCol w:w="140"/>
        <w:gridCol w:w="63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pPr>
            <w:r>
              <w:rPr/>
              <w:t>whether the series of debt securities is issuable in certificated form;</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0" w:name="z177419a67e8c4f90a0a6b188c3da47dd"/>
      <w:bookmarkStart w:id="301" w:name="z177419a67e8c4f90a0a6b188c3da47dd"/>
      <w:bookmarkEnd w:id="301"/>
    </w:p>
    <w:tbl>
      <w:tblPr>
        <w:tblW w:w="5433" w:type="dxa"/>
        <w:jc w:val="left"/>
        <w:tblInd w:w="0" w:type="dxa"/>
        <w:tblLayout w:type="fixed"/>
        <w:tblCellMar>
          <w:top w:w="0" w:type="dxa"/>
          <w:left w:w="0" w:type="dxa"/>
          <w:bottom w:w="0" w:type="dxa"/>
          <w:right w:w="0" w:type="dxa"/>
        </w:tblCellMar>
      </w:tblPr>
      <w:tblGrid>
        <w:gridCol w:w="68"/>
        <w:gridCol w:w="140"/>
        <w:gridCol w:w="52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pPr>
            <w:r>
              <w:rPr/>
              <w:t>any provisions for defeasance or covenant defeasance;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2" w:name="z11e9146df231407cb64161c60d55fb73"/>
      <w:bookmarkStart w:id="303" w:name="z11e9146df231407cb64161c60d55fb73"/>
      <w:bookmarkEnd w:id="30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any special U.S. federal income tax implications, including, if applicable, U.S. federal income tax considerations relating to original issue discount;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4" w:name="zee73cc121a324db7916b75af2bf7f09c"/>
      <w:bookmarkStart w:id="305" w:name="zee73cc121a324db7916b75af2bf7f09c"/>
      <w:bookmarkEnd w:id="30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6" w:name="zdf69f864025c487b82bf12907eb215f9"/>
      <w:bookmarkStart w:id="307" w:name="zdf69f864025c487b82bf12907eb215f9"/>
      <w:bookmarkEnd w:id="307"/>
    </w:p>
    <w:tbl>
      <w:tblPr>
        <w:tblW w:w="10053" w:type="dxa"/>
        <w:jc w:val="left"/>
        <w:tblInd w:w="0" w:type="dxa"/>
        <w:tblLayout w:type="fixed"/>
        <w:tblCellMar>
          <w:top w:w="0" w:type="dxa"/>
          <w:left w:w="0" w:type="dxa"/>
          <w:bottom w:w="0" w:type="dxa"/>
          <w:right w:w="0" w:type="dxa"/>
        </w:tblCellMar>
      </w:tblPr>
      <w:tblGrid>
        <w:gridCol w:w="68"/>
        <w:gridCol w:w="140"/>
        <w:gridCol w:w="98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0"/>
              <w:jc w:val="both"/>
              <w:rPr/>
            </w:pPr>
            <w:r>
              <w:rPr/>
              <w:t>any provisions for convertibility or exchangeability of the debt securities into or for any other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08" w:name="ze365206198654b03af3a27b38021fa4c"/>
      <w:bookmarkStart w:id="309" w:name="ze365206198654b03af3a27b38021fa4c"/>
      <w:bookmarkEnd w:id="309"/>
    </w:p>
    <w:tbl>
      <w:tblPr>
        <w:tblW w:w="8943" w:type="dxa"/>
        <w:jc w:val="left"/>
        <w:tblInd w:w="0" w:type="dxa"/>
        <w:tblLayout w:type="fixed"/>
        <w:tblCellMar>
          <w:top w:w="0" w:type="dxa"/>
          <w:left w:w="0" w:type="dxa"/>
          <w:bottom w:w="0" w:type="dxa"/>
          <w:right w:w="0" w:type="dxa"/>
        </w:tblCellMar>
      </w:tblPr>
      <w:tblGrid>
        <w:gridCol w:w="68"/>
        <w:gridCol w:w="140"/>
        <w:gridCol w:w="873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0"/>
              <w:jc w:val="both"/>
              <w:rPr/>
            </w:pPr>
            <w:r>
              <w:rPr/>
              <w:t>whether the debt securities are subject to subordination and the terms of such subordination;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0" w:name="z79ee8a05b798494caf2f796b2b30895a"/>
      <w:bookmarkStart w:id="311" w:name="z79ee8a05b798494caf2f796b2b30895a"/>
      <w:bookmarkEnd w:id="311"/>
    </w:p>
    <w:tbl>
      <w:tblPr>
        <w:tblW w:w="7503" w:type="dxa"/>
        <w:jc w:val="left"/>
        <w:tblInd w:w="0" w:type="dxa"/>
        <w:tblLayout w:type="fixed"/>
        <w:tblCellMar>
          <w:top w:w="0" w:type="dxa"/>
          <w:left w:w="0" w:type="dxa"/>
          <w:bottom w:w="0" w:type="dxa"/>
          <w:right w:w="0" w:type="dxa"/>
        </w:tblCellMar>
      </w:tblPr>
      <w:tblGrid>
        <w:gridCol w:w="68"/>
        <w:gridCol w:w="140"/>
        <w:gridCol w:w="72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pPr>
            <w:r>
              <w:rPr/>
              <w:t>whether the debt securities are secured and the terms of any security interest;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2" w:name="z63151506c206420bb362f0fbc4b6fc07"/>
      <w:bookmarkStart w:id="313" w:name="z63151506c206420bb362f0fbc4b6fc07"/>
      <w:bookmarkEnd w:id="313"/>
    </w:p>
    <w:tbl>
      <w:tblPr>
        <w:tblW w:w="4758" w:type="dxa"/>
        <w:jc w:val="left"/>
        <w:tblInd w:w="0" w:type="dxa"/>
        <w:tblLayout w:type="fixed"/>
        <w:tblCellMar>
          <w:top w:w="0" w:type="dxa"/>
          <w:left w:w="0" w:type="dxa"/>
          <w:bottom w:w="0" w:type="dxa"/>
          <w:right w:w="0" w:type="dxa"/>
        </w:tblCellMar>
      </w:tblPr>
      <w:tblGrid>
        <w:gridCol w:w="68"/>
        <w:gridCol w:w="140"/>
        <w:gridCol w:w="45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pPr>
            <w:r>
              <w:rPr/>
              <w:t>the listing, if any, on a securities exchange;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4" w:name="zcd6cef0a22d240baa75655fc4c2af5e3"/>
      <w:bookmarkStart w:id="315" w:name="zcd6cef0a22d240baa75655fc4c2af5e3"/>
      <w:bookmarkEnd w:id="315"/>
    </w:p>
    <w:tbl>
      <w:tblPr>
        <w:tblW w:w="1818" w:type="dxa"/>
        <w:jc w:val="left"/>
        <w:tblInd w:w="0" w:type="dxa"/>
        <w:tblLayout w:type="fixed"/>
        <w:tblCellMar>
          <w:top w:w="0" w:type="dxa"/>
          <w:left w:w="0" w:type="dxa"/>
          <w:bottom w:w="0" w:type="dxa"/>
          <w:right w:w="0" w:type="dxa"/>
        </w:tblCellMar>
      </w:tblPr>
      <w:tblGrid>
        <w:gridCol w:w="68"/>
        <w:gridCol w:w="140"/>
        <w:gridCol w:w="16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0"/>
              <w:jc w:val="both"/>
              <w:rPr/>
            </w:pPr>
            <w:r>
              <w:rPr/>
              <w:t>any other terms.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debt securities may be secured or unsecured obligations. Unless the prospectus supplement states otherwise, principal (and premium, if any) and interest, if any, will be paid by us in immediately available funds.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provisions of the 1940 Act, we, as a BDC, are permitted to issue debt only in amounts such that our asset coverage, as defined in the 1940 Act, equals at least 150% after each issuance of debt, but giving effect to any exemptive relief granted to us by the SEC. Part I, Item 1A “</w:t>
      </w:r>
      <w:r>
        <w:rPr>
          <w:rFonts w:ascii="Times New Roman" w:hAnsi="Times New Roman"/>
          <w:i/>
          <w:color w:val="000000"/>
          <w:sz w:val="20"/>
          <w:shd w:fill="FFFFFF" w:val="clear"/>
        </w:rPr>
        <w:t xml:space="preserve">Risk Factors - Risks Relating to Our Use of Leverage and Credit Facilities – If we borrow money, the potential for loss on amounts invested in us will be magnified and may increase the risk of investing in us” </w:t>
      </w:r>
      <w:r>
        <w:rPr>
          <w:rFonts w:ascii="Times New Roman" w:hAnsi="Times New Roman"/>
          <w:color w:val="000000"/>
          <w:sz w:val="20"/>
          <w:shd w:fill="FFFFFF" w:val="clear"/>
        </w:rPr>
        <w:t>in our most recent Annual Report on Form 10-K</w:t>
      </w:r>
      <w:r>
        <w:rPr>
          <w:rFonts w:ascii="Times New Roman" w:hAnsi="Times New Roman"/>
          <w:i/>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purposes of this prospectus, any reference to the payment of principal of, or premium or interest, if any, on, debt securities will include additional amounts if required by the terms of the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indenture does not limit the amount of debt securities that may be issued thereunder from time to time. The indenture also provides that there may be more than one trustee thereunder, each with respect to one or more different series of indenture securities. See “- </w:t>
      </w:r>
      <w:r>
        <w:rPr>
          <w:rFonts w:ascii="Times New Roman" w:hAnsi="Times New Roman"/>
          <w:i/>
          <w:color w:val="000000"/>
          <w:sz w:val="20"/>
          <w:shd w:fill="FFFFFF" w:val="clear"/>
        </w:rPr>
        <w:t>Resignation of Trustee</w:t>
      </w:r>
      <w:r>
        <w:rPr>
          <w:rFonts w:ascii="Times New Roman" w:hAnsi="Times New Roman"/>
          <w:color w:val="000000"/>
          <w:sz w:val="20"/>
          <w:shd w:fill="FFFFFF" w:val="clear"/>
        </w:rPr>
        <w:t>”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Except as described under “- Events of Default” and “- Merger or Consolidation” below, the indenture does not contain any provisions that give you protection in the event we issue a large amount of debt or we are acquired by another entity.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Conversion and Exchange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Issuance of Securities in Registered Form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Book-Entry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Street Name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Legal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Special Considerations for Indirect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you hold debt securities through a bank, broker or other financial institution, either in book-entry form or in street name, we urge you to check with that institution to find out: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6" w:name="zf2cccf560d3340128555a1ffb49a4073"/>
      <w:bookmarkStart w:id="317" w:name="zf2cccf560d3340128555a1ffb49a4073"/>
      <w:bookmarkEnd w:id="317"/>
    </w:p>
    <w:tbl>
      <w:tblPr>
        <w:tblW w:w="4758" w:type="dxa"/>
        <w:jc w:val="left"/>
        <w:tblInd w:w="0" w:type="dxa"/>
        <w:tblLayout w:type="fixed"/>
        <w:tblCellMar>
          <w:top w:w="0" w:type="dxa"/>
          <w:left w:w="0" w:type="dxa"/>
          <w:bottom w:w="0" w:type="dxa"/>
          <w:right w:w="0" w:type="dxa"/>
        </w:tblCellMar>
      </w:tblPr>
      <w:tblGrid>
        <w:gridCol w:w="68"/>
        <w:gridCol w:w="140"/>
        <w:gridCol w:w="45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pPr>
            <w:r>
              <w:rPr/>
              <w:t>how it handles securities payments and notices,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18" w:name="z34eee3f1da124df987eaacb286d78bcd"/>
      <w:bookmarkStart w:id="319" w:name="z34eee3f1da124df987eaacb286d78bcd"/>
      <w:bookmarkEnd w:id="319"/>
    </w:p>
    <w:tbl>
      <w:tblPr>
        <w:tblW w:w="3603" w:type="dxa"/>
        <w:jc w:val="left"/>
        <w:tblInd w:w="0" w:type="dxa"/>
        <w:tblLayout w:type="fixed"/>
        <w:tblCellMar>
          <w:top w:w="0" w:type="dxa"/>
          <w:left w:w="0" w:type="dxa"/>
          <w:bottom w:w="0" w:type="dxa"/>
          <w:right w:w="0" w:type="dxa"/>
        </w:tblCellMar>
      </w:tblPr>
      <w:tblGrid>
        <w:gridCol w:w="68"/>
        <w:gridCol w:w="140"/>
        <w:gridCol w:w="33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pPr>
            <w:r>
              <w:rPr/>
              <w:t>whether it imposes fees or charges,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20" w:name="z3481943e68844743b909ff2a5c77b28d"/>
      <w:bookmarkStart w:id="321" w:name="z3481943e68844743b909ff2a5c77b28d"/>
      <w:bookmarkEnd w:id="321"/>
    </w:p>
    <w:tbl>
      <w:tblPr>
        <w:tblW w:w="7053" w:type="dxa"/>
        <w:jc w:val="left"/>
        <w:tblInd w:w="0" w:type="dxa"/>
        <w:tblLayout w:type="fixed"/>
        <w:tblCellMar>
          <w:top w:w="0" w:type="dxa"/>
          <w:left w:w="0" w:type="dxa"/>
          <w:bottom w:w="0" w:type="dxa"/>
          <w:right w:w="0" w:type="dxa"/>
        </w:tblCellMar>
      </w:tblPr>
      <w:tblGrid>
        <w:gridCol w:w="68"/>
        <w:gridCol w:w="140"/>
        <w:gridCol w:w="68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both"/>
              <w:rPr/>
            </w:pPr>
            <w:r>
              <w:rPr/>
              <w:t>how it would handle a request for the holders’ consent, if ever required,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22" w:name="zee0c7abf07c242f9b530491e124399ad"/>
      <w:bookmarkStart w:id="323" w:name="zee0c7abf07c242f9b530491e124399ad"/>
      <w:bookmarkEnd w:id="32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whether and how you can instruct it to send you debt securities registered in your own name so you can be a holder, if that is permitted in the future for a particular series of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24" w:name="z8049ae7415954c28b18a1fb0398db5f5"/>
      <w:bookmarkStart w:id="325" w:name="z8049ae7415954c28b18a1fb0398db5f5"/>
      <w:bookmarkEnd w:id="32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how it would exercise rights under the debt securities if there were a default or other event triggering the need for holders to act to protect their interests,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26" w:name="z34d1f4b8c9e34c8eae6befd5bc1cfd92"/>
      <w:bookmarkStart w:id="327" w:name="z34d1f4b8c9e34c8eae6befd5bc1cfd92"/>
      <w:bookmarkEnd w:id="32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the debt securities are in book-entry form, how the depositary’s rules and procedures will affect these matters.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Global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global security may not be transferred to or registered in the name of anyone other than the depositary or its nominee, unless special termination situations arise. We describe those situations below under “Special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Special Considerations for Global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debt securities are issued only in the form of a global security, an investor should be aware of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28" w:name="z01f20b720f6942229850cf30694beb3e"/>
      <w:bookmarkStart w:id="329" w:name="z01f20b720f6942229850cf30694beb3e"/>
      <w:bookmarkEnd w:id="32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investor cannot cause the debt securities to be registered in his or her name, and cannot obtain certificates for his or her interest in the debt securities, except in the special situations we describe below.</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0" w:name="z1b612d1d0baf4f98806b7a55a342f9b0"/>
      <w:bookmarkStart w:id="331" w:name="z1b612d1d0baf4f98806b7a55a342f9b0"/>
      <w:bookmarkEnd w:id="33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investor will be an indirect holder and must look to his or her own bank or broker for payments on the debt securities and protection of his or her legal rights relating to the debt securities, as we describe under “Issuance of Securities in Registered Form” above.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2" w:name="z6c8b5d0a83b24a5aafff0f2ce39b4875"/>
      <w:bookmarkStart w:id="333" w:name="z6c8b5d0a83b24a5aafff0f2ce39b4875"/>
      <w:bookmarkEnd w:id="33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investor may not be able to sell interests in the debt securities to some insurance companies and other institutions that are required by law to own their securities in non-book-entry form.</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4" w:name="zffa784943bbd48678efb6cde0d8cbafe"/>
      <w:bookmarkStart w:id="335" w:name="zffa784943bbd48678efb6cde0d8cbafe"/>
      <w:bookmarkEnd w:id="33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investor may not be able to pledge his or her interest in a global security in circumstances where certificates representing the debt securities must be delivered to the lender or other beneficiary of the pledge in order for the pledge to be effective.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6" w:name="z84461266162146669cbbb7b0ea3e6145"/>
      <w:bookmarkStart w:id="337" w:name="z84461266162146669cbbb7b0ea3e6145"/>
      <w:bookmarkEnd w:id="33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38" w:name="za7c593ab5295449cb1da6342c015b51c"/>
      <w:bookmarkStart w:id="339" w:name="za7c593ab5295449cb1da6342c015b51c"/>
      <w:bookmarkEnd w:id="33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we redeem less than all the debt securities of a particular series being redeemed, DTC’s practice is to determine by lot the amount to be redeemed from each of its participants holding that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40" w:name="zdd987c947aa54d4fa41f9f2a4e13464c"/>
      <w:bookmarkStart w:id="341" w:name="zdd987c947aa54d4fa41f9f2a4e13464c"/>
      <w:bookmarkEnd w:id="34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42" w:name="z6f73ae0de7bd4a9d8b0dcf40555990a3"/>
      <w:bookmarkStart w:id="343" w:name="z6f73ae0de7bd4a9d8b0dcf40555990a3"/>
      <w:bookmarkEnd w:id="34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44" w:name="z874fae8a8ccd45e4ae689eb9dfd08b51"/>
      <w:bookmarkStart w:id="345" w:name="z874fae8a8ccd45e4ae689eb9dfd08b51"/>
      <w:bookmarkEnd w:id="34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Termination of a Global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 global security is terminated,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Payment and Paying Agents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Payments on Global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Payments on Certificated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make payments on a certificated debt security as follows. We will pay interest that is due on an interest payment date to the holder of debt securities as shown on the trustee’s records as of the close of business on the regular record date at our office in New York, NY and/or at other offices that may be specified in the prospectus supplement. We will make all payments of principal and premium, if any, by check at the office of the applicable trustee in New York, NY and/or at other offices that may be specified in the prospectus supplement or in a notice to holders against surrender of the debt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Alternatively, at our option, we may pay any interest that becomes due on the debt security by mailing a check to the holder at his or her address shown on the trustee’s records as of the close of business on the regular record date or by transfer to an account at a bank in the United States, in either case, on the due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Payment When Offices Are Closed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Book-entry and other indirect holders should consult their banks or brokers for information on how they will receive payments on their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Events of Default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You will have rights if an Event of Default occurs in respect of the debt securities of your series and is not cured, as described later in this subsection.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term “Event of Default” in respect of the debt securities of your series means any of the following (unless the prospectus supplement relating to such debt securities states otherwise):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(1) we default in the payment of any interest upon a debt securities of the series when due and payable and the default continues for a period of 30 days;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(2) we default in the payment of the principal of (or premium, if any, on) a debt security of the series when it becomes due and payable at its maturity, including upon any redemption date or required repurchase date, and the default continues for a period of five days;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(3) we fail for 60 consecutive days after written notice from the trustee or the holders of at least 25% in principal amount of the debt securities of the series then outstanding to us and the trustee, as applicable, has been received to comply with any of our other agreements with respect to debt securities of the series;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(4) 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(5) we file for bankruptcy or certain events of bankruptcy, insolvency, or reorganization involving us occur and remain undischarged or unstayed for a period of 90 days;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(6) we do not deposit any sinking fund payment in respect of debt securities of the series on its due date, and do not cure this default within five days; and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(7) any other Event of Default in respect of debt securities of the series described in the applicable prospectus supplement occurs.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in good faith considers the withholding of notice to be in the interests of the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Remedies If an Event of Default Occurs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an Event of Default has occurred and has not been cured, the trustee or the holders of at least 25% in principal amount of the outstanding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indemnity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Before you are allowed to bypass your trustee and bring your own lawsuit or other formal legal action or take other steps to enforce your rights or protect your interests relating to the debt securities, the following must occur: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46" w:name="z6d69f25c7ea6442fa4a843a03ba9533a"/>
      <w:bookmarkStart w:id="347" w:name="z6d69f25c7ea6442fa4a843a03ba9533a"/>
      <w:bookmarkEnd w:id="34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You must give your trustee written notice that an Event of Default with respect to the relevant series of debt securities has occurred and remains uncured.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48" w:name="zf01c6e8dd311425cbeb3b193a3ef19aa"/>
      <w:bookmarkStart w:id="349" w:name="zf01c6e8dd311425cbeb3b193a3ef19aa"/>
      <w:bookmarkEnd w:id="34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holders of at least 25% in principal amount of all outstanding debt securities of the relevant series must make a written request that the trustee take action because of the default and must offer to the trustee security or indemnity satisfactory to it against the cost, expenses, and other liabilities of taking that action.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0" w:name="zef3083134cbd463c87b9d65ffc79a6ca"/>
      <w:bookmarkStart w:id="351" w:name="zef3083134cbd463c87b9d65ffc79a6ca"/>
      <w:bookmarkEnd w:id="35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trustee must not have taken action for 60 days after receipt of the above notice and offer of security or indemnity.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352" w:name="zc384bff68d7743caaaf3b520062248cd"/>
      <w:bookmarkStart w:id="353" w:name="zc384bff68d7743caaaf3b520062248cd"/>
      <w:bookmarkEnd w:id="35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holders of a majority in principal amount of the debt securities of that series must not have given the trustee a direction inconsistent with the above notice during that 60-day period.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However, you are entitled at any time to bring a lawsuit for the payment of money due on your debt securities on or after the due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of a majority in principal amount of the debt securities of the affected series may waive any past defaults other than a default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4" w:name="z0f5a9ea8bdae45ccb74ac8e22b8a7688"/>
      <w:bookmarkStart w:id="355" w:name="z0f5a9ea8bdae45ccb74ac8e22b8a7688"/>
      <w:bookmarkEnd w:id="355"/>
    </w:p>
    <w:tbl>
      <w:tblPr>
        <w:tblW w:w="5508" w:type="dxa"/>
        <w:jc w:val="left"/>
        <w:tblInd w:w="0" w:type="dxa"/>
        <w:tblLayout w:type="fixed"/>
        <w:tblCellMar>
          <w:top w:w="0" w:type="dxa"/>
          <w:left w:w="0" w:type="dxa"/>
          <w:bottom w:w="0" w:type="dxa"/>
          <w:right w:w="0" w:type="dxa"/>
        </w:tblCellMar>
      </w:tblPr>
      <w:tblGrid>
        <w:gridCol w:w="68"/>
        <w:gridCol w:w="140"/>
        <w:gridCol w:w="53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0"/>
              <w:jc w:val="both"/>
              <w:rPr/>
            </w:pPr>
            <w:r>
              <w:rPr/>
              <w:t>in the payment of principal, any premium, or interest or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6" w:name="z1081f515be0546ab91924dd75302b41f"/>
      <w:bookmarkStart w:id="357" w:name="z1081f515be0546ab91924dd75302b41f"/>
      <w:bookmarkEnd w:id="357"/>
    </w:p>
    <w:tbl>
      <w:tblPr>
        <w:tblW w:w="9363" w:type="dxa"/>
        <w:jc w:val="left"/>
        <w:tblInd w:w="0" w:type="dxa"/>
        <w:tblLayout w:type="fixed"/>
        <w:tblCellMar>
          <w:top w:w="0" w:type="dxa"/>
          <w:left w:w="0" w:type="dxa"/>
          <w:bottom w:w="0" w:type="dxa"/>
          <w:right w:w="0" w:type="dxa"/>
        </w:tblCellMar>
      </w:tblPr>
      <w:tblGrid>
        <w:gridCol w:w="68"/>
        <w:gridCol w:w="140"/>
        <w:gridCol w:w="91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0"/>
              <w:jc w:val="both"/>
              <w:rPr/>
            </w:pPr>
            <w:r>
              <w:rPr/>
              <w:t>in respect of a covenant that cannot be modified or amended without the consent of each holder.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b/>
          <w:color w:val="000000"/>
          <w:sz w:val="20"/>
          <w:shd w:fill="FFFFFF" w:val="clear"/>
        </w:rPr>
      </w:pPr>
      <w:r>
        <w:rPr>
          <w:rFonts w:ascii="Times New Roman" w:hAnsi="Times New Roman"/>
          <w:b/>
          <w:color w:val="000000"/>
          <w:sz w:val="20"/>
          <w:shd w:fill="FFFFFF" w:val="clear"/>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Each year, we will furnish to each trustee a written statement of certain of our officers certifying that to their knowledge we are in compliance with the indenture and the debt securities or else specifying any default.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Merger, Consolidation or Sale of Assets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Unless the prospectus supplement relating to certain debt securities states otherwise, the indenture will provide that we will not merge or consolidate with or into any other person (other than a merger of a wholly-owned subsidiary into us),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the Company’s property to a wholly-owned subsidiary of the Company) in any one transaction or series of related transactions unless: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58" w:name="zdd10ec61ecf8410db77aa22c645cfad9"/>
      <w:bookmarkStart w:id="359" w:name="zdd10ec61ecf8410db77aa22c645cfad9"/>
      <w:bookmarkEnd w:id="35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0" w:name="zb3feb8060ecb4e12919b035b37ed9e1a"/>
      <w:bookmarkStart w:id="361" w:name="zb3feb8060ecb4e12919b035b37ed9e1a"/>
      <w:bookmarkEnd w:id="36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2" w:name="z39de04b0dc7f411885dbf683938c8fea"/>
      <w:bookmarkStart w:id="363" w:name="z39de04b0dc7f411885dbf683938c8fea"/>
      <w:bookmarkEnd w:id="36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immediately before and immediately after giving effect to such transaction or series of related transactions, no default or Event of Default shall have occurred and be continuing;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4" w:name="z81ea2d89378b412885b41de5bcf787ad"/>
      <w:bookmarkStart w:id="365" w:name="z81ea2d89378b412885b41de5bcf787ad"/>
      <w:bookmarkEnd w:id="36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Modification or Waiver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There are three types of changes we can make to the indenture and the debt securities issued thereunder.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Changes Requiring Your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First, there are changes that we cannot make to your debt securities without your specific approval. The following is a list of those types of changes: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6" w:name="z13c272314f564418ae539ddefa107f87"/>
      <w:bookmarkStart w:id="367" w:name="z13c272314f564418ae539ddefa107f87"/>
      <w:bookmarkEnd w:id="367"/>
    </w:p>
    <w:tbl>
      <w:tblPr>
        <w:tblW w:w="7593" w:type="dxa"/>
        <w:jc w:val="left"/>
        <w:tblInd w:w="0" w:type="dxa"/>
        <w:tblLayout w:type="fixed"/>
        <w:tblCellMar>
          <w:top w:w="0" w:type="dxa"/>
          <w:left w:w="0" w:type="dxa"/>
          <w:bottom w:w="0" w:type="dxa"/>
          <w:right w:w="0" w:type="dxa"/>
        </w:tblCellMar>
      </w:tblPr>
      <w:tblGrid>
        <w:gridCol w:w="68"/>
        <w:gridCol w:w="140"/>
        <w:gridCol w:w="73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0"/>
              <w:jc w:val="both"/>
              <w:rPr/>
            </w:pPr>
            <w:r>
              <w:rPr/>
              <w:t>change the stated maturity of the principal of or interest on the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8" w:name="z77e8c60aea624d5fa8509818a400e4b0"/>
      <w:bookmarkStart w:id="369" w:name="z77e8c60aea624d5fa8509818a400e4b0"/>
      <w:bookmarkEnd w:id="369"/>
    </w:p>
    <w:tbl>
      <w:tblPr>
        <w:tblW w:w="4698" w:type="dxa"/>
        <w:jc w:val="left"/>
        <w:tblInd w:w="0" w:type="dxa"/>
        <w:tblLayout w:type="fixed"/>
        <w:tblCellMar>
          <w:top w:w="0" w:type="dxa"/>
          <w:left w:w="0" w:type="dxa"/>
          <w:bottom w:w="0" w:type="dxa"/>
          <w:right w:w="0" w:type="dxa"/>
        </w:tblCellMar>
      </w:tblPr>
      <w:tblGrid>
        <w:gridCol w:w="68"/>
        <w:gridCol w:w="140"/>
        <w:gridCol w:w="44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both"/>
              <w:rPr/>
            </w:pPr>
            <w:r>
              <w:rPr/>
              <w:t>reduce any amounts due on the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0" w:name="z793f92961715441296162886f6d0bb5c"/>
      <w:bookmarkStart w:id="371" w:name="z793f92961715441296162886f6d0bb5c"/>
      <w:bookmarkEnd w:id="37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reduce the amount of principal payable upon acceleration of the maturity of a security following a default;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2" w:name="z452fa67a57204875ac76a3950d6e8664"/>
      <w:bookmarkStart w:id="373" w:name="z452fa67a57204875ac76a3950d6e8664"/>
      <w:bookmarkEnd w:id="373"/>
    </w:p>
    <w:tbl>
      <w:tblPr>
        <w:tblW w:w="6108" w:type="dxa"/>
        <w:jc w:val="left"/>
        <w:tblInd w:w="0" w:type="dxa"/>
        <w:tblLayout w:type="fixed"/>
        <w:tblCellMar>
          <w:top w:w="0" w:type="dxa"/>
          <w:left w:w="0" w:type="dxa"/>
          <w:bottom w:w="0" w:type="dxa"/>
          <w:right w:w="0" w:type="dxa"/>
        </w:tblCellMar>
      </w:tblPr>
      <w:tblGrid>
        <w:gridCol w:w="68"/>
        <w:gridCol w:w="140"/>
        <w:gridCol w:w="59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0"/>
              <w:jc w:val="both"/>
              <w:rPr/>
            </w:pPr>
            <w:r>
              <w:rPr/>
              <w:t>adversely affect any right of repayment at the holder’s option;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4" w:name="z43e47be5c3084df9a4b951fd6de999df"/>
      <w:bookmarkStart w:id="375" w:name="z43e47be5c3084df9a4b951fd6de999df"/>
      <w:bookmarkEnd w:id="37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change the place (except as otherwise described in the prospectus or prospectus supplement) or currency of payment on a debt security;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6" w:name="zf69aa8d656944fa1b3de75ba30cdf71a"/>
      <w:bookmarkStart w:id="377" w:name="zf69aa8d656944fa1b3de75ba30cdf71a"/>
      <w:bookmarkEnd w:id="377"/>
    </w:p>
    <w:tbl>
      <w:tblPr>
        <w:tblW w:w="3768" w:type="dxa"/>
        <w:jc w:val="left"/>
        <w:tblInd w:w="0" w:type="dxa"/>
        <w:tblLayout w:type="fixed"/>
        <w:tblCellMar>
          <w:top w:w="0" w:type="dxa"/>
          <w:left w:w="0" w:type="dxa"/>
          <w:bottom w:w="0" w:type="dxa"/>
          <w:right w:w="0" w:type="dxa"/>
        </w:tblCellMar>
      </w:tblPr>
      <w:tblGrid>
        <w:gridCol w:w="68"/>
        <w:gridCol w:w="140"/>
        <w:gridCol w:w="35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both"/>
              <w:rPr/>
            </w:pPr>
            <w:r>
              <w:rPr/>
              <w:t>impair your right to sue for payment;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78" w:name="z3f12632107dd467da10405e92c621d36"/>
      <w:bookmarkStart w:id="379" w:name="z3f12632107dd467da10405e92c621d36"/>
      <w:bookmarkEnd w:id="379"/>
    </w:p>
    <w:tbl>
      <w:tblPr>
        <w:tblW w:w="9078" w:type="dxa"/>
        <w:jc w:val="left"/>
        <w:tblInd w:w="0" w:type="dxa"/>
        <w:tblLayout w:type="fixed"/>
        <w:tblCellMar>
          <w:top w:w="0" w:type="dxa"/>
          <w:left w:w="0" w:type="dxa"/>
          <w:bottom w:w="0" w:type="dxa"/>
          <w:right w:w="0" w:type="dxa"/>
        </w:tblCellMar>
      </w:tblPr>
      <w:tblGrid>
        <w:gridCol w:w="68"/>
        <w:gridCol w:w="140"/>
        <w:gridCol w:w="8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0"/>
              <w:jc w:val="both"/>
              <w:rPr/>
            </w:pPr>
            <w:r>
              <w:rPr/>
              <w:t>adversely affect any right to convert or exchange a debt security in accordance with its terms;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0" w:name="z72fb589b0ade44dea760204668334936"/>
      <w:bookmarkStart w:id="381" w:name="z72fb589b0ade44dea760204668334936"/>
      <w:bookmarkEnd w:id="38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modify the subordination provisions in the indenture in a manner that is adverse to outstanding holders of the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2" w:name="z54848114497a46cdb993d4704a0e76f7"/>
      <w:bookmarkStart w:id="383" w:name="z54848114497a46cdb993d4704a0e76f7"/>
      <w:bookmarkEnd w:id="38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reduce the percentage of holders of debt securities whose consent is needed to modify or amend the indenture;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4" w:name="z4e0255e7688e41778ac4cd2f401a3a68"/>
      <w:bookmarkStart w:id="385" w:name="z4e0255e7688e41778ac4cd2f401a3a68"/>
      <w:bookmarkEnd w:id="38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reduce the percentage of holders of debt securities whose consent is needed to waive compliance with certain provisions of the indenture or to waive certain defaults;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6" w:name="z2cefd7b1e0c84717a4c1139f27fe0f17"/>
      <w:bookmarkStart w:id="387" w:name="z2cefd7b1e0c84717a4c1139f27fe0f17"/>
      <w:bookmarkEnd w:id="38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modify certain of the provisions of the indenture dealing with supplemental indentures, modification and waiver of past defaults, changes to the quorum or voting requirements or the waiver of certain covenants;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8" w:name="zbb9dd9ac6fef4b17a9bd1e5464a078a1"/>
      <w:bookmarkStart w:id="389" w:name="zbb9dd9ac6fef4b17a9bd1e5464a078a1"/>
      <w:bookmarkEnd w:id="389"/>
    </w:p>
    <w:tbl>
      <w:tblPr>
        <w:tblW w:w="5793" w:type="dxa"/>
        <w:jc w:val="left"/>
        <w:tblInd w:w="0" w:type="dxa"/>
        <w:tblLayout w:type="fixed"/>
        <w:tblCellMar>
          <w:top w:w="0" w:type="dxa"/>
          <w:left w:w="0" w:type="dxa"/>
          <w:bottom w:w="0" w:type="dxa"/>
          <w:right w:w="0" w:type="dxa"/>
        </w:tblCellMar>
      </w:tblPr>
      <w:tblGrid>
        <w:gridCol w:w="68"/>
        <w:gridCol w:w="140"/>
        <w:gridCol w:w="55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both"/>
              <w:rPr/>
            </w:pPr>
            <w:r>
              <w:rPr/>
              <w:t>change any obligation we have to pay additional amounts.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Changes Not Requiring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events of default. We also do not need any approval to make any change that affects only debt securities to be issued under the indenture after the change takes effect.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Changes Requiring Majority Approval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Any other change to the indenture and the debt securities would require the following approval:</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0" w:name="z3e270678f99d4652bca6e9f31ffd9bc9"/>
      <w:bookmarkStart w:id="391" w:name="z3e270678f99d4652bca6e9f31ffd9bc9"/>
      <w:bookmarkEnd w:id="39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the change affects only one series of debt securities, it must be approved by the holders of a majority in principal amount of that series.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2" w:name="zbc460c495a79409b96c7afe5d3174a20"/>
      <w:bookmarkStart w:id="393" w:name="zbc460c495a79409b96c7afe5d3174a20"/>
      <w:bookmarkEnd w:id="39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 </w:t>
      </w:r>
      <w:r>
        <w:rPr>
          <w:rFonts w:ascii="Times New Roman" w:hAnsi="Times New Roman"/>
          <w:i/>
          <w:color w:val="000000"/>
          <w:sz w:val="20"/>
          <w:shd w:fill="FFFFFF" w:val="clear"/>
        </w:rPr>
        <w:t>Changes Requiring Your Approval</w:t>
      </w:r>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Further Details Concerning Voting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When taking a vote, we will use the following rules to decide how much principal to attribute to a debt security:</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4" w:name="zd05b0708d0e54cb8b3be15bd5ec24ac9"/>
      <w:bookmarkStart w:id="395" w:name="zd05b0708d0e54cb8b3be15bd5ec24ac9"/>
      <w:bookmarkEnd w:id="39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For original issue discount securities, we will use the principal amount that would be due and payable on the voting date if the maturity of these debt securities were accelerated to that date because of a default.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6" w:name="zf88ac6aace4a4cf2bb514bf99a756207"/>
      <w:bookmarkStart w:id="397" w:name="zf88ac6aace4a4cf2bb514bf99a756207"/>
      <w:bookmarkEnd w:id="39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For debt securities whose principal amount is not known (for example, because it is based on an index), we will use a special rule for that debt security described in the prospectus supplement.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8" w:name="z8ee861f8362c42d5bf60ac5f697dc80b"/>
      <w:bookmarkStart w:id="399" w:name="z8ee861f8362c42d5bf60ac5f697dc80b"/>
      <w:bookmarkEnd w:id="39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For debt securities denominated in one or more foreign currencies, we will use the U.S. dollar equivalent.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0" w:name="z860e87d18cdb4e2a91ec0ef1c41a926f"/>
      <w:bookmarkStart w:id="401" w:name="z860e87d18cdb4e2a91ec0ef1c41a926f"/>
      <w:bookmarkEnd w:id="40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 - Full Defeasance.”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Book-entry and other indirect holders should consult their banks or brokers for information on how approval may be granted or denied if we seek to change the indenture or the debt securities or request a waiver.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Satisfaction and Discharge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satisfy and discharge our obligations under the indenture by delivering to the securities registrar for cancellation all debt securities of the series then outstanding or by depositing with the trustee, in trust, funds in U.S. dollars in an amount sufficient to pay all of the debt securities of the series then outstanding after such debt securities have become due and payable or will become due and payable within one year (or scheduled for redemption within one year). Such discharge is subject to terms contained in the indenture.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Defeasance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provisions will be applicable to each series of debt securities unless we state in the applicable prospectus supplement that the provisions of covenant defeasance and full defeasance will not be applicable to that series.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Covenant Defeasance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 Indenture Provisions - Subordination” below. In order to achieve covenant defeasance, we must do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2" w:name="ze215bcaa928b403e924f0b5b68cf4884"/>
      <w:bookmarkStart w:id="403" w:name="ze215bcaa928b403e924f0b5b68cf4884"/>
      <w:bookmarkEnd w:id="40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404" w:name="z3b49afa7de154a359b3d6fbd89333480"/>
      <w:bookmarkStart w:id="405" w:name="z3b49afa7de154a359b3d6fbd89333480"/>
      <w:bookmarkEnd w:id="40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must deliver to the trustee a legal opinion of our counsel confirming that, under current U.S. federal income tax law, we may make the above deposit without causing you to recognize income, gain or loss for U.S. federal income tax purposes as a result of such covenant defeasance or to be taxed on the debt securities any differently than if we did not make the deposit and repaid the debt securities at maturity.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6" w:name="zaab6da38132e4079a57e6097f98144b8"/>
      <w:bookmarkStart w:id="407" w:name="zaab6da38132e4079a57e6097f98144b8"/>
      <w:bookmarkEnd w:id="40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must deliver to the trustee a legal opinion and officers’ certificate stating that all conditions precedent to covenant defeasance have been complied with.</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8" w:name="zf16e0565b5604463aa23ee8b00c933e0"/>
      <w:bookmarkStart w:id="409" w:name="zf16e0565b5604463aa23ee8b00c933e0"/>
      <w:bookmarkEnd w:id="40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Covenant defeasance must not result in a breach or violation of, or result in a default under, the indenture or any of our other material agreements or instruments.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0" w:name="zf881803afcfd4c1e99ad665b82c9bed2"/>
      <w:bookmarkStart w:id="411" w:name="zf881803afcfd4c1e99ad665b82c9bed2"/>
      <w:bookmarkEnd w:id="41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2" w:name="z271cea925ef24eb996265130ae7e7c20"/>
      <w:bookmarkStart w:id="413" w:name="z271cea925ef24eb996265130ae7e7c20"/>
      <w:bookmarkEnd w:id="413"/>
    </w:p>
    <w:tbl>
      <w:tblPr>
        <w:tblW w:w="8688" w:type="dxa"/>
        <w:jc w:val="left"/>
        <w:tblInd w:w="0" w:type="dxa"/>
        <w:tblLayout w:type="fixed"/>
        <w:tblCellMar>
          <w:top w:w="0" w:type="dxa"/>
          <w:left w:w="0" w:type="dxa"/>
          <w:bottom w:w="0" w:type="dxa"/>
          <w:right w:w="0" w:type="dxa"/>
        </w:tblCellMar>
      </w:tblPr>
      <w:tblGrid>
        <w:gridCol w:w="68"/>
        <w:gridCol w:w="140"/>
        <w:gridCol w:w="84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0"/>
              <w:jc w:val="both"/>
              <w:rPr/>
            </w:pPr>
            <w:r>
              <w:rPr/>
              <w:t>Satisfy the conditions for covenant defeasance contained in any supplemental indentures.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87" w:right="0" w:hanging="0"/>
        <w:jc w:val="both"/>
        <w:rPr>
          <w:rFonts w:ascii="Times New Roman" w:hAnsi="Times New Roman"/>
          <w:i/>
          <w:color w:val="000000"/>
          <w:sz w:val="20"/>
          <w:u w:val="single"/>
          <w:shd w:fill="FFFFFF" w:val="clear"/>
        </w:rPr>
      </w:pPr>
      <w:r>
        <w:rPr>
          <w:rFonts w:ascii="Times New Roman" w:hAnsi="Times New Roman"/>
          <w:i/>
          <w:color w:val="000000"/>
          <w:sz w:val="20"/>
          <w:u w:val="single"/>
          <w:shd w:fill="FFFFFF" w:val="clear"/>
        </w:rPr>
        <w:t>Legal Defeasance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there is a change in U.S. federal tax law or we obtain an IRS ruling, as described below, we can legally release ourselves from all payment and other obligations on the debt securities of a particular series (called “defeasance” or “legal defeasance”) if we put in place the following other arrangements for you to be repaid: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4" w:name="z76c31b1aaa3143f39b2481223f43ac07"/>
      <w:bookmarkStart w:id="415" w:name="z76c31b1aaa3143f39b2481223f43ac07"/>
      <w:bookmarkEnd w:id="41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If the debt securities of a particular series are denominated in U.S. dollars, we must deposit in trust for the benefit of all holders of the debt securities of a particular series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debt securities of the particular series on their various due dates.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6" w:name="z8708cb7649ed4786ab7e86b63c2427db"/>
      <w:bookmarkStart w:id="417" w:name="z8708cb7649ed4786ab7e86b63c2427db"/>
      <w:bookmarkEnd w:id="41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must deliver to the trustee a legal opinion confirming that there has been a change in current U.S. federal tax law or an IRS ruling that allows us to make the above deposit without causing you to recognize income, gain, or loss for U.S. federal income tax purposes as a result of such defeasance or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8" w:name="z6f640df8ab5b4c6bb263fffdeb0c6983"/>
      <w:bookmarkStart w:id="419" w:name="z6f640df8ab5b4c6bb263fffdeb0c6983"/>
      <w:bookmarkEnd w:id="41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We must deliver to the trustee a legal opinion and officers’ certificate stating that all conditions precedent to defeasance have been complied with.</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0" w:name="zb260210c42a5481ab9a717e97494d3cf"/>
      <w:bookmarkStart w:id="421" w:name="zb260210c42a5481ab9a717e97494d3cf"/>
      <w:bookmarkEnd w:id="42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Defeasance must not result in a breach or violation of, or result in a default under, the indenture or any of our other material agreements or instruments.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2" w:name="z6cf70fae67fe4aca942a5338d04877e0"/>
      <w:bookmarkStart w:id="423" w:name="z6cf70fae67fe4aca942a5338d04877e0"/>
      <w:bookmarkEnd w:id="42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 default or Event of Default with respect to such debt securities and any coupons appertaining thereto shall have occurred and be continuing and no defaults or events of default related to bankruptcy, insolvency or reorganization shall occur during the next 90 days.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4" w:name="zf5ea0c75b817465a9861d235ba44f135"/>
      <w:bookmarkStart w:id="425" w:name="zf5ea0c75b817465a9861d235ba44f135"/>
      <w:bookmarkEnd w:id="425"/>
    </w:p>
    <w:tbl>
      <w:tblPr>
        <w:tblW w:w="8688" w:type="dxa"/>
        <w:jc w:val="left"/>
        <w:tblInd w:w="0" w:type="dxa"/>
        <w:tblLayout w:type="fixed"/>
        <w:tblCellMar>
          <w:top w:w="0" w:type="dxa"/>
          <w:left w:w="0" w:type="dxa"/>
          <w:bottom w:w="0" w:type="dxa"/>
          <w:right w:w="0" w:type="dxa"/>
        </w:tblCellMar>
      </w:tblPr>
      <w:tblGrid>
        <w:gridCol w:w="68"/>
        <w:gridCol w:w="140"/>
        <w:gridCol w:w="84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0"/>
              <w:jc w:val="both"/>
              <w:rPr/>
            </w:pPr>
            <w:r>
              <w:rPr/>
              <w:t>Satisfy the conditions for covenant defeasance contained in any supplemental indentures.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ever accomplished legal defeasance, as described above, you would have to rely solely on the trust deposit for repayment of your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 - Subordination”.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Form, Exchange and Transfer of Certificated Registered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registered debt securities cease to be issued in book-entry form, they will be issued: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6" w:name="zec036cf7c1ea44cda5f85013566d9842"/>
      <w:bookmarkStart w:id="427" w:name="zec036cf7c1ea44cda5f85013566d9842"/>
      <w:bookmarkEnd w:id="427"/>
    </w:p>
    <w:tbl>
      <w:tblPr>
        <w:tblW w:w="4098" w:type="dxa"/>
        <w:jc w:val="left"/>
        <w:tblInd w:w="0" w:type="dxa"/>
        <w:tblLayout w:type="fixed"/>
        <w:tblCellMar>
          <w:top w:w="0" w:type="dxa"/>
          <w:left w:w="0" w:type="dxa"/>
          <w:bottom w:w="0" w:type="dxa"/>
          <w:right w:w="0" w:type="dxa"/>
        </w:tblCellMar>
      </w:tblPr>
      <w:tblGrid>
        <w:gridCol w:w="68"/>
        <w:gridCol w:w="140"/>
        <w:gridCol w:w="38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0"/>
              <w:jc w:val="both"/>
              <w:rPr/>
            </w:pPr>
            <w:r>
              <w:rPr/>
              <w:t>only in fully registered certificated form,</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8" w:name="za2c7537cc90a49eb838a8dc0da16da64"/>
      <w:bookmarkStart w:id="429" w:name="za2c7537cc90a49eb838a8dc0da16da64"/>
      <w:bookmarkEnd w:id="429"/>
    </w:p>
    <w:tbl>
      <w:tblPr>
        <w:tblW w:w="3078" w:type="dxa"/>
        <w:jc w:val="left"/>
        <w:tblInd w:w="0" w:type="dxa"/>
        <w:tblLayout w:type="fixed"/>
        <w:tblCellMar>
          <w:top w:w="0" w:type="dxa"/>
          <w:left w:w="0" w:type="dxa"/>
          <w:bottom w:w="0" w:type="dxa"/>
          <w:right w:w="0" w:type="dxa"/>
        </w:tblCellMar>
      </w:tblPr>
      <w:tblGrid>
        <w:gridCol w:w="68"/>
        <w:gridCol w:w="140"/>
        <w:gridCol w:w="2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both"/>
              <w:rPr/>
            </w:pPr>
            <w:r>
              <w:rPr/>
              <w:t>without interest coupons,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0" w:name="zbe3f17c11d7249e88347382b4a6c63c8"/>
      <w:bookmarkStart w:id="431" w:name="zbe3f17c11d7249e88347382b4a6c63c8"/>
      <w:bookmarkEnd w:id="431"/>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unless we indicate otherwise in the prospectus supplement, in denominations of $1,000 and amounts that are multiples of $1,000.</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a registered debt security is issued in book-entry form, only the depositary will be entitled to transfer and exchange the debt security as described in this subsection, since it will be the sole holder of the debt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Resignation of Trustee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Indenture Provisions - Subordination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color w:val="000000"/>
          <w:shd w:fill="FFFFFF" w:val="clear"/>
        </w:rPr>
      </w:pPr>
      <w:r>
        <w:rPr>
          <w:color w:val="000000"/>
          <w:shd w:fill="FFFFFF" w:val="clear"/>
        </w:rPr>
        <w:t>“</w:t>
      </w:r>
      <w:r>
        <w:rPr>
          <w:rFonts w:ascii="Times New Roman" w:hAnsi="Times New Roman"/>
          <w:color w:val="000000"/>
          <w:sz w:val="20"/>
          <w:shd w:fill="FFFFFF" w:val="clear"/>
        </w:rPr>
        <w:t>Senior Indebtedness” is defined in the indenture as the principal of (and premium, if any) and unpaid interest 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2" w:name="z388e073fa15f47de84ba8b0bf9230c79"/>
      <w:bookmarkStart w:id="433" w:name="z388e073fa15f47de84ba8b0bf9230c79"/>
      <w:bookmarkEnd w:id="433"/>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4" w:name="z86c5a664421840249743baa60e990e6e"/>
      <w:bookmarkStart w:id="435" w:name="z86c5a664421840249743baa60e990e6e"/>
      <w:bookmarkEnd w:id="435"/>
    </w:p>
    <w:tbl>
      <w:tblPr>
        <w:tblW w:w="7908" w:type="dxa"/>
        <w:jc w:val="left"/>
        <w:tblInd w:w="0" w:type="dxa"/>
        <w:tblLayout w:type="fixed"/>
        <w:tblCellMar>
          <w:top w:w="0" w:type="dxa"/>
          <w:left w:w="0" w:type="dxa"/>
          <w:bottom w:w="0" w:type="dxa"/>
          <w:right w:w="0" w:type="dxa"/>
        </w:tblCellMar>
      </w:tblPr>
      <w:tblGrid>
        <w:gridCol w:w="68"/>
        <w:gridCol w:w="140"/>
        <w:gridCol w:w="77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0"/>
              <w:jc w:val="both"/>
              <w:rPr/>
            </w:pPr>
            <w:r>
              <w:rPr/>
              <w:t>renewals, extensions, modifications and refinancings of any of this indebtedness.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Secured Indebtedness and Ranking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with respect to claims on the assets of any such subsidiaries, financing vehicles, or similar facilities.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The Trustee under the Indenture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intend to use a nationally recognized financial institution to serve as the trustee under the indenture.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Certain Considerations Relating To Foreign Currencies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Book-Entry Debt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Unless otherwise specified in the applicable prospectus supplement, the debt securities will be issued in book-entry form, and the Depository Trust Company, or DTC, will act as securities depository for the debt securities. Unless otherwise specified in the applicable prospectus supplement,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DTC has advised us that it is: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6" w:name="z99bf3958067e421f89bec29886442d00"/>
      <w:bookmarkStart w:id="437" w:name="z99bf3958067e421f89bec29886442d00"/>
      <w:bookmarkEnd w:id="437"/>
    </w:p>
    <w:tbl>
      <w:tblPr>
        <w:tblW w:w="8268" w:type="dxa"/>
        <w:jc w:val="left"/>
        <w:tblInd w:w="0" w:type="dxa"/>
        <w:tblLayout w:type="fixed"/>
        <w:tblCellMar>
          <w:top w:w="0" w:type="dxa"/>
          <w:left w:w="0" w:type="dxa"/>
          <w:bottom w:w="0" w:type="dxa"/>
          <w:right w:w="0" w:type="dxa"/>
        </w:tblCellMar>
      </w:tblPr>
      <w:tblGrid>
        <w:gridCol w:w="68"/>
        <w:gridCol w:w="140"/>
        <w:gridCol w:w="80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0"/>
              <w:jc w:val="both"/>
              <w:rPr/>
            </w:pPr>
            <w:r>
              <w:rPr/>
              <w:t>a limited purpose trust company organized under the laws of the State of New York;</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8" w:name="z4c7c0228b0004819aac8dc38a850c4e5"/>
      <w:bookmarkStart w:id="439" w:name="z4c7c0228b0004819aac8dc38a850c4e5"/>
      <w:bookmarkEnd w:id="439"/>
    </w:p>
    <w:tbl>
      <w:tblPr>
        <w:tblW w:w="8178" w:type="dxa"/>
        <w:jc w:val="left"/>
        <w:tblInd w:w="0" w:type="dxa"/>
        <w:tblLayout w:type="fixed"/>
        <w:tblCellMar>
          <w:top w:w="0" w:type="dxa"/>
          <w:left w:w="0" w:type="dxa"/>
          <w:bottom w:w="0" w:type="dxa"/>
          <w:right w:w="0" w:type="dxa"/>
        </w:tblCellMar>
      </w:tblPr>
      <w:tblGrid>
        <w:gridCol w:w="68"/>
        <w:gridCol w:w="140"/>
        <w:gridCol w:w="79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0"/>
              <w:jc w:val="both"/>
              <w:rPr/>
            </w:pPr>
            <w:r>
              <w:rPr/>
              <w:t>a “banking organization” within the meaning of the New York State Banking Law;</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0" w:name="z551d2ddc1eba461687fca851be431474"/>
      <w:bookmarkStart w:id="441" w:name="z551d2ddc1eba461687fca851be431474"/>
      <w:bookmarkEnd w:id="441"/>
    </w:p>
    <w:tbl>
      <w:tblPr>
        <w:tblW w:w="4233" w:type="dxa"/>
        <w:jc w:val="left"/>
        <w:tblInd w:w="0" w:type="dxa"/>
        <w:tblLayout w:type="fixed"/>
        <w:tblCellMar>
          <w:top w:w="0" w:type="dxa"/>
          <w:left w:w="0" w:type="dxa"/>
          <w:bottom w:w="0" w:type="dxa"/>
          <w:right w:w="0" w:type="dxa"/>
        </w:tblCellMar>
      </w:tblPr>
      <w:tblGrid>
        <w:gridCol w:w="68"/>
        <w:gridCol w:w="140"/>
        <w:gridCol w:w="40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both"/>
              <w:rPr/>
            </w:pPr>
            <w:r>
              <w:rPr/>
              <w:t>a member of the Federal Reserve System;</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2" w:name="z9f5c649a2a85483a8afda9315fc7e73b"/>
      <w:bookmarkStart w:id="443" w:name="z9f5c649a2a85483a8afda9315fc7e73b"/>
      <w:bookmarkEnd w:id="443"/>
    </w:p>
    <w:tbl>
      <w:tblPr>
        <w:tblW w:w="8163" w:type="dxa"/>
        <w:jc w:val="left"/>
        <w:tblInd w:w="0" w:type="dxa"/>
        <w:tblLayout w:type="fixed"/>
        <w:tblCellMar>
          <w:top w:w="0" w:type="dxa"/>
          <w:left w:w="0" w:type="dxa"/>
          <w:bottom w:w="0" w:type="dxa"/>
          <w:right w:w="0" w:type="dxa"/>
        </w:tblCellMar>
      </w:tblPr>
      <w:tblGrid>
        <w:gridCol w:w="68"/>
        <w:gridCol w:w="140"/>
        <w:gridCol w:w="79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0"/>
              <w:jc w:val="both"/>
              <w:rPr/>
            </w:pPr>
            <w:r>
              <w:rPr/>
              <w:t>a “clearing corporation” within the meaning of the Uniform Commercial Code;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4" w:name="zc13bc2de7b354791831978d637facda3"/>
      <w:bookmarkStart w:id="445" w:name="zc13bc2de7b354791831978d637facda3"/>
      <w:bookmarkEnd w:id="445"/>
    </w:p>
    <w:tbl>
      <w:tblPr>
        <w:tblW w:w="7053" w:type="dxa"/>
        <w:jc w:val="left"/>
        <w:tblInd w:w="0" w:type="dxa"/>
        <w:tblLayout w:type="fixed"/>
        <w:tblCellMar>
          <w:top w:w="0" w:type="dxa"/>
          <w:left w:w="0" w:type="dxa"/>
          <w:bottom w:w="0" w:type="dxa"/>
          <w:right w:w="0" w:type="dxa"/>
        </w:tblCellMar>
      </w:tblPr>
      <w:tblGrid>
        <w:gridCol w:w="68"/>
        <w:gridCol w:w="140"/>
        <w:gridCol w:w="68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0"/>
              <w:jc w:val="both"/>
              <w:rPr/>
            </w:pPr>
            <w:r>
              <w:rPr/>
              <w:t>a “clearing agency” registered under Section 17A of the Exchange Act.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DTC was created to hold securities for its participants and to facilitate the clearance and settlement of securities transactions between its participants through electronic book-entry changes to the accounts of its participants. DTC’s participants, or Direct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Redemption notices shall be sent to DTC. If less than all of the debt securities within an issue are being redeemed, DTC’s practice is to determine by lot the amount of the interest of each Direct Participant in such issue to be redeemed.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Redemption proceeds, distributions, and interest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section concerning DTC and DTC’s book-entry system has been obtained from sources that we believe to be reliable, but we take no responsibility for the accuracy thereof.</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46" w:name="DESCRIPTIONOFOURUNITS"/>
      <w:bookmarkEnd w:id="446"/>
      <w:r>
        <w:rPr>
          <w:rFonts w:ascii="Times New Roman" w:hAnsi="Times New Roman"/>
          <w:b/>
          <w:color w:val="000000"/>
          <w:sz w:val="20"/>
          <w:shd w:fill="FFFFFF" w:val="clear"/>
        </w:rPr>
        <w:t>DESCRIPTION OF OUR UNITS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general description of the terms of the units we may issue from time to time. Particular terms of any units we offer will be described in the prospectus supplement relating to such units. For a complete description of the terms of particular units, you should read this prospectus and the prospectus supplement relating to those particular units.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prospectus supplement will describe the particular terms of any series of units we may issue, including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7" w:name="z6bc23f9010c64228b54a4dc4702d565d"/>
      <w:bookmarkStart w:id="448" w:name="z6bc23f9010c64228b54a4dc4702d565d"/>
      <w:bookmarkEnd w:id="44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designation and terms of the units and of the securities comprising the units, including whether and under what circumstances the securities comprising the units may be held or transferred separately;</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9" w:name="z1c7866b16c104fe9819b9447382a06ed"/>
      <w:bookmarkStart w:id="450" w:name="z1c7866b16c104fe9819b9447382a06ed"/>
      <w:bookmarkEnd w:id="450"/>
    </w:p>
    <w:tbl>
      <w:tblPr>
        <w:tblW w:w="6723" w:type="dxa"/>
        <w:jc w:val="left"/>
        <w:tblInd w:w="0" w:type="dxa"/>
        <w:tblLayout w:type="fixed"/>
        <w:tblCellMar>
          <w:top w:w="0" w:type="dxa"/>
          <w:left w:w="0" w:type="dxa"/>
          <w:bottom w:w="0" w:type="dxa"/>
          <w:right w:w="0" w:type="dxa"/>
        </w:tblCellMar>
      </w:tblPr>
      <w:tblGrid>
        <w:gridCol w:w="68"/>
        <w:gridCol w:w="140"/>
        <w:gridCol w:w="65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both"/>
              <w:rPr/>
            </w:pPr>
            <w:r>
              <w:rPr/>
              <w:t>a description of the terms of any unit agreement governing the units;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1" w:name="z8691b3d03a2843e99f7925aa72fc40e3"/>
      <w:bookmarkStart w:id="452" w:name="z8691b3d03a2843e99f7925aa72fc40e3"/>
      <w:bookmarkEnd w:id="452"/>
    </w:p>
    <w:tbl>
      <w:tblPr>
        <w:tblW w:w="9363" w:type="dxa"/>
        <w:jc w:val="left"/>
        <w:tblInd w:w="0" w:type="dxa"/>
        <w:tblLayout w:type="fixed"/>
        <w:tblCellMar>
          <w:top w:w="0" w:type="dxa"/>
          <w:left w:w="0" w:type="dxa"/>
          <w:bottom w:w="0" w:type="dxa"/>
          <w:right w:w="0" w:type="dxa"/>
        </w:tblCellMar>
      </w:tblPr>
      <w:tblGrid>
        <w:gridCol w:w="68"/>
        <w:gridCol w:w="140"/>
        <w:gridCol w:w="91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0"/>
              <w:jc w:val="both"/>
              <w:rPr/>
            </w:pPr>
            <w:r>
              <w:rPr/>
              <w:t>a description of the provisions for the payment, settlement, transfer or exchange of the units;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3" w:name="z1fc3f7bf98a844d483a8db95b6fe4afb"/>
      <w:bookmarkStart w:id="454" w:name="z1fc3f7bf98a844d483a8db95b6fe4afb"/>
      <w:bookmarkEnd w:id="454"/>
    </w:p>
    <w:tbl>
      <w:tblPr>
        <w:tblW w:w="6453" w:type="dxa"/>
        <w:jc w:val="left"/>
        <w:tblInd w:w="0" w:type="dxa"/>
        <w:tblLayout w:type="fixed"/>
        <w:tblCellMar>
          <w:top w:w="0" w:type="dxa"/>
          <w:left w:w="0" w:type="dxa"/>
          <w:bottom w:w="0" w:type="dxa"/>
          <w:right w:w="0" w:type="dxa"/>
        </w:tblCellMar>
      </w:tblPr>
      <w:tblGrid>
        <w:gridCol w:w="68"/>
        <w:gridCol w:w="140"/>
        <w:gridCol w:w="62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0"/>
              <w:jc w:val="both"/>
              <w:rPr/>
            </w:pPr>
            <w:r>
              <w:rPr/>
              <w:t>whether the units will be issued in fully registered or global form.</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will not offer any units under this prospectus or an accompanying prospectus supplement without first filing a new post-effective amendment to the registration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55" w:name="REGULATION"/>
      <w:bookmarkEnd w:id="455"/>
      <w:r>
        <w:rPr>
          <w:rFonts w:ascii="Times New Roman" w:hAnsi="Times New Roman"/>
          <w:b/>
          <w:color w:val="000000"/>
          <w:sz w:val="20"/>
          <w:shd w:fill="FFFFFF" w:val="clear"/>
        </w:rPr>
        <w:t>REGULATION</w:t>
      </w:r>
    </w:p>
    <w:p>
      <w:pPr>
        <w:pStyle w:val="TextBody"/>
        <w:bidi w:val="0"/>
        <w:spacing w:before="0" w:after="0"/>
        <w:jc w:val="center"/>
        <w:rPr>
          <w:b/>
        </w:rPr>
      </w:pPr>
      <w:r>
        <w:rPr>
          <w:b/>
        </w:rPr>
      </w:r>
    </w:p>
    <w:p>
      <w:pPr>
        <w:pStyle w:val="TextBody"/>
        <w:bidi w:val="0"/>
        <w:spacing w:before="0" w:after="0"/>
        <w:ind w:left="0" w:right="0" w:firstLine="360"/>
        <w:jc w:val="left"/>
        <w:rPr/>
      </w:pPr>
      <w:r>
        <w:rPr>
          <w:rFonts w:ascii="Times New Roman" w:hAnsi="Times New Roman"/>
          <w:color w:val="000000"/>
          <w:sz w:val="20"/>
          <w:shd w:fill="FFFFFF" w:val="clear"/>
        </w:rPr>
        <w:t>The information contained in Part I, Item 1 “</w:t>
      </w:r>
      <w:r>
        <w:rPr>
          <w:rFonts w:ascii="Times New Roman" w:hAnsi="Times New Roman"/>
          <w:i/>
          <w:color w:val="000000"/>
          <w:sz w:val="20"/>
          <w:shd w:fill="FFFFFF" w:val="clear"/>
        </w:rPr>
        <w:t>BUSINESS – Business Development Company Regulations</w:t>
      </w:r>
      <w:r>
        <w:rPr>
          <w:rFonts w:ascii="Times New Roman" w:hAnsi="Times New Roman"/>
          <w:color w:val="000000"/>
          <w:sz w:val="20"/>
          <w:shd w:fill="FFFFFF" w:val="clear"/>
        </w:rPr>
        <w:t xml:space="preserve">” most recent Annual Report on </w:t>
      </w:r>
      <w:hyperlink r:id="rId13">
        <w:r>
          <w:rPr>
            <w:rStyle w:val="InternetLink"/>
          </w:rPr>
          <w:t xml:space="preserve">Form 10-K </w:t>
        </w:r>
      </w:hyperlink>
      <w:r>
        <w:rPr>
          <w:rFonts w:ascii="Times New Roman" w:hAnsi="Times New Roman"/>
          <w:color w:val="000000"/>
          <w:sz w:val="20"/>
          <w:shd w:fill="FFFFFF" w:val="clear"/>
        </w:rPr>
        <w:t>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56" w:name="CUSTODIANTRANSFERANDDIVID"/>
      <w:bookmarkEnd w:id="456"/>
      <w:r>
        <w:rPr>
          <w:rFonts w:ascii="Times New Roman" w:hAnsi="Times New Roman"/>
          <w:b/>
          <w:color w:val="000000"/>
          <w:sz w:val="20"/>
          <w:shd w:fill="FFFFFF" w:val="clear"/>
        </w:rPr>
        <w:t>CUSTODIAN, TRANSFER AND DIVIDEND PAYING AGENT AND REGISTRAR</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securities and loan documents are held by Western Alliance Trust Company, N.A. and Western Alliance Bank, pursuant to custodian agreements. The principal business address of Western Alliance Trust Company, N.A. is One East Washington Street, Ste 1400, Phoenix, AZ 85004, telephone number (617) 786-3000. The principal business address of Western Alliance Bank is One East Washington Street, Phoenix, AZ 85004, telephone number (602) 389-3500. Continental Stock Transfer &amp; Trust Company (“Continental) acts as our transfer agent, dividend paying agent and registrar. The principal business address of Continental is 1 State St., 30th Floor, New York, NY 10004, telephone number(212) 509-4000.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57" w:name="BROKERAGEALLOCATIONANDOTH"/>
      <w:bookmarkEnd w:id="457"/>
      <w:r>
        <w:rPr>
          <w:rFonts w:ascii="Times New Roman" w:hAnsi="Times New Roman"/>
          <w:b/>
          <w:color w:val="000000"/>
          <w:sz w:val="20"/>
          <w:shd w:fill="FFFFFF" w:val="clear"/>
        </w:rPr>
        <w:t>BROKERAGE ALLOCATION AND OTHER PRACTICES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we will acquire and dispose of many of our investments in privately negotiated transactions, many of the transactions that we engage in will not require the use of brokers or the payment of brokerage commissions. Subject to policies established by the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58" w:name="PLANOFDISTRIBUTION"/>
      <w:bookmarkEnd w:id="458"/>
      <w:r>
        <w:rPr>
          <w:rFonts w:ascii="Times New Roman" w:hAnsi="Times New Roman"/>
          <w:b/>
          <w:color w:val="000000"/>
          <w:sz w:val="20"/>
          <w:shd w:fill="FFFFFF" w:val="clear"/>
        </w:rPr>
        <w:t>PLAN OF DISTRIBUTION</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offer, from time to time, in one or more offerings or series of our common stock, preferred stock, debt securities, subscription rights to purchase shares of our common stock or warrants representing rights to purchase shares of our common stock, preferred stock or debt securities, or units comprised of any combination of the foregoing on terms to be determined at the time of the offering, in one or more underwritten public offerings, at-the-market offerings, negotiated transactions, block trades, best efforts offerings or a combination of these methods.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sell the securities through underwriters or dealers, directly to one or more purchasers, including existing shareholders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shareholders, (b) with the consent of the majority of our outstanding voting securities or (c) under such circumstances as the SEC may permit. The price at which securities may be distributed may represent a discount from prevailing market prices.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Any underwriters that are qualified market makers on NASDAQ may engage in passive market making transactions in our common stock on NASDAQ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use securities to acquire investments in companies, the terms of which will be further disclosed in a prospectus supplement if such shares are issued in an offering hereunder.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Unless otherwise specified in the applicable prospectus supplement, each class or series of securities will be a new issue with no trading market, other than our common stock, which is traded on NASDAQ. We may elect to list any other class or series of securities on any exchanges, but we are not obligated to do so. We cannot guarantee the liquidity of the trading markets for any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order to comply with the securities laws of certain states, if applicable, the securities offered hereby will be sold in such jurisdictions only through registered or licensed brokers or dealers.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59" w:name="LEGALMATTERS"/>
      <w:bookmarkEnd w:id="459"/>
      <w:r>
        <w:rPr>
          <w:rFonts w:ascii="Times New Roman" w:hAnsi="Times New Roman"/>
          <w:b/>
          <w:color w:val="000000"/>
          <w:sz w:val="20"/>
          <w:shd w:fill="FFFFFF" w:val="clear"/>
        </w:rPr>
        <w:t>LEGAL MATTERS</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Eversheds Sutherland (US) LLP, located at 700 Sixth Street, N.W., Suite 700, Washington, DC 20001, serves as our legal counsel. Certain legal matters regarding the validity of the shares offered hereby will be passed upon for us by Baker, Donelson, Bearman, Caldwell &amp; Berkowitz, PC, Baltimore, MD.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Certain legal matters in connection with the offering will be passed upon for the underwriters, if any, by the counsel named in the prospectus supplement.</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0" w:name="INDEPENDENTREGISTEREDPUBL"/>
      <w:bookmarkEnd w:id="460"/>
      <w:r>
        <w:rPr>
          <w:rFonts w:ascii="Times New Roman" w:hAnsi="Times New Roman"/>
          <w:b/>
          <w:color w:val="000000"/>
          <w:sz w:val="20"/>
          <w:shd w:fill="FFFFFF" w:val="clear"/>
        </w:rPr>
        <w:t>INDEPENDENT REGISTERED PUBLIC ACCOUNTING FIRM</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financial statements as of December 31, 2025 and 2024, and for each of the three years in the period ended December 31, 2025,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address of BDO USA, P.C. is 200 Park Avenue, 38th Floor, New York, New York 10166.</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1" w:name="AVAILABLEINFORMATION"/>
      <w:bookmarkEnd w:id="461"/>
      <w:r>
        <w:rPr>
          <w:rFonts w:ascii="Times New Roman" w:hAnsi="Times New Roman"/>
          <w:b/>
          <w:color w:val="000000"/>
          <w:sz w:val="20"/>
          <w:shd w:fill="FFFFFF" w:val="clear"/>
        </w:rPr>
        <w:t>AVAILABLE INFORMATION</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also file with or submit to the SEC periodic and current reports, proxy statements and other information meeting the informational requirements of the Exchange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furnish our shareholders with annual reports containing audited financial statements, quarterly reports, and such other periodic reports as we determine to be appropriate or as may be required by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make available on our website (</w:t>
      </w:r>
      <w:r>
        <w:rPr>
          <w:rFonts w:ascii="Times New Roman" w:hAnsi="Times New Roman"/>
          <w:i/>
          <w:color w:val="000000"/>
          <w:sz w:val="20"/>
          <w:shd w:fill="FFFFFF" w:val="clear"/>
        </w:rPr>
        <w:t>lien.chicagoatlantic.com</w:t>
      </w:r>
      <w:r>
        <w:rPr>
          <w:rFonts w:ascii="Times New Roman" w:hAnsi="Times New Roman"/>
          <w:color w:val="000000"/>
          <w:sz w:val="20"/>
          <w:shd w:fill="FFFFFF" w:val="clear"/>
        </w:rPr>
        <w:t>) our annual reports on Form 10-K, quarterly reports on Form 10-Q, our current reports on Form 8-K, our proxy statements and other information filed with the SEC. This information is available free of charge by contacting us at 600 Madison Avenue, Suite 1800, New York, New York 10022, calling us at (312) 625-9295 or visiting our corporate website. The SEC also maintains a website (</w:t>
      </w:r>
      <w:r>
        <w:rPr>
          <w:rFonts w:ascii="Times New Roman" w:hAnsi="Times New Roman"/>
          <w:i/>
          <w:color w:val="000000"/>
          <w:sz w:val="20"/>
          <w:shd w:fill="FFFFFF" w:val="clear"/>
        </w:rPr>
        <w:t>www.sec.gov</w:t>
      </w:r>
      <w:r>
        <w:rPr>
          <w:rFonts w:ascii="Times New Roman" w:hAnsi="Times New Roman"/>
          <w:color w:val="000000"/>
          <w:sz w:val="20"/>
          <w:shd w:fill="FFFFFF" w:val="clear"/>
        </w:rPr>
        <w:t>) that contains such information. The reference to our website is an inactive textual reference only and the information contained on our website is not a part of this registration statement.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462" w:name="INCORPORATIONOFCERTAININF"/>
      <w:bookmarkEnd w:id="462"/>
      <w:r>
        <w:rPr>
          <w:rFonts w:ascii="Times New Roman" w:hAnsi="Times New Roman"/>
          <w:b/>
          <w:color w:val="000000"/>
          <w:sz w:val="20"/>
          <w:shd w:fill="FFFFFF" w:val="clear"/>
        </w:rPr>
        <w:t>INCORPORATION OF CERTAIN INFORMATION BY REFERENCE</w:t>
      </w:r>
    </w:p>
    <w:p>
      <w:pPr>
        <w:pStyle w:val="TextBody"/>
        <w:bidi w:val="0"/>
        <w:spacing w:before="0" w:after="0"/>
        <w:jc w:val="center"/>
        <w:rPr>
          <w:b/>
        </w:rPr>
      </w:pPr>
      <w:r>
        <w:rPr>
          <w:b/>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This prospectus is part of a registration statement that we have filed with the SEC. We are allowed to “incorporate by reference” the information that we file with the SEC, which means that we can disclose important information to you by referring you to such information incorporated by reference. The information incorporated by reference is considered to comprise a part of this prospectus from the date we file any such document. Any reports filed by us with the SEC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incorporate by reference into this prospectus our filings listed below and any future filings that we may file with the SEC under Sections 13(a), 13(c), 14 or 15(d) of the Exchange Act, subsequent to the date of this prospectus until all of the securities offered by this prospectus and any accompanying prospectus supplement have been sold or we otherwise terminate the offering of those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this prospectus will automatically update and may supersede information in this prospectus, any accompanying prospectus supplement and other information previously filed with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prospectus incorporates by reference the documents set forth below that have been previously filed with the SEC:</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3" w:name="ze5f5541002204a1585fd69cf4e6af792"/>
      <w:bookmarkStart w:id="464" w:name="ze5f5541002204a1585fd69cf4e6af792"/>
      <w:bookmarkEnd w:id="46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color w:val="000000"/>
              </w:rPr>
              <w:t xml:space="preserve">our Annual Report on </w:t>
            </w:r>
            <w:r>
              <w:rPr/>
              <w:t>Form 10-K</w:t>
            </w:r>
            <w:r>
              <w:rPr>
                <w:color w:val="000000"/>
              </w:rPr>
              <w:t xml:space="preserve"> for the fiscal year ended December 31, 2025, filed with the SEC on </w:t>
            </w:r>
            <w:hyperlink r:id="rId14">
              <w:r>
                <w:rPr>
                  <w:rStyle w:val="InternetLink"/>
                  <w:color w:val="000080"/>
                </w:rPr>
                <w:t>March 19, 2026</w:t>
              </w:r>
            </w:hyperlink>
            <w:r>
              <w:rPr>
                <w:color w:val="000000"/>
              </w:rPr>
              <w:t>;</w:t>
            </w:r>
          </w:p>
        </w:tc>
      </w:tr>
    </w:tbl>
    <w:p>
      <w:pPr>
        <w:pStyle w:val="TextBody"/>
        <w:bidi w:val="0"/>
        <w:spacing w:before="0" w:after="0"/>
        <w:jc w:val="left"/>
        <w:rPr>
          <w:color w:val="000000"/>
          <w:shd w:fill="FFFFFF" w:val="clear"/>
        </w:rPr>
      </w:pPr>
      <w:r>
        <w:rPr>
          <w:color w:val="000000"/>
          <w:shd w:fill="FFFFFF" w:val="clear"/>
        </w:rPr>
        <w:t> </w:t>
      </w:r>
    </w:p>
    <w:tbl>
      <w:tblPr>
        <w:tblW w:w="8643" w:type="dxa"/>
        <w:jc w:val="left"/>
        <w:tblInd w:w="0" w:type="dxa"/>
        <w:tblLayout w:type="fixed"/>
        <w:tblCellMar>
          <w:top w:w="0" w:type="dxa"/>
          <w:left w:w="0" w:type="dxa"/>
          <w:bottom w:w="0" w:type="dxa"/>
          <w:right w:w="0" w:type="dxa"/>
        </w:tblCellMar>
      </w:tblPr>
      <w:tblGrid>
        <w:gridCol w:w="68"/>
        <w:gridCol w:w="140"/>
        <w:gridCol w:w="843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0"/>
              <w:jc w:val="left"/>
              <w:rPr/>
            </w:pPr>
            <w:r>
              <w:rPr/>
              <w:t xml:space="preserve">our Definitive Proxy Statement on Schedule 14A, filed with the SEC on </w:t>
            </w:r>
            <w:hyperlink r:id="rId15">
              <w:r>
                <w:rPr>
                  <w:rStyle w:val="InternetLink"/>
                </w:rPr>
                <w:t>April 30, 2026</w:t>
              </w:r>
            </w:hyperlink>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5" w:name="z6e1f9dbb7df7443f8015a571dfbc6d0e"/>
      <w:bookmarkStart w:id="466" w:name="z6e1f9dbb7df7443f8015a571dfbc6d0e"/>
      <w:bookmarkEnd w:id="46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color w:val="000000"/>
              </w:rPr>
              <w:t xml:space="preserve">the description of our common stock referenced in our Registration Statement on </w:t>
            </w:r>
            <w:r>
              <w:rPr/>
              <w:t>Form 8-A</w:t>
            </w:r>
            <w:r>
              <w:rPr>
                <w:color w:val="000000"/>
              </w:rPr>
              <w:t xml:space="preserve"> (No. 001-40564), as filed with the SEC on </w:t>
            </w:r>
            <w:hyperlink r:id="rId16">
              <w:r>
                <w:rPr>
                  <w:rStyle w:val="InternetLink"/>
                  <w:color w:val="000080"/>
                </w:rPr>
                <w:t>June 29, 2021</w:t>
              </w:r>
            </w:hyperlink>
            <w:r>
              <w:rPr>
                <w:color w:val="000000"/>
              </w:rPr>
              <w:t>, including any amendment or report filed for the purpose of updating such description prior to the termination of the offering of the common stock registered hereby.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See “Available Information” for information on how to obtain a copy of these filings.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Chicago Atlantic BDC, Inc.</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Common Stock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$500,000,000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Preferred Stock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Subscription Rights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Warrants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Debt Securities</w:t>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Units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PROSPECTUS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Chicago Atlantic BDC, Inc.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Other Information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7" w:name="zff116d39f1ad4bc5b146afde004f04f5"/>
      <w:bookmarkStart w:id="468" w:name="zff116d39f1ad4bc5b146afde004f04f5"/>
      <w:bookmarkEnd w:id="468"/>
    </w:p>
    <w:tbl>
      <w:tblPr>
        <w:tblW w:w="4360" w:type="dxa"/>
        <w:jc w:val="left"/>
        <w:tblInd w:w="0" w:type="dxa"/>
        <w:tblLayout w:type="fixed"/>
        <w:tblCellMar>
          <w:top w:w="0" w:type="dxa"/>
          <w:left w:w="0" w:type="dxa"/>
          <w:bottom w:w="0" w:type="dxa"/>
          <w:right w:w="0" w:type="dxa"/>
        </w:tblCellMar>
      </w:tblPr>
      <w:tblGrid>
        <w:gridCol w:w="890"/>
        <w:gridCol w:w="3470"/>
      </w:tblGrid>
      <w:tr>
        <w:trPr/>
        <w:tc>
          <w:tcPr>
            <w:tcW w:w="890" w:type="dxa"/>
            <w:tcBorders/>
            <w:vAlign w:val="center"/>
          </w:tcPr>
          <w:p>
            <w:pPr>
              <w:pStyle w:val="TableContents"/>
              <w:bidi w:val="0"/>
              <w:spacing w:before="0" w:after="283"/>
              <w:jc w:val="left"/>
              <w:rPr>
                <w:b/>
              </w:rPr>
            </w:pPr>
            <w:r>
              <w:rPr>
                <w:b/>
              </w:rPr>
              <w:t>Item 25.</w:t>
            </w:r>
          </w:p>
        </w:tc>
        <w:tc>
          <w:tcPr>
            <w:tcW w:w="3470" w:type="dxa"/>
            <w:tcBorders/>
            <w:vAlign w:val="center"/>
          </w:tcPr>
          <w:p>
            <w:pPr>
              <w:pStyle w:val="TableContents"/>
              <w:bidi w:val="0"/>
              <w:spacing w:before="0" w:after="0"/>
              <w:jc w:val="left"/>
              <w:rPr>
                <w:b/>
                <w:i/>
              </w:rPr>
            </w:pPr>
            <w:r>
              <w:rPr>
                <w:b/>
                <w:i/>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9" w:name="z54e3bb49ce5a4ef18f8d1316a45a8509"/>
      <w:bookmarkStart w:id="470" w:name="z54e3bb49ce5a4ef18f8d1316a45a8509"/>
      <w:bookmarkEnd w:id="470"/>
    </w:p>
    <w:tbl>
      <w:tblPr>
        <w:tblW w:w="2515" w:type="dxa"/>
        <w:jc w:val="left"/>
        <w:tblInd w:w="0" w:type="dxa"/>
        <w:tblLayout w:type="fixed"/>
        <w:tblCellMar>
          <w:top w:w="0" w:type="dxa"/>
          <w:left w:w="0" w:type="dxa"/>
          <w:bottom w:w="0" w:type="dxa"/>
          <w:right w:w="0" w:type="dxa"/>
        </w:tblCellMar>
      </w:tblPr>
      <w:tblGrid>
        <w:gridCol w:w="105"/>
        <w:gridCol w:w="320"/>
        <w:gridCol w:w="209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(1)</w:t>
            </w:r>
          </w:p>
        </w:tc>
        <w:tc>
          <w:tcPr>
            <w:tcW w:w="2090" w:type="dxa"/>
            <w:tcBorders/>
            <w:vAlign w:val="center"/>
          </w:tcPr>
          <w:p>
            <w:pPr>
              <w:pStyle w:val="TableContents"/>
              <w:bidi w:val="0"/>
              <w:spacing w:before="0" w:after="0"/>
              <w:jc w:val="left"/>
              <w:rPr>
                <w:i/>
              </w:rPr>
            </w:pPr>
            <w:r>
              <w:rPr>
                <w:i/>
              </w:rPr>
              <w:t>Financial Statements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report of BDO USA P.C., our independent registered public accounting firm, dated March 19, 2026, the financial statements as of December 31, 2025 and 2024 and for each of the three years in the period ended December 31, 2025, and management’s assessment of the effectiveness of internal control over financial reporting (which is included in Management’s Report on Internal Control Over Financial Reporting) as of December 31, 2025, have been incorporated by reference in this registration statement in “Part A - Information Required in a Prospectus.”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1" w:name="zbb35392900de4237864091c9c5f2e804"/>
      <w:bookmarkStart w:id="472" w:name="zbb35392900de4237864091c9c5f2e804"/>
      <w:bookmarkEnd w:id="472"/>
    </w:p>
    <w:tbl>
      <w:tblPr>
        <w:tblW w:w="1285" w:type="dxa"/>
        <w:jc w:val="left"/>
        <w:tblInd w:w="0" w:type="dxa"/>
        <w:tblLayout w:type="fixed"/>
        <w:tblCellMar>
          <w:top w:w="0" w:type="dxa"/>
          <w:left w:w="0" w:type="dxa"/>
          <w:bottom w:w="0" w:type="dxa"/>
          <w:right w:w="0" w:type="dxa"/>
        </w:tblCellMar>
      </w:tblPr>
      <w:tblGrid>
        <w:gridCol w:w="105"/>
        <w:gridCol w:w="320"/>
        <w:gridCol w:w="86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(2)</w:t>
            </w:r>
          </w:p>
        </w:tc>
        <w:tc>
          <w:tcPr>
            <w:tcW w:w="860" w:type="dxa"/>
            <w:tcBorders/>
            <w:vAlign w:val="center"/>
          </w:tcPr>
          <w:p>
            <w:pPr>
              <w:pStyle w:val="TableContents"/>
              <w:bidi w:val="0"/>
              <w:spacing w:before="0" w:after="0"/>
              <w:jc w:val="both"/>
              <w:rPr>
                <w:i/>
              </w:rPr>
            </w:pPr>
            <w:r>
              <w:rPr>
                <w:i/>
              </w:rPr>
              <w:t>Exhibits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3" w:name="z4f796629ccfe4b228dbe48f7ada868e9"/>
      <w:bookmarkStart w:id="474" w:name="z4f796629ccfe4b228dbe48f7ada868e9"/>
      <w:bookmarkEnd w:id="474"/>
    </w:p>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pPr>
            <w:r>
              <w:rPr/>
              <w:t>a.1.</w:t>
            </w:r>
          </w:p>
        </w:tc>
        <w:tc>
          <w:tcPr>
            <w:tcW w:w="9878" w:type="dxa"/>
            <w:tcBorders/>
            <w:vAlign w:val="center"/>
          </w:tcPr>
          <w:p>
            <w:pPr>
              <w:pStyle w:val="TableContents"/>
              <w:bidi w:val="0"/>
              <w:spacing w:before="0" w:after="0"/>
              <w:jc w:val="both"/>
              <w:rPr/>
            </w:pPr>
            <w:hyperlink r:id="rId17">
              <w:r>
                <w:rPr>
                  <w:rStyle w:val="InternetLink"/>
                </w:rPr>
                <w:t>Articles of Amendment and Restatement (incorporated by reference to Exhibit 3.1 to the Registrant’s Annual Report on Form 10-K/A (File No. 814-01383) filed on June 30, 2022)</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5" w:name="z9579602965dd4aa895ac4397f5a31cd2"/>
      <w:bookmarkStart w:id="476" w:name="z9579602965dd4aa895ac4397f5a31cd2"/>
      <w:bookmarkEnd w:id="476"/>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a.2.</w:t>
            </w:r>
          </w:p>
        </w:tc>
        <w:tc>
          <w:tcPr>
            <w:tcW w:w="9870" w:type="dxa"/>
            <w:tcBorders/>
            <w:vAlign w:val="center"/>
          </w:tcPr>
          <w:p>
            <w:pPr>
              <w:pStyle w:val="TableContents"/>
              <w:bidi w:val="0"/>
              <w:spacing w:before="0" w:after="0"/>
              <w:jc w:val="both"/>
              <w:rPr/>
            </w:pPr>
            <w:hyperlink r:id="rId18">
              <w:r>
                <w:rPr>
                  <w:rStyle w:val="InternetLink"/>
                </w:rPr>
                <w:t>Articles of Amendment (incorporated by reference to Exhibit 3.2 to the Registrant’s Quarterly Report on Form 10-Q (File No. 814-01383) filed on November 8, 2024)</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7" w:name="z0224a24749e14dc3afabf53b97fecff0"/>
      <w:bookmarkStart w:id="478" w:name="z0224a24749e14dc3afabf53b97fecff0"/>
      <w:bookmarkEnd w:id="478"/>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b.</w:t>
            </w:r>
          </w:p>
        </w:tc>
        <w:tc>
          <w:tcPr>
            <w:tcW w:w="9960" w:type="dxa"/>
            <w:tcBorders/>
            <w:vAlign w:val="center"/>
          </w:tcPr>
          <w:p>
            <w:pPr>
              <w:pStyle w:val="TableContents"/>
              <w:bidi w:val="0"/>
              <w:spacing w:before="0" w:after="0"/>
              <w:jc w:val="both"/>
              <w:rPr/>
            </w:pPr>
            <w:hyperlink r:id="rId19">
              <w:r>
                <w:rPr>
                  <w:rStyle w:val="InternetLink"/>
                </w:rPr>
                <w:t>Second Amended and Restated Bylaws (incorporated by reference to Exhibit 3.3 to the Registrant’s Current Report on Form 8-K (File No. 814-01383) filed on December 19, 2025)</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9" w:name="zf3fceb341e064aa39ba1c0a22931d665"/>
      <w:bookmarkStart w:id="480" w:name="zf3fceb341e064aa39ba1c0a22931d665"/>
      <w:bookmarkEnd w:id="480"/>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jc w:val="left"/>
              <w:rPr/>
            </w:pPr>
            <w:r>
              <w:rPr/>
              <w:t>c.</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1" w:name="z238ea12b43724b9ea3fba6de07dd22d5"/>
      <w:bookmarkStart w:id="482" w:name="z238ea12b43724b9ea3fba6de07dd22d5"/>
      <w:bookmarkEnd w:id="482"/>
    </w:p>
    <w:tbl>
      <w:tblPr>
        <w:tblW w:w="2485" w:type="dxa"/>
        <w:jc w:val="left"/>
        <w:tblInd w:w="0" w:type="dxa"/>
        <w:tblLayout w:type="fixed"/>
        <w:tblCellMar>
          <w:top w:w="0" w:type="dxa"/>
          <w:left w:w="0" w:type="dxa"/>
          <w:bottom w:w="0" w:type="dxa"/>
          <w:right w:w="0" w:type="dxa"/>
        </w:tblCellMar>
      </w:tblPr>
      <w:tblGrid>
        <w:gridCol w:w="425"/>
        <w:gridCol w:w="2060"/>
      </w:tblGrid>
      <w:tr>
        <w:trPr/>
        <w:tc>
          <w:tcPr>
            <w:tcW w:w="425" w:type="dxa"/>
            <w:tcBorders/>
            <w:vAlign w:val="center"/>
          </w:tcPr>
          <w:p>
            <w:pPr>
              <w:pStyle w:val="TableContents"/>
              <w:bidi w:val="0"/>
              <w:spacing w:before="0" w:after="283"/>
              <w:jc w:val="left"/>
              <w:rPr/>
            </w:pPr>
            <w:r>
              <w:rPr/>
              <w:t>d.1.</w:t>
            </w:r>
          </w:p>
        </w:tc>
        <w:tc>
          <w:tcPr>
            <w:tcW w:w="2060" w:type="dxa"/>
            <w:tcBorders/>
            <w:vAlign w:val="center"/>
          </w:tcPr>
          <w:p>
            <w:pPr>
              <w:pStyle w:val="TableContents"/>
              <w:bidi w:val="0"/>
              <w:spacing w:before="0" w:after="0"/>
              <w:jc w:val="both"/>
              <w:rPr/>
            </w:pPr>
            <w:r>
              <w:rPr/>
              <w:t>Form of Indenture**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3" w:name="z66e03da96f4843059663943128799057"/>
      <w:bookmarkStart w:id="484" w:name="z66e03da96f4843059663943128799057"/>
      <w:bookmarkEnd w:id="484"/>
    </w:p>
    <w:tbl>
      <w:tblPr>
        <w:tblW w:w="5230" w:type="dxa"/>
        <w:jc w:val="left"/>
        <w:tblInd w:w="0" w:type="dxa"/>
        <w:tblLayout w:type="fixed"/>
        <w:tblCellMar>
          <w:top w:w="0" w:type="dxa"/>
          <w:left w:w="0" w:type="dxa"/>
          <w:bottom w:w="0" w:type="dxa"/>
          <w:right w:w="0" w:type="dxa"/>
        </w:tblCellMar>
      </w:tblPr>
      <w:tblGrid>
        <w:gridCol w:w="425"/>
        <w:gridCol w:w="4805"/>
      </w:tblGrid>
      <w:tr>
        <w:trPr/>
        <w:tc>
          <w:tcPr>
            <w:tcW w:w="425" w:type="dxa"/>
            <w:tcBorders/>
            <w:vAlign w:val="center"/>
          </w:tcPr>
          <w:p>
            <w:pPr>
              <w:pStyle w:val="TableContents"/>
              <w:bidi w:val="0"/>
              <w:spacing w:before="0" w:after="283"/>
              <w:jc w:val="left"/>
              <w:rPr/>
            </w:pPr>
            <w:r>
              <w:rPr/>
              <w:t>d.2.</w:t>
            </w:r>
          </w:p>
        </w:tc>
        <w:tc>
          <w:tcPr>
            <w:tcW w:w="4805" w:type="dxa"/>
            <w:tcBorders/>
            <w:vAlign w:val="center"/>
          </w:tcPr>
          <w:p>
            <w:pPr>
              <w:pStyle w:val="TableContents"/>
              <w:bidi w:val="0"/>
              <w:spacing w:before="0" w:after="0"/>
              <w:jc w:val="both"/>
              <w:rPr/>
            </w:pPr>
            <w:r>
              <w:rPr/>
              <w:t>Statement of Eligibility of Trustee on Form T-1**</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5" w:name="za485aaf7831145c2a13b9449ee38d35d"/>
      <w:bookmarkStart w:id="486" w:name="za485aaf7831145c2a13b9449ee38d35d"/>
      <w:bookmarkEnd w:id="486"/>
    </w:p>
    <w:tbl>
      <w:tblPr>
        <w:tblW w:w="1780" w:type="dxa"/>
        <w:jc w:val="left"/>
        <w:tblInd w:w="0" w:type="dxa"/>
        <w:tblLayout w:type="fixed"/>
        <w:tblCellMar>
          <w:top w:w="0" w:type="dxa"/>
          <w:left w:w="0" w:type="dxa"/>
          <w:bottom w:w="0" w:type="dxa"/>
          <w:right w:w="0" w:type="dxa"/>
        </w:tblCellMar>
      </w:tblPr>
      <w:tblGrid>
        <w:gridCol w:w="230"/>
        <w:gridCol w:w="1550"/>
      </w:tblGrid>
      <w:tr>
        <w:trPr/>
        <w:tc>
          <w:tcPr>
            <w:tcW w:w="230" w:type="dxa"/>
            <w:tcBorders/>
            <w:vAlign w:val="center"/>
          </w:tcPr>
          <w:p>
            <w:pPr>
              <w:pStyle w:val="TableContents"/>
              <w:bidi w:val="0"/>
              <w:spacing w:before="0" w:after="283"/>
              <w:jc w:val="left"/>
              <w:rPr/>
            </w:pPr>
            <w:r>
              <w:rPr/>
              <w:t>e.</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7" w:name="z57523e5c2fcf41959c48f16c7ceab76a"/>
      <w:bookmarkStart w:id="488" w:name="z57523e5c2fcf41959c48f16c7ceab76a"/>
      <w:bookmarkEnd w:id="488"/>
    </w:p>
    <w:tbl>
      <w:tblPr>
        <w:tblW w:w="1750" w:type="dxa"/>
        <w:jc w:val="left"/>
        <w:tblInd w:w="0" w:type="dxa"/>
        <w:tblLayout w:type="fixed"/>
        <w:tblCellMar>
          <w:top w:w="0" w:type="dxa"/>
          <w:left w:w="0" w:type="dxa"/>
          <w:bottom w:w="0" w:type="dxa"/>
          <w:right w:w="0" w:type="dxa"/>
        </w:tblCellMar>
      </w:tblPr>
      <w:tblGrid>
        <w:gridCol w:w="200"/>
        <w:gridCol w:w="1550"/>
      </w:tblGrid>
      <w:tr>
        <w:trPr/>
        <w:tc>
          <w:tcPr>
            <w:tcW w:w="200" w:type="dxa"/>
            <w:tcBorders/>
            <w:vAlign w:val="center"/>
          </w:tcPr>
          <w:p>
            <w:pPr>
              <w:pStyle w:val="TableContents"/>
              <w:bidi w:val="0"/>
              <w:spacing w:before="0" w:after="283"/>
              <w:jc w:val="left"/>
              <w:rPr/>
            </w:pPr>
            <w:r>
              <w:rPr/>
              <w:t>f.</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9" w:name="z3f095639f7e6458baee1fd62301d1b23"/>
      <w:bookmarkStart w:id="490" w:name="z3f095639f7e6458baee1fd62301d1b23"/>
      <w:bookmarkEnd w:id="490"/>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g.</w:t>
            </w:r>
          </w:p>
        </w:tc>
        <w:tc>
          <w:tcPr>
            <w:tcW w:w="9960" w:type="dxa"/>
            <w:tcBorders/>
            <w:vAlign w:val="center"/>
          </w:tcPr>
          <w:p>
            <w:pPr>
              <w:pStyle w:val="TableContents"/>
              <w:bidi w:val="0"/>
              <w:spacing w:before="0" w:after="0"/>
              <w:jc w:val="both"/>
              <w:rPr/>
            </w:pPr>
            <w:hyperlink r:id="rId20">
              <w:r>
                <w:rPr>
                  <w:rStyle w:val="InternetLink"/>
                </w:rPr>
                <w:t>Investment Advisory Agreement by and between the Registrant and the Adviser (incorporated by reference to Exhibit 10.1 to the Registrant’s Current Report on Form 8-K (File No. 814-01383) filed on October 7, 2024)</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1" w:name="z1edddb54f217449293bdb19e25875a5e"/>
      <w:bookmarkStart w:id="492" w:name="z1edddb54f217449293bdb19e25875a5e"/>
      <w:bookmarkEnd w:id="492"/>
    </w:p>
    <w:tbl>
      <w:tblPr>
        <w:tblW w:w="5965" w:type="dxa"/>
        <w:jc w:val="left"/>
        <w:tblInd w:w="0" w:type="dxa"/>
        <w:tblLayout w:type="fixed"/>
        <w:tblCellMar>
          <w:top w:w="0" w:type="dxa"/>
          <w:left w:w="0" w:type="dxa"/>
          <w:bottom w:w="0" w:type="dxa"/>
          <w:right w:w="0" w:type="dxa"/>
        </w:tblCellMar>
      </w:tblPr>
      <w:tblGrid>
        <w:gridCol w:w="425"/>
        <w:gridCol w:w="5540"/>
      </w:tblGrid>
      <w:tr>
        <w:trPr/>
        <w:tc>
          <w:tcPr>
            <w:tcW w:w="425" w:type="dxa"/>
            <w:tcBorders/>
            <w:vAlign w:val="center"/>
          </w:tcPr>
          <w:p>
            <w:pPr>
              <w:pStyle w:val="TableContents"/>
              <w:bidi w:val="0"/>
              <w:spacing w:before="0" w:after="283"/>
              <w:jc w:val="left"/>
              <w:rPr/>
            </w:pPr>
            <w:r>
              <w:rPr/>
              <w:t>h.1.</w:t>
            </w:r>
          </w:p>
        </w:tc>
        <w:tc>
          <w:tcPr>
            <w:tcW w:w="5540" w:type="dxa"/>
            <w:tcBorders/>
            <w:vAlign w:val="center"/>
          </w:tcPr>
          <w:p>
            <w:pPr>
              <w:pStyle w:val="TableContents"/>
              <w:bidi w:val="0"/>
              <w:spacing w:before="0" w:after="0"/>
              <w:jc w:val="both"/>
              <w:rPr/>
            </w:pPr>
            <w:r>
              <w:rPr/>
              <w:t>Form of Underwriting Agreement for Equity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3" w:name="za3ba8b7f41104efcbef3902aa678ddd5"/>
      <w:bookmarkStart w:id="494" w:name="za3ba8b7f41104efcbef3902aa678ddd5"/>
      <w:bookmarkEnd w:id="494"/>
    </w:p>
    <w:tbl>
      <w:tblPr>
        <w:tblW w:w="5800" w:type="dxa"/>
        <w:jc w:val="left"/>
        <w:tblInd w:w="0" w:type="dxa"/>
        <w:tblLayout w:type="fixed"/>
        <w:tblCellMar>
          <w:top w:w="0" w:type="dxa"/>
          <w:left w:w="0" w:type="dxa"/>
          <w:bottom w:w="0" w:type="dxa"/>
          <w:right w:w="0" w:type="dxa"/>
        </w:tblCellMar>
      </w:tblPr>
      <w:tblGrid>
        <w:gridCol w:w="425"/>
        <w:gridCol w:w="5375"/>
      </w:tblGrid>
      <w:tr>
        <w:trPr/>
        <w:tc>
          <w:tcPr>
            <w:tcW w:w="425" w:type="dxa"/>
            <w:tcBorders/>
            <w:vAlign w:val="center"/>
          </w:tcPr>
          <w:p>
            <w:pPr>
              <w:pStyle w:val="TableContents"/>
              <w:bidi w:val="0"/>
              <w:spacing w:before="0" w:after="283"/>
              <w:jc w:val="left"/>
              <w:rPr/>
            </w:pPr>
            <w:r>
              <w:rPr/>
              <w:t>h.2.</w:t>
            </w:r>
          </w:p>
        </w:tc>
        <w:tc>
          <w:tcPr>
            <w:tcW w:w="5375" w:type="dxa"/>
            <w:tcBorders/>
            <w:vAlign w:val="center"/>
          </w:tcPr>
          <w:p>
            <w:pPr>
              <w:pStyle w:val="TableContents"/>
              <w:bidi w:val="0"/>
              <w:spacing w:before="0" w:after="0"/>
              <w:jc w:val="both"/>
              <w:rPr/>
            </w:pPr>
            <w:r>
              <w:rPr/>
              <w:t>Form of Underwriting Agreement for Debt Securities**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5" w:name="z1f0286d492934471b2d9b941da139e0b"/>
      <w:bookmarkStart w:id="496" w:name="z1f0286d492934471b2d9b941da139e0b"/>
      <w:bookmarkEnd w:id="496"/>
    </w:p>
    <w:tbl>
      <w:tblPr>
        <w:tblW w:w="1735" w:type="dxa"/>
        <w:jc w:val="left"/>
        <w:tblInd w:w="0" w:type="dxa"/>
        <w:tblLayout w:type="fixed"/>
        <w:tblCellMar>
          <w:top w:w="0" w:type="dxa"/>
          <w:left w:w="0" w:type="dxa"/>
          <w:bottom w:w="0" w:type="dxa"/>
          <w:right w:w="0" w:type="dxa"/>
        </w:tblCellMar>
      </w:tblPr>
      <w:tblGrid>
        <w:gridCol w:w="185"/>
        <w:gridCol w:w="1550"/>
      </w:tblGrid>
      <w:tr>
        <w:trPr/>
        <w:tc>
          <w:tcPr>
            <w:tcW w:w="185" w:type="dxa"/>
            <w:tcBorders/>
            <w:vAlign w:val="center"/>
          </w:tcPr>
          <w:p>
            <w:pPr>
              <w:pStyle w:val="TableContents"/>
              <w:bidi w:val="0"/>
              <w:spacing w:before="0" w:after="283"/>
              <w:jc w:val="left"/>
              <w:rPr/>
            </w:pPr>
            <w:r>
              <w:rPr/>
              <w:t>i.</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7" w:name="z5e90ab5527b34e16bb9a5bd58df668b5"/>
      <w:bookmarkStart w:id="498" w:name="z5e90ab5527b34e16bb9a5bd58df668b5"/>
      <w:bookmarkEnd w:id="498"/>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j.1.</w:t>
            </w:r>
          </w:p>
        </w:tc>
        <w:tc>
          <w:tcPr>
            <w:tcW w:w="9952" w:type="dxa"/>
            <w:tcBorders/>
            <w:vAlign w:val="center"/>
          </w:tcPr>
          <w:p>
            <w:pPr>
              <w:pStyle w:val="TableContents"/>
              <w:bidi w:val="0"/>
              <w:spacing w:before="0" w:after="0"/>
              <w:jc w:val="both"/>
              <w:rPr/>
            </w:pPr>
            <w:hyperlink r:id="rId21">
              <w:r>
                <w:rPr>
                  <w:rStyle w:val="InternetLink"/>
                </w:rPr>
                <w:t>Custody Agreement, by and between the Registrant and Western Alliance Trust Company, N.A., as custodian (incorporated by reference to Exhibit 10.2 to the Registrant’s Current Report on Form 8-K (File No. 814-01383) filed on February 18, 2025)</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99" w:name="za29032e9e4004ab5b83aa6c035dfedd7"/>
      <w:bookmarkStart w:id="500" w:name="za29032e9e4004ab5b83aa6c035dfedd7"/>
      <w:bookmarkEnd w:id="500"/>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j.2.</w:t>
            </w:r>
          </w:p>
        </w:tc>
        <w:tc>
          <w:tcPr>
            <w:tcW w:w="9947" w:type="dxa"/>
            <w:tcBorders/>
            <w:vAlign w:val="center"/>
          </w:tcPr>
          <w:p>
            <w:pPr>
              <w:pStyle w:val="TableContents"/>
              <w:bidi w:val="0"/>
              <w:spacing w:before="0" w:after="0"/>
              <w:jc w:val="both"/>
              <w:rPr/>
            </w:pPr>
            <w:hyperlink r:id="rId22">
              <w:r>
                <w:rPr>
                  <w:rStyle w:val="InternetLink"/>
                </w:rPr>
                <w:t>Custody Agreement, by and between the Registrant and Western Alliance Bank, as custodian (incorporated by reference to Exhibit 10.3 to the Registrant’s Current Report on Form 8-K (File No. 814-01383) filed on February 18, 2025)</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01" w:name="zbc4916978e3647e09ad2542cbfc3a386"/>
      <w:bookmarkStart w:id="502" w:name="zbc4916978e3647e09ad2542cbfc3a386"/>
      <w:bookmarkEnd w:id="502"/>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pPr>
            <w:r>
              <w:rPr/>
              <w:t>k.1.</w:t>
            </w:r>
          </w:p>
        </w:tc>
        <w:tc>
          <w:tcPr>
            <w:tcW w:w="9881" w:type="dxa"/>
            <w:tcBorders/>
            <w:vAlign w:val="center"/>
          </w:tcPr>
          <w:p>
            <w:pPr>
              <w:pStyle w:val="TableContents"/>
              <w:bidi w:val="0"/>
              <w:spacing w:before="0" w:after="0"/>
              <w:jc w:val="both"/>
              <w:rPr/>
            </w:pPr>
            <w:hyperlink r:id="rId23">
              <w:r>
                <w:rPr>
                  <w:rStyle w:val="InternetLink"/>
                </w:rPr>
                <w:t>Administration Agreement by and between the Registrant and the Adviser (incorporated by reference to Exhibit 10.4 to the Registrant’s Annual Report on Form 10-K/A (File No. 814-01383) filed on June 30, 2022)</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03" w:name="z59994c948a44467688fcd1d7b49a44db"/>
      <w:bookmarkStart w:id="504" w:name="z59994c948a44467688fcd1d7b49a44db"/>
      <w:bookmarkEnd w:id="504"/>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k.2.</w:t>
            </w:r>
          </w:p>
        </w:tc>
        <w:tc>
          <w:tcPr>
            <w:tcW w:w="9876" w:type="dxa"/>
            <w:tcBorders/>
            <w:vAlign w:val="center"/>
          </w:tcPr>
          <w:p>
            <w:pPr>
              <w:pStyle w:val="TableContents"/>
              <w:bidi w:val="0"/>
              <w:spacing w:before="0" w:after="0"/>
              <w:jc w:val="both"/>
              <w:rPr/>
            </w:pPr>
            <w:hyperlink r:id="rId24">
              <w:r>
                <w:rPr>
                  <w:rStyle w:val="InternetLink"/>
                </w:rPr>
                <w:t>License Agreement by and between the Registrant and the Adviser (incorporated by reference to Exhibit 10.2 to the Registrant’s Current Report on Form 8-K (File No. 814-01383) filed on October 7, 2024)</w:t>
              </w:r>
            </w:hyperlink>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505" w:name="zf4eafd4e31bf4101891f49b92539c9a0"/>
      <w:bookmarkStart w:id="506" w:name="zf4eafd4e31bf4101891f49b92539c9a0"/>
      <w:bookmarkEnd w:id="506"/>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pPr>
            <w:r>
              <w:rPr/>
              <w:t>k.3.</w:t>
            </w:r>
          </w:p>
        </w:tc>
        <w:tc>
          <w:tcPr>
            <w:tcW w:w="9895" w:type="dxa"/>
            <w:tcBorders/>
            <w:vAlign w:val="center"/>
          </w:tcPr>
          <w:p>
            <w:pPr>
              <w:pStyle w:val="TableContents"/>
              <w:bidi w:val="0"/>
              <w:spacing w:before="0" w:after="0"/>
              <w:jc w:val="both"/>
              <w:rPr/>
            </w:pPr>
            <w:hyperlink r:id="rId25">
              <w:r>
                <w:rPr>
                  <w:rStyle w:val="InternetLink"/>
                </w:rPr>
                <w:t>Services Agreement by and among SS&amp;C Technologies, Inc., ALPS Fund Services, Inc., the Adviser, and the Registrant (incorporated by reference to Exhibit 10.6 to the Registrant’s Annual Report on Form 10-K/A (File No. 814-01383) filed on June 30, 2022)</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07" w:name="zb848b182fe234b9fa47478d44a6848e0"/>
      <w:bookmarkStart w:id="508" w:name="zb848b182fe234b9fa47478d44a6848e0"/>
      <w:bookmarkEnd w:id="508"/>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k.4.</w:t>
            </w:r>
          </w:p>
        </w:tc>
        <w:tc>
          <w:tcPr>
            <w:tcW w:w="9917" w:type="dxa"/>
            <w:tcBorders/>
            <w:vAlign w:val="center"/>
          </w:tcPr>
          <w:p>
            <w:pPr>
              <w:pStyle w:val="TableContents"/>
              <w:bidi w:val="0"/>
              <w:spacing w:before="0" w:after="0"/>
              <w:jc w:val="both"/>
              <w:rPr/>
            </w:pPr>
            <w:hyperlink r:id="rId26">
              <w:r>
                <w:rPr>
                  <w:rStyle w:val="InternetLink"/>
                </w:rPr>
                <w:t>Senior Secured Revolving Credit Agreement, dated as of February 11, 2025, among the Company, as borrower, the lenders and the issuing banks party thereto from time to time, and Western Alliance Trust Company, N.A., as administrative agent (incorporated by reference to Exhibit 10.1 to the Registrant’s Current Report on Form 8-K (File No. 814-01383) filed on February 18, 2025)</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09" w:name="z91bab5b3dc044e93a006ba8ba864ed18"/>
      <w:bookmarkStart w:id="510" w:name="z91bab5b3dc044e93a006ba8ba864ed18"/>
      <w:bookmarkEnd w:id="510"/>
    </w:p>
    <w:tbl>
      <w:tblPr>
        <w:tblW w:w="8125" w:type="dxa"/>
        <w:jc w:val="left"/>
        <w:tblInd w:w="0" w:type="dxa"/>
        <w:tblLayout w:type="fixed"/>
        <w:tblCellMar>
          <w:top w:w="0" w:type="dxa"/>
          <w:left w:w="0" w:type="dxa"/>
          <w:bottom w:w="0" w:type="dxa"/>
          <w:right w:w="0" w:type="dxa"/>
        </w:tblCellMar>
      </w:tblPr>
      <w:tblGrid>
        <w:gridCol w:w="185"/>
        <w:gridCol w:w="7940"/>
      </w:tblGrid>
      <w:tr>
        <w:trPr/>
        <w:tc>
          <w:tcPr>
            <w:tcW w:w="185" w:type="dxa"/>
            <w:tcBorders/>
            <w:vAlign w:val="center"/>
          </w:tcPr>
          <w:p>
            <w:pPr>
              <w:pStyle w:val="TableContents"/>
              <w:bidi w:val="0"/>
              <w:spacing w:before="0" w:after="283"/>
              <w:jc w:val="left"/>
              <w:rPr/>
            </w:pPr>
            <w:r>
              <w:rPr/>
              <w:t>l.</w:t>
            </w:r>
          </w:p>
        </w:tc>
        <w:tc>
          <w:tcPr>
            <w:tcW w:w="7940" w:type="dxa"/>
            <w:tcBorders/>
            <w:vAlign w:val="center"/>
          </w:tcPr>
          <w:p>
            <w:pPr>
              <w:pStyle w:val="TableContents"/>
              <w:bidi w:val="0"/>
              <w:spacing w:before="0" w:after="0"/>
              <w:jc w:val="both"/>
              <w:rPr/>
            </w:pPr>
            <w:r>
              <w:rPr/>
              <w:t>Opinion and Consent of Baker, Donelson, Bearman, Caldwell &amp; Berkowitz, PC**</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1" w:name="z7af23e76e48c4355a66179917adb7045"/>
      <w:bookmarkStart w:id="512" w:name="z7af23e76e48c4355a66179917adb7045"/>
      <w:bookmarkEnd w:id="512"/>
    </w:p>
    <w:tbl>
      <w:tblPr>
        <w:tblW w:w="1855" w:type="dxa"/>
        <w:jc w:val="left"/>
        <w:tblInd w:w="0" w:type="dxa"/>
        <w:tblLayout w:type="fixed"/>
        <w:tblCellMar>
          <w:top w:w="0" w:type="dxa"/>
          <w:left w:w="0" w:type="dxa"/>
          <w:bottom w:w="0" w:type="dxa"/>
          <w:right w:w="0" w:type="dxa"/>
        </w:tblCellMar>
      </w:tblPr>
      <w:tblGrid>
        <w:gridCol w:w="305"/>
        <w:gridCol w:w="1550"/>
      </w:tblGrid>
      <w:tr>
        <w:trPr/>
        <w:tc>
          <w:tcPr>
            <w:tcW w:w="305" w:type="dxa"/>
            <w:tcBorders/>
            <w:vAlign w:val="center"/>
          </w:tcPr>
          <w:p>
            <w:pPr>
              <w:pStyle w:val="TableContents"/>
              <w:bidi w:val="0"/>
              <w:spacing w:before="0" w:after="283"/>
              <w:jc w:val="left"/>
              <w:rPr/>
            </w:pPr>
            <w:r>
              <w:rPr/>
              <w:t>m.</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3" w:name="zcc9bb9706d2d493aa80fbb70368808e7"/>
      <w:bookmarkStart w:id="514" w:name="zcc9bb9706d2d493aa80fbb70368808e7"/>
      <w:bookmarkEnd w:id="514"/>
    </w:p>
    <w:tbl>
      <w:tblPr>
        <w:tblW w:w="3355" w:type="dxa"/>
        <w:jc w:val="left"/>
        <w:tblInd w:w="0" w:type="dxa"/>
        <w:tblLayout w:type="fixed"/>
        <w:tblCellMar>
          <w:top w:w="0" w:type="dxa"/>
          <w:left w:w="0" w:type="dxa"/>
          <w:bottom w:w="0" w:type="dxa"/>
          <w:right w:w="0" w:type="dxa"/>
        </w:tblCellMar>
      </w:tblPr>
      <w:tblGrid>
        <w:gridCol w:w="425"/>
        <w:gridCol w:w="2930"/>
      </w:tblGrid>
      <w:tr>
        <w:trPr/>
        <w:tc>
          <w:tcPr>
            <w:tcW w:w="425" w:type="dxa"/>
            <w:tcBorders/>
            <w:vAlign w:val="center"/>
          </w:tcPr>
          <w:p>
            <w:pPr>
              <w:pStyle w:val="TableContents"/>
              <w:bidi w:val="0"/>
              <w:spacing w:before="0" w:after="283"/>
              <w:jc w:val="left"/>
              <w:rPr/>
            </w:pPr>
            <w:r>
              <w:rPr/>
              <w:t>n.1.</w:t>
            </w:r>
          </w:p>
        </w:tc>
        <w:tc>
          <w:tcPr>
            <w:tcW w:w="2930" w:type="dxa"/>
            <w:tcBorders/>
            <w:vAlign w:val="center"/>
          </w:tcPr>
          <w:p>
            <w:pPr>
              <w:pStyle w:val="TableContents"/>
              <w:bidi w:val="0"/>
              <w:spacing w:before="0" w:after="0"/>
              <w:jc w:val="both"/>
              <w:rPr/>
            </w:pPr>
            <w:hyperlink w:anchor="ef20072364_ex99-n1.htm">
              <w:r>
                <w:rPr>
                  <w:rStyle w:val="InternetLink"/>
                </w:rPr>
                <w:t>Consent of BDO USA, P.C.*</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5" w:name="z00b0eb7d6ef846b0b5d4c3fc3ae6bd62"/>
      <w:bookmarkStart w:id="516" w:name="z00b0eb7d6ef846b0b5d4c3fc3ae6bd62"/>
      <w:bookmarkEnd w:id="516"/>
    </w:p>
    <w:tbl>
      <w:tblPr>
        <w:tblW w:w="2500" w:type="dxa"/>
        <w:jc w:val="left"/>
        <w:tblInd w:w="0" w:type="dxa"/>
        <w:tblLayout w:type="fixed"/>
        <w:tblCellMar>
          <w:top w:w="0" w:type="dxa"/>
          <w:left w:w="0" w:type="dxa"/>
          <w:bottom w:w="0" w:type="dxa"/>
          <w:right w:w="0" w:type="dxa"/>
        </w:tblCellMar>
      </w:tblPr>
      <w:tblGrid>
        <w:gridCol w:w="425"/>
        <w:gridCol w:w="2075"/>
      </w:tblGrid>
      <w:tr>
        <w:trPr/>
        <w:tc>
          <w:tcPr>
            <w:tcW w:w="425" w:type="dxa"/>
            <w:tcBorders/>
            <w:vAlign w:val="center"/>
          </w:tcPr>
          <w:p>
            <w:pPr>
              <w:pStyle w:val="TableContents"/>
              <w:bidi w:val="0"/>
              <w:spacing w:before="0" w:after="283"/>
              <w:jc w:val="left"/>
              <w:rPr/>
            </w:pPr>
            <w:r>
              <w:rPr/>
              <w:t>n.2.</w:t>
            </w:r>
          </w:p>
        </w:tc>
        <w:tc>
          <w:tcPr>
            <w:tcW w:w="2075" w:type="dxa"/>
            <w:tcBorders/>
            <w:vAlign w:val="center"/>
          </w:tcPr>
          <w:p>
            <w:pPr>
              <w:pStyle w:val="TableContents"/>
              <w:bidi w:val="0"/>
              <w:spacing w:before="0" w:after="0"/>
              <w:jc w:val="both"/>
              <w:rPr/>
            </w:pPr>
            <w:hyperlink w:anchor="ef20072364_ex99-n2.htm">
              <w:r>
                <w:rPr>
                  <w:rStyle w:val="InternetLink"/>
                </w:rPr>
                <w:t>Powers of Attorney*</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7" w:name="zc8aecfd1feab495c913e2b63f8e5b5ac"/>
      <w:bookmarkStart w:id="518" w:name="zc8aecfd1feab495c913e2b63f8e5b5ac"/>
      <w:bookmarkEnd w:id="518"/>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283"/>
              <w:jc w:val="left"/>
              <w:rPr/>
            </w:pPr>
            <w:r>
              <w:rPr/>
              <w:t>o.</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9" w:name="z1b294f32ca68430185de1ba7a6e7b736"/>
      <w:bookmarkStart w:id="520" w:name="z1b294f32ca68430185de1ba7a6e7b736"/>
      <w:bookmarkEnd w:id="520"/>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283"/>
              <w:jc w:val="left"/>
              <w:rPr/>
            </w:pPr>
            <w:r>
              <w:rPr/>
              <w:t>p.</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1" w:name="zc101fc619b0e4e1ba5381ab4cea81608"/>
      <w:bookmarkStart w:id="522" w:name="zc101fc619b0e4e1ba5381ab4cea81608"/>
      <w:bookmarkEnd w:id="522"/>
    </w:p>
    <w:tbl>
      <w:tblPr>
        <w:tblW w:w="1795" w:type="dxa"/>
        <w:jc w:val="left"/>
        <w:tblInd w:w="0" w:type="dxa"/>
        <w:tblLayout w:type="fixed"/>
        <w:tblCellMar>
          <w:top w:w="0" w:type="dxa"/>
          <w:left w:w="0" w:type="dxa"/>
          <w:bottom w:w="0" w:type="dxa"/>
          <w:right w:w="0" w:type="dxa"/>
        </w:tblCellMar>
      </w:tblPr>
      <w:tblGrid>
        <w:gridCol w:w="245"/>
        <w:gridCol w:w="1550"/>
      </w:tblGrid>
      <w:tr>
        <w:trPr/>
        <w:tc>
          <w:tcPr>
            <w:tcW w:w="245" w:type="dxa"/>
            <w:tcBorders/>
            <w:vAlign w:val="center"/>
          </w:tcPr>
          <w:p>
            <w:pPr>
              <w:pStyle w:val="TableContents"/>
              <w:bidi w:val="0"/>
              <w:spacing w:before="0" w:after="283"/>
              <w:jc w:val="left"/>
              <w:rPr/>
            </w:pPr>
            <w:r>
              <w:rPr/>
              <w:t>q.</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3" w:name="z517b2c215c324992b743ddd9c4ef5460"/>
      <w:bookmarkStart w:id="524" w:name="z517b2c215c324992b743ddd9c4ef5460"/>
      <w:bookmarkEnd w:id="524"/>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r.1.</w:t>
            </w:r>
          </w:p>
        </w:tc>
        <w:tc>
          <w:tcPr>
            <w:tcW w:w="9903" w:type="dxa"/>
            <w:tcBorders/>
            <w:vAlign w:val="center"/>
          </w:tcPr>
          <w:p>
            <w:pPr>
              <w:pStyle w:val="TableContents"/>
              <w:bidi w:val="0"/>
              <w:spacing w:before="0" w:after="0"/>
              <w:jc w:val="both"/>
              <w:rPr/>
            </w:pPr>
            <w:hyperlink r:id="rId27">
              <w:r>
                <w:rPr>
                  <w:rStyle w:val="InternetLink"/>
                </w:rPr>
                <w:t>Code of Ethics of the Registrant (incorporated by reference to Exhibit 14.1 to the Registrant’s Annual Report on Form 10-K (File No. 814-01383) filed on March 19, 2026)</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5" w:name="za294d5646b184f4cb8bf00bb1af9a319"/>
      <w:bookmarkStart w:id="526" w:name="za294d5646b184f4cb8bf00bb1af9a319"/>
      <w:bookmarkEnd w:id="526"/>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r.2.</w:t>
            </w:r>
          </w:p>
        </w:tc>
        <w:tc>
          <w:tcPr>
            <w:tcW w:w="9901" w:type="dxa"/>
            <w:tcBorders/>
            <w:vAlign w:val="center"/>
          </w:tcPr>
          <w:p>
            <w:pPr>
              <w:pStyle w:val="TableContents"/>
              <w:bidi w:val="0"/>
              <w:spacing w:before="0" w:after="0"/>
              <w:jc w:val="both"/>
              <w:rPr/>
            </w:pPr>
            <w:hyperlink r:id="rId28">
              <w:r>
                <w:rPr>
                  <w:rStyle w:val="InternetLink"/>
                </w:rPr>
                <w:t>Code of Ethics of the Adviser (incorporated by reference to Exhibit 14.1 to the Registrant’s Annual Report on Form 10-K (File No. 814-01383) filed on March 19, 2026)</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7" w:name="z3a658f4c574045f0950e42ed0f589464"/>
      <w:bookmarkStart w:id="528" w:name="z3a658f4c574045f0950e42ed0f589464"/>
      <w:bookmarkEnd w:id="528"/>
    </w:p>
    <w:tbl>
      <w:tblPr>
        <w:tblW w:w="3385" w:type="dxa"/>
        <w:jc w:val="left"/>
        <w:tblInd w:w="0" w:type="dxa"/>
        <w:tblLayout w:type="fixed"/>
        <w:tblCellMar>
          <w:top w:w="0" w:type="dxa"/>
          <w:left w:w="0" w:type="dxa"/>
          <w:bottom w:w="0" w:type="dxa"/>
          <w:right w:w="0" w:type="dxa"/>
        </w:tblCellMar>
      </w:tblPr>
      <w:tblGrid>
        <w:gridCol w:w="215"/>
        <w:gridCol w:w="3170"/>
      </w:tblGrid>
      <w:tr>
        <w:trPr/>
        <w:tc>
          <w:tcPr>
            <w:tcW w:w="215" w:type="dxa"/>
            <w:tcBorders/>
            <w:vAlign w:val="center"/>
          </w:tcPr>
          <w:p>
            <w:pPr>
              <w:pStyle w:val="TableContents"/>
              <w:bidi w:val="0"/>
              <w:spacing w:before="0" w:after="283"/>
              <w:jc w:val="left"/>
              <w:rPr/>
            </w:pPr>
            <w:r>
              <w:rPr/>
              <w:t>s.</w:t>
            </w:r>
          </w:p>
        </w:tc>
        <w:tc>
          <w:tcPr>
            <w:tcW w:w="3170" w:type="dxa"/>
            <w:tcBorders/>
            <w:vAlign w:val="center"/>
          </w:tcPr>
          <w:p>
            <w:pPr>
              <w:pStyle w:val="TableContents"/>
              <w:bidi w:val="0"/>
              <w:spacing w:before="0" w:after="0"/>
              <w:jc w:val="both"/>
              <w:rPr/>
            </w:pPr>
            <w:hyperlink w:anchor="ef20072364_ex99-s.htm">
              <w:r>
                <w:rPr>
                  <w:rStyle w:val="InternetLink"/>
                </w:rPr>
                <w:t>Calculation of Filing Fee Table*</w:t>
              </w:r>
            </w:hyperlink>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9" w:name="z798e3daaf09a477a98002ba3bf7b930d"/>
      <w:bookmarkStart w:id="530" w:name="z798e3daaf09a477a98002ba3bf7b930d"/>
      <w:bookmarkEnd w:id="530"/>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both"/>
              <w:rPr/>
            </w:pPr>
            <w:r>
              <w:rPr/>
              <w:t>Filed herewith.</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1" w:name="z1d567644e6cf47e385fe2b9b30be1767"/>
      <w:bookmarkStart w:id="532" w:name="z1d567644e6cf47e385fe2b9b30be1767"/>
      <w:bookmarkEnd w:id="532"/>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0"/>
              <w:jc w:val="both"/>
              <w:rPr/>
            </w:pPr>
            <w:r>
              <w:rPr/>
              <w:t>To be filed either by amendment or as an exhibit to a report filed under the Securities Exchange Act of 1934 and incorporated herein by reference.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3" w:name="zf56477ffd815477da8ad1555cc2fe70f"/>
      <w:bookmarkStart w:id="534" w:name="zf56477ffd815477da8ad1555cc2fe70f"/>
      <w:bookmarkEnd w:id="534"/>
    </w:p>
    <w:tbl>
      <w:tblPr>
        <w:tblW w:w="3460" w:type="dxa"/>
        <w:jc w:val="left"/>
        <w:tblInd w:w="0" w:type="dxa"/>
        <w:tblLayout w:type="fixed"/>
        <w:tblCellMar>
          <w:top w:w="0" w:type="dxa"/>
          <w:left w:w="0" w:type="dxa"/>
          <w:bottom w:w="0" w:type="dxa"/>
          <w:right w:w="0" w:type="dxa"/>
        </w:tblCellMar>
      </w:tblPr>
      <w:tblGrid>
        <w:gridCol w:w="890"/>
        <w:gridCol w:w="2570"/>
      </w:tblGrid>
      <w:tr>
        <w:trPr/>
        <w:tc>
          <w:tcPr>
            <w:tcW w:w="890" w:type="dxa"/>
            <w:tcBorders/>
            <w:vAlign w:val="center"/>
          </w:tcPr>
          <w:p>
            <w:pPr>
              <w:pStyle w:val="TableContents"/>
              <w:bidi w:val="0"/>
              <w:spacing w:before="0" w:after="0"/>
              <w:jc w:val="both"/>
              <w:rPr>
                <w:b/>
              </w:rPr>
            </w:pPr>
            <w:r>
              <w:rPr>
                <w:b/>
              </w:rPr>
              <w:t>Item 26.</w:t>
            </w:r>
          </w:p>
        </w:tc>
        <w:tc>
          <w:tcPr>
            <w:tcW w:w="2570" w:type="dxa"/>
            <w:tcBorders/>
            <w:vAlign w:val="center"/>
          </w:tcPr>
          <w:p>
            <w:pPr>
              <w:pStyle w:val="TableContents"/>
              <w:bidi w:val="0"/>
              <w:spacing w:before="0" w:after="0"/>
              <w:jc w:val="both"/>
              <w:rPr>
                <w:b/>
                <w:i/>
              </w:rPr>
            </w:pPr>
            <w:r>
              <w:rPr>
                <w:b/>
                <w:i/>
              </w:rPr>
              <w:t>Marketing Arrangements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under the heading “</w:t>
      </w:r>
      <w:r>
        <w:rPr>
          <w:rFonts w:ascii="Times New Roman" w:hAnsi="Times New Roman"/>
          <w:i/>
          <w:color w:val="000000"/>
          <w:sz w:val="20"/>
          <w:shd w:fill="FFFFFF" w:val="clear"/>
        </w:rPr>
        <w:t>Plan of Distribution</w:t>
      </w:r>
      <w:r>
        <w:rPr>
          <w:rFonts w:ascii="Times New Roman" w:hAnsi="Times New Roman"/>
          <w:color w:val="000000"/>
          <w:sz w:val="20"/>
          <w:shd w:fill="FFFFFF" w:val="clear"/>
        </w:rPr>
        <w:t>” in this Registration Statement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5" w:name="zd5b427f7c760465a80a3e8f85c724533"/>
      <w:bookmarkStart w:id="536" w:name="zd5b427f7c760465a80a3e8f85c724533"/>
      <w:bookmarkEnd w:id="536"/>
    </w:p>
    <w:tbl>
      <w:tblPr>
        <w:tblW w:w="5395" w:type="dxa"/>
        <w:jc w:val="left"/>
        <w:tblInd w:w="0" w:type="dxa"/>
        <w:tblLayout w:type="fixed"/>
        <w:tblCellMar>
          <w:top w:w="0" w:type="dxa"/>
          <w:left w:w="0" w:type="dxa"/>
          <w:bottom w:w="0" w:type="dxa"/>
          <w:right w:w="0" w:type="dxa"/>
        </w:tblCellMar>
      </w:tblPr>
      <w:tblGrid>
        <w:gridCol w:w="890"/>
        <w:gridCol w:w="4505"/>
      </w:tblGrid>
      <w:tr>
        <w:trPr/>
        <w:tc>
          <w:tcPr>
            <w:tcW w:w="890" w:type="dxa"/>
            <w:tcBorders/>
            <w:vAlign w:val="center"/>
          </w:tcPr>
          <w:p>
            <w:pPr>
              <w:pStyle w:val="TableContents"/>
              <w:bidi w:val="0"/>
              <w:spacing w:before="0" w:after="0"/>
              <w:jc w:val="left"/>
              <w:rPr>
                <w:b/>
              </w:rPr>
            </w:pPr>
            <w:r>
              <w:rPr>
                <w:b/>
              </w:rPr>
              <w:t>Item 27.</w:t>
            </w:r>
          </w:p>
        </w:tc>
        <w:tc>
          <w:tcPr>
            <w:tcW w:w="4505" w:type="dxa"/>
            <w:tcBorders/>
            <w:vAlign w:val="center"/>
          </w:tcPr>
          <w:p>
            <w:pPr>
              <w:pStyle w:val="TableContents"/>
              <w:bidi w:val="0"/>
              <w:spacing w:before="0" w:after="0"/>
              <w:jc w:val="left"/>
              <w:rPr>
                <w:b/>
                <w:i/>
              </w:rPr>
            </w:pPr>
            <w:r>
              <w:rPr>
                <w:b/>
                <w:i/>
              </w:rPr>
              <w:t>Other Expenses of Issuance and Distribution</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7" w:name="zaf322ef5cb8040fc8a78343f2d8b094e"/>
      <w:bookmarkStart w:id="538" w:name="zaf322ef5cb8040fc8a78343f2d8b094e"/>
      <w:bookmarkEnd w:id="538"/>
    </w:p>
    <w:tbl>
      <w:tblPr>
        <w:tblW w:w="6690" w:type="dxa"/>
        <w:jc w:val="left"/>
        <w:tblInd w:w="0" w:type="dxa"/>
        <w:tblLayout w:type="fixed"/>
        <w:tblCellMar>
          <w:top w:w="0" w:type="dxa"/>
          <w:left w:w="0" w:type="dxa"/>
          <w:bottom w:w="0" w:type="dxa"/>
          <w:right w:w="0" w:type="dxa"/>
        </w:tblCellMar>
      </w:tblPr>
      <w:tblGrid>
        <w:gridCol w:w="5585"/>
        <w:gridCol w:w="90"/>
        <w:gridCol w:w="170"/>
        <w:gridCol w:w="710"/>
        <w:gridCol w:w="135"/>
      </w:tblGrid>
      <w:tr>
        <w:trPr/>
        <w:tc>
          <w:tcPr>
            <w:tcW w:w="5585" w:type="dxa"/>
            <w:tcBorders/>
            <w:vAlign w:val="bottom"/>
          </w:tcPr>
          <w:p>
            <w:pPr>
              <w:pStyle w:val="TableContents"/>
              <w:bidi w:val="0"/>
              <w:spacing w:before="0" w:after="0"/>
              <w:ind w:left="180" w:right="0" w:hanging="180"/>
              <w:jc w:val="left"/>
              <w:rPr/>
            </w:pPr>
            <w:r>
              <w:rPr/>
              <w:t>U.S. Securities and Exchange Commission registration fee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0"/>
              <w:jc w:val="right"/>
              <w:rPr/>
            </w:pPr>
            <w:r>
              <w:rPr/>
              <w:t>69,050</w:t>
            </w:r>
          </w:p>
        </w:tc>
        <w:tc>
          <w:tcPr>
            <w:tcW w:w="13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lineRule="auto" w:line="240" w:before="0" w:after="0"/>
              <w:ind w:left="180" w:right="0" w:hanging="180"/>
              <w:jc w:val="left"/>
              <w:rPr/>
            </w:pPr>
            <w:r>
              <w:rPr/>
              <w:t>FINRA filing fee(1)</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lineRule="auto" w:line="240" w:before="0" w:after="0"/>
              <w:ind w:left="180" w:right="0" w:hanging="180"/>
              <w:jc w:val="left"/>
              <w:rPr/>
            </w:pPr>
            <w:r>
              <w:rPr/>
              <w:t>NASDAQ listing fee(1)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lineRule="auto" w:line="240" w:before="0" w:after="0"/>
              <w:ind w:left="180" w:right="0" w:hanging="180"/>
              <w:jc w:val="left"/>
              <w:rPr/>
            </w:pPr>
            <w:r>
              <w:rPr/>
              <w:t>Printing expenses(1)</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lineRule="auto" w:line="240" w:before="0" w:after="0"/>
              <w:ind w:left="180" w:right="0" w:hanging="180"/>
              <w:jc w:val="left"/>
              <w:rPr/>
            </w:pPr>
            <w:r>
              <w:rPr/>
              <w:t>Legal fees and expenses(1)</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0"/>
              <w:jc w:val="left"/>
              <w:rPr/>
            </w:pPr>
            <w:r>
              <w:rPr/>
              <w:t>$</w:t>
            </w:r>
          </w:p>
        </w:tc>
        <w:tc>
          <w:tcPr>
            <w:tcW w:w="710" w:type="dxa"/>
            <w:tcBorders/>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lineRule="auto" w:line="240" w:before="0" w:after="0"/>
              <w:ind w:left="180" w:right="0" w:hanging="180"/>
              <w:jc w:val="left"/>
              <w:rPr/>
            </w:pPr>
            <w:r>
              <w:rPr/>
              <w:t>Accounting fees and expenses(1)</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lineRule="auto" w:line="240" w:before="0" w:after="0"/>
              <w:ind w:left="180" w:right="0" w:hanging="180"/>
              <w:jc w:val="left"/>
              <w:rPr/>
            </w:pPr>
            <w:r>
              <w:rPr/>
              <w:t>Miscellaneous fees and expenses(1)</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pPr>
            <w:r>
              <w:rPr/>
              <w:t>$</w:t>
            </w:r>
          </w:p>
        </w:tc>
        <w:tc>
          <w:tcPr>
            <w:tcW w:w="710" w:type="dxa"/>
            <w:tcBorders>
              <w:bottom w:val="single" w:sz="12" w:space="0" w:color="000000"/>
            </w:tcBorders>
            <w:tcMar>
              <w:bottom w:w="28" w:type="dxa"/>
            </w:tcMar>
            <w:vAlign w:val="bottom"/>
          </w:tcPr>
          <w:p>
            <w:pPr>
              <w:pStyle w:val="TableContents"/>
              <w:bidi w:val="0"/>
              <w:spacing w:before="0" w:after="0"/>
              <w:jc w:val="right"/>
              <w:rPr/>
            </w:pPr>
            <w:r>
              <w:rPr/>
              <w:t>—</w:t>
            </w:r>
          </w:p>
        </w:tc>
        <w:tc>
          <w:tcPr>
            <w:tcW w:w="135" w:type="dxa"/>
            <w:tcBorders/>
            <w:vAlign w:val="bottom"/>
          </w:tcPr>
          <w:p>
            <w:pPr>
              <w:pStyle w:val="TableContents"/>
              <w:bidi w:val="0"/>
              <w:spacing w:before="0" w:after="283"/>
              <w:jc w:val="left"/>
              <w:rPr/>
            </w:pPr>
            <w:r>
              <w:rPr/>
              <w:t> </w:t>
            </w:r>
          </w:p>
        </w:tc>
      </w:tr>
      <w:tr>
        <w:trPr/>
        <w:tc>
          <w:tcPr>
            <w:tcW w:w="5585" w:type="dxa"/>
            <w:tcBorders/>
            <w:shd w:fill="CCEEFF" w:val="clear"/>
            <w:vAlign w:val="bottom"/>
          </w:tcPr>
          <w:p>
            <w:pPr>
              <w:pStyle w:val="TableContents"/>
              <w:bidi w:val="0"/>
              <w:spacing w:before="0" w:after="0"/>
              <w:ind w:left="180" w:right="0" w:hanging="180"/>
              <w:jc w:val="left"/>
              <w:rPr>
                <w:b/>
              </w:rPr>
            </w:pPr>
            <w:r>
              <w:rPr>
                <w:b/>
              </w:rPr>
              <w:t>Total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pPr>
            <w:r>
              <w:rPr/>
              <w:t>$</w:t>
            </w:r>
          </w:p>
        </w:tc>
        <w:tc>
          <w:tcPr>
            <w:tcW w:w="710" w:type="dxa"/>
            <w:tcBorders/>
            <w:shd w:fill="CCEEFF" w:val="clear"/>
            <w:vAlign w:val="bottom"/>
          </w:tcPr>
          <w:p>
            <w:pPr>
              <w:pStyle w:val="TableContents"/>
              <w:bidi w:val="0"/>
              <w:spacing w:before="0" w:after="0"/>
              <w:jc w:val="right"/>
              <w:rPr/>
            </w:pPr>
            <w:r>
              <w:rPr/>
              <w:t>—</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9" w:name="z2a7e0150a726472d943e0b4bd611ce2e"/>
      <w:bookmarkStart w:id="540" w:name="z2a7e0150a726472d943e0b4bd611ce2e"/>
      <w:bookmarkEnd w:id="540"/>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0"/>
              <w:jc w:val="both"/>
              <w:rPr/>
            </w:pPr>
            <w:r>
              <w:rPr/>
              <w:t>These fees will be calculated based on the securities offered and the number of issuances and accordingly, cannot be estimated at this time. These fees, if any, will be reflected in the applicable prospectus supplement.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541" w:name="z5b5d96928e3d4d4891e2cd90714f6118"/>
      <w:bookmarkStart w:id="542" w:name="z5b5d96928e3d4d4891e2cd90714f6118"/>
      <w:bookmarkEnd w:id="542"/>
    </w:p>
    <w:tbl>
      <w:tblPr>
        <w:tblW w:w="5875" w:type="dxa"/>
        <w:jc w:val="left"/>
        <w:tblInd w:w="0" w:type="dxa"/>
        <w:tblLayout w:type="fixed"/>
        <w:tblCellMar>
          <w:top w:w="0" w:type="dxa"/>
          <w:left w:w="0" w:type="dxa"/>
          <w:bottom w:w="0" w:type="dxa"/>
          <w:right w:w="0" w:type="dxa"/>
        </w:tblCellMar>
      </w:tblPr>
      <w:tblGrid>
        <w:gridCol w:w="890"/>
        <w:gridCol w:w="4985"/>
      </w:tblGrid>
      <w:tr>
        <w:trPr/>
        <w:tc>
          <w:tcPr>
            <w:tcW w:w="890" w:type="dxa"/>
            <w:tcBorders/>
            <w:vAlign w:val="center"/>
          </w:tcPr>
          <w:p>
            <w:pPr>
              <w:pStyle w:val="TableContents"/>
              <w:bidi w:val="0"/>
              <w:spacing w:before="0" w:after="283"/>
              <w:jc w:val="left"/>
              <w:rPr>
                <w:b/>
              </w:rPr>
            </w:pPr>
            <w:r>
              <w:rPr>
                <w:b/>
              </w:rPr>
              <w:t>Item 28.</w:t>
            </w:r>
          </w:p>
        </w:tc>
        <w:tc>
          <w:tcPr>
            <w:tcW w:w="4985" w:type="dxa"/>
            <w:tcBorders/>
            <w:vAlign w:val="center"/>
          </w:tcPr>
          <w:p>
            <w:pPr>
              <w:pStyle w:val="TableContents"/>
              <w:bidi w:val="0"/>
              <w:spacing w:before="0" w:after="0"/>
              <w:jc w:val="left"/>
              <w:rPr>
                <w:b/>
                <w:i/>
              </w:rPr>
            </w:pPr>
            <w:r>
              <w:rPr>
                <w:b/>
                <w:i/>
              </w:rPr>
              <w:t>Persons Controlled by or Under Common Control</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information incorporated by reference under the headings “</w:t>
      </w:r>
      <w:r>
        <w:rPr>
          <w:rFonts w:ascii="Times New Roman" w:hAnsi="Times New Roman"/>
          <w:i/>
          <w:color w:val="000000"/>
          <w:sz w:val="20"/>
          <w:shd w:fill="FFFFFF" w:val="clear"/>
        </w:rPr>
        <w:t>The Company</w:t>
      </w:r>
      <w:r>
        <w:rPr>
          <w:rFonts w:ascii="Times New Roman" w:hAnsi="Times New Roman"/>
          <w:color w:val="000000"/>
          <w:sz w:val="20"/>
          <w:shd w:fill="FFFFFF" w:val="clear"/>
        </w:rPr>
        <w:t>,” “</w:t>
      </w:r>
      <w:r>
        <w:rPr>
          <w:rFonts w:ascii="Times New Roman" w:hAnsi="Times New Roman"/>
          <w:i/>
          <w:color w:val="000000"/>
          <w:sz w:val="20"/>
          <w:shd w:fill="FFFFFF" w:val="clear"/>
        </w:rPr>
        <w:t>Management</w:t>
      </w:r>
      <w:r>
        <w:rPr>
          <w:rFonts w:ascii="Times New Roman" w:hAnsi="Times New Roman"/>
          <w:color w:val="000000"/>
          <w:sz w:val="20"/>
          <w:shd w:fill="FFFFFF" w:val="clear"/>
        </w:rPr>
        <w:t>,” “</w:t>
      </w:r>
      <w:r>
        <w:rPr>
          <w:rFonts w:ascii="Times New Roman" w:hAnsi="Times New Roman"/>
          <w:i/>
          <w:color w:val="000000"/>
          <w:sz w:val="20"/>
          <w:shd w:fill="FFFFFF" w:val="clear"/>
        </w:rPr>
        <w:t>Certain Relationships and Related Party Transactions</w:t>
      </w:r>
      <w:r>
        <w:rPr>
          <w:rFonts w:ascii="Times New Roman" w:hAnsi="Times New Roman"/>
          <w:color w:val="000000"/>
          <w:sz w:val="20"/>
          <w:shd w:fill="FFFFFF" w:val="clear"/>
        </w:rPr>
        <w:t>” and “</w:t>
      </w:r>
      <w:r>
        <w:rPr>
          <w:rFonts w:ascii="Times New Roman" w:hAnsi="Times New Roman"/>
          <w:i/>
          <w:color w:val="000000"/>
          <w:sz w:val="20"/>
          <w:shd w:fill="FFFFFF" w:val="clear"/>
        </w:rPr>
        <w:t>Control Persons and Principal Shareholders</w:t>
      </w:r>
      <w:r>
        <w:rPr>
          <w:rFonts w:ascii="Times New Roman" w:hAnsi="Times New Roman"/>
          <w:color w:val="000000"/>
          <w:sz w:val="20"/>
          <w:shd w:fill="FFFFFF" w:val="clear"/>
        </w:rPr>
        <w:t>” in this Registration Statement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3" w:name="z43c33594fad348458f9affe8fbc6165d"/>
      <w:bookmarkStart w:id="544" w:name="z43c33594fad348458f9affe8fbc6165d"/>
      <w:bookmarkEnd w:id="544"/>
    </w:p>
    <w:tbl>
      <w:tblPr>
        <w:tblW w:w="4135" w:type="dxa"/>
        <w:jc w:val="left"/>
        <w:tblInd w:w="0" w:type="dxa"/>
        <w:tblLayout w:type="fixed"/>
        <w:tblCellMar>
          <w:top w:w="0" w:type="dxa"/>
          <w:left w:w="0" w:type="dxa"/>
          <w:bottom w:w="0" w:type="dxa"/>
          <w:right w:w="0" w:type="dxa"/>
        </w:tblCellMar>
      </w:tblPr>
      <w:tblGrid>
        <w:gridCol w:w="890"/>
        <w:gridCol w:w="3245"/>
      </w:tblGrid>
      <w:tr>
        <w:trPr/>
        <w:tc>
          <w:tcPr>
            <w:tcW w:w="890" w:type="dxa"/>
            <w:tcBorders/>
            <w:vAlign w:val="center"/>
          </w:tcPr>
          <w:p>
            <w:pPr>
              <w:pStyle w:val="TableContents"/>
              <w:bidi w:val="0"/>
              <w:spacing w:before="0" w:after="283"/>
              <w:jc w:val="left"/>
              <w:rPr>
                <w:b/>
              </w:rPr>
            </w:pPr>
            <w:r>
              <w:rPr>
                <w:b/>
              </w:rPr>
              <w:t>Item 29.</w:t>
            </w:r>
          </w:p>
        </w:tc>
        <w:tc>
          <w:tcPr>
            <w:tcW w:w="3245" w:type="dxa"/>
            <w:tcBorders/>
            <w:vAlign w:val="center"/>
          </w:tcPr>
          <w:p>
            <w:pPr>
              <w:pStyle w:val="TableContents"/>
              <w:bidi w:val="0"/>
              <w:spacing w:before="0" w:after="0"/>
              <w:jc w:val="left"/>
              <w:rPr>
                <w:b/>
                <w:i/>
              </w:rPr>
            </w:pPr>
            <w:r>
              <w:rPr>
                <w:b/>
                <w:i/>
              </w:rPr>
              <w:t>Number of Holders of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approximate number of record holders of each class of our securities as of May 7,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5" w:name="zf121303a81dc47e28023c08f0863f892"/>
      <w:bookmarkStart w:id="546" w:name="zf121303a81dc47e28023c08f0863f892"/>
      <w:bookmarkEnd w:id="546"/>
    </w:p>
    <w:tbl>
      <w:tblPr>
        <w:tblW w:w="3616" w:type="dxa"/>
        <w:jc w:val="left"/>
        <w:tblInd w:w="0" w:type="dxa"/>
        <w:tblLayout w:type="fixed"/>
        <w:tblCellMar>
          <w:top w:w="0" w:type="dxa"/>
          <w:left w:w="0" w:type="dxa"/>
          <w:bottom w:w="0" w:type="dxa"/>
          <w:right w:w="0" w:type="dxa"/>
        </w:tblCellMar>
      </w:tblPr>
      <w:tblGrid>
        <w:gridCol w:w="1737"/>
        <w:gridCol w:w="90"/>
        <w:gridCol w:w="296"/>
        <w:gridCol w:w="1358"/>
        <w:gridCol w:w="135"/>
      </w:tblGrid>
      <w:tr>
        <w:trPr/>
        <w:tc>
          <w:tcPr>
            <w:tcW w:w="1737" w:type="dxa"/>
            <w:tcBorders/>
            <w:vAlign w:val="bottom"/>
          </w:tcPr>
          <w:p>
            <w:pPr>
              <w:pStyle w:val="TableContents"/>
              <w:bidi w:val="0"/>
              <w:spacing w:before="0" w:after="0"/>
              <w:jc w:val="left"/>
              <w:rPr>
                <w:b/>
              </w:rPr>
            </w:pPr>
            <w:r>
              <w:rPr>
                <w:b/>
              </w:rPr>
              <w:t>Title of Class</w:t>
            </w:r>
          </w:p>
        </w:tc>
        <w:tc>
          <w:tcPr>
            <w:tcW w:w="90" w:type="dxa"/>
            <w:tcBorders/>
            <w:vAlign w:val="bottom"/>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Number of</w:t>
            </w:r>
          </w:p>
          <w:p>
            <w:pPr>
              <w:pStyle w:val="TableContents"/>
              <w:bidi w:val="0"/>
              <w:spacing w:before="0" w:after="0"/>
              <w:jc w:val="center"/>
              <w:rPr>
                <w:b/>
              </w:rPr>
            </w:pPr>
            <w:r>
              <w:rPr>
                <w:b/>
              </w:rPr>
              <w:t>Record Holders</w:t>
            </w:r>
          </w:p>
        </w:tc>
        <w:tc>
          <w:tcPr>
            <w:tcW w:w="135" w:type="dxa"/>
            <w:tcBorders/>
            <w:vAlign w:val="bottom"/>
          </w:tcPr>
          <w:p>
            <w:pPr>
              <w:pStyle w:val="TableContents"/>
              <w:bidi w:val="0"/>
              <w:spacing w:before="0" w:after="283"/>
              <w:jc w:val="left"/>
              <w:rPr/>
            </w:pPr>
            <w:r>
              <w:rPr/>
              <w:t> </w:t>
            </w:r>
          </w:p>
        </w:tc>
      </w:tr>
      <w:tr>
        <w:trPr/>
        <w:tc>
          <w:tcPr>
            <w:tcW w:w="1737" w:type="dxa"/>
            <w:tcBorders/>
            <w:shd w:fill="CCEEFF" w:val="clear"/>
            <w:vAlign w:val="bottom"/>
          </w:tcPr>
          <w:p>
            <w:pPr>
              <w:pStyle w:val="TableContents"/>
              <w:bidi w:val="0"/>
              <w:spacing w:before="0" w:after="0"/>
              <w:ind w:left="187" w:right="187" w:hanging="187"/>
              <w:jc w:val="left"/>
              <w:rPr/>
            </w:pPr>
            <w:r>
              <w:rPr/>
              <w:t>Common Stock</w:t>
            </w:r>
          </w:p>
        </w:tc>
        <w:tc>
          <w:tcPr>
            <w:tcW w:w="9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0"/>
              <w:jc w:val="right"/>
              <w:rPr/>
            </w:pPr>
            <w:r>
              <w:rPr/>
              <w:t>114</w:t>
            </w:r>
          </w:p>
        </w:tc>
        <w:tc>
          <w:tcPr>
            <w:tcW w:w="135" w:type="dxa"/>
            <w:tcBorders/>
            <w:shd w:fill="CCEEFF" w:val="clear"/>
            <w:vAlign w:val="bottom"/>
          </w:tcPr>
          <w:p>
            <w:pPr>
              <w:pStyle w:val="TableContents"/>
              <w:bidi w:val="0"/>
              <w:spacing w:before="0" w:after="0"/>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7" w:name="zf5d1411f0c0a46c0938ae6315040e9f5"/>
      <w:bookmarkStart w:id="548" w:name="zf5d1411f0c0a46c0938ae6315040e9f5"/>
      <w:bookmarkEnd w:id="548"/>
    </w:p>
    <w:tbl>
      <w:tblPr>
        <w:tblW w:w="2545" w:type="dxa"/>
        <w:jc w:val="left"/>
        <w:tblInd w:w="0" w:type="dxa"/>
        <w:tblLayout w:type="fixed"/>
        <w:tblCellMar>
          <w:top w:w="0" w:type="dxa"/>
          <w:left w:w="0" w:type="dxa"/>
          <w:bottom w:w="0" w:type="dxa"/>
          <w:right w:w="0" w:type="dxa"/>
        </w:tblCellMar>
      </w:tblPr>
      <w:tblGrid>
        <w:gridCol w:w="890"/>
        <w:gridCol w:w="1655"/>
      </w:tblGrid>
      <w:tr>
        <w:trPr/>
        <w:tc>
          <w:tcPr>
            <w:tcW w:w="890" w:type="dxa"/>
            <w:tcBorders/>
            <w:vAlign w:val="center"/>
          </w:tcPr>
          <w:p>
            <w:pPr>
              <w:pStyle w:val="TableContents"/>
              <w:bidi w:val="0"/>
              <w:spacing w:before="0" w:after="283"/>
              <w:jc w:val="left"/>
              <w:rPr>
                <w:b/>
              </w:rPr>
            </w:pPr>
            <w:r>
              <w:rPr>
                <w:b/>
              </w:rPr>
              <w:t>Item 30.</w:t>
            </w:r>
          </w:p>
        </w:tc>
        <w:tc>
          <w:tcPr>
            <w:tcW w:w="1655" w:type="dxa"/>
            <w:tcBorders/>
            <w:vAlign w:val="center"/>
          </w:tcPr>
          <w:p>
            <w:pPr>
              <w:pStyle w:val="TableContents"/>
              <w:bidi w:val="0"/>
              <w:spacing w:before="0" w:after="0"/>
              <w:jc w:val="left"/>
              <w:rPr>
                <w:b/>
                <w:i/>
              </w:rPr>
            </w:pPr>
            <w:r>
              <w:rPr>
                <w:b/>
                <w:i/>
              </w:rPr>
              <w:t>Indemnification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that is material to the cause of action. Our charter contains such a provision that eliminates directors’ and officers’ liability to the maximum extent permitted by Maryland law, subject to the requirements of the 1940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Under Maryland law, a Maryland corporation may not indemnify a director or officer in a suit by the corporation or in its right in which the director or officer was adjudged liable to the corporation or in a suit in which the director or officer was adjudged liable on the basis that a personal benefit was improperly received. Nevertheless,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a personal benefit was improperly received, is limited to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Our charter obligates us, to the maximum extent permitted by Maryland law and subject to the requirements of the 1940 Act, to indemnify any present or former director or officer or any individual who, while a director or officer and at our request, serves or has served another corporation, partnership, joint venture, trust, limited liability company, employee benefit plan or other enterprise as a director, officer, partner, trustee, employee, or agent, who is made, or threatened to be made, a party to, or witness in, a proceeding by reason of his or her service in such capacity from and against any claim or liability to which that person may become subject or which that person may incur by reason of his or her status as such, and to pay or reimburse their reasonable expenses in advance of final disposition of a proceeding. Our bylaws permit us to indemnify and advance expenses to employees and agents who are not officers or directors to the extent permissible under the MGCL and the 1940 Act and as may be determined by the Board.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Investment Advisory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Investment Advisory Agreement or otherwise as our investment adviser.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The Administration Agreement provides that, absent willful misfeasance, bad faith or gross negligence in the performance of its duties or by reason of the reckless disregard of its duties and obligations, the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the Adviser’s services under the Administration Agreement or otherwise as our administrator.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Insofar as indemnification for liability arising under the Securities Act may be permitted to directors, officers and controlling persons of us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We have entered into indemnification agreements with our directors. The indemnification agreements are intended to provide our directors the maximum indemnification permitted under Maryland law and the 1940 Act.  Each indemnification agreement provides that we shall indemnify the director who is a party to the agreement (an “Indemnitee”), including the advancement of legal expenses, if, by reason of his or her corporate status, the Indemnitee is, or is threatened to be, made a party to or a witness in any threatened, pending, or completed proceeding, to the maximum extent permitted by Maryland law and the 1940 Act.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9" w:name="zb9d26fc1ca0f4a61a4364e2379cecdd9"/>
      <w:bookmarkStart w:id="550" w:name="zb9d26fc1ca0f4a61a4364e2379cecdd9"/>
      <w:bookmarkEnd w:id="550"/>
    </w:p>
    <w:tbl>
      <w:tblPr>
        <w:tblW w:w="6385" w:type="dxa"/>
        <w:jc w:val="left"/>
        <w:tblInd w:w="0" w:type="dxa"/>
        <w:tblLayout w:type="fixed"/>
        <w:tblCellMar>
          <w:top w:w="0" w:type="dxa"/>
          <w:left w:w="0" w:type="dxa"/>
          <w:bottom w:w="0" w:type="dxa"/>
          <w:right w:w="0" w:type="dxa"/>
        </w:tblCellMar>
      </w:tblPr>
      <w:tblGrid>
        <w:gridCol w:w="890"/>
        <w:gridCol w:w="5495"/>
      </w:tblGrid>
      <w:tr>
        <w:trPr/>
        <w:tc>
          <w:tcPr>
            <w:tcW w:w="890" w:type="dxa"/>
            <w:tcBorders/>
            <w:vAlign w:val="center"/>
          </w:tcPr>
          <w:p>
            <w:pPr>
              <w:pStyle w:val="TableContents"/>
              <w:bidi w:val="0"/>
              <w:spacing w:before="0" w:after="283"/>
              <w:jc w:val="left"/>
              <w:rPr>
                <w:b/>
              </w:rPr>
            </w:pPr>
            <w:r>
              <w:rPr>
                <w:b/>
              </w:rPr>
              <w:t>Item 31.</w:t>
            </w:r>
          </w:p>
        </w:tc>
        <w:tc>
          <w:tcPr>
            <w:tcW w:w="5495" w:type="dxa"/>
            <w:tcBorders/>
            <w:vAlign w:val="center"/>
          </w:tcPr>
          <w:p>
            <w:pPr>
              <w:pStyle w:val="TableContents"/>
              <w:bidi w:val="0"/>
              <w:spacing w:before="0" w:after="0"/>
              <w:jc w:val="both"/>
              <w:rPr>
                <w:b/>
                <w:i/>
              </w:rPr>
            </w:pPr>
            <w:r>
              <w:rPr>
                <w:b/>
                <w:i/>
              </w:rPr>
              <w:t>Business and Other Connections of Investment Adviser</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 description of any other business, profession, vocation, or employment of a substantial nature in which the Adviser, and each director, executive officer or partner of the Adviser, is or has been during the past two fiscal years, engaged in for his or her own account or in the capacity of director, officer, employee, partner or trustee, is set forth in this Registration Statement in the sections entitled “</w:t>
      </w:r>
      <w:r>
        <w:rPr>
          <w:rFonts w:ascii="Times New Roman" w:hAnsi="Times New Roman"/>
          <w:i/>
          <w:color w:val="000000"/>
          <w:sz w:val="20"/>
          <w:shd w:fill="FFFFFF" w:val="clear"/>
        </w:rPr>
        <w:t>The Company</w:t>
      </w:r>
      <w:r>
        <w:rPr>
          <w:rFonts w:ascii="Times New Roman" w:hAnsi="Times New Roman"/>
          <w:color w:val="000000"/>
          <w:sz w:val="20"/>
          <w:shd w:fill="FFFFFF" w:val="clear"/>
        </w:rPr>
        <w:t>” and “</w:t>
      </w:r>
      <w:r>
        <w:rPr>
          <w:rFonts w:ascii="Times New Roman" w:hAnsi="Times New Roman"/>
          <w:i/>
          <w:color w:val="000000"/>
          <w:sz w:val="20"/>
          <w:shd w:fill="FFFFFF" w:val="clear"/>
        </w:rPr>
        <w:t>Management.</w:t>
      </w:r>
      <w:r>
        <w:rPr>
          <w:rFonts w:ascii="Times New Roman" w:hAnsi="Times New Roman"/>
          <w:color w:val="000000"/>
          <w:sz w:val="20"/>
          <w:shd w:fill="FFFFFF" w:val="clear"/>
        </w:rPr>
        <w:t>” Additional information regarding the Adviser and its officers is set forth in its Form ADV, filed with the SEC (SEC File No. 801-120486), and is incorporated herein by reference.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1" w:name="z2a4d064076fa4ccc9d3d40aa687ae46c"/>
      <w:bookmarkStart w:id="552" w:name="z2a4d064076fa4ccc9d3d40aa687ae46c"/>
      <w:bookmarkEnd w:id="552"/>
    </w:p>
    <w:tbl>
      <w:tblPr>
        <w:tblW w:w="4375" w:type="dxa"/>
        <w:jc w:val="left"/>
        <w:tblInd w:w="0" w:type="dxa"/>
        <w:tblLayout w:type="fixed"/>
        <w:tblCellMar>
          <w:top w:w="0" w:type="dxa"/>
          <w:left w:w="0" w:type="dxa"/>
          <w:bottom w:w="0" w:type="dxa"/>
          <w:right w:w="0" w:type="dxa"/>
        </w:tblCellMar>
      </w:tblPr>
      <w:tblGrid>
        <w:gridCol w:w="890"/>
        <w:gridCol w:w="3485"/>
      </w:tblGrid>
      <w:tr>
        <w:trPr/>
        <w:tc>
          <w:tcPr>
            <w:tcW w:w="890" w:type="dxa"/>
            <w:tcBorders/>
            <w:vAlign w:val="center"/>
          </w:tcPr>
          <w:p>
            <w:pPr>
              <w:pStyle w:val="TableContents"/>
              <w:bidi w:val="0"/>
              <w:spacing w:before="0" w:after="283"/>
              <w:jc w:val="left"/>
              <w:rPr>
                <w:b/>
              </w:rPr>
            </w:pPr>
            <w:r>
              <w:rPr>
                <w:b/>
              </w:rPr>
              <w:t>Item 32.</w:t>
            </w:r>
          </w:p>
        </w:tc>
        <w:tc>
          <w:tcPr>
            <w:tcW w:w="3485" w:type="dxa"/>
            <w:tcBorders/>
            <w:vAlign w:val="center"/>
          </w:tcPr>
          <w:p>
            <w:pPr>
              <w:pStyle w:val="TableContents"/>
              <w:bidi w:val="0"/>
              <w:spacing w:before="0" w:after="0"/>
              <w:jc w:val="both"/>
              <w:rPr>
                <w:b/>
                <w:i/>
              </w:rPr>
            </w:pPr>
            <w:r>
              <w:rPr>
                <w:b/>
                <w:i/>
              </w:rPr>
              <w:t>Location of Accounts and Records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All accounts, books and other documents required to be maintained by Section 31(a) of the 1940 Act, and the rules thereunder are maintained at the offices of:</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(1) the Registrant, 600 Madison Avenue, Suite 1800, New York, NY 10022;</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(2) the Transfer Agent, Continental Stock Transfer &amp; Trust Company, 1 State St., 30th Floor, New York, NY 10004;</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(3) the Custodians, Western Alliance Trust Company, N.A., One East Washington Street, Ste 1400, Phoenix, AZ 85004, and Western Alliance Bank, One East Washington Street, Phoenix, AZ 85004;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(4) the Adviser, 600 Madison Avenue, Suite 1800, New York, NY 10022; and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(5) the Sub-Administrator, SS&amp;C Technologies, Inc., 50 Milk Street, Boston, MA 02110.</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3" w:name="zc2caa09070c045a6b154e1c78f0cedcb"/>
      <w:bookmarkStart w:id="554" w:name="zc2caa09070c045a6b154e1c78f0cedcb"/>
      <w:bookmarkEnd w:id="554"/>
    </w:p>
    <w:tbl>
      <w:tblPr>
        <w:tblW w:w="3130" w:type="dxa"/>
        <w:jc w:val="left"/>
        <w:tblInd w:w="0" w:type="dxa"/>
        <w:tblLayout w:type="fixed"/>
        <w:tblCellMar>
          <w:top w:w="0" w:type="dxa"/>
          <w:left w:w="0" w:type="dxa"/>
          <w:bottom w:w="0" w:type="dxa"/>
          <w:right w:w="0" w:type="dxa"/>
        </w:tblCellMar>
      </w:tblPr>
      <w:tblGrid>
        <w:gridCol w:w="890"/>
        <w:gridCol w:w="2240"/>
      </w:tblGrid>
      <w:tr>
        <w:trPr/>
        <w:tc>
          <w:tcPr>
            <w:tcW w:w="890" w:type="dxa"/>
            <w:tcBorders/>
            <w:vAlign w:val="center"/>
          </w:tcPr>
          <w:p>
            <w:pPr>
              <w:pStyle w:val="TableContents"/>
              <w:bidi w:val="0"/>
              <w:spacing w:before="0" w:after="283"/>
              <w:jc w:val="left"/>
              <w:rPr>
                <w:b/>
              </w:rPr>
            </w:pPr>
            <w:r>
              <w:rPr>
                <w:b/>
              </w:rPr>
              <w:t>Item 33.</w:t>
            </w:r>
          </w:p>
        </w:tc>
        <w:tc>
          <w:tcPr>
            <w:tcW w:w="2240" w:type="dxa"/>
            <w:tcBorders/>
            <w:vAlign w:val="center"/>
          </w:tcPr>
          <w:p>
            <w:pPr>
              <w:pStyle w:val="TableContents"/>
              <w:bidi w:val="0"/>
              <w:spacing w:before="0" w:after="0"/>
              <w:jc w:val="both"/>
              <w:rPr>
                <w:b/>
                <w:i/>
              </w:rPr>
            </w:pPr>
            <w:r>
              <w:rPr>
                <w:b/>
                <w:i/>
              </w:rPr>
              <w:t>Management Services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5" w:name="z7cb48ecab33f4d9596b5078e134f6350"/>
      <w:bookmarkStart w:id="556" w:name="z7cb48ecab33f4d9596b5078e134f6350"/>
      <w:bookmarkEnd w:id="556"/>
    </w:p>
    <w:tbl>
      <w:tblPr>
        <w:tblW w:w="2320" w:type="dxa"/>
        <w:jc w:val="left"/>
        <w:tblInd w:w="0" w:type="dxa"/>
        <w:tblLayout w:type="fixed"/>
        <w:tblCellMar>
          <w:top w:w="0" w:type="dxa"/>
          <w:left w:w="0" w:type="dxa"/>
          <w:bottom w:w="0" w:type="dxa"/>
          <w:right w:w="0" w:type="dxa"/>
        </w:tblCellMar>
      </w:tblPr>
      <w:tblGrid>
        <w:gridCol w:w="890"/>
        <w:gridCol w:w="1430"/>
      </w:tblGrid>
      <w:tr>
        <w:trPr/>
        <w:tc>
          <w:tcPr>
            <w:tcW w:w="890" w:type="dxa"/>
            <w:tcBorders/>
            <w:vAlign w:val="center"/>
          </w:tcPr>
          <w:p>
            <w:pPr>
              <w:pStyle w:val="TableContents"/>
              <w:bidi w:val="0"/>
              <w:spacing w:before="0" w:after="283"/>
              <w:jc w:val="left"/>
              <w:rPr>
                <w:b/>
              </w:rPr>
            </w:pPr>
            <w:r>
              <w:rPr>
                <w:b/>
              </w:rPr>
              <w:t>Item 34.</w:t>
            </w:r>
          </w:p>
        </w:tc>
        <w:tc>
          <w:tcPr>
            <w:tcW w:w="1430" w:type="dxa"/>
            <w:tcBorders/>
            <w:vAlign w:val="center"/>
          </w:tcPr>
          <w:p>
            <w:pPr>
              <w:pStyle w:val="TableContents"/>
              <w:bidi w:val="0"/>
              <w:spacing w:before="0" w:after="0"/>
              <w:jc w:val="both"/>
              <w:rPr>
                <w:b/>
                <w:i/>
              </w:rPr>
            </w:pPr>
            <w:r>
              <w:rPr>
                <w:b/>
                <w:i/>
              </w:rPr>
              <w:t>Undertakings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7" w:name="ze0293c27de394880a2531b745e4b1504"/>
      <w:bookmarkStart w:id="558" w:name="ze0293c27de394880a2531b745e4b1504"/>
      <w:bookmarkEnd w:id="558"/>
    </w:p>
    <w:tbl>
      <w:tblPr>
        <w:tblW w:w="1975" w:type="dxa"/>
        <w:jc w:val="left"/>
        <w:tblInd w:w="0" w:type="dxa"/>
        <w:tblLayout w:type="fixed"/>
        <w:tblCellMar>
          <w:top w:w="0" w:type="dxa"/>
          <w:left w:w="0" w:type="dxa"/>
          <w:bottom w:w="0" w:type="dxa"/>
          <w:right w:w="0" w:type="dxa"/>
        </w:tblCellMar>
      </w:tblPr>
      <w:tblGrid>
        <w:gridCol w:w="105"/>
        <w:gridCol w:w="320"/>
        <w:gridCol w:w="155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(1)</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9" w:name="z58614236d6ec4753b5a5b167d1e84c57"/>
      <w:bookmarkStart w:id="560" w:name="z58614236d6ec4753b5a5b167d1e84c57"/>
      <w:bookmarkEnd w:id="560"/>
    </w:p>
    <w:tbl>
      <w:tblPr>
        <w:tblW w:w="1975" w:type="dxa"/>
        <w:jc w:val="left"/>
        <w:tblInd w:w="0" w:type="dxa"/>
        <w:tblLayout w:type="fixed"/>
        <w:tblCellMar>
          <w:top w:w="0" w:type="dxa"/>
          <w:left w:w="0" w:type="dxa"/>
          <w:bottom w:w="0" w:type="dxa"/>
          <w:right w:w="0" w:type="dxa"/>
        </w:tblCellMar>
      </w:tblPr>
      <w:tblGrid>
        <w:gridCol w:w="105"/>
        <w:gridCol w:w="320"/>
        <w:gridCol w:w="155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(2)</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1" w:name="zeffacf4c936d44d8a7bde0b272b31e51"/>
      <w:bookmarkStart w:id="562" w:name="zeffacf4c936d44d8a7bde0b272b31e51"/>
      <w:bookmarkEnd w:id="562"/>
    </w:p>
    <w:tbl>
      <w:tblPr>
        <w:tblW w:w="2620" w:type="dxa"/>
        <w:jc w:val="left"/>
        <w:tblInd w:w="0" w:type="dxa"/>
        <w:tblLayout w:type="fixed"/>
        <w:tblCellMar>
          <w:top w:w="0" w:type="dxa"/>
          <w:left w:w="0" w:type="dxa"/>
          <w:bottom w:w="0" w:type="dxa"/>
          <w:right w:w="0" w:type="dxa"/>
        </w:tblCellMar>
      </w:tblPr>
      <w:tblGrid>
        <w:gridCol w:w="105"/>
        <w:gridCol w:w="320"/>
        <w:gridCol w:w="2195"/>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(3)</w:t>
            </w:r>
          </w:p>
        </w:tc>
        <w:tc>
          <w:tcPr>
            <w:tcW w:w="2195" w:type="dxa"/>
            <w:tcBorders/>
            <w:vAlign w:val="center"/>
          </w:tcPr>
          <w:p>
            <w:pPr>
              <w:pStyle w:val="TableContents"/>
              <w:bidi w:val="0"/>
              <w:spacing w:before="0" w:after="0"/>
              <w:jc w:val="both"/>
              <w:rPr/>
            </w:pPr>
            <w:r>
              <w:rPr/>
              <w:t>Registrant undertakes: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3" w:name="z35b7bec1641446779a585f0e77bc9e00"/>
      <w:bookmarkStart w:id="564" w:name="z35b7bec1641446779a585f0e77bc9e00"/>
      <w:bookmarkEnd w:id="564"/>
    </w:p>
    <w:tbl>
      <w:tblPr>
        <w:tblW w:w="10205" w:type="dxa"/>
        <w:jc w:val="left"/>
        <w:tblInd w:w="0" w:type="dxa"/>
        <w:tblLayout w:type="fixed"/>
        <w:tblCellMar>
          <w:top w:w="0" w:type="dxa"/>
          <w:left w:w="0" w:type="dxa"/>
          <w:bottom w:w="0" w:type="dxa"/>
          <w:right w:w="0" w:type="dxa"/>
        </w:tblCellMar>
      </w:tblPr>
      <w:tblGrid>
        <w:gridCol w:w="105"/>
        <w:gridCol w:w="291"/>
        <w:gridCol w:w="9809"/>
      </w:tblGrid>
      <w:tr>
        <w:trPr/>
        <w:tc>
          <w:tcPr>
            <w:tcW w:w="105"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(a)</w:t>
            </w:r>
          </w:p>
        </w:tc>
        <w:tc>
          <w:tcPr>
            <w:tcW w:w="9809" w:type="dxa"/>
            <w:tcBorders/>
            <w:vAlign w:val="center"/>
          </w:tcPr>
          <w:p>
            <w:pPr>
              <w:pStyle w:val="TableContents"/>
              <w:bidi w:val="0"/>
              <w:spacing w:before="0" w:after="0"/>
              <w:jc w:val="both"/>
              <w:rPr/>
            </w:pPr>
            <w:r>
              <w:rPr/>
              <w:t>to file, during any period in which offers or sales are being made, a post-effective amendment to this registration statement: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5" w:name="z3b2ef3851b6749b5ba8d76e0c1e7ff93"/>
      <w:bookmarkStart w:id="566" w:name="z3b2ef3851b6749b5ba8d76e0c1e7ff93"/>
      <w:bookmarkEnd w:id="566"/>
    </w:p>
    <w:tbl>
      <w:tblPr>
        <w:tblW w:w="7690" w:type="dxa"/>
        <w:jc w:val="left"/>
        <w:tblInd w:w="0" w:type="dxa"/>
        <w:tblLayout w:type="fixed"/>
        <w:tblCellMar>
          <w:top w:w="0" w:type="dxa"/>
          <w:left w:w="0" w:type="dxa"/>
          <w:bottom w:w="0" w:type="dxa"/>
          <w:right w:w="0" w:type="dxa"/>
        </w:tblCellMar>
      </w:tblPr>
      <w:tblGrid>
        <w:gridCol w:w="105"/>
        <w:gridCol w:w="320"/>
        <w:gridCol w:w="7265"/>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(1)</w:t>
            </w:r>
          </w:p>
        </w:tc>
        <w:tc>
          <w:tcPr>
            <w:tcW w:w="7265" w:type="dxa"/>
            <w:tcBorders/>
            <w:vAlign w:val="center"/>
          </w:tcPr>
          <w:p>
            <w:pPr>
              <w:pStyle w:val="TableContents"/>
              <w:bidi w:val="0"/>
              <w:spacing w:before="0" w:after="0"/>
              <w:jc w:val="both"/>
              <w:rPr/>
            </w:pPr>
            <w:r>
              <w:rPr/>
              <w:t>to include any prospectus required by Section 10(a)(3) of the Securities Act;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7" w:name="za8d56a87842343acb46a2675ff3464dc"/>
      <w:bookmarkStart w:id="568" w:name="za8d56a87842343acb46a2675ff3464dc"/>
      <w:bookmarkEnd w:id="568"/>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pPr>
            <w:r>
              <w:rPr/>
            </w:r>
          </w:p>
        </w:tc>
        <w:tc>
          <w:tcPr>
            <w:tcW w:w="252" w:type="dxa"/>
            <w:tcBorders/>
            <w:vAlign w:val="center"/>
          </w:tcPr>
          <w:p>
            <w:pPr>
              <w:pStyle w:val="TableContents"/>
              <w:bidi w:val="0"/>
              <w:spacing w:before="0" w:after="283"/>
              <w:jc w:val="left"/>
              <w:rPr/>
            </w:pPr>
            <w:r>
              <w:rPr/>
              <w:t>(2)</w:t>
            </w:r>
          </w:p>
        </w:tc>
        <w:tc>
          <w:tcPr>
            <w:tcW w:w="9885" w:type="dxa"/>
            <w:tcBorders/>
            <w:vAlign w:val="center"/>
          </w:tcPr>
          <w:p>
            <w:pPr>
              <w:pStyle w:val="TableContents"/>
              <w:bidi w:val="0"/>
              <w:spacing w:before="0" w:after="0"/>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in the effective registration statement;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9" w:name="zad1f5971cf7848bfba6063c504b183b5"/>
      <w:bookmarkStart w:id="570" w:name="zad1f5971cf7848bfba6063c504b183b5"/>
      <w:bookmarkEnd w:id="570"/>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(3)</w:t>
            </w:r>
          </w:p>
        </w:tc>
        <w:tc>
          <w:tcPr>
            <w:tcW w:w="9856" w:type="dxa"/>
            <w:tcBorders/>
            <w:vAlign w:val="center"/>
          </w:tcPr>
          <w:p>
            <w:pPr>
              <w:pStyle w:val="TableContents"/>
              <w:bidi w:val="0"/>
              <w:spacing w:before="0" w:after="0"/>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440" w:right="0" w:hanging="0"/>
        <w:jc w:val="both"/>
        <w:rPr>
          <w:rFonts w:ascii="Times New Roman" w:hAnsi="Times New Roman"/>
          <w:color w:val="000000"/>
          <w:sz w:val="20"/>
          <w:shd w:fill="FFFFFF" w:val="clear"/>
        </w:rPr>
      </w:pPr>
      <w:r>
        <w:rPr>
          <w:rFonts w:ascii="Times New Roman" w:hAnsi="Times New Roman"/>
          <w:i/>
          <w:color w:val="000000"/>
          <w:sz w:val="20"/>
          <w:shd w:fill="FFFFFF" w:val="clear"/>
        </w:rPr>
        <w:t>Provided</w:t>
      </w:r>
      <w:r>
        <w:rPr>
          <w:rFonts w:ascii="Times New Roman" w:hAnsi="Times New Roman"/>
          <w:color w:val="000000"/>
          <w:sz w:val="20"/>
          <w:shd w:fill="FFFFFF" w:val="clear"/>
        </w:rPr>
        <w:t>, however, that paragraphs (a)(1), (a)(2), and (a)(3)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71" w:name="z48fefb2227494e57ae6e3f1f087d16e5"/>
      <w:bookmarkStart w:id="572" w:name="z48fefb2227494e57ae6e3f1f087d16e5"/>
      <w:bookmarkEnd w:id="572"/>
    </w:p>
    <w:tbl>
      <w:tblPr>
        <w:tblW w:w="10205" w:type="dxa"/>
        <w:jc w:val="left"/>
        <w:tblInd w:w="0" w:type="dxa"/>
        <w:tblLayout w:type="fixed"/>
        <w:tblCellMar>
          <w:top w:w="0" w:type="dxa"/>
          <w:left w:w="0" w:type="dxa"/>
          <w:bottom w:w="0" w:type="dxa"/>
          <w:right w:w="0" w:type="dxa"/>
        </w:tblCellMar>
      </w:tblPr>
      <w:tblGrid>
        <w:gridCol w:w="68"/>
        <w:gridCol w:w="268"/>
        <w:gridCol w:w="9869"/>
      </w:tblGrid>
      <w:tr>
        <w:trPr/>
        <w:tc>
          <w:tcPr>
            <w:tcW w:w="68" w:type="dxa"/>
            <w:tcBorders/>
            <w:vAlign w:val="center"/>
          </w:tcPr>
          <w:p>
            <w:pPr>
              <w:pStyle w:val="TableContents"/>
              <w:bidi w:val="0"/>
              <w:spacing w:before="0" w:after="283"/>
              <w:jc w:val="left"/>
              <w:rPr/>
            </w:pPr>
            <w:r>
              <w:rPr/>
            </w:r>
          </w:p>
        </w:tc>
        <w:tc>
          <w:tcPr>
            <w:tcW w:w="268" w:type="dxa"/>
            <w:tcBorders/>
            <w:vAlign w:val="center"/>
          </w:tcPr>
          <w:p>
            <w:pPr>
              <w:pStyle w:val="TableContents"/>
              <w:bidi w:val="0"/>
              <w:spacing w:before="0" w:after="283"/>
              <w:jc w:val="left"/>
              <w:rPr/>
            </w:pPr>
            <w:r>
              <w:rPr/>
              <w:t>(b)</w:t>
            </w:r>
          </w:p>
        </w:tc>
        <w:tc>
          <w:tcPr>
            <w:tcW w:w="9869" w:type="dxa"/>
            <w:tcBorders/>
            <w:vAlign w:val="center"/>
          </w:tcPr>
          <w:p>
            <w:pPr>
              <w:pStyle w:val="TableContents"/>
              <w:bidi w:val="0"/>
              <w:spacing w:before="0" w:after="0"/>
              <w:jc w:val="both"/>
              <w:rPr/>
            </w:pPr>
            <w:r>
              <w:rPr/>
              <w:t>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73" w:name="z72c36b51f0294b95926ddee5c887396c"/>
      <w:bookmarkStart w:id="574" w:name="z72c36b51f0294b95926ddee5c887396c"/>
      <w:bookmarkEnd w:id="574"/>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pPr>
            <w:r>
              <w:rPr/>
              <w:t>(c)</w:t>
            </w:r>
          </w:p>
        </w:tc>
        <w:tc>
          <w:tcPr>
            <w:tcW w:w="9862" w:type="dxa"/>
            <w:tcBorders/>
            <w:vAlign w:val="center"/>
          </w:tcPr>
          <w:p>
            <w:pPr>
              <w:pStyle w:val="TableContents"/>
              <w:bidi w:val="0"/>
              <w:spacing w:before="0" w:after="0"/>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75" w:name="z2d06b4895e114050bbf1760bec7b25b1"/>
      <w:bookmarkStart w:id="576" w:name="z2d06b4895e114050bbf1760bec7b25b1"/>
      <w:bookmarkEnd w:id="576"/>
    </w:p>
    <w:tbl>
      <w:tblPr>
        <w:tblW w:w="8620" w:type="dxa"/>
        <w:jc w:val="left"/>
        <w:tblInd w:w="0" w:type="dxa"/>
        <w:tblLayout w:type="fixed"/>
        <w:tblCellMar>
          <w:top w:w="0" w:type="dxa"/>
          <w:left w:w="0" w:type="dxa"/>
          <w:bottom w:w="0" w:type="dxa"/>
          <w:right w:w="0" w:type="dxa"/>
        </w:tblCellMar>
      </w:tblPr>
      <w:tblGrid>
        <w:gridCol w:w="105"/>
        <w:gridCol w:w="320"/>
        <w:gridCol w:w="8195"/>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(d)</w:t>
            </w:r>
          </w:p>
        </w:tc>
        <w:tc>
          <w:tcPr>
            <w:tcW w:w="8195" w:type="dxa"/>
            <w:tcBorders/>
            <w:vAlign w:val="center"/>
          </w:tcPr>
          <w:p>
            <w:pPr>
              <w:pStyle w:val="TableContents"/>
              <w:bidi w:val="0"/>
              <w:spacing w:before="0" w:after="0"/>
              <w:jc w:val="both"/>
              <w:rPr/>
            </w:pPr>
            <w:r>
              <w:rPr/>
              <w:t>that, for the purpose of determining liability under the Securities Act to any purchaser: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77" w:name="zc99e7b3ad0e54604bd6eee750f8a32c8"/>
      <w:bookmarkStart w:id="578" w:name="zc99e7b3ad0e54604bd6eee750f8a32c8"/>
      <w:bookmarkEnd w:id="578"/>
    </w:p>
    <w:tbl>
      <w:tblPr>
        <w:tblW w:w="4405" w:type="dxa"/>
        <w:jc w:val="left"/>
        <w:tblInd w:w="0" w:type="dxa"/>
        <w:tblLayout w:type="fixed"/>
        <w:tblCellMar>
          <w:top w:w="0" w:type="dxa"/>
          <w:left w:w="0" w:type="dxa"/>
          <w:bottom w:w="0" w:type="dxa"/>
          <w:right w:w="0" w:type="dxa"/>
        </w:tblCellMar>
      </w:tblPr>
      <w:tblGrid>
        <w:gridCol w:w="105"/>
        <w:gridCol w:w="320"/>
        <w:gridCol w:w="398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(1)</w:t>
            </w:r>
          </w:p>
        </w:tc>
        <w:tc>
          <w:tcPr>
            <w:tcW w:w="3980" w:type="dxa"/>
            <w:tcBorders/>
            <w:vAlign w:val="center"/>
          </w:tcPr>
          <w:p>
            <w:pPr>
              <w:pStyle w:val="TableContents"/>
              <w:bidi w:val="0"/>
              <w:spacing w:before="0" w:after="0"/>
              <w:jc w:val="both"/>
              <w:rPr/>
            </w:pPr>
            <w:r>
              <w:rPr/>
              <w:t>if the Registrant is relying on Rule 430B:</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579" w:name="z9f08381b734144a79a1fa20d03260516"/>
      <w:bookmarkStart w:id="580" w:name="z9f08381b734144a79a1fa20d03260516"/>
      <w:bookmarkEnd w:id="580"/>
    </w:p>
    <w:tbl>
      <w:tblPr>
        <w:tblW w:w="10205" w:type="dxa"/>
        <w:jc w:val="left"/>
        <w:tblInd w:w="0" w:type="dxa"/>
        <w:tblLayout w:type="fixed"/>
        <w:tblCellMar>
          <w:top w:w="0" w:type="dxa"/>
          <w:left w:w="0" w:type="dxa"/>
          <w:bottom w:w="0" w:type="dxa"/>
          <w:right w:w="0" w:type="dxa"/>
        </w:tblCellMar>
      </w:tblPr>
      <w:tblGrid>
        <w:gridCol w:w="105"/>
        <w:gridCol w:w="337"/>
        <w:gridCol w:w="9763"/>
      </w:tblGrid>
      <w:tr>
        <w:trPr/>
        <w:tc>
          <w:tcPr>
            <w:tcW w:w="105" w:type="dxa"/>
            <w:tcBorders/>
            <w:vAlign w:val="center"/>
          </w:tcPr>
          <w:p>
            <w:pPr>
              <w:pStyle w:val="TableContents"/>
              <w:bidi w:val="0"/>
              <w:spacing w:before="0" w:after="283"/>
              <w:jc w:val="left"/>
              <w:rPr/>
            </w:pPr>
            <w:r>
              <w:rPr/>
              <w:t> </w:t>
            </w:r>
          </w:p>
        </w:tc>
        <w:tc>
          <w:tcPr>
            <w:tcW w:w="337" w:type="dxa"/>
            <w:tcBorders/>
            <w:vAlign w:val="center"/>
          </w:tcPr>
          <w:p>
            <w:pPr>
              <w:pStyle w:val="TableContents"/>
              <w:bidi w:val="0"/>
              <w:spacing w:before="0" w:after="283"/>
              <w:jc w:val="left"/>
              <w:rPr/>
            </w:pPr>
            <w:r>
              <w:rPr/>
              <w:t>(A)</w:t>
            </w:r>
          </w:p>
        </w:tc>
        <w:tc>
          <w:tcPr>
            <w:tcW w:w="9763" w:type="dxa"/>
            <w:tcBorders/>
            <w:vAlign w:val="center"/>
          </w:tcPr>
          <w:p>
            <w:pPr>
              <w:pStyle w:val="TableContents"/>
              <w:bidi w:val="0"/>
              <w:spacing w:before="0" w:after="0"/>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81" w:name="z45cc774407994b4a9772189f3132672f"/>
      <w:bookmarkStart w:id="582" w:name="z45cc774407994b4a9772189f3132672f"/>
      <w:bookmarkEnd w:id="582"/>
    </w:p>
    <w:tbl>
      <w:tblPr>
        <w:tblW w:w="10205" w:type="dxa"/>
        <w:jc w:val="left"/>
        <w:tblInd w:w="0" w:type="dxa"/>
        <w:tblLayout w:type="fixed"/>
        <w:tblCellMar>
          <w:top w:w="0" w:type="dxa"/>
          <w:left w:w="0" w:type="dxa"/>
          <w:bottom w:w="0" w:type="dxa"/>
          <w:right w:w="0" w:type="dxa"/>
        </w:tblCellMar>
      </w:tblPr>
      <w:tblGrid>
        <w:gridCol w:w="68"/>
        <w:gridCol w:w="294"/>
        <w:gridCol w:w="9843"/>
      </w:tblGrid>
      <w:tr>
        <w:trPr/>
        <w:tc>
          <w:tcPr>
            <w:tcW w:w="68" w:type="dxa"/>
            <w:tcBorders/>
            <w:vAlign w:val="center"/>
          </w:tcPr>
          <w:p>
            <w:pPr>
              <w:pStyle w:val="TableContents"/>
              <w:bidi w:val="0"/>
              <w:spacing w:before="0" w:after="283"/>
              <w:jc w:val="left"/>
              <w:rPr/>
            </w:pPr>
            <w:r>
              <w:rPr/>
            </w:r>
          </w:p>
        </w:tc>
        <w:tc>
          <w:tcPr>
            <w:tcW w:w="294" w:type="dxa"/>
            <w:tcBorders/>
            <w:vAlign w:val="center"/>
          </w:tcPr>
          <w:p>
            <w:pPr>
              <w:pStyle w:val="TableContents"/>
              <w:bidi w:val="0"/>
              <w:spacing w:before="0" w:after="283"/>
              <w:jc w:val="left"/>
              <w:rPr/>
            </w:pPr>
            <w:r>
              <w:rPr/>
              <w:t>(B)</w:t>
            </w:r>
          </w:p>
        </w:tc>
        <w:tc>
          <w:tcPr>
            <w:tcW w:w="9843" w:type="dxa"/>
            <w:tcBorders/>
            <w:vAlign w:val="center"/>
          </w:tcPr>
          <w:p>
            <w:pPr>
              <w:pStyle w:val="TableContents"/>
              <w:bidi w:val="0"/>
              <w:spacing w:before="0" w:after="0"/>
              <w:jc w:val="both"/>
              <w:rPr/>
            </w:pPr>
            <w:r>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rPr>
              <w:t>Provided, however,</w:t>
            </w:r>
            <w: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83" w:name="z161191805fe54032aa02a3bdbeccf4d5"/>
      <w:bookmarkStart w:id="584" w:name="z161191805fe54032aa02a3bdbeccf4d5"/>
      <w:bookmarkEnd w:id="584"/>
    </w:p>
    <w:tbl>
      <w:tblPr>
        <w:tblW w:w="10205" w:type="dxa"/>
        <w:jc w:val="left"/>
        <w:tblInd w:w="0" w:type="dxa"/>
        <w:tblLayout w:type="fixed"/>
        <w:tblCellMar>
          <w:top w:w="0" w:type="dxa"/>
          <w:left w:w="0" w:type="dxa"/>
          <w:bottom w:w="0" w:type="dxa"/>
          <w:right w:w="0" w:type="dxa"/>
        </w:tblCellMar>
      </w:tblPr>
      <w:tblGrid>
        <w:gridCol w:w="105"/>
        <w:gridCol w:w="252"/>
        <w:gridCol w:w="9848"/>
      </w:tblGrid>
      <w:tr>
        <w:trPr/>
        <w:tc>
          <w:tcPr>
            <w:tcW w:w="10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0"/>
              <w:jc w:val="both"/>
              <w:rPr/>
            </w:pPr>
            <w:r>
              <w:rPr/>
              <w:t>(2)</w:t>
            </w:r>
          </w:p>
        </w:tc>
        <w:tc>
          <w:tcPr>
            <w:tcW w:w="9848" w:type="dxa"/>
            <w:tcBorders/>
            <w:vAlign w:val="center"/>
          </w:tcPr>
          <w:p>
            <w:pPr>
              <w:pStyle w:val="TableContents"/>
              <w:bidi w:val="0"/>
              <w:spacing w:before="0" w:after="0"/>
              <w:jc w:val="both"/>
              <w:rPr/>
            </w:pPr>
            <w:r>
              <w:rPr/>
              <w:t xml:space="preserve">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i/>
              </w:rPr>
              <w:t>Provided, however,</w:t>
            </w:r>
            <w:r>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85" w:name="z6377622e456c48b081f14df8e06da148"/>
      <w:bookmarkStart w:id="586" w:name="z6377622e456c48b081f14df8e06da148"/>
      <w:bookmarkEnd w:id="586"/>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pPr>
            <w:r>
              <w:rPr/>
              <w:t>(e)</w:t>
            </w:r>
          </w:p>
        </w:tc>
        <w:tc>
          <w:tcPr>
            <w:tcW w:w="9854" w:type="dxa"/>
            <w:tcBorders/>
            <w:vAlign w:val="center"/>
          </w:tcPr>
          <w:p>
            <w:pPr>
              <w:pStyle w:val="TableContents"/>
              <w:bidi w:val="0"/>
              <w:spacing w:before="0" w:after="0"/>
              <w:jc w:val="both"/>
              <w:rPr/>
            </w:pPr>
            <w:r>
              <w:rPr/>
              <w:t>that for the purpose of determining liability of the Registrant under the Securities Act to any purchaser in the initial distribution of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144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87" w:name="zf21128c5d8d348e0a91c9197d5a5413e"/>
      <w:bookmarkStart w:id="588" w:name="zf21128c5d8d348e0a91c9197d5a5413e"/>
      <w:bookmarkEnd w:id="588"/>
    </w:p>
    <w:tbl>
      <w:tblPr>
        <w:tblW w:w="10205" w:type="dxa"/>
        <w:jc w:val="left"/>
        <w:tblInd w:w="0" w:type="dxa"/>
        <w:tblLayout w:type="fixed"/>
        <w:tblCellMar>
          <w:top w:w="0" w:type="dxa"/>
          <w:left w:w="0" w:type="dxa"/>
          <w:bottom w:w="0" w:type="dxa"/>
          <w:right w:w="0" w:type="dxa"/>
        </w:tblCellMar>
      </w:tblPr>
      <w:tblGrid>
        <w:gridCol w:w="105"/>
        <w:gridCol w:w="290"/>
        <w:gridCol w:w="9810"/>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both"/>
              <w:rPr/>
            </w:pPr>
            <w:r>
              <w:rPr/>
              <w:t>(1)</w:t>
            </w:r>
          </w:p>
        </w:tc>
        <w:tc>
          <w:tcPr>
            <w:tcW w:w="9810" w:type="dxa"/>
            <w:tcBorders/>
            <w:vAlign w:val="center"/>
          </w:tcPr>
          <w:p>
            <w:pPr>
              <w:pStyle w:val="TableContents"/>
              <w:bidi w:val="0"/>
              <w:spacing w:before="0" w:after="0"/>
              <w:jc w:val="both"/>
              <w:rPr/>
            </w:pPr>
            <w:r>
              <w:rPr/>
              <w:t>any preliminary prospectus or prospectus of the undersigned Registrant relating to the offering required to be filed pursuant to Rule 424 under the Securities Act;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89" w:name="z3c28debdcbc1493884397012a9e2fbf1"/>
      <w:bookmarkStart w:id="590" w:name="z3c28debdcbc1493884397012a9e2fbf1"/>
      <w:bookmarkEnd w:id="590"/>
    </w:p>
    <w:tbl>
      <w:tblPr>
        <w:tblW w:w="10205" w:type="dxa"/>
        <w:jc w:val="left"/>
        <w:tblInd w:w="0" w:type="dxa"/>
        <w:tblLayout w:type="fixed"/>
        <w:tblCellMar>
          <w:top w:w="0" w:type="dxa"/>
          <w:left w:w="0" w:type="dxa"/>
          <w:bottom w:w="0" w:type="dxa"/>
          <w:right w:w="0" w:type="dxa"/>
        </w:tblCellMar>
      </w:tblPr>
      <w:tblGrid>
        <w:gridCol w:w="105"/>
        <w:gridCol w:w="293"/>
        <w:gridCol w:w="9807"/>
      </w:tblGrid>
      <w:tr>
        <w:trPr/>
        <w:tc>
          <w:tcPr>
            <w:tcW w:w="10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0"/>
              <w:jc w:val="both"/>
              <w:rPr/>
            </w:pPr>
            <w:r>
              <w:rPr/>
              <w:t>(2)</w:t>
            </w:r>
          </w:p>
        </w:tc>
        <w:tc>
          <w:tcPr>
            <w:tcW w:w="9807" w:type="dxa"/>
            <w:tcBorders/>
            <w:vAlign w:val="center"/>
          </w:tcPr>
          <w:p>
            <w:pPr>
              <w:pStyle w:val="TableContents"/>
              <w:bidi w:val="0"/>
              <w:spacing w:before="0" w:after="0"/>
              <w:jc w:val="both"/>
              <w:rPr/>
            </w:pPr>
            <w:r>
              <w:rPr/>
              <w:t>free writing prospectus relating to the offering prepared by or on behalf of the undersigned Registrant or used or referred to by the undersigned Registrant;</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1" w:name="z20ec748f177f407499e31012f2eee6f2"/>
      <w:bookmarkStart w:id="592" w:name="z20ec748f177f407499e31012f2eee6f2"/>
      <w:bookmarkEnd w:id="592"/>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pPr>
            <w:r>
              <w:rPr/>
              <w:t>(3)</w:t>
            </w:r>
          </w:p>
        </w:tc>
        <w:tc>
          <w:tcPr>
            <w:tcW w:w="9867" w:type="dxa"/>
            <w:tcBorders/>
            <w:vAlign w:val="center"/>
          </w:tcPr>
          <w:p>
            <w:pPr>
              <w:pStyle w:val="TableContents"/>
              <w:bidi w:val="0"/>
              <w:spacing w:before="0" w:after="0"/>
              <w:jc w:val="both"/>
              <w:rPr/>
            </w:pPr>
            <w:r>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3" w:name="z287813063c1945fbb63aaea0b814ab65"/>
      <w:bookmarkStart w:id="594" w:name="z287813063c1945fbb63aaea0b814ab65"/>
      <w:bookmarkEnd w:id="594"/>
    </w:p>
    <w:tbl>
      <w:tblPr>
        <w:tblW w:w="10205" w:type="dxa"/>
        <w:jc w:val="left"/>
        <w:tblInd w:w="0" w:type="dxa"/>
        <w:tblLayout w:type="fixed"/>
        <w:tblCellMar>
          <w:top w:w="0" w:type="dxa"/>
          <w:left w:w="0" w:type="dxa"/>
          <w:bottom w:w="0" w:type="dxa"/>
          <w:right w:w="0" w:type="dxa"/>
        </w:tblCellMar>
      </w:tblPr>
      <w:tblGrid>
        <w:gridCol w:w="105"/>
        <w:gridCol w:w="315"/>
        <w:gridCol w:w="9785"/>
      </w:tblGrid>
      <w:tr>
        <w:trPr/>
        <w:tc>
          <w:tcPr>
            <w:tcW w:w="10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both"/>
              <w:rPr/>
            </w:pPr>
            <w:r>
              <w:rPr/>
              <w:t>(4)</w:t>
            </w:r>
          </w:p>
        </w:tc>
        <w:tc>
          <w:tcPr>
            <w:tcW w:w="9785" w:type="dxa"/>
            <w:tcBorders/>
            <w:vAlign w:val="center"/>
          </w:tcPr>
          <w:p>
            <w:pPr>
              <w:pStyle w:val="TableContents"/>
              <w:bidi w:val="0"/>
              <w:spacing w:before="0" w:after="0"/>
              <w:jc w:val="both"/>
              <w:rPr/>
            </w:pPr>
            <w:r>
              <w:rPr/>
              <w:t>any other communication that is an offer in the offering made by the undersigned Registrant to the purchaser.</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5" w:name="zb6a9dcc8835c451ba26309c39bebaaf0"/>
      <w:bookmarkStart w:id="596" w:name="zb6a9dcc8835c451ba26309c39bebaaf0"/>
      <w:bookmarkEnd w:id="596"/>
    </w:p>
    <w:tbl>
      <w:tblPr>
        <w:tblW w:w="1975" w:type="dxa"/>
        <w:jc w:val="left"/>
        <w:tblInd w:w="0" w:type="dxa"/>
        <w:tblLayout w:type="fixed"/>
        <w:tblCellMar>
          <w:top w:w="0" w:type="dxa"/>
          <w:left w:w="0" w:type="dxa"/>
          <w:bottom w:w="0" w:type="dxa"/>
          <w:right w:w="0" w:type="dxa"/>
        </w:tblCellMar>
      </w:tblPr>
      <w:tblGrid>
        <w:gridCol w:w="105"/>
        <w:gridCol w:w="320"/>
        <w:gridCol w:w="155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pPr>
            <w:r>
              <w:rPr/>
              <w:t>(4)</w:t>
            </w:r>
          </w:p>
        </w:tc>
        <w:tc>
          <w:tcPr>
            <w:tcW w:w="1550" w:type="dxa"/>
            <w:tcBorders/>
            <w:vAlign w:val="center"/>
          </w:tcPr>
          <w:p>
            <w:pPr>
              <w:pStyle w:val="TableContents"/>
              <w:bidi w:val="0"/>
              <w:spacing w:before="0" w:after="0"/>
              <w:jc w:val="both"/>
              <w:rPr/>
            </w:pPr>
            <w:r>
              <w:rPr/>
              <w:t>Not Applicable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597" w:name="z2299752043474b80bb2073d4926b99d3"/>
      <w:bookmarkStart w:id="598" w:name="z2299752043474b80bb2073d4926b99d3"/>
      <w:bookmarkEnd w:id="598"/>
    </w:p>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(5)</w:t>
            </w:r>
          </w:p>
        </w:tc>
        <w:tc>
          <w:tcPr>
            <w:tcW w:w="9878" w:type="dxa"/>
            <w:tcBorders/>
            <w:vAlign w:val="center"/>
          </w:tcPr>
          <w:p>
            <w:pPr>
              <w:pStyle w:val="TableContents"/>
              <w:bidi w:val="0"/>
              <w:spacing w:before="0" w:after="0"/>
              <w:jc w:val="both"/>
              <w:rPr/>
            </w:pPr>
            <w:r>
              <w:rPr/>
              <w:t>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99" w:name="z34ffc021b3dd46cd93ca5d1cc0f3d673"/>
      <w:bookmarkStart w:id="600" w:name="z34ffc021b3dd46cd93ca5d1cc0f3d673"/>
      <w:bookmarkEnd w:id="600"/>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(6)</w:t>
            </w:r>
          </w:p>
        </w:tc>
        <w:tc>
          <w:tcPr>
            <w:tcW w:w="9886" w:type="dxa"/>
            <w:tcBorders/>
            <w:vAlign w:val="center"/>
          </w:tcPr>
          <w:p>
            <w:pPr>
              <w:pStyle w:val="TableContents"/>
              <w:bidi w:val="0"/>
              <w:spacing w:before="0" w:after="0"/>
              <w:jc w:val="both"/>
              <w:rPr/>
            </w:pPr>
            <w:r>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01" w:name="zdd382273412746258a404e07a908af9b"/>
      <w:bookmarkStart w:id="602" w:name="zdd382273412746258a404e07a908af9b"/>
      <w:bookmarkEnd w:id="602"/>
    </w:p>
    <w:tbl>
      <w:tblPr>
        <w:tblW w:w="10205" w:type="dxa"/>
        <w:jc w:val="left"/>
        <w:tblInd w:w="0" w:type="dxa"/>
        <w:tblLayout w:type="fixed"/>
        <w:tblCellMar>
          <w:top w:w="0" w:type="dxa"/>
          <w:left w:w="0" w:type="dxa"/>
          <w:bottom w:w="0" w:type="dxa"/>
          <w:right w:w="0" w:type="dxa"/>
        </w:tblCellMar>
      </w:tblPr>
      <w:tblGrid>
        <w:gridCol w:w="68"/>
        <w:gridCol w:w="284"/>
        <w:gridCol w:w="9853"/>
      </w:tblGrid>
      <w:tr>
        <w:trPr/>
        <w:tc>
          <w:tcPr>
            <w:tcW w:w="68" w:type="dxa"/>
            <w:tcBorders/>
            <w:vAlign w:val="center"/>
          </w:tcPr>
          <w:p>
            <w:pPr>
              <w:pStyle w:val="TableContents"/>
              <w:bidi w:val="0"/>
              <w:spacing w:before="0" w:after="283"/>
              <w:jc w:val="left"/>
              <w:rPr/>
            </w:pPr>
            <w:r>
              <w:rPr/>
            </w:r>
          </w:p>
        </w:tc>
        <w:tc>
          <w:tcPr>
            <w:tcW w:w="284" w:type="dxa"/>
            <w:tcBorders/>
            <w:vAlign w:val="center"/>
          </w:tcPr>
          <w:p>
            <w:pPr>
              <w:pStyle w:val="TableContents"/>
              <w:bidi w:val="0"/>
              <w:spacing w:before="0" w:after="283"/>
              <w:jc w:val="left"/>
              <w:rPr/>
            </w:pPr>
            <w:r>
              <w:rPr/>
              <w:t>(7)</w:t>
            </w:r>
          </w:p>
        </w:tc>
        <w:tc>
          <w:tcPr>
            <w:tcW w:w="9853" w:type="dxa"/>
            <w:tcBorders/>
            <w:vAlign w:val="center"/>
          </w:tcPr>
          <w:p>
            <w:pPr>
              <w:pStyle w:val="TableContents"/>
              <w:bidi w:val="0"/>
              <w:spacing w:before="0" w:after="0"/>
              <w:jc w:val="both"/>
              <w:rPr/>
            </w:pPr>
            <w:r>
              <w:rPr/>
              <w:t>Registrant undertakes to send by first class mail or other means designed to ensure equally prompt delivery, within two business days of receipt of a written or oral request, any prospectus.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C-7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lineRule="auto" w:line="240"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Act of 1933, the Registrant has duly caused this Registration Statement on Form N-2 to be signed on its behalf by the undersigned, thereunto duly authorized, in the City of New York, and the State of New York on the 11th day of May,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03" w:name="zee80fee8ae9f49608d6b2abe545a9dda"/>
      <w:bookmarkStart w:id="604" w:name="zee80fee8ae9f49608d6b2abe545a9dda"/>
      <w:bookmarkEnd w:id="604"/>
    </w:p>
    <w:tbl>
      <w:tblPr>
        <w:tblW w:w="3784" w:type="dxa"/>
        <w:jc w:val="left"/>
        <w:tblInd w:w="0" w:type="dxa"/>
        <w:tblLayout w:type="fixed"/>
        <w:tblCellMar>
          <w:top w:w="0" w:type="dxa"/>
          <w:left w:w="0" w:type="dxa"/>
          <w:bottom w:w="0" w:type="dxa"/>
          <w:right w:w="0" w:type="dxa"/>
        </w:tblCellMar>
      </w:tblPr>
      <w:tblGrid>
        <w:gridCol w:w="105"/>
        <w:gridCol w:w="423"/>
        <w:gridCol w:w="728"/>
        <w:gridCol w:w="2528"/>
      </w:tblGrid>
      <w:tr>
        <w:trPr/>
        <w:tc>
          <w:tcPr>
            <w:tcW w:w="10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0"/>
              <w:jc w:val="left"/>
              <w:rPr/>
            </w:pPr>
            <w:r>
              <w:rPr/>
              <w:t>CHICAGO ATLANTIC BDC, INC.</w:t>
            </w:r>
          </w:p>
        </w:tc>
      </w:tr>
      <w:tr>
        <w:trPr/>
        <w:tc>
          <w:tcPr>
            <w:tcW w:w="105" w:type="dxa"/>
            <w:tcBorders/>
            <w:vAlign w:val="center"/>
          </w:tcPr>
          <w:p>
            <w:pPr>
              <w:pStyle w:val="TableContents"/>
              <w:bidi w:val="0"/>
              <w:spacing w:before="0" w:after="283"/>
              <w:jc w:val="left"/>
              <w:rPr/>
            </w:pPr>
            <w:r>
              <w:rPr/>
              <w:t> </w:t>
            </w:r>
          </w:p>
        </w:tc>
        <w:tc>
          <w:tcPr>
            <w:tcW w:w="3679" w:type="dxa"/>
            <w:gridSpan w:val="3"/>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0"/>
              <w:jc w:val="left"/>
              <w:rPr/>
            </w:pPr>
            <w:r>
              <w:rPr/>
              <w:t>By:</w:t>
            </w:r>
          </w:p>
        </w:tc>
        <w:tc>
          <w:tcPr>
            <w:tcW w:w="3256" w:type="dxa"/>
            <w:gridSpan w:val="2"/>
            <w:tcBorders>
              <w:bottom w:val="single" w:sz="12" w:space="0" w:color="000000"/>
            </w:tcBorders>
            <w:tcMar>
              <w:bottom w:w="28" w:type="dxa"/>
            </w:tcMar>
            <w:vAlign w:val="center"/>
          </w:tcPr>
          <w:p>
            <w:pPr>
              <w:pStyle w:val="TableContents"/>
              <w:bidi w:val="0"/>
              <w:spacing w:before="0" w:after="0"/>
              <w:jc w:val="left"/>
              <w:rPr/>
            </w:pPr>
            <w:r>
              <w:rPr/>
              <w:t> </w:t>
            </w:r>
            <w:r>
              <w:rPr/>
              <w:t>/s/ Peter Sack</w:t>
            </w:r>
          </w:p>
        </w:tc>
      </w:tr>
      <w:tr>
        <w:trPr/>
        <w:tc>
          <w:tcPr>
            <w:tcW w:w="10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left"/>
              <w:rPr/>
            </w:pPr>
            <w:r>
              <w:rPr/>
              <w:t>Name:</w:t>
            </w:r>
          </w:p>
        </w:tc>
        <w:tc>
          <w:tcPr>
            <w:tcW w:w="2528" w:type="dxa"/>
            <w:tcBorders/>
            <w:vAlign w:val="center"/>
          </w:tcPr>
          <w:p>
            <w:pPr>
              <w:pStyle w:val="TableContents"/>
              <w:bidi w:val="0"/>
              <w:spacing w:before="0" w:after="0"/>
              <w:jc w:val="left"/>
              <w:rPr/>
            </w:pPr>
            <w:r>
              <w:rPr/>
              <w:t>Peter Sack</w:t>
            </w:r>
          </w:p>
        </w:tc>
      </w:tr>
      <w:tr>
        <w:trPr/>
        <w:tc>
          <w:tcPr>
            <w:tcW w:w="105"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left"/>
              <w:rPr/>
            </w:pPr>
            <w:r>
              <w:rPr/>
              <w:t>Title:</w:t>
            </w:r>
          </w:p>
        </w:tc>
        <w:tc>
          <w:tcPr>
            <w:tcW w:w="2528"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Act of 1933, this Registration Statement has been signed by the following persons in the capacities indicated on May 11, 2026.</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05" w:name="z10afc27b4d624ff18fd94c014119b6cf"/>
      <w:bookmarkStart w:id="606" w:name="z10afc27b4d624ff18fd94c014119b6cf"/>
      <w:bookmarkEnd w:id="606"/>
    </w:p>
    <w:tbl>
      <w:tblPr>
        <w:tblW w:w="7915" w:type="dxa"/>
        <w:jc w:val="left"/>
        <w:tblInd w:w="0" w:type="dxa"/>
        <w:tblLayout w:type="fixed"/>
        <w:tblCellMar>
          <w:top w:w="0" w:type="dxa"/>
          <w:left w:w="0" w:type="dxa"/>
          <w:bottom w:w="28" w:type="dxa"/>
          <w:right w:w="0" w:type="dxa"/>
        </w:tblCellMar>
      </w:tblPr>
      <w:tblGrid>
        <w:gridCol w:w="2735"/>
        <w:gridCol w:w="90"/>
        <w:gridCol w:w="5090"/>
      </w:tblGrid>
      <w:tr>
        <w:trPr/>
        <w:tc>
          <w:tcPr>
            <w:tcW w:w="2735" w:type="dxa"/>
            <w:tcBorders>
              <w:bottom w:val="single" w:sz="12" w:space="0" w:color="000000"/>
            </w:tcBorders>
            <w:vAlign w:val="center"/>
          </w:tcPr>
          <w:p>
            <w:pPr>
              <w:pStyle w:val="TableContents"/>
              <w:bidi w:val="0"/>
              <w:spacing w:before="0" w:after="0"/>
              <w:jc w:val="center"/>
              <w:rPr>
                <w:b/>
                <w:color w:val="000000"/>
              </w:rPr>
            </w:pPr>
            <w:r>
              <w:rPr>
                <w:b/>
                <w:color w:val="000000"/>
              </w:rPr>
              <w:t>Name</w:t>
            </w:r>
          </w:p>
        </w:tc>
        <w:tc>
          <w:tcPr>
            <w:tcW w:w="90" w:type="dxa"/>
            <w:tcBorders/>
            <w:tcMar>
              <w:bottom w:w="0" w:type="dxa"/>
            </w:tcMar>
            <w:vAlign w:val="center"/>
          </w:tcPr>
          <w:p>
            <w:pPr>
              <w:pStyle w:val="TableContents"/>
              <w:bidi w:val="0"/>
              <w:spacing w:before="0" w:after="283"/>
              <w:jc w:val="left"/>
              <w:rPr/>
            </w:pPr>
            <w:r>
              <w:rPr/>
              <w:t> </w:t>
            </w:r>
          </w:p>
        </w:tc>
        <w:tc>
          <w:tcPr>
            <w:tcW w:w="5090" w:type="dxa"/>
            <w:tcBorders>
              <w:bottom w:val="single" w:sz="12" w:space="0" w:color="000000"/>
            </w:tcBorders>
            <w:vAlign w:val="center"/>
          </w:tcPr>
          <w:p>
            <w:pPr>
              <w:pStyle w:val="TableContents"/>
              <w:bidi w:val="0"/>
              <w:spacing w:before="0" w:after="0"/>
              <w:jc w:val="center"/>
              <w:rPr>
                <w:b/>
                <w:color w:val="000000"/>
              </w:rPr>
            </w:pPr>
            <w:r>
              <w:rPr>
                <w:b/>
                <w:color w:val="000000"/>
              </w:rPr>
              <w:t>Title</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Scott Gordon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Director, Executive Chairman of the</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Scott Gordon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Board of Directors, and Co-Chief Investment Officer</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Michael W. Chorske *</w:t>
            </w:r>
          </w:p>
        </w:tc>
        <w:tc>
          <w:tcPr>
            <w:tcW w:w="90" w:type="dxa"/>
            <w:vMerge w:val="restart"/>
            <w:tcBorders/>
            <w:tcMar>
              <w:bottom w:w="0" w:type="dxa"/>
            </w:tcMar>
            <w:vAlign w:val="center"/>
          </w:tcPr>
          <w:p>
            <w:pPr>
              <w:pStyle w:val="TableContents"/>
              <w:bidi w:val="0"/>
              <w:spacing w:before="0" w:after="283"/>
              <w:jc w:val="left"/>
              <w:rPr/>
            </w:pPr>
            <w:r>
              <w:rPr/>
              <w:t> </w:t>
            </w:r>
          </w:p>
        </w:tc>
        <w:tc>
          <w:tcPr>
            <w:tcW w:w="5090" w:type="dxa"/>
            <w:vMerge w:val="restart"/>
            <w:tcBorders/>
            <w:tcMar>
              <w:bottom w:w="0" w:type="dxa"/>
            </w:tcMar>
            <w:vAlign w:val="center"/>
          </w:tcPr>
          <w:p>
            <w:pPr>
              <w:pStyle w:val="TableContents"/>
              <w:bidi w:val="0"/>
              <w:spacing w:before="0" w:after="0"/>
              <w:jc w:val="center"/>
              <w:rPr>
                <w:color w:val="000000"/>
              </w:rPr>
            </w:pPr>
            <w:r>
              <w:rPr>
                <w:color w:val="000000"/>
              </w:rPr>
              <w:t>Director</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Michael W. Chorske</w:t>
            </w:r>
          </w:p>
        </w:tc>
        <w:tc>
          <w:tcPr>
            <w:tcW w:w="90" w:type="dxa"/>
            <w:vMerge w:val="continue"/>
            <w:tcBorders/>
            <w:tcMar>
              <w:bottom w:w="0" w:type="dxa"/>
            </w:tcMar>
            <w:vAlign w:val="center"/>
          </w:tcPr>
          <w:p>
            <w:pPr>
              <w:pStyle w:val="Normal"/>
              <w:bidi w:val="0"/>
              <w:jc w:val="left"/>
              <w:rPr/>
            </w:pPr>
            <w:r>
              <w:rPr/>
            </w:r>
          </w:p>
        </w:tc>
        <w:tc>
          <w:tcPr>
            <w:tcW w:w="5090" w:type="dxa"/>
            <w:vMerge w:val="continue"/>
            <w:tcBorders/>
            <w:tcMar>
              <w:bottom w:w="0" w:type="dxa"/>
            </w:tcMar>
            <w:vAlign w:val="center"/>
          </w:tcPr>
          <w:p>
            <w:pPr>
              <w:pStyle w:val="Normal"/>
              <w:bidi w:val="0"/>
              <w:jc w:val="left"/>
              <w:rPr/>
            </w:pPr>
            <w:r>
              <w:rPr/>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Americo Da Corte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Americo Da Corte</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Director</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Supurna VedBrat*</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Supurna VedBrat</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Director</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Tracey Brophy Warson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Tracey Brophy Warson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Director</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Peter Sack</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Chief Executive Officer</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Peter Sack</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 </w:t>
            </w:r>
            <w:r>
              <w:rPr>
                <w:color w:val="000000"/>
              </w:rPr>
              <w:t>(Principal Executive Officer)</w:t>
            </w:r>
          </w:p>
        </w:tc>
      </w:tr>
      <w:tr>
        <w:trPr/>
        <w:tc>
          <w:tcPr>
            <w:tcW w:w="27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r>
      <w:tr>
        <w:trPr/>
        <w:tc>
          <w:tcPr>
            <w:tcW w:w="2735" w:type="dxa"/>
            <w:tcBorders>
              <w:bottom w:val="single" w:sz="12" w:space="0" w:color="000000"/>
            </w:tcBorders>
            <w:vAlign w:val="center"/>
          </w:tcPr>
          <w:p>
            <w:pPr>
              <w:pStyle w:val="TableContents"/>
              <w:bidi w:val="0"/>
              <w:spacing w:before="0" w:after="0"/>
              <w:jc w:val="center"/>
              <w:rPr>
                <w:color w:val="000000"/>
              </w:rPr>
            </w:pPr>
            <w:r>
              <w:rPr>
                <w:color w:val="000000"/>
              </w:rPr>
              <w:t>/s/ Thomas Geoffroy</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  </w:t>
            </w:r>
            <w:r>
              <w:rPr>
                <w:color w:val="000000"/>
              </w:rPr>
              <w:t>Interim Chief Financial Officer</w:t>
            </w:r>
          </w:p>
        </w:tc>
      </w:tr>
      <w:tr>
        <w:trPr/>
        <w:tc>
          <w:tcPr>
            <w:tcW w:w="2735" w:type="dxa"/>
            <w:tcBorders/>
            <w:tcMar>
              <w:bottom w:w="0" w:type="dxa"/>
            </w:tcMar>
            <w:vAlign w:val="center"/>
          </w:tcPr>
          <w:p>
            <w:pPr>
              <w:pStyle w:val="TableContents"/>
              <w:bidi w:val="0"/>
              <w:spacing w:before="0" w:after="0"/>
              <w:jc w:val="center"/>
              <w:rPr>
                <w:color w:val="000000"/>
              </w:rPr>
            </w:pPr>
            <w:r>
              <w:rPr>
                <w:color w:val="000000"/>
              </w:rPr>
              <w:t>Thomas Geoffroy</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center"/>
              <w:rPr>
                <w:color w:val="000000"/>
              </w:rPr>
            </w:pPr>
            <w:r>
              <w:rPr>
                <w:color w:val="000000"/>
              </w:rPr>
              <w:t> </w:t>
            </w:r>
            <w:r>
              <w:rPr>
                <w:color w:val="000000"/>
              </w:rPr>
              <w:t>(Principal Financial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7" w:name="z0bf732a2374b447293403bcbfe1a54d5"/>
      <w:bookmarkStart w:id="608" w:name="z0bf732a2374b447293403bcbfe1a54d5"/>
      <w:bookmarkEnd w:id="608"/>
    </w:p>
    <w:tbl>
      <w:tblPr>
        <w:tblW w:w="2500" w:type="dxa"/>
        <w:jc w:val="left"/>
        <w:tblInd w:w="0" w:type="dxa"/>
        <w:tblLayout w:type="fixed"/>
        <w:tblCellMar>
          <w:top w:w="0" w:type="dxa"/>
          <w:left w:w="0" w:type="dxa"/>
          <w:bottom w:w="0" w:type="dxa"/>
          <w:right w:w="0" w:type="dxa"/>
        </w:tblCellMar>
      </w:tblPr>
      <w:tblGrid>
        <w:gridCol w:w="515"/>
        <w:gridCol w:w="1865"/>
        <w:gridCol w:w="120"/>
      </w:tblGrid>
      <w:tr>
        <w:trPr/>
        <w:tc>
          <w:tcPr>
            <w:tcW w:w="515" w:type="dxa"/>
            <w:tcBorders/>
            <w:vAlign w:val="center"/>
          </w:tcPr>
          <w:p>
            <w:pPr>
              <w:pStyle w:val="TableContents"/>
              <w:bidi w:val="0"/>
              <w:spacing w:before="0" w:after="0"/>
              <w:jc w:val="left"/>
              <w:rPr/>
            </w:pPr>
            <w:r>
              <w:rPr/>
              <w:t>*By:</w:t>
            </w:r>
          </w:p>
        </w:tc>
        <w:tc>
          <w:tcPr>
            <w:tcW w:w="1865" w:type="dxa"/>
            <w:tcBorders>
              <w:bottom w:val="single" w:sz="12" w:space="0" w:color="000000"/>
            </w:tcBorders>
            <w:tcMar>
              <w:bottom w:w="28" w:type="dxa"/>
            </w:tcMar>
            <w:vAlign w:val="center"/>
          </w:tcPr>
          <w:p>
            <w:pPr>
              <w:pStyle w:val="TableContents"/>
              <w:bidi w:val="0"/>
              <w:spacing w:before="0" w:after="0"/>
              <w:jc w:val="left"/>
              <w:rPr/>
            </w:pPr>
            <w:r>
              <w:rPr/>
              <w:t>/s/ Peter Sack</w:t>
            </w:r>
          </w:p>
        </w:tc>
        <w:tc>
          <w:tcPr>
            <w:tcW w:w="1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pPr>
            <w:r>
              <w:rPr/>
              <w:t>Peter Sack</w:t>
            </w:r>
          </w:p>
        </w:tc>
        <w:tc>
          <w:tcPr>
            <w:tcW w:w="1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pPr>
            <w:r>
              <w:rPr/>
              <w:t>**Attorney-in-Fact</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9" w:name="z7942c98bc45d4d1eb484ee6edc3e9e66"/>
      <w:bookmarkStart w:id="610" w:name="z7942c98bc45d4d1eb484ee6edc3e9e66"/>
      <w:bookmarkEnd w:id="610"/>
    </w:p>
    <w:tbl>
      <w:tblPr>
        <w:tblW w:w="9745" w:type="dxa"/>
        <w:jc w:val="left"/>
        <w:tblInd w:w="0" w:type="dxa"/>
        <w:tblLayout w:type="fixed"/>
        <w:tblCellMar>
          <w:top w:w="0" w:type="dxa"/>
          <w:left w:w="0" w:type="dxa"/>
          <w:bottom w:w="0" w:type="dxa"/>
          <w:right w:w="0" w:type="dxa"/>
        </w:tblCellMar>
      </w:tblPr>
      <w:tblGrid>
        <w:gridCol w:w="305"/>
        <w:gridCol w:w="9440"/>
      </w:tblGrid>
      <w:tr>
        <w:trPr/>
        <w:tc>
          <w:tcPr>
            <w:tcW w:w="305"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0"/>
              <w:jc w:val="left"/>
              <w:rPr/>
            </w:pPr>
            <w:r>
              <w:rPr/>
              <w:t>Signed by Peter Sack pursuant to a power of attorney signed by each individual and filed herewith.</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C-8</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611" w:name="ef20072364_ex99-n1.htm"/>
      <w:bookmarkStart w:id="612" w:name="ksef20072364_ex99n1"/>
      <w:bookmarkStart w:id="613" w:name="ef20072364_ex99-n1.htm"/>
      <w:bookmarkStart w:id="614" w:name="ksef20072364_ex99n1"/>
      <w:bookmarkEnd w:id="613"/>
      <w:bookmarkEnd w:id="614"/>
      <w:r>
        <w:br w:type="page"/>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consent to the incorporation by reference in this Registration Statement of our report dated March 19, 2026, relating to the financial statements of Chicago Atlantic BDC, Inc. (the Company) appearing in the Company’s Annual Report on Form 10-K for the year ended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also consent to the reference to us under the captions “Senior Securities” and “Independent Registered Public Accounting Firm” in the Registration Statement.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 BDO USA, P.C.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New York, New York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May 11,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bidi w:val="0"/>
        <w:jc w:val="left"/>
        <w:rPr/>
      </w:pPr>
      <w:r>
        <w:rPr/>
      </w:r>
      <w:bookmarkStart w:id="615" w:name="ef20072364_ex99-n2.htm"/>
      <w:bookmarkStart w:id="616" w:name="ksef20072364_ex99n2"/>
      <w:bookmarkStart w:id="617" w:name="ef20072364_ex99-n2.htm"/>
      <w:bookmarkStart w:id="618" w:name="ksef20072364_ex99n2"/>
      <w:bookmarkEnd w:id="617"/>
      <w:bookmarkEnd w:id="618"/>
      <w:r>
        <w:br w:type="page"/>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undersigned director of Chicago Atlantic BDC, Inc. (the “Company”) does hereby constitute and appoint Peter Sack, Scott Gordon, Thomas Geoffroy and Umesh Mahajan, each individually, his or her true and lawful attorney-in-fact and agent (each, an “Attorney-in-Fact”) with power of substitution or re-substitution, in any and all capacities, including without limitation in the applicable undersigned’s capacity as director of the Company as noted below, in the furtherance of the business and affairs of the Company: (i) to execute any and all instruments which said Attorney-in-Fact may deem necessary or advisable or which may be required to comply with the Securities Act of 1933, as amended, the Investment Company Act of 1940, as amended, and the Securities Exchange Act of 1934, as amended (collectively, the “Acts”), and any other applicable federal securities laws, or rules, regulations or requirements of the U.S. Securities and Exchange Commission (the “SEC”) in respect thereof, in connection with the filing and effectiveness of the Company's registration statement on Form N-2, as filed on May 11, 2026 regarding the registration of the Company and its shares of common stock, and any and all amendments thereto, including without limitation any reports, forms or other filings required by the Acts or any other applicable federal securities laws, or rules, regulations or requirements of the SEC, and to do generally all such things in the undersigned’s name and on the undersigned’s behalf in the capacity indicated below to enable the Company to comply with the Acts, and all requirements of the SEC thereunder; and (ii) to execute any and all state regulatory or other required filings, including all applications with regulatory authorities, state charter or organizational documents and any amendments or supplements thereto, to be executed by, on behalf of, or for the benefit of, the Company. The undersigned hereby grants to each Attorney-in-Fact full power and authority to do and perform each and every act and thing contemplated above, as fully and to all intents and purposes as the undersigned might or could do in person, and hereby ratifies and confirms all that said Attorneys-in-Fact, individually or collectively, may lawfully do or cause to be done by virtue hereof.</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Power of Attorney shall be revocable with respect to an undersigned at any time by a writing signed by such undersigned and shall terminate automatically with respect to an undersigned if such undersigned ceases to be a director or officer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9" w:name="z2df6f434fbfa4e64b85db250cc2cd222"/>
      <w:bookmarkStart w:id="620" w:name="z2df6f434fbfa4e64b85db250cc2cd222"/>
      <w:bookmarkEnd w:id="620"/>
    </w:p>
    <w:tbl>
      <w:tblPr>
        <w:tblW w:w="4980" w:type="dxa"/>
        <w:jc w:val="left"/>
        <w:tblInd w:w="0" w:type="dxa"/>
        <w:tblLayout w:type="fixed"/>
        <w:tblCellMar>
          <w:top w:w="0" w:type="dxa"/>
          <w:left w:w="0" w:type="dxa"/>
          <w:bottom w:w="28" w:type="dxa"/>
          <w:right w:w="0" w:type="dxa"/>
        </w:tblCellMar>
      </w:tblPr>
      <w:tblGrid>
        <w:gridCol w:w="2555"/>
        <w:gridCol w:w="90"/>
        <w:gridCol w:w="830"/>
        <w:gridCol w:w="90"/>
        <w:gridCol w:w="1415"/>
      </w:tblGrid>
      <w:tr>
        <w:trPr/>
        <w:tc>
          <w:tcPr>
            <w:tcW w:w="2555" w:type="dxa"/>
            <w:tcBorders>
              <w:bottom w:val="single" w:sz="12" w:space="0" w:color="000000"/>
            </w:tcBorders>
            <w:vAlign w:val="center"/>
          </w:tcPr>
          <w:p>
            <w:pPr>
              <w:pStyle w:val="TableContents"/>
              <w:bidi w:val="0"/>
              <w:spacing w:before="0" w:after="0"/>
              <w:jc w:val="center"/>
              <w:rPr/>
            </w:pPr>
            <w:r>
              <w:rPr/>
              <w:t>Signature</w:t>
            </w:r>
          </w:p>
        </w:tc>
        <w:tc>
          <w:tcPr>
            <w:tcW w:w="90" w:type="dxa"/>
            <w:tcBorders/>
            <w:tcMar>
              <w:bottom w:w="0" w:type="dxa"/>
            </w:tcMar>
            <w:vAlign w:val="center"/>
          </w:tcPr>
          <w:p>
            <w:pPr>
              <w:pStyle w:val="TableContents"/>
              <w:bidi w:val="0"/>
              <w:spacing w:before="0" w:after="283"/>
              <w:jc w:val="left"/>
              <w:rPr/>
            </w:pPr>
            <w:r>
              <w:rPr/>
            </w:r>
          </w:p>
        </w:tc>
        <w:tc>
          <w:tcPr>
            <w:tcW w:w="830" w:type="dxa"/>
            <w:tcBorders>
              <w:bottom w:val="single" w:sz="12" w:space="0" w:color="000000"/>
            </w:tcBorders>
            <w:vAlign w:val="center"/>
          </w:tcPr>
          <w:p>
            <w:pPr>
              <w:pStyle w:val="TableContents"/>
              <w:bidi w:val="0"/>
              <w:spacing w:before="0" w:after="0"/>
              <w:jc w:val="center"/>
              <w:rPr/>
            </w:pPr>
            <w:r>
              <w:rPr/>
              <w:t>Title</w:t>
            </w:r>
          </w:p>
        </w:tc>
        <w:tc>
          <w:tcPr>
            <w:tcW w:w="90" w:type="dxa"/>
            <w:tcBorders/>
            <w:tcMar>
              <w:bottom w:w="0" w:type="dxa"/>
            </w:tcMar>
            <w:vAlign w:val="center"/>
          </w:tcPr>
          <w:p>
            <w:pPr>
              <w:pStyle w:val="TableContents"/>
              <w:bidi w:val="0"/>
              <w:spacing w:before="0" w:after="283"/>
              <w:jc w:val="left"/>
              <w:rPr/>
            </w:pPr>
            <w:r>
              <w:rPr/>
            </w:r>
          </w:p>
        </w:tc>
        <w:tc>
          <w:tcPr>
            <w:tcW w:w="1415" w:type="dxa"/>
            <w:tcBorders>
              <w:bottom w:val="single" w:sz="12" w:space="0" w:color="000000"/>
            </w:tcBorders>
            <w:vAlign w:val="center"/>
          </w:tcPr>
          <w:p>
            <w:pPr>
              <w:pStyle w:val="TableContents"/>
              <w:bidi w:val="0"/>
              <w:spacing w:before="0" w:after="0"/>
              <w:jc w:val="center"/>
              <w:rPr/>
            </w:pPr>
            <w:r>
              <w:rPr/>
              <w:t>Date</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center"/>
              <w:rPr/>
            </w:pPr>
            <w:r>
              <w:rPr/>
              <w:t>/s/ Michael W. Chorske</w:t>
            </w:r>
          </w:p>
        </w:tc>
        <w:tc>
          <w:tcPr>
            <w:tcW w:w="90" w:type="dxa"/>
            <w:tcBorders/>
            <w:tcMar>
              <w:bottom w:w="0" w:type="dxa"/>
            </w:tcMar>
            <w:vAlign w:val="center"/>
          </w:tcPr>
          <w:p>
            <w:pPr>
              <w:pStyle w:val="TableContents"/>
              <w:bidi w:val="0"/>
              <w:spacing w:before="0" w:after="283"/>
              <w:jc w:val="left"/>
              <w:rPr/>
            </w:pPr>
            <w:r>
              <w:rPr/>
            </w:r>
          </w:p>
        </w:tc>
        <w:tc>
          <w:tcPr>
            <w:tcW w:w="830" w:type="dxa"/>
            <w:tcBorders/>
            <w:tcMar>
              <w:bottom w:w="0" w:type="dxa"/>
            </w:tcMar>
            <w:vAlign w:val="center"/>
          </w:tcPr>
          <w:p>
            <w:pPr>
              <w:pStyle w:val="TableContents"/>
              <w:bidi w:val="0"/>
              <w:spacing w:before="0" w:after="0"/>
              <w:jc w:val="center"/>
              <w:rPr/>
            </w:pPr>
            <w:r>
              <w:rPr/>
              <w:t>Director</w:t>
            </w:r>
          </w:p>
        </w:tc>
        <w:tc>
          <w:tcPr>
            <w:tcW w:w="90" w:type="dxa"/>
            <w:tcBorders/>
            <w:tcMar>
              <w:bottom w:w="0" w:type="dxa"/>
            </w:tcMar>
            <w:vAlign w:val="center"/>
          </w:tcPr>
          <w:p>
            <w:pPr>
              <w:pStyle w:val="TableContents"/>
              <w:bidi w:val="0"/>
              <w:spacing w:before="0" w:after="283"/>
              <w:jc w:val="left"/>
              <w:rPr/>
            </w:pPr>
            <w:r>
              <w:rPr/>
            </w:r>
          </w:p>
        </w:tc>
        <w:tc>
          <w:tcPr>
            <w:tcW w:w="1415" w:type="dxa"/>
            <w:tcBorders/>
            <w:tcMar>
              <w:bottom w:w="0" w:type="dxa"/>
            </w:tcMar>
            <w:vAlign w:val="center"/>
          </w:tcPr>
          <w:p>
            <w:pPr>
              <w:pStyle w:val="TableContents"/>
              <w:bidi w:val="0"/>
              <w:spacing w:before="0" w:after="0"/>
              <w:jc w:val="center"/>
              <w:rPr/>
            </w:pPr>
            <w:r>
              <w:rPr/>
              <w:t>May 11, 2026</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center"/>
              <w:rPr/>
            </w:pPr>
            <w:r>
              <w:rPr/>
              <w:t>/s/ Americo Da Corte</w:t>
            </w:r>
          </w:p>
        </w:tc>
        <w:tc>
          <w:tcPr>
            <w:tcW w:w="90" w:type="dxa"/>
            <w:tcBorders/>
            <w:tcMar>
              <w:bottom w:w="0" w:type="dxa"/>
            </w:tcMar>
            <w:vAlign w:val="center"/>
          </w:tcPr>
          <w:p>
            <w:pPr>
              <w:pStyle w:val="TableContents"/>
              <w:bidi w:val="0"/>
              <w:spacing w:before="0" w:after="283"/>
              <w:jc w:val="left"/>
              <w:rPr/>
            </w:pPr>
            <w:r>
              <w:rPr/>
            </w:r>
          </w:p>
        </w:tc>
        <w:tc>
          <w:tcPr>
            <w:tcW w:w="830" w:type="dxa"/>
            <w:tcBorders/>
            <w:tcMar>
              <w:bottom w:w="0" w:type="dxa"/>
            </w:tcMar>
            <w:vAlign w:val="center"/>
          </w:tcPr>
          <w:p>
            <w:pPr>
              <w:pStyle w:val="TableContents"/>
              <w:bidi w:val="0"/>
              <w:spacing w:before="0" w:after="0"/>
              <w:jc w:val="center"/>
              <w:rPr/>
            </w:pPr>
            <w:r>
              <w:rPr/>
              <w:t>Director</w:t>
            </w:r>
          </w:p>
        </w:tc>
        <w:tc>
          <w:tcPr>
            <w:tcW w:w="90" w:type="dxa"/>
            <w:tcBorders/>
            <w:tcMar>
              <w:bottom w:w="0" w:type="dxa"/>
            </w:tcMar>
            <w:vAlign w:val="center"/>
          </w:tcPr>
          <w:p>
            <w:pPr>
              <w:pStyle w:val="TableContents"/>
              <w:bidi w:val="0"/>
              <w:spacing w:before="0" w:after="283"/>
              <w:jc w:val="left"/>
              <w:rPr/>
            </w:pPr>
            <w:r>
              <w:rPr/>
            </w:r>
          </w:p>
        </w:tc>
        <w:tc>
          <w:tcPr>
            <w:tcW w:w="1415" w:type="dxa"/>
            <w:tcBorders/>
            <w:tcMar>
              <w:bottom w:w="0" w:type="dxa"/>
            </w:tcMar>
            <w:vAlign w:val="center"/>
          </w:tcPr>
          <w:p>
            <w:pPr>
              <w:pStyle w:val="TableContents"/>
              <w:bidi w:val="0"/>
              <w:spacing w:before="0" w:after="0"/>
              <w:jc w:val="center"/>
              <w:rPr/>
            </w:pPr>
            <w:r>
              <w:rPr/>
              <w:t>May 11, 2026</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center"/>
              <w:rPr/>
            </w:pPr>
            <w:r>
              <w:rPr/>
              <w:t>/s/ Supurna VedBrat</w:t>
            </w:r>
          </w:p>
        </w:tc>
        <w:tc>
          <w:tcPr>
            <w:tcW w:w="90" w:type="dxa"/>
            <w:tcBorders/>
            <w:tcMar>
              <w:bottom w:w="0" w:type="dxa"/>
            </w:tcMar>
            <w:vAlign w:val="center"/>
          </w:tcPr>
          <w:p>
            <w:pPr>
              <w:pStyle w:val="TableContents"/>
              <w:bidi w:val="0"/>
              <w:spacing w:before="0" w:after="283"/>
              <w:jc w:val="left"/>
              <w:rPr/>
            </w:pPr>
            <w:r>
              <w:rPr/>
            </w:r>
          </w:p>
        </w:tc>
        <w:tc>
          <w:tcPr>
            <w:tcW w:w="830" w:type="dxa"/>
            <w:tcBorders/>
            <w:tcMar>
              <w:bottom w:w="0" w:type="dxa"/>
            </w:tcMar>
            <w:vAlign w:val="center"/>
          </w:tcPr>
          <w:p>
            <w:pPr>
              <w:pStyle w:val="TableContents"/>
              <w:bidi w:val="0"/>
              <w:spacing w:before="0" w:after="0"/>
              <w:jc w:val="center"/>
              <w:rPr/>
            </w:pPr>
            <w:r>
              <w:rPr/>
              <w:t>Director</w:t>
            </w:r>
          </w:p>
        </w:tc>
        <w:tc>
          <w:tcPr>
            <w:tcW w:w="90" w:type="dxa"/>
            <w:tcBorders/>
            <w:tcMar>
              <w:bottom w:w="0" w:type="dxa"/>
            </w:tcMar>
            <w:vAlign w:val="center"/>
          </w:tcPr>
          <w:p>
            <w:pPr>
              <w:pStyle w:val="TableContents"/>
              <w:bidi w:val="0"/>
              <w:spacing w:before="0" w:after="283"/>
              <w:jc w:val="left"/>
              <w:rPr/>
            </w:pPr>
            <w:r>
              <w:rPr/>
            </w:r>
          </w:p>
        </w:tc>
        <w:tc>
          <w:tcPr>
            <w:tcW w:w="1415" w:type="dxa"/>
            <w:tcBorders/>
            <w:tcMar>
              <w:bottom w:w="0" w:type="dxa"/>
            </w:tcMar>
            <w:vAlign w:val="center"/>
          </w:tcPr>
          <w:p>
            <w:pPr>
              <w:pStyle w:val="TableContents"/>
              <w:bidi w:val="0"/>
              <w:spacing w:before="0" w:after="0"/>
              <w:jc w:val="center"/>
              <w:rPr/>
            </w:pPr>
            <w:r>
              <w:rPr/>
              <w:t>May 11, 2026</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center"/>
              <w:rPr/>
            </w:pPr>
            <w:r>
              <w:rPr/>
              <w:t>/s/ Tracey Brophy Warson</w:t>
            </w:r>
          </w:p>
        </w:tc>
        <w:tc>
          <w:tcPr>
            <w:tcW w:w="90" w:type="dxa"/>
            <w:tcBorders/>
            <w:tcMar>
              <w:bottom w:w="0" w:type="dxa"/>
            </w:tcMar>
            <w:vAlign w:val="center"/>
          </w:tcPr>
          <w:p>
            <w:pPr>
              <w:pStyle w:val="TableContents"/>
              <w:bidi w:val="0"/>
              <w:spacing w:before="0" w:after="283"/>
              <w:jc w:val="left"/>
              <w:rPr/>
            </w:pPr>
            <w:r>
              <w:rPr/>
            </w:r>
          </w:p>
        </w:tc>
        <w:tc>
          <w:tcPr>
            <w:tcW w:w="830" w:type="dxa"/>
            <w:tcBorders/>
            <w:tcMar>
              <w:bottom w:w="0" w:type="dxa"/>
            </w:tcMar>
            <w:vAlign w:val="center"/>
          </w:tcPr>
          <w:p>
            <w:pPr>
              <w:pStyle w:val="TableContents"/>
              <w:bidi w:val="0"/>
              <w:spacing w:before="0" w:after="0"/>
              <w:jc w:val="center"/>
              <w:rPr/>
            </w:pPr>
            <w:r>
              <w:rPr/>
              <w:t>Director</w:t>
            </w:r>
          </w:p>
        </w:tc>
        <w:tc>
          <w:tcPr>
            <w:tcW w:w="90" w:type="dxa"/>
            <w:tcBorders/>
            <w:tcMar>
              <w:bottom w:w="0" w:type="dxa"/>
            </w:tcMar>
            <w:vAlign w:val="center"/>
          </w:tcPr>
          <w:p>
            <w:pPr>
              <w:pStyle w:val="TableContents"/>
              <w:bidi w:val="0"/>
              <w:spacing w:before="0" w:after="283"/>
              <w:jc w:val="left"/>
              <w:rPr/>
            </w:pPr>
            <w:r>
              <w:rPr/>
            </w:r>
          </w:p>
        </w:tc>
        <w:tc>
          <w:tcPr>
            <w:tcW w:w="1415" w:type="dxa"/>
            <w:tcBorders/>
            <w:tcMar>
              <w:bottom w:w="0" w:type="dxa"/>
            </w:tcMar>
            <w:vAlign w:val="center"/>
          </w:tcPr>
          <w:p>
            <w:pPr>
              <w:pStyle w:val="TableContents"/>
              <w:bidi w:val="0"/>
              <w:spacing w:before="0" w:after="0"/>
              <w:jc w:val="center"/>
              <w:rPr/>
            </w:pPr>
            <w:r>
              <w:rPr/>
              <w:t>May 11,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p>
      <w:pPr>
        <w:pStyle w:val="HorizontalLine"/>
        <w:bidi w:val="0"/>
        <w:jc w:val="left"/>
        <w:rPr/>
      </w:pPr>
      <w:r>
        <w:rPr/>
      </w:r>
    </w:p>
    <w:p>
      <w:pPr>
        <w:pStyle w:val="HorizontalLine"/>
        <w:bidi w:val="0"/>
        <w:jc w:val="left"/>
        <w:rPr/>
      </w:pPr>
      <w:r>
        <w:rPr/>
      </w:r>
      <w:bookmarkStart w:id="621" w:name="ef20072364_ex99-s.htm"/>
      <w:bookmarkStart w:id="622" w:name="ksef20072364_ex99s"/>
      <w:bookmarkStart w:id="623" w:name="ef20072364_ex99-s.htm"/>
      <w:bookmarkStart w:id="624" w:name="ksef20072364_ex99s"/>
      <w:bookmarkEnd w:id="623"/>
      <w:bookmarkEnd w:id="624"/>
      <w:r>
        <w:br w:type="page"/>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625" w:name="Section1"/>
      <w:bookmarkEnd w:id="625"/>
      <w:r>
        <w:rPr>
          <w:rFonts w:ascii="Times New Roman" w:hAnsi="Times New Roman"/>
          <w:b/>
          <w:color w:val="000000"/>
          <w:sz w:val="20"/>
        </w:rPr>
        <w:t>Calculation of Filing Fee Tables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N-2</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Chicago Atlantic BDC,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Table 1: Newly Registered and Carry Forward Securities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6" w:name="zefcf8951a4394ac38e792a494d5507f8"/>
      <w:bookmarkStart w:id="627" w:name="zefcf8951a4394ac38e792a494d5507f8"/>
      <w:bookmarkEnd w:id="627"/>
    </w:p>
    <w:tbl>
      <w:tblPr>
        <w:tblW w:w="14975" w:type="dxa"/>
        <w:jc w:val="left"/>
        <w:tblInd w:w="-15" w:type="dxa"/>
        <w:tblLayout w:type="fixed"/>
        <w:tblCellMar>
          <w:top w:w="28" w:type="dxa"/>
          <w:left w:w="28" w:type="dxa"/>
          <w:bottom w:w="28" w:type="dxa"/>
          <w:right w:w="0" w:type="dxa"/>
        </w:tblCellMar>
      </w:tblPr>
      <w:tblGrid>
        <w:gridCol w:w="2315"/>
        <w:gridCol w:w="1190"/>
        <w:gridCol w:w="830"/>
        <w:gridCol w:w="1130"/>
        <w:gridCol w:w="1055"/>
        <w:gridCol w:w="1025"/>
        <w:gridCol w:w="1370"/>
        <w:gridCol w:w="1070"/>
        <w:gridCol w:w="1190"/>
        <w:gridCol w:w="860"/>
        <w:gridCol w:w="860"/>
        <w:gridCol w:w="905"/>
        <w:gridCol w:w="1175"/>
      </w:tblGrid>
      <w:tr>
        <w:trPr/>
        <w:tc>
          <w:tcPr>
            <w:tcW w:w="231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1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Security Type</w:t>
            </w:r>
          </w:p>
        </w:tc>
        <w:tc>
          <w:tcPr>
            <w:tcW w:w="83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Security Class Title</w:t>
            </w:r>
          </w:p>
        </w:tc>
        <w:tc>
          <w:tcPr>
            <w:tcW w:w="113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Fee Calculation or Carry Forward Rule</w:t>
            </w:r>
          </w:p>
        </w:tc>
        <w:tc>
          <w:tcPr>
            <w:tcW w:w="105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Amount Registered</w:t>
            </w:r>
          </w:p>
        </w:tc>
        <w:tc>
          <w:tcPr>
            <w:tcW w:w="102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Proposed Maximum Offering Price Per Unit</w:t>
            </w:r>
          </w:p>
        </w:tc>
        <w:tc>
          <w:tcPr>
            <w:tcW w:w="137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Maximum Aggregate Offering Price</w:t>
            </w:r>
          </w:p>
        </w:tc>
        <w:tc>
          <w:tcPr>
            <w:tcW w:w="107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Fee Rate</w:t>
            </w:r>
          </w:p>
        </w:tc>
        <w:tc>
          <w:tcPr>
            <w:tcW w:w="11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Amount of Registration Fee</w:t>
            </w:r>
          </w:p>
        </w:tc>
        <w:tc>
          <w:tcPr>
            <w:tcW w:w="86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Carry Forward Form Type</w:t>
            </w:r>
          </w:p>
        </w:tc>
        <w:tc>
          <w:tcPr>
            <w:tcW w:w="86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Carry Forward File Number</w:t>
            </w:r>
          </w:p>
        </w:tc>
        <w:tc>
          <w:tcPr>
            <w:tcW w:w="90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pPr>
            <w:r>
              <w:rPr/>
              <w:t>Carry Forward Initial Effective Date</w:t>
            </w:r>
          </w:p>
        </w:tc>
        <w:tc>
          <w:tcPr>
            <w:tcW w:w="117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283"/>
              <w:jc w:val="center"/>
              <w:rPr/>
            </w:pPr>
            <w:r>
              <w:rPr/>
              <w:t>Filing Fee Previously Paid in Connection with Unsold Securities to be Carried Forward</w:t>
            </w:r>
          </w:p>
        </w:tc>
      </w:tr>
      <w:tr>
        <w:trPr/>
        <w:tc>
          <w:tcPr>
            <w:tcW w:w="14975" w:type="dxa"/>
            <w:gridSpan w:val="13"/>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pPr>
            <w:r>
              <w:rPr/>
              <w:t>Newly Registered Securities</w:t>
            </w:r>
          </w:p>
        </w:tc>
      </w:tr>
      <w:tr>
        <w:trPr/>
        <w:tc>
          <w:tcPr>
            <w:tcW w:w="231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Fees to be paid</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Unallocated (Universal) Shelf</w:t>
            </w:r>
          </w:p>
        </w:tc>
        <w:tc>
          <w:tcPr>
            <w:tcW w:w="8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 </w:t>
            </w:r>
          </w:p>
        </w:tc>
        <w:tc>
          <w:tcPr>
            <w:tcW w:w="11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Rule 457(o)</w:t>
            </w:r>
          </w:p>
        </w:tc>
        <w:tc>
          <w:tcPr>
            <w:tcW w:w="105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$500,000,000</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0.0001381</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$69,050</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2315"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Fees to be paid</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Other</w:t>
            </w:r>
          </w:p>
        </w:tc>
        <w:tc>
          <w:tcPr>
            <w:tcW w:w="8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Other</w:t>
            </w:r>
          </w:p>
        </w:tc>
        <w:tc>
          <w:tcPr>
            <w:tcW w:w="11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Rule 457(o)</w:t>
            </w:r>
          </w:p>
        </w:tc>
        <w:tc>
          <w:tcPr>
            <w:tcW w:w="1055"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spacing w:val="0"/>
              </w:rPr>
            </w:pPr>
            <w:r>
              <w:rPr>
                <w:spacing w:val="0"/>
              </w:rPr>
              <w:t>--</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231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Fees previously paid</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8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1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5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14975" w:type="dxa"/>
            <w:gridSpan w:val="13"/>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pPr>
            <w:r>
              <w:rPr/>
              <w:t>Carry Forward Securities</w:t>
            </w:r>
          </w:p>
        </w:tc>
      </w:tr>
      <w:tr>
        <w:trPr/>
        <w:tc>
          <w:tcPr>
            <w:tcW w:w="231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CarryForwardSecurities</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8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13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5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pPr>
            <w:r>
              <w:rPr/>
              <w:t>--</w:t>
            </w:r>
          </w:p>
        </w:tc>
      </w:tr>
      <w:tr>
        <w:trPr/>
        <w:tc>
          <w:tcPr>
            <w:tcW w:w="23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4205" w:type="dxa"/>
            <w:gridSpan w:val="4"/>
            <w:tcBorders>
              <w:bottom w:val="single" w:sz="12" w:space="0" w:color="000000"/>
            </w:tcBorders>
            <w:tcMar>
              <w:top w:w="0" w:type="dxa"/>
              <w:left w:w="0" w:type="dxa"/>
            </w:tcMar>
            <w:vAlign w:val="center"/>
          </w:tcPr>
          <w:p>
            <w:pPr>
              <w:pStyle w:val="TableContents"/>
              <w:bidi w:val="0"/>
              <w:spacing w:before="0" w:after="283"/>
              <w:jc w:val="right"/>
              <w:rPr/>
            </w:pPr>
            <w:r>
              <w:rPr/>
              <w:t>Total Offering Amounts </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$500,000,000</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0.0001381</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$69,050</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23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4205" w:type="dxa"/>
            <w:gridSpan w:val="4"/>
            <w:tcBorders>
              <w:bottom w:val="single" w:sz="12" w:space="0" w:color="000000"/>
            </w:tcBorders>
            <w:tcMar>
              <w:top w:w="0" w:type="dxa"/>
              <w:left w:w="0" w:type="dxa"/>
            </w:tcMar>
            <w:vAlign w:val="center"/>
          </w:tcPr>
          <w:p>
            <w:pPr>
              <w:pStyle w:val="TableContents"/>
              <w:bidi w:val="0"/>
              <w:spacing w:before="0" w:after="283"/>
              <w:jc w:val="right"/>
              <w:rPr/>
            </w:pPr>
            <w:r>
              <w:rPr/>
              <w:t>Total Fees Previously Paid </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$0.00</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23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4205" w:type="dxa"/>
            <w:gridSpan w:val="4"/>
            <w:tcBorders>
              <w:bottom w:val="single" w:sz="12" w:space="0" w:color="000000"/>
            </w:tcBorders>
            <w:tcMar>
              <w:top w:w="0" w:type="dxa"/>
              <w:left w:w="0" w:type="dxa"/>
            </w:tcMar>
            <w:vAlign w:val="center"/>
          </w:tcPr>
          <w:p>
            <w:pPr>
              <w:pStyle w:val="TableContents"/>
              <w:bidi w:val="0"/>
              <w:spacing w:before="0" w:after="283"/>
              <w:jc w:val="right"/>
              <w:rPr/>
            </w:pPr>
            <w:r>
              <w:rPr/>
              <w:t>Total Fee Offset </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r>
        <w:trPr/>
        <w:tc>
          <w:tcPr>
            <w:tcW w:w="23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c>
          <w:tcPr>
            <w:tcW w:w="4205" w:type="dxa"/>
            <w:gridSpan w:val="4"/>
            <w:tcBorders>
              <w:bottom w:val="single" w:sz="12" w:space="0" w:color="000000"/>
            </w:tcBorders>
            <w:tcMar>
              <w:top w:w="0" w:type="dxa"/>
              <w:left w:w="0" w:type="dxa"/>
            </w:tcMar>
            <w:vAlign w:val="center"/>
          </w:tcPr>
          <w:p>
            <w:pPr>
              <w:pStyle w:val="TableContents"/>
              <w:bidi w:val="0"/>
              <w:spacing w:before="0" w:after="283"/>
              <w:jc w:val="right"/>
              <w:rPr/>
            </w:pPr>
            <w:r>
              <w:rPr/>
              <w:t>Net Fee Due </w:t>
            </w:r>
          </w:p>
        </w:tc>
        <w:tc>
          <w:tcPr>
            <w:tcW w:w="102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3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07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90" w:type="dxa"/>
            <w:tcBorders>
              <w:left w:val="single" w:sz="12" w:space="0" w:color="000000"/>
              <w:bottom w:val="single" w:sz="12" w:space="0" w:color="000000"/>
            </w:tcBorders>
            <w:tcMar>
              <w:top w:w="0" w:type="dxa"/>
            </w:tcMar>
            <w:vAlign w:val="center"/>
          </w:tcPr>
          <w:p>
            <w:pPr>
              <w:pStyle w:val="TableContents"/>
              <w:bidi w:val="0"/>
              <w:spacing w:before="0" w:after="283"/>
              <w:jc w:val="center"/>
              <w:rPr/>
            </w:pPr>
            <w:r>
              <w:rPr/>
              <w:t>$69,050</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8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bidi w:val="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43162/000119312526115112/lien-20251231.htm" TargetMode="External"/><Relationship Id="rId3" Type="http://schemas.openxmlformats.org/officeDocument/2006/relationships/hyperlink" Target="https://www.sec.gov/ix?doc=/Archives/edgar/data/0001843162/000119312526115112/lien-20251231.htm" TargetMode="External"/><Relationship Id="rId4" Type="http://schemas.openxmlformats.org/officeDocument/2006/relationships/hyperlink" Target="https://www.sec.gov/ix?doc=/Archives/edgar/data/0001843162/000119312526115112/lien-20251231.htm" TargetMode="External"/><Relationship Id="rId5" Type="http://schemas.openxmlformats.org/officeDocument/2006/relationships/hyperlink" Target="https://www.sec.gov/ix?doc=/Archives/edgar/data/0001843162/000119312526115112/lien-20251231.htm" TargetMode="External"/><Relationship Id="rId6" Type="http://schemas.openxmlformats.org/officeDocument/2006/relationships/hyperlink" Target="https://www.sec.gov/ix?doc=/Archives/edgar/data/0001843162/000119312526115112/lien-20251231.htm" TargetMode="External"/><Relationship Id="rId7" Type="http://schemas.openxmlformats.org/officeDocument/2006/relationships/hyperlink" Target="https://www.sec.gov/ix?doc=/Archives/edgar/data/0001843162/000119312526115112/lien-20251231.htm" TargetMode="External"/><Relationship Id="rId8" Type="http://schemas.openxmlformats.org/officeDocument/2006/relationships/hyperlink" Target="https://www.sec.gov/ix?doc=/Archives/edgar/data/0001843162/000119312526115112/lien-20251231.htm" TargetMode="External"/><Relationship Id="rId9" Type="http://schemas.openxmlformats.org/officeDocument/2006/relationships/hyperlink" Target="https://www.sec.gov/ix?doc=/Archives/edgar/data/0001843162/000119312526115112/lien-20251231.htm" TargetMode="External"/><Relationship Id="rId10" Type="http://schemas.openxmlformats.org/officeDocument/2006/relationships/hyperlink" Target="https://www.sec.gov/ix?doc=/Archives/edgar/data/0001843162/000119312526192503/lien-20260429.htm" TargetMode="External"/><Relationship Id="rId11" Type="http://schemas.openxmlformats.org/officeDocument/2006/relationships/hyperlink" Target="https://www.sec.gov/ix?doc=/Archives/edgar/data/0001843162/000119312526192503/lien-20260429.htm" TargetMode="External"/><Relationship Id="rId12" Type="http://schemas.openxmlformats.org/officeDocument/2006/relationships/hyperlink" Target="https://www.sec.gov/ix?doc=/Archives/edgar/data/0001843162/000119312526115112/lien-20251231.htm" TargetMode="External"/><Relationship Id="rId13" Type="http://schemas.openxmlformats.org/officeDocument/2006/relationships/hyperlink" Target="https://www.sec.gov/ix?doc=/Archives/edgar/data/0001843162/000119312526115112/lien-20251231.htm" TargetMode="External"/><Relationship Id="rId14" Type="http://schemas.openxmlformats.org/officeDocument/2006/relationships/hyperlink" Target="https://www.sec.gov/ix?doc=/Archives/edgar/data/0001843162/000119312526115112/lien-20251231.htm" TargetMode="External"/><Relationship Id="rId15" Type="http://schemas.openxmlformats.org/officeDocument/2006/relationships/hyperlink" Target="https://www.sec.gov/ix?doc=/Archives/edgar/data/0001843162/000119312526192503/lien-20260429.htm" TargetMode="External"/><Relationship Id="rId16" Type="http://schemas.openxmlformats.org/officeDocument/2006/relationships/hyperlink" Target="https://www.sec.gov/Archives/edgar/data/1843162/000095010321009570/dp153453_8a12b.htm" TargetMode="External"/><Relationship Id="rId17" Type="http://schemas.openxmlformats.org/officeDocument/2006/relationships/hyperlink" Target="https://www.sec.gov/Archives/edgar/data/1843162/000095010322011767/dp176400_ex0301.htm" TargetMode="External"/><Relationship Id="rId18" Type="http://schemas.openxmlformats.org/officeDocument/2006/relationships/hyperlink" Target="https://www.sec.gov/Archives/edgar/data/1843162/000114036124045703/ef20034548_ex3-2.htm" TargetMode="External"/><Relationship Id="rId19" Type="http://schemas.openxmlformats.org/officeDocument/2006/relationships/hyperlink" Target="https://www.sec.gov/Archives/edgar/data/1843162/000121390025123957/ea027042501ex3-3_chicago.htm" TargetMode="External"/><Relationship Id="rId20" Type="http://schemas.openxmlformats.org/officeDocument/2006/relationships/hyperlink" Target="https://www.sec.gov/Archives/edgar/data/1843162/000095010324014651/dp219097_ex1001.htm" TargetMode="External"/><Relationship Id="rId21" Type="http://schemas.openxmlformats.org/officeDocument/2006/relationships/hyperlink" Target="https://www.sec.gov/Archives/edgar/data/1843162/000095010325002119/dp225007_ex1002.htm" TargetMode="External"/><Relationship Id="rId22" Type="http://schemas.openxmlformats.org/officeDocument/2006/relationships/hyperlink" Target="https://www.sec.gov/Archives/edgar/data/1843162/000095010325002119/dp225007_ex1003.htm" TargetMode="External"/><Relationship Id="rId23" Type="http://schemas.openxmlformats.org/officeDocument/2006/relationships/hyperlink" Target="https://www.sec.gov/Archives/edgar/data/1843162/000095010322011767/dp176400_ex1004.htm" TargetMode="External"/><Relationship Id="rId24" Type="http://schemas.openxmlformats.org/officeDocument/2006/relationships/hyperlink" Target="https://www.sec.gov/Archives/edgar/data/1843162/000095010324014651/dp219097_ex1002.htm" TargetMode="External"/><Relationship Id="rId25" Type="http://schemas.openxmlformats.org/officeDocument/2006/relationships/hyperlink" Target="https://www.sec.gov/Archives/edgar/data/1843162/000095010322011767/dp176400_ex1006.htm" TargetMode="External"/><Relationship Id="rId26" Type="http://schemas.openxmlformats.org/officeDocument/2006/relationships/hyperlink" Target="https://www.sec.gov/Archives/edgar/data/1843162/000095010325002119/dp225007_ex1001.htm" TargetMode="External"/><Relationship Id="rId27" Type="http://schemas.openxmlformats.org/officeDocument/2006/relationships/hyperlink" Target="https://www.sec.gov/Archives/edgar/data/1843162/000119312526115112/lien-ex14_1.htm" TargetMode="External"/><Relationship Id="rId28" Type="http://schemas.openxmlformats.org/officeDocument/2006/relationships/hyperlink" Target="https://www.sec.gov/Archives/edgar/data/1843162/000119312526115112/lien-ex14_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50994</Words>
  <Characters>267753</Characters>
  <CharactersWithSpaces>317920</CharactersWithSpaces>
  <Paragraphs>4192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