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740" w:right="1080" w:hanging="2654"/>
        <w:spacing w:after="0" w:line="328" w:lineRule="auto"/>
        <w:tabs>
          <w:tab w:leader="none" w:pos="1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7" w:lineRule="exact"/>
        <w:rPr>
          <w:sz w:val="24"/>
          <w:szCs w:val="24"/>
          <w:color w:val="auto"/>
        </w:rPr>
      </w:pPr>
    </w:p>
    <w:p>
      <w:pPr>
        <w:ind w:left="4300" w:right="1080" w:hanging="3206"/>
        <w:spacing w:after="0" w:line="360" w:lineRule="auto"/>
        <w:tabs>
          <w:tab w:leader="none" w:pos="14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BDC,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86-2872887</w:t>
            </w:r>
          </w:p>
        </w:tc>
        <w:tc>
          <w:tcPr>
            <w:tcW w:w="0" w:type="dxa"/>
            <w:vAlign w:val="bottom"/>
          </w:tcPr>
          <w:p>
            <w:pPr>
              <w:spacing w:after="0"/>
              <w:rPr>
                <w:sz w:val="1"/>
                <w:szCs w:val="1"/>
                <w:color w:val="auto"/>
              </w:rPr>
            </w:pPr>
          </w:p>
        </w:tc>
      </w:tr>
      <w:tr>
        <w:trPr>
          <w:trHeight w:val="216"/>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9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216"/>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600 Madison Avenue, Suite 1800</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9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10022</w:t>
            </w: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905-4923</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97"/>
        </w:trPr>
        <w:tc>
          <w:tcPr>
            <w:tcW w:w="466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LIEN</w:t>
            </w:r>
          </w:p>
        </w:tc>
        <w:tc>
          <w:tcPr>
            <w:tcW w:w="16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44"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11, 2025, the registrant had 22,820,590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4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CHICAGO ATLANTIC BDC, INC.</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4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6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140" w:type="dxa"/>
            <w:vAlign w:val="bottom"/>
            <w:gridSpan w:val="18"/>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2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140" w:type="dxa"/>
            <w:vAlign w:val="bottom"/>
            <w:gridSpan w:val="18"/>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Assets and Liabilities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Operations</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Changes in Net Assets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Statements of Cash Flows</w:t>
            </w:r>
          </w:p>
        </w:tc>
        <w:tc>
          <w:tcPr>
            <w:tcW w:w="2260" w:type="dxa"/>
            <w:vAlign w:val="bottom"/>
            <w:shd w:val="clear" w:color="auto" w:fill="CFF0FC"/>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Schedule of Investments</w:t>
            </w:r>
          </w:p>
        </w:tc>
        <w:tc>
          <w:tcPr>
            <w:tcW w:w="2260" w:type="dxa"/>
            <w:vAlign w:val="bottom"/>
          </w:tcPr>
          <w:p>
            <w:pPr>
              <w:jc w:val="center"/>
              <w:ind w:left="1170"/>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FF0FC"/>
          </w:tcPr>
          <w:p>
            <w:pPr>
              <w:spacing w:after="0"/>
              <w:rPr>
                <w:sz w:val="15"/>
                <w:szCs w:val="15"/>
                <w:color w:val="auto"/>
              </w:rPr>
            </w:pP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7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40" w:type="dxa"/>
            <w:vAlign w:val="bottom"/>
            <w:gridSpan w:val="18"/>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140" w:type="dxa"/>
            <w:vAlign w:val="bottom"/>
            <w:gridSpan w:val="18"/>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2260" w:type="dxa"/>
            <w:vAlign w:val="bottom"/>
            <w:shd w:val="clear" w:color="auto" w:fill="CCEEFF"/>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40" w:type="dxa"/>
            <w:vAlign w:val="bottom"/>
            <w:gridSpan w:val="18"/>
            <w:shd w:val="clear" w:color="auto" w:fill="CFF0FC"/>
          </w:tcPr>
          <w:p>
            <w:pPr>
              <w:ind w:left="160"/>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40" w:type="dxa"/>
            <w:vAlign w:val="bottom"/>
            <w:gridSpan w:val="18"/>
          </w:tcPr>
          <w:p>
            <w:pPr>
              <w:ind w:left="160"/>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226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1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shd w:val="clear" w:color="auto" w:fill="CFF0FC"/>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1195"/>
        </w:trPr>
        <w:tc>
          <w:tcPr>
            <w:tcW w:w="8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4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7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10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CFF0FC"/>
              <w:bottom w:val="single" w:sz="8" w:color="9A9A9A"/>
            </w:tcBorders>
          </w:tcPr>
          <w:p>
            <w:pPr>
              <w:spacing w:after="0"/>
              <w:rPr>
                <w:sz w:val="24"/>
                <w:szCs w:val="24"/>
                <w:color w:val="auto"/>
              </w:rPr>
            </w:pPr>
          </w:p>
        </w:tc>
        <w:tc>
          <w:tcPr>
            <w:tcW w:w="226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suggests otherwise, the terms “we,” “us,” “our,” “the Company,” and “LIEN” refer to Chicago Atlantic BDC, Inc. In addition, the terms “Adviser,” “investment adviser” and “administrator” refer to Chicago Atlantic BDC Advisers, LLC, our external investment adviser and administrator.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spacing w:after="0" w:line="108"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new U.S. Presidential administration, including the potential impact of tariff enactment and tax reductions, and the risk of recession or a shutdown of government services, which could impact our business prospects and the prospects of our portfolio companies;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distribution projections;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attract and retain highly talented professionals;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our portfolio companies;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we expect to make;</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the timing of our investments in our initial portfolio;</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impacting the cannabis industry;</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benefits anticipated by the Loan Portfolio Acquisition (as defined below).</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annual report on Form 10-K for the fiscal year ended December 31, 2024 and elsewhere in this quarterly report on Form 10-Q. Other factors that could cause actual results to differ materially include:</w:t>
      </w:r>
    </w:p>
    <w:p>
      <w:pPr>
        <w:spacing w:after="0" w:line="12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potential disruptions in our operations, the economy, financial markets or political environment;</w:t>
      </w:r>
    </w:p>
    <w:p>
      <w:pPr>
        <w:spacing w:after="0" w:line="1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our operations or the economy generally due to terrorism, natural disasters, the conflicts between Russia and Ukraine and in the Middle East, and the potential for volatility in energy prices and other commodities and their impact on the industries in which we invest;</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and cybersecurity attacks;</w:t>
      </w:r>
    </w:p>
    <w:p>
      <w:pPr>
        <w:spacing w:after="0" w:line="10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considerations that may be disclosed from time to time in our publicly disseminated documents and filings.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Non-control/non-affiliate investments at fair value (amortized cost of $310,270,261 and $274,346,711,</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20" w:type="dxa"/>
            <w:vAlign w:val="bottom"/>
            <w:shd w:val="clear" w:color="auto" w:fill="CFF0FC"/>
          </w:tcPr>
          <w:p>
            <w:pPr>
              <w:spacing w:after="0"/>
              <w:rPr>
                <w:sz w:val="18"/>
                <w:szCs w:val="18"/>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10,462,366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23,932,406</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3,653,641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3,582,610</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321,108</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from affiliates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669,753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2,361,019</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Receivable for investment sold</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4,122,500</w:t>
            </w:r>
          </w:p>
        </w:tc>
        <w:tc>
          <w:tcPr>
            <w:tcW w:w="120" w:type="dxa"/>
            <w:vAlign w:val="bottom"/>
          </w:tcPr>
          <w:p>
            <w:pPr>
              <w:spacing w:after="0"/>
              <w:rPr>
                <w:sz w:val="17"/>
                <w:szCs w:val="17"/>
                <w:color w:val="auto"/>
              </w:rPr>
            </w:pPr>
          </w:p>
        </w:tc>
      </w:tr>
      <w:tr>
        <w:trPr>
          <w:trHeight w:val="196"/>
        </w:trPr>
        <w:tc>
          <w:tcPr>
            <w:tcW w:w="7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327,253,579</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309,561,041</w:t>
            </w:r>
          </w:p>
        </w:tc>
        <w:tc>
          <w:tcPr>
            <w:tcW w:w="120" w:type="dxa"/>
            <w:vAlign w:val="bottom"/>
            <w:shd w:val="clear" w:color="auto" w:fill="CFF0FC"/>
          </w:tcPr>
          <w:p>
            <w:pPr>
              <w:spacing w:after="0"/>
              <w:rPr>
                <w:sz w:val="17"/>
                <w:szCs w:val="17"/>
                <w:color w:val="auto"/>
              </w:rPr>
            </w:pPr>
          </w:p>
        </w:tc>
      </w:tr>
      <w:tr>
        <w:trPr>
          <w:trHeight w:val="395"/>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0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line of credit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11,000,000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payable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2,347,474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1,998,945</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 payable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1,399,845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758,362</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985,882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905,129</w:t>
            </w:r>
          </w:p>
        </w:tc>
        <w:tc>
          <w:tcPr>
            <w:tcW w:w="120" w:type="dxa"/>
            <w:vAlign w:val="bottom"/>
            <w:shd w:val="clear" w:color="auto" w:fill="CFF0FC"/>
          </w:tcPr>
          <w:p>
            <w:pPr>
              <w:spacing w:after="0"/>
              <w:rPr>
                <w:sz w:val="17"/>
                <w:szCs w:val="17"/>
                <w:color w:val="auto"/>
              </w:rPr>
            </w:pPr>
          </w:p>
        </w:tc>
      </w:tr>
      <w:tr>
        <w:trPr>
          <w:trHeight w:val="202"/>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 payable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458,809</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46,219</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121,887</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Unearned interest income</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15,499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37,752</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Transaction fees payable related to the Loan Portfolio Acquisition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2,945,125</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Offering costs payable</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989,645</w:t>
            </w:r>
          </w:p>
        </w:tc>
        <w:tc>
          <w:tcPr>
            <w:tcW w:w="12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Excise tax payable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88,709</w:t>
            </w:r>
          </w:p>
        </w:tc>
        <w:tc>
          <w:tcPr>
            <w:tcW w:w="120" w:type="dxa"/>
            <w:vAlign w:val="bottom"/>
          </w:tcPr>
          <w:p>
            <w:pPr>
              <w:spacing w:after="0"/>
              <w:rPr>
                <w:sz w:val="17"/>
                <w:szCs w:val="17"/>
                <w:color w:val="auto"/>
              </w:rPr>
            </w:pPr>
          </w:p>
        </w:tc>
      </w:tr>
      <w:tr>
        <w:trPr>
          <w:trHeight w:val="203"/>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costs payable</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47,881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24,333,000</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8,398,463</w:t>
            </w:r>
          </w:p>
        </w:tc>
        <w:tc>
          <w:tcPr>
            <w:tcW w:w="120" w:type="dxa"/>
            <w:vAlign w:val="bottom"/>
          </w:tcPr>
          <w:p>
            <w:pPr>
              <w:spacing w:after="0"/>
              <w:rPr>
                <w:sz w:val="17"/>
                <w:szCs w:val="17"/>
                <w:color w:val="auto"/>
              </w:rPr>
            </w:pPr>
          </w:p>
        </w:tc>
      </w:tr>
      <w:tr>
        <w:trPr>
          <w:trHeight w:val="196"/>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402"/>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$0.01 par value, 100,000,000 shares authorized, 22,820,590 and 22,820,386 shares issued and</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respectively</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228,206</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228,204</w:t>
            </w:r>
          </w:p>
        </w:tc>
        <w:tc>
          <w:tcPr>
            <w:tcW w:w="120" w:type="dxa"/>
            <w:vAlign w:val="bottom"/>
            <w:shd w:val="clear" w:color="auto" w:fill="CFF0FC"/>
          </w:tcPr>
          <w:p>
            <w:pPr>
              <w:spacing w:after="0"/>
              <w:rPr>
                <w:sz w:val="18"/>
                <w:szCs w:val="18"/>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303,154,218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303,272,034</w:t>
            </w:r>
          </w:p>
        </w:tc>
        <w:tc>
          <w:tcPr>
            <w:tcW w:w="12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Distributable earnings (Accumulated loss)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(461,845)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(2,337,660)</w:t>
            </w:r>
          </w:p>
        </w:tc>
      </w:tr>
      <w:tr>
        <w:trPr>
          <w:trHeight w:val="20"/>
        </w:trPr>
        <w:tc>
          <w:tcPr>
            <w:tcW w:w="7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302,920,579</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301,162,578</w:t>
            </w:r>
          </w:p>
        </w:tc>
        <w:tc>
          <w:tcPr>
            <w:tcW w:w="12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shd w:val="clear" w:color="auto" w:fill="CFF0FC"/>
          </w:tcPr>
          <w:p>
            <w:pPr>
              <w:spacing w:after="0"/>
              <w:rPr>
                <w:sz w:val="18"/>
                <w:szCs w:val="18"/>
                <w:color w:val="auto"/>
              </w:rPr>
            </w:pP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-3411220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-3411220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-1473835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180"/>
        </w:trPr>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5"/>
                <w:szCs w:val="15"/>
                <w:color w:val="auto"/>
              </w:rPr>
            </w:pPr>
          </w:p>
        </w:tc>
        <w:tc>
          <w:tcPr>
            <w:tcW w:w="1280" w:type="dxa"/>
            <w:vAlign w:val="bottom"/>
            <w:gridSpan w:val="2"/>
          </w:tcPr>
          <w:p>
            <w:pPr>
              <w:jc w:val="right"/>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20" w:type="dxa"/>
            <w:vAlign w:val="bottom"/>
            <w:gridSpan w:val="2"/>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Non-control/non-affiliate investment income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13,826,674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2,686,771</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37,012,196</w:t>
            </w:r>
          </w:p>
        </w:tc>
        <w:tc>
          <w:tcPr>
            <w:tcW w:w="3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8,203,601</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Fee income</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1,243,929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489,176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3,061,447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813,926</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15,070,603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3,175,947</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40,073,643</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9,017,527</w:t>
            </w:r>
          </w:p>
        </w:tc>
        <w:tc>
          <w:tcPr>
            <w:tcW w:w="0" w:type="dxa"/>
            <w:vAlign w:val="bottom"/>
          </w:tcPr>
          <w:p>
            <w:pPr>
              <w:spacing w:after="0"/>
              <w:rPr>
                <w:sz w:val="1"/>
                <w:szCs w:val="1"/>
                <w:color w:val="auto"/>
              </w:rPr>
            </w:pPr>
          </w:p>
        </w:tc>
      </w:tr>
      <w:tr>
        <w:trPr>
          <w:trHeight w:val="396"/>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2,347,473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6,232,387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328,503</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1,399,845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253,421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4,006,051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745,876</w:t>
            </w: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1,082,419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3,423,679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338,515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785,156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Professional fees</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199,939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120,762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691,525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240,898</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Legal expenses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103,733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667,798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200,073</w:t>
            </w: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Audit expense</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153,750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95,675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497,502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299,225</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157,903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107,485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472,042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306,643</w:t>
            </w: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Sub-administrator fees</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154,939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98,489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441,529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298,132</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45,707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37,465</w:t>
            </w: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Excise tax expense</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2,797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31,314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2,797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31,314</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Transaction expenses related to the Loan Portfolio Acquisition</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2,429,993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5,069,062</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5,809,901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3,161,435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17,266,173</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7,557,191</w:t>
            </w:r>
          </w:p>
        </w:tc>
        <w:tc>
          <w:tcPr>
            <w:tcW w:w="0" w:type="dxa"/>
            <w:vAlign w:val="bottom"/>
          </w:tcPr>
          <w:p>
            <w:pPr>
              <w:spacing w:after="0"/>
              <w:rPr>
                <w:sz w:val="1"/>
                <w:szCs w:val="1"/>
                <w:color w:val="auto"/>
              </w:rPr>
            </w:pPr>
          </w:p>
        </w:tc>
      </w:tr>
      <w:tr>
        <w:trPr>
          <w:trHeight w:val="196"/>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Waiver of General and administrative expense (Note 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(658,477)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Expense limitation agreement (Note 6)</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(230,419)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(1,338,202)</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5,579,482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3,161,435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15,269,494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7,557,191</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9,491,121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14,512</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24,804,149</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1,460,336</w:t>
            </w:r>
          </w:p>
        </w:tc>
        <w:tc>
          <w:tcPr>
            <w:tcW w:w="0" w:type="dxa"/>
            <w:vAlign w:val="bottom"/>
          </w:tcPr>
          <w:p>
            <w:pPr>
              <w:spacing w:after="0"/>
              <w:rPr>
                <w:sz w:val="1"/>
                <w:szCs w:val="1"/>
                <w:color w:val="auto"/>
              </w:rPr>
            </w:pPr>
          </w:p>
        </w:tc>
      </w:tr>
      <w:tr>
        <w:trPr>
          <w:trHeight w:val="395"/>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GAIN (LOSS) FROM INVESTMENTS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Non-controlled non-affiliate investments</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gain (loss) from investments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 (DEPRECIATION)</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ON INVESTMENTS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Non-controlled non-affiliate investments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(657,060)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(179,524)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228,534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187,324</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 (depreciation) on investments</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(657,060)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(179,524)</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228,534</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187,324</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and unrealized gains (losses)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(657,060)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(179,524)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228,534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187,324</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8,834,061</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(165,012)</w:t>
            </w:r>
          </w:p>
        </w:tc>
        <w:tc>
          <w:tcPr>
            <w:tcW w:w="40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25,032,683</w:t>
            </w:r>
          </w:p>
        </w:tc>
        <w:tc>
          <w:tcPr>
            <w:tcW w:w="360" w:type="dxa"/>
            <w:vAlign w:val="bottom"/>
            <w:gridSpan w:val="2"/>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1,647,660</w:t>
            </w:r>
          </w:p>
        </w:tc>
        <w:tc>
          <w:tcPr>
            <w:tcW w:w="0" w:type="dxa"/>
            <w:vAlign w:val="bottom"/>
          </w:tcPr>
          <w:p>
            <w:pPr>
              <w:spacing w:after="0"/>
              <w:rPr>
                <w:sz w:val="1"/>
                <w:szCs w:val="1"/>
                <w:color w:val="auto"/>
              </w:rPr>
            </w:pPr>
          </w:p>
        </w:tc>
      </w:tr>
      <w:tr>
        <w:trPr>
          <w:trHeight w:val="218"/>
        </w:trPr>
        <w:tc>
          <w:tcPr>
            <w:tcW w:w="53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OPERATIONS</w:t>
            </w:r>
          </w:p>
        </w:tc>
        <w:tc>
          <w:tcPr>
            <w:tcW w:w="280" w:type="dxa"/>
            <w:vAlign w:val="bottom"/>
            <w:gridSpan w:val="2"/>
            <w:vMerge w:val="continue"/>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4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 PER SHARE - BASIC AND</w:t>
            </w:r>
          </w:p>
        </w:tc>
        <w:tc>
          <w:tcPr>
            <w:tcW w:w="18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7"/>
              </w:rPr>
              <w:t>(1)</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5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9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OPERATIONS PER SHARE - BASIC AND DILUTED</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3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 BASIC AND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22,820,568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6,214,965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22,820,454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6,214,952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-5104765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-5104765</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-5104765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-3158490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-3158490</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-3158490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-2893060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-2893060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-2893060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-2618740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-2618740</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-2618740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-2224405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-2224405</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-2224405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-1426845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-1426845</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-1426845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-921385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-904240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-921385</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-904240</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-921385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-904240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160" w:hanging="152"/>
        <w:spacing w:after="0" w:line="218" w:lineRule="auto"/>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less than $0.0005 per share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Distributable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2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22,820,408</w:t>
            </w: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303,152,264</w:t>
            </w:r>
          </w:p>
        </w:tc>
        <w:tc>
          <w:tcPr>
            <w:tcW w:w="16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(1,536,905)</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301,843,563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9,491,121</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9,491,121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12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(657,060)</w:t>
            </w:r>
          </w:p>
        </w:tc>
        <w:tc>
          <w:tcPr>
            <w:tcW w:w="1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(657,060)</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260" w:type="dxa"/>
            <w:vAlign w:val="bottom"/>
            <w:tcBorders>
              <w:right w:val="single" w:sz="8" w:color="CFF0FC"/>
            </w:tcBorders>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80" w:type="dxa"/>
            <w:vAlign w:val="bottom"/>
            <w:tcBorders>
              <w:top w:val="single" w:sz="8" w:color="CFF0FC"/>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resulting from</w:t>
            </w:r>
          </w:p>
        </w:tc>
        <w:tc>
          <w:tcPr>
            <w:tcW w:w="12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1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income-net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(7,759,001)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(7,759,001)</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Capital transactions</w:t>
            </w:r>
          </w:p>
        </w:tc>
        <w:tc>
          <w:tcPr>
            <w:tcW w:w="1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Reinvestment of stockholder distributions</w:t>
            </w: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left w:val="single" w:sz="8" w:color="CFF0FC"/>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8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from capital</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w:t>
            </w: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left w:val="single" w:sz="8" w:color="CFF0FC"/>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1,075,060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1,077,016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22,820,590</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228,206</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303,154,218</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(461,845)</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302,920,579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Distributable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6,214,964</w:t>
            </w: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85,030,784</w:t>
            </w:r>
          </w:p>
        </w:tc>
        <w:tc>
          <w:tcPr>
            <w:tcW w:w="16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(834,860)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84,258,073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12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(179,524)</w:t>
            </w:r>
          </w:p>
        </w:tc>
        <w:tc>
          <w:tcPr>
            <w:tcW w:w="1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(179,524)</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260" w:type="dxa"/>
            <w:vAlign w:val="bottom"/>
            <w:tcBorders>
              <w:right w:val="single" w:sz="8" w:color="CFF0FC"/>
            </w:tcBorders>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80" w:type="dxa"/>
            <w:vAlign w:val="bottom"/>
            <w:tcBorders>
              <w:top w:val="single" w:sz="8" w:color="CFF0FC"/>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resulting from</w:t>
            </w:r>
          </w:p>
        </w:tc>
        <w:tc>
          <w:tcPr>
            <w:tcW w:w="12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(165,012)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(165,012)</w:t>
            </w: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1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income-net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(1,553,741)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(1,553,741)</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Capital transactions</w:t>
            </w:r>
          </w:p>
        </w:tc>
        <w:tc>
          <w:tcPr>
            <w:tcW w:w="1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Reinvestment of stockholder distributions</w:t>
            </w: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left w:val="single" w:sz="8" w:color="CFF0FC"/>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8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increase (decrease) in net assets from capital</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w:t>
            </w: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(1,718,753)</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(1,718,431)</w:t>
            </w: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6,214,995</w:t>
            </w:r>
          </w:p>
        </w:tc>
        <w:tc>
          <w:tcPr>
            <w:tcW w:w="22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85,031,106</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(2,553,613)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82,539,642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-4491355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-4491355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-4491355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-4491355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-3582670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-3582670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-3582670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-3582670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-3188335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-3188335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-3188335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-3188335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-1464945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-1464945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-1464945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-1464945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-556895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-556895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-556895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-556895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-161925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-161925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-161925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Distributable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22,820,386</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228,204</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303,272,034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(2,337,660)</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301,162,578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24,804,149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24,804,149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228,534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investments</w:t>
            </w: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net increase (decrease) in net assets resulting from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25,032,683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25,032,683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income-net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(23,276,871)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(23,276,871)</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Capital transactions</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Reinvestment of stockholder distributions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2,187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net increase (decrease) in net assets from capital transactions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2,187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1,755,812</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1,758,001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Effect of permanent adjustments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(120,003)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22,820,590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228,206</w:t>
            </w:r>
          </w:p>
        </w:tc>
        <w:tc>
          <w:tcPr>
            <w:tcW w:w="220" w:type="dxa"/>
            <w:vAlign w:val="bottom"/>
            <w:gridSpan w:val="2"/>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303,154,218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(461,845)</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302,920,579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Distributable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6,214,941</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85,041,203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449,266</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85,552,618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1,460,336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1,460,336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187,324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investments</w:t>
            </w: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net increase (decrease) in net assets resulting from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1,647,660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Distributions to stockholders from:</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income-net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(4,661,215)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(4,661,215)</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Capital transactions</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Reinvestment of stockholder distributions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net increase (decrease) in net assets from capital transactions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(3,013,555)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(3,012,976)</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Effect of permanent adjustments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6,214,995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85,031,106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(2,553,613)</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82,539,642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-4268470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-4268470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-4268470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-4268470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-3488055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-3488055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-3488055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-3488055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-3213735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-3213735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-3213735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-3213735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-2939415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-2922270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-2939415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-2922270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-2939415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-2922270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-2939415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-2922270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-1353820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-1353820</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-1353820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-1353820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-573405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-573405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-573405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-573405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-299720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-299720</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-299720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-299720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2"/>
        </w:trPr>
        <w:tc>
          <w:tcPr>
            <w:tcW w:w="6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7"/>
                <w:szCs w:val="17"/>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25,032,683</w:t>
            </w:r>
          </w:p>
        </w:tc>
        <w:tc>
          <w:tcPr>
            <w:tcW w:w="16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1,647,660</w:t>
            </w:r>
          </w:p>
        </w:tc>
        <w:tc>
          <w:tcPr>
            <w:tcW w:w="120" w:type="dxa"/>
            <w:vAlign w:val="bottom"/>
          </w:tcPr>
          <w:p>
            <w:pPr>
              <w:spacing w:after="0"/>
              <w:rPr>
                <w:sz w:val="17"/>
                <w:szCs w:val="17"/>
                <w:color w:val="auto"/>
              </w:rPr>
            </w:pPr>
          </w:p>
        </w:tc>
      </w:tr>
      <w:tr>
        <w:trPr>
          <w:trHeight w:val="189"/>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increase (decrease) in net assets resulting from</w:t>
            </w: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operations to net cash provided by (used in) operating activities:</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 investments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(228,534)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(187,324)</w:t>
            </w: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(accretion of discounts) and amortization of premiums</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(2,105,692)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(501,303)</w:t>
            </w: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of investments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(124,909,502)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(5,141,250)</w:t>
            </w: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PIK interest capitalized</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(1,499,341)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(182,634)</w:t>
            </w: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sales of investments and principal repayments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92,590,985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4,344,000</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426,745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(Increase) Decrease in operating assets: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Interest receivable</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(71,031)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119,417</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 for investment sold</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4,122,500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Due from affiliates</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1,691,266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(64,278)</w:t>
            </w: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receivable</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(401,313)</w:t>
            </w: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Paydown receivable</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(21,000)</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Increase (Decrease) in operating liabilities:</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(1,511,253)</w:t>
            </w: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Management fee payable</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641,483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(3,700)</w:t>
            </w: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Professional fees payable</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(12,784)</w:t>
            </w: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Transaction fees payable related to the Loan Portfolio Acquisition</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(2,945,125)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4,084,285</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payables</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134,392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10,474</w:t>
            </w: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Due to affiliates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51,142</w:t>
            </w: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Excise tax payable</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(88,709)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(10,655)</w:t>
            </w:r>
          </w:p>
        </w:tc>
      </w:tr>
      <w:tr>
        <w:trPr>
          <w:trHeight w:val="203"/>
        </w:trPr>
        <w:tc>
          <w:tcPr>
            <w:tcW w:w="6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Unearned interest income</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(22,253)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42,550</w:t>
            </w:r>
          </w:p>
        </w:tc>
        <w:tc>
          <w:tcPr>
            <w:tcW w:w="120" w:type="dxa"/>
            <w:vAlign w:val="bottom"/>
          </w:tcPr>
          <w:p>
            <w:pPr>
              <w:spacing w:after="0"/>
              <w:rPr>
                <w:sz w:val="17"/>
                <w:szCs w:val="17"/>
                <w:color w:val="auto"/>
              </w:rPr>
            </w:pPr>
          </w:p>
        </w:tc>
      </w:tr>
      <w:tr>
        <w:trPr>
          <w:trHeight w:val="203"/>
        </w:trPr>
        <w:tc>
          <w:tcPr>
            <w:tcW w:w="63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Payable for investments purchased</w:t>
            </w:r>
          </w:p>
        </w:tc>
        <w:tc>
          <w:tcPr>
            <w:tcW w:w="1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(6,709,117)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2,299,499</w:t>
            </w:r>
          </w:p>
        </w:tc>
        <w:tc>
          <w:tcPr>
            <w:tcW w:w="120" w:type="dxa"/>
            <w:vAlign w:val="bottom"/>
          </w:tcPr>
          <w:p>
            <w:pPr>
              <w:spacing w:after="0"/>
              <w:rPr>
                <w:sz w:val="17"/>
                <w:szCs w:val="17"/>
                <w:color w:val="auto"/>
              </w:rPr>
            </w:pPr>
          </w:p>
        </w:tc>
      </w:tr>
      <w:tr>
        <w:trPr>
          <w:trHeight w:val="196"/>
        </w:trPr>
        <w:tc>
          <w:tcPr>
            <w:tcW w:w="6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Offering costs paid</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(1,090,931)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(138,933)</w:t>
            </w:r>
          </w:p>
        </w:tc>
      </w:tr>
      <w:tr>
        <w:trPr>
          <w:trHeight w:val="203"/>
        </w:trPr>
        <w:tc>
          <w:tcPr>
            <w:tcW w:w="6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Distributions paid</w:t>
            </w: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(15,515,682)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(4,660,638)</w:t>
            </w:r>
          </w:p>
        </w:tc>
      </w:tr>
      <w:tr>
        <w:trPr>
          <w:trHeight w:val="203"/>
        </w:trPr>
        <w:tc>
          <w:tcPr>
            <w:tcW w:w="6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Financing costs paid</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(1,154,310)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2"/>
        </w:trPr>
        <w:tc>
          <w:tcPr>
            <w:tcW w:w="63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Proceeds from borrowings on revolving line of credit</w:t>
            </w:r>
          </w:p>
        </w:tc>
        <w:tc>
          <w:tcPr>
            <w:tcW w:w="1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11,000,000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(6,760,923)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(4,799,571)</w:t>
            </w:r>
          </w:p>
        </w:tc>
      </w:tr>
      <w:tr>
        <w:trPr>
          <w:trHeight w:val="20"/>
        </w:trPr>
        <w:tc>
          <w:tcPr>
            <w:tcW w:w="6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-1062355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-145415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-145415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(13,470,040)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(2,500,072)</w:t>
            </w:r>
          </w:p>
        </w:tc>
      </w:tr>
      <w:tr>
        <w:trPr>
          <w:trHeight w:val="210"/>
        </w:trPr>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23,932,406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32,611,635</w:t>
            </w:r>
          </w:p>
        </w:tc>
        <w:tc>
          <w:tcPr>
            <w:tcW w:w="60" w:type="dxa"/>
            <w:vAlign w:val="bottom"/>
          </w:tcPr>
          <w:p>
            <w:pPr>
              <w:spacing w:after="0"/>
              <w:rPr>
                <w:sz w:val="18"/>
                <w:szCs w:val="18"/>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10,462,366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30,111,563</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-419735</wp:posOffset>
            </wp:positionV>
            <wp:extent cx="713232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-153670</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6920" w:space="720"/>
            <w:col w:w="36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5"/>
        </w:trPr>
        <w:tc>
          <w:tcPr>
            <w:tcW w:w="5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Excise taxes paid</w:t>
            </w:r>
          </w:p>
        </w:tc>
        <w:tc>
          <w:tcPr>
            <w:tcW w:w="2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115,357</w:t>
            </w:r>
          </w:p>
        </w:tc>
        <w:tc>
          <w:tcPr>
            <w:tcW w:w="7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operating, financing and investing activity</w:t>
            </w: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5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Reinvestment of dividend distribution</w:t>
            </w:r>
          </w:p>
        </w:tc>
        <w:tc>
          <w:tcPr>
            <w:tcW w:w="2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2,189</w:t>
            </w:r>
          </w:p>
        </w:tc>
        <w:tc>
          <w:tcPr>
            <w:tcW w:w="7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579</w:t>
            </w:r>
          </w:p>
        </w:tc>
      </w:tr>
      <w:tr>
        <w:trPr>
          <w:trHeight w:val="203"/>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Accrual for deferred financing costs (Note 2)</w:t>
            </w:r>
          </w:p>
        </w:tc>
        <w:tc>
          <w:tcPr>
            <w:tcW w:w="2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1,106,429</w:t>
            </w:r>
          </w:p>
        </w:tc>
        <w:tc>
          <w:tcPr>
            <w:tcW w:w="7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41,061</w:t>
            </w:r>
          </w:p>
        </w:tc>
      </w:tr>
      <w:tr>
        <w:trPr>
          <w:trHeight w:val="203"/>
        </w:trPr>
        <w:tc>
          <w:tcPr>
            <w:tcW w:w="5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Accrual for deferred offering costs (Note 2)</w:t>
            </w:r>
          </w:p>
        </w:tc>
        <w:tc>
          <w:tcPr>
            <w:tcW w:w="2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101,286</w:t>
            </w:r>
          </w:p>
        </w:tc>
        <w:tc>
          <w:tcPr>
            <w:tcW w:w="7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1,127,739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9"/>
                <w:szCs w:val="9"/>
                <w:color w:val="auto"/>
              </w:rPr>
            </w:pPr>
          </w:p>
        </w:tc>
        <w:tc>
          <w:tcPr>
            <w:tcW w:w="800" w:type="dxa"/>
            <w:vAlign w:val="bottom"/>
            <w:gridSpan w:val="2"/>
          </w:tcPr>
          <w:p>
            <w:pPr>
              <w:jc w:val="right"/>
              <w:ind w:right="420"/>
              <w:spacing w:after="0" w:line="111" w:lineRule="exact"/>
              <w:rPr>
                <w:sz w:val="20"/>
                <w:szCs w:val="20"/>
                <w:color w:val="auto"/>
              </w:rPr>
            </w:pPr>
            <w:r>
              <w:rPr>
                <w:rFonts w:ascii="Times New Roman" w:cs="Times New Roman" w:eastAsia="Times New Roman" w:hAnsi="Times New Roman"/>
                <w:sz w:val="11"/>
                <w:szCs w:val="11"/>
                <w:b w:val="1"/>
                <w:bCs w:val="1"/>
                <w:color w:val="auto"/>
              </w:rPr>
              <w:t>All in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xml:space="preserve">Benchmark </w:t>
            </w:r>
            <w:r>
              <w:rPr>
                <w:rFonts w:ascii="Times New Roman" w:cs="Times New Roman" w:eastAsia="Times New Roman" w:hAnsi="Times New Roman"/>
                <w:sz w:val="14"/>
                <w:szCs w:val="14"/>
                <w:b w:val="1"/>
                <w:bCs w:val="1"/>
                <w:color w:val="auto"/>
                <w:w w:val="96"/>
                <w:vertAlign w:val="superscript"/>
              </w:rPr>
              <w:t>(3)</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24"/>
              <w:spacing w:after="0"/>
              <w:rPr>
                <w:sz w:val="20"/>
                <w:szCs w:val="20"/>
                <w:color w:val="auto"/>
              </w:rPr>
            </w:pPr>
            <w:r>
              <w:rPr>
                <w:rFonts w:ascii="Times New Roman" w:cs="Times New Roman" w:eastAsia="Times New Roman" w:hAnsi="Times New Roman"/>
                <w:sz w:val="21"/>
                <w:szCs w:val="21"/>
                <w:b w:val="1"/>
                <w:bCs w:val="1"/>
                <w:color w:val="auto"/>
                <w:w w:val="94"/>
                <w:vertAlign w:val="subscript"/>
              </w:rPr>
              <w:t>Par</w:t>
            </w:r>
            <w:r>
              <w:rPr>
                <w:rFonts w:ascii="Times New Roman" w:cs="Times New Roman" w:eastAsia="Times New Roman" w:hAnsi="Times New Roman"/>
                <w:sz w:val="7"/>
                <w:szCs w:val="7"/>
                <w:b w:val="1"/>
                <w:bCs w:val="1"/>
                <w:color w:val="auto"/>
                <w:w w:val="94"/>
              </w:rPr>
              <w:t xml:space="preserve"> (2)</w:t>
            </w:r>
          </w:p>
        </w:tc>
        <w:tc>
          <w:tcPr>
            <w:tcW w:w="22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5"/>
              </w:rPr>
              <w:t>Amortize</w:t>
            </w:r>
          </w:p>
        </w:tc>
        <w:tc>
          <w:tcPr>
            <w:tcW w:w="220" w:type="dxa"/>
            <w:vAlign w:val="bottom"/>
          </w:tcPr>
          <w:p>
            <w:pPr>
              <w:spacing w:after="0"/>
              <w:rPr>
                <w:sz w:val="9"/>
                <w:szCs w:val="9"/>
                <w:color w:val="auto"/>
              </w:rPr>
            </w:pPr>
          </w:p>
        </w:tc>
        <w:tc>
          <w:tcPr>
            <w:tcW w:w="540" w:type="dxa"/>
            <w:vAlign w:val="bottom"/>
          </w:tcPr>
          <w:p>
            <w:pPr>
              <w:jc w:val="right"/>
              <w:ind w:right="12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00" w:type="dxa"/>
            <w:vAlign w:val="bottom"/>
          </w:tcPr>
          <w:p>
            <w:pPr>
              <w:spacing w:after="0"/>
              <w:rPr>
                <w:sz w:val="9"/>
                <w:szCs w:val="9"/>
                <w:color w:val="auto"/>
              </w:rPr>
            </w:pP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540" w:type="dxa"/>
            <w:vAlign w:val="bottom"/>
            <w:gridSpan w:val="9"/>
          </w:tcPr>
          <w:p>
            <w:pPr>
              <w:ind w:left="3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Pr>
          <w:p>
            <w:pPr>
              <w:spacing w:after="0"/>
              <w:rPr>
                <w:sz w:val="12"/>
                <w:szCs w:val="12"/>
                <w:color w:val="auto"/>
              </w:rPr>
            </w:pP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Type</w:t>
            </w:r>
          </w:p>
        </w:tc>
        <w:tc>
          <w:tcPr>
            <w:tcW w:w="140" w:type="dxa"/>
            <w:vAlign w:val="bottom"/>
          </w:tcPr>
          <w:p>
            <w:pPr>
              <w:spacing w:after="0"/>
              <w:rPr>
                <w:sz w:val="12"/>
                <w:szCs w:val="12"/>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PIK</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1"/>
                <w:szCs w:val="11"/>
                <w:b w:val="1"/>
                <w:bCs w:val="1"/>
                <w:color w:val="auto"/>
                <w:w w:val="87"/>
              </w:rPr>
              <w:t>d Cost</w:t>
            </w:r>
            <w:r>
              <w:rPr>
                <w:rFonts w:ascii="Times New Roman" w:cs="Times New Roman" w:eastAsia="Times New Roman" w:hAnsi="Times New Roman"/>
                <w:sz w:val="14"/>
                <w:szCs w:val="14"/>
                <w:b w:val="1"/>
                <w:bCs w:val="1"/>
                <w:color w:val="auto"/>
                <w:w w:val="87"/>
                <w:vertAlign w:val="superscript"/>
              </w:rPr>
              <w:t>(15)</w:t>
            </w:r>
          </w:p>
        </w:tc>
        <w:tc>
          <w:tcPr>
            <w:tcW w:w="220" w:type="dxa"/>
            <w:vAlign w:val="bottom"/>
          </w:tcPr>
          <w:p>
            <w:pPr>
              <w:spacing w:after="0"/>
              <w:rPr>
                <w:sz w:val="12"/>
                <w:szCs w:val="12"/>
                <w:color w:val="auto"/>
              </w:rPr>
            </w:pPr>
          </w:p>
        </w:tc>
        <w:tc>
          <w:tcPr>
            <w:tcW w:w="540" w:type="dxa"/>
            <w:vAlign w:val="bottom"/>
          </w:tcPr>
          <w:p>
            <w:pPr>
              <w:jc w:val="right"/>
              <w:ind w:right="46"/>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2"/>
        </w:trPr>
        <w:tc>
          <w:tcPr>
            <w:tcW w:w="1540" w:type="dxa"/>
            <w:vAlign w:val="bottom"/>
            <w:tcBorders>
              <w:top w:val="single" w:sz="8" w:color="auto"/>
            </w:tcBorders>
            <w:gridSpan w:val="9"/>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Investments at Fair Value</w:t>
            </w:r>
          </w:p>
        </w:tc>
        <w:tc>
          <w:tcPr>
            <w:tcW w:w="120" w:type="dxa"/>
            <w:vAlign w:val="bottom"/>
            <w:shd w:val="clear" w:color="auto" w:fill="CFF0FC"/>
          </w:tcPr>
          <w:p>
            <w:pPr>
              <w:spacing w:after="0"/>
              <w:rPr>
                <w:sz w:val="8"/>
                <w:szCs w:val="8"/>
                <w:color w:val="auto"/>
              </w:rPr>
            </w:pPr>
          </w:p>
        </w:tc>
        <w:tc>
          <w:tcPr>
            <w:tcW w:w="116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200" w:type="dxa"/>
            <w:vAlign w:val="bottom"/>
            <w:tcBorders>
              <w:top w:val="single" w:sz="8" w:color="auto"/>
            </w:tcBorders>
            <w:gridSpan w:val="7"/>
            <w:shd w:val="clear" w:color="auto" w:fill="CFF0FC"/>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w w:val="94"/>
              </w:rPr>
              <w:t>US Corporate Debt First</w:t>
            </w:r>
          </w:p>
        </w:tc>
        <w:tc>
          <w:tcPr>
            <w:tcW w:w="340" w:type="dxa"/>
            <w:vAlign w:val="bottom"/>
            <w:tcBorders>
              <w:top w:val="single" w:sz="8" w:color="CFF0FC"/>
            </w:tcBorders>
            <w:gridSpan w:val="2"/>
            <w:shd w:val="clear" w:color="auto" w:fill="CFF0FC"/>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Lien</w:t>
            </w:r>
          </w:p>
        </w:tc>
        <w:tc>
          <w:tcPr>
            <w:tcW w:w="120" w:type="dxa"/>
            <w:vAlign w:val="bottom"/>
            <w:tcBorders>
              <w:top w:val="single" w:sz="8" w:color="CFF0FC"/>
            </w:tcBorders>
            <w:shd w:val="clear" w:color="auto" w:fill="CFF0FC"/>
          </w:tcPr>
          <w:p>
            <w:pPr>
              <w:spacing w:after="0"/>
              <w:rPr>
                <w:sz w:val="8"/>
                <w:szCs w:val="8"/>
                <w:color w:val="auto"/>
              </w:rPr>
            </w:pPr>
          </w:p>
        </w:tc>
        <w:tc>
          <w:tcPr>
            <w:tcW w:w="11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500" w:type="dxa"/>
            <w:vAlign w:val="bottom"/>
            <w:tcBorders>
              <w:top w:val="single" w:sz="8" w:color="auto"/>
            </w:tcBorders>
            <w:gridSpan w:val="8"/>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Senior Secured</w:t>
            </w:r>
          </w:p>
        </w:tc>
        <w:tc>
          <w:tcPr>
            <w:tcW w:w="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1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700" w:type="dxa"/>
            <w:vAlign w:val="bottom"/>
            <w:tcBorders>
              <w:top w:val="single" w:sz="8" w:color="CFF0FC"/>
            </w:tcBorders>
            <w:gridSpan w:val="2"/>
            <w:vMerge w:val="restart"/>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9"/>
              </w:rPr>
              <w:t>(1)(5)(16)</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80" w:type="dxa"/>
            <w:vAlign w:val="bottom"/>
            <w:gridSpan w:val="3"/>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700" w:type="dxa"/>
            <w:vAlign w:val="bottom"/>
            <w:gridSpan w:val="2"/>
            <w:vMerge w:val="continue"/>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40" w:type="dxa"/>
            <w:vAlign w:val="bottom"/>
            <w:gridSpan w:val="9"/>
            <w:shd w:val="clear" w:color="auto" w:fill="CFF0FC"/>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U.S. Debt Cannabis</w:t>
            </w: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7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Aeriz Holdings Corp</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6/30/2028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9,542</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3.1%</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Archos Capital Group, LLC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14.25%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5.75%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10/30/2025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0.0%</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12,89</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BeLeaf Medical,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8/20/2025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8/20/2028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12,892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12,892</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4.3%</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20.0</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CO Acquisition Vehicle, LLC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20.00%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9/30/2025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12/31/2029</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5.0%</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Cresco Labs,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12.50%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8/13/2025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8/13/2030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7,208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7,208</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1540" w:type="dxa"/>
            <w:vAlign w:val="bottom"/>
            <w:gridSpan w:val="9"/>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Kapple Holdings LLC (Cannabis</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&amp; Glass)</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14.53%</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10.25%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3/28/2025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7/28/2028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2,010</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0.7%</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1540" w:type="dxa"/>
            <w:vAlign w:val="bottom"/>
            <w:gridSpan w:val="9"/>
          </w:tcPr>
          <w:p>
            <w:pPr>
              <w:spacing w:after="0" w:line="108" w:lineRule="exact"/>
              <w:rPr>
                <w:sz w:val="20"/>
                <w:szCs w:val="20"/>
                <w:color w:val="auto"/>
              </w:rPr>
            </w:pPr>
            <w:r>
              <w:rPr>
                <w:rFonts w:ascii="Times New Roman" w:cs="Times New Roman" w:eastAsia="Times New Roman" w:hAnsi="Times New Roman"/>
                <w:sz w:val="11"/>
                <w:szCs w:val="11"/>
                <w:color w:val="auto"/>
              </w:rPr>
              <w:t>Dreamfields Brands, Inc. (d/b/a</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31,74</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Jeeter)</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16.25%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8.75%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5/3/2023</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5/3/2026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31,745</w:t>
            </w:r>
          </w:p>
        </w:tc>
        <w:tc>
          <w:tcPr>
            <w:tcW w:w="9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8"/>
              </w:rPr>
              <w:t>10.5%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12,55</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Elevation Cannabis, LLC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16.25%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7.75%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12,336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12,492</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4.1%</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13,80</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Flowery - Bill's Nursery,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11.00%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13,780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13,734</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4.5%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(12)(17)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10,07</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FLUENT Corp.</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3/31/2025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11/24/2028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9,876</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3.3%</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HA-MD,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6/6/2026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2,975</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1.0%</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Kaleafa,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12/4/2024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12/3/2027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2,784</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2,784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2,812</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0.9%</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14,56</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Nova Farms,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3/28/2027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13,898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13,984</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4.6%</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6"/>
              </w:rPr>
              <w:t>(9)(17)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Oasis - AZ GOAT AZ LLC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15.50%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3/31/2026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4,574</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4,549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4,528</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1.5%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(11)(17)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11,76</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Shangri-La Columbia,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5.75%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6/30/2028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11,584</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3.8%</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(10)(17)(18)</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7.7</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Silver Therapeutics,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7.25%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3/26/2025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3/24/2028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5,700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5,700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5,643</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1.9%</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6"/>
              </w:rPr>
              <w:t>(9)(17)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Subsero Holdings - Illinois,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16.25%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7/29/2026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2,765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2,821</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0.9%</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TerrAscend Corporation</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7/15/2025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rPr>
              <w:t>8/1/2028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2,961</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1.0%</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(14)</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TheraTrue,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3/18/2025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3/13/2027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1.0%</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6.2</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42,49</w:t>
            </w: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13.75%</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10/27/2024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5"/>
              </w:rPr>
              <w:t>10/30/2026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42,483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42,706</w:t>
            </w:r>
          </w:p>
        </w:tc>
        <w:tc>
          <w:tcPr>
            <w:tcW w:w="94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color w:val="auto"/>
                <w:w w:val="98"/>
              </w:rPr>
              <w:t>14.1%</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Revolver</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12.49%</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8.33%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9/30/2025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9/29/2028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3.3%</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4,440</w:t>
            </w:r>
          </w:p>
        </w:tc>
        <w:tc>
          <w:tcPr>
            <w:tcW w:w="220" w:type="dxa"/>
            <w:vAlign w:val="bottom"/>
            <w:vMerge w:val="restart"/>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4,440</w:t>
            </w:r>
          </w:p>
        </w:tc>
        <w:tc>
          <w:tcPr>
            <w:tcW w:w="200" w:type="dxa"/>
            <w:vAlign w:val="bottom"/>
            <w:vMerge w:val="restart"/>
            <w:shd w:val="clear" w:color="auto" w:fill="CFF0FC"/>
          </w:tcPr>
          <w:p>
            <w:pPr>
              <w:spacing w:after="0"/>
              <w:rPr>
                <w:sz w:val="9"/>
                <w:szCs w:val="9"/>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1.5%</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9"/>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Wellgreens 2.0, LLC</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14.00%</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7/24/2025</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7/31/2029</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4,398</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(11)(19)</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221,60</w:t>
            </w: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b w:val="1"/>
                <w:bCs w:val="1"/>
                <w:color w:val="auto"/>
              </w:rPr>
              <w:t>Total Cannabis</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222,052</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73.4%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40" w:type="dxa"/>
            <w:vAlign w:val="bottom"/>
            <w:gridSpan w:val="9"/>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Finance and Insurance</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1.5</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Hartford Gold Group, LLC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13.98%</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9.85%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1/6/2027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0.1%</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vMerge w:val="restart"/>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vMerge w:val="restart"/>
            <w:shd w:val="clear" w:color="auto" w:fill="CFF0FC"/>
          </w:tcPr>
          <w:p>
            <w:pPr>
              <w:spacing w:after="0"/>
              <w:rPr>
                <w:sz w:val="9"/>
                <w:szCs w:val="9"/>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0.1%</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9"/>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Minden Holdings, LLC</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14.50%</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7.25%</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5/31/2026</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15"/>
        </w:trPr>
        <w:tc>
          <w:tcPr>
            <w:tcW w:w="1540" w:type="dxa"/>
            <w:vAlign w:val="bottom"/>
            <w:gridSpan w:val="9"/>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Finance and Insurance</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564</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561</w:t>
            </w:r>
          </w:p>
        </w:tc>
        <w:tc>
          <w:tcPr>
            <w:tcW w:w="9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Information</w:t>
            </w:r>
          </w:p>
        </w:tc>
        <w:tc>
          <w:tcPr>
            <w:tcW w:w="960" w:type="dxa"/>
            <w:vAlign w:val="bottom"/>
            <w:tcBorders>
              <w:bottom w:val="single" w:sz="8" w:color="CFF0FC"/>
            </w:tcBorders>
            <w:gridSpan w:val="8"/>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46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540" w:type="dxa"/>
            <w:vAlign w:val="bottom"/>
            <w:gridSpan w:val="9"/>
          </w:tcPr>
          <w:p>
            <w:pPr>
              <w:spacing w:after="0" w:line="102" w:lineRule="exact"/>
              <w:rPr>
                <w:sz w:val="20"/>
                <w:szCs w:val="20"/>
                <w:color w:val="auto"/>
              </w:rPr>
            </w:pPr>
            <w:r>
              <w:rPr>
                <w:rFonts w:ascii="Times New Roman" w:cs="Times New Roman" w:eastAsia="Times New Roman" w:hAnsi="Times New Roman"/>
                <w:sz w:val="11"/>
                <w:szCs w:val="11"/>
                <w:color w:val="auto"/>
              </w:rPr>
              <w:t>AI Software, LLC (d/b/a</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Capacity)</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6/13/2025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6/13/2029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5,019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4,718</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1.6%</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Engage3 Holdings,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4.00%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7/22/2025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7/22/2030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6,027</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5,698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5,698</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1.8%</w:t>
            </w:r>
          </w:p>
        </w:tc>
        <w:tc>
          <w:tcPr>
            <w:tcW w:w="70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08"/>
        </w:trPr>
        <w:tc>
          <w:tcPr>
            <w:tcW w:w="1540" w:type="dxa"/>
            <w:vAlign w:val="bottom"/>
            <w:gridSpan w:val="9"/>
          </w:tcPr>
          <w:p>
            <w:pPr>
              <w:spacing w:after="0" w:line="108" w:lineRule="exact"/>
              <w:rPr>
                <w:sz w:val="20"/>
                <w:szCs w:val="20"/>
                <w:color w:val="auto"/>
              </w:rPr>
            </w:pPr>
            <w:r>
              <w:rPr>
                <w:rFonts w:ascii="Times New Roman" w:cs="Times New Roman" w:eastAsia="Times New Roman" w:hAnsi="Times New Roman"/>
                <w:sz w:val="11"/>
                <w:szCs w:val="11"/>
                <w:color w:val="auto"/>
              </w:rPr>
              <w:t>Protect Animals With Satellites</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LLC (Halo Collar)</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1.75%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11/1/2026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3,613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3,473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3,504</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1.2%</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1540" w:type="dxa"/>
            <w:vAlign w:val="bottom"/>
            <w:gridSpan w:val="9"/>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Protect Animals With Satellites</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1,837</w:t>
            </w:r>
          </w:p>
        </w:tc>
        <w:tc>
          <w:tcPr>
            <w:tcW w:w="220" w:type="dxa"/>
            <w:vAlign w:val="bottom"/>
            <w:vMerge w:val="restart"/>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200" w:type="dxa"/>
            <w:vAlign w:val="bottom"/>
            <w:vMerge w:val="restart"/>
            <w:shd w:val="clear" w:color="auto" w:fill="CFF0FC"/>
          </w:tcPr>
          <w:p>
            <w:pPr>
              <w:spacing w:after="0"/>
              <w:rPr>
                <w:sz w:val="9"/>
                <w:szCs w:val="9"/>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0.6%</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9"/>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LLC (Halo Collar)</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Incremental Term Loan</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13.25%</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1,910</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15"/>
        </w:trPr>
        <w:tc>
          <w:tcPr>
            <w:tcW w:w="1540" w:type="dxa"/>
            <w:vAlign w:val="bottom"/>
            <w:gridSpan w:val="9"/>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15,626</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15,773</w:t>
            </w:r>
          </w:p>
        </w:tc>
        <w:tc>
          <w:tcPr>
            <w:tcW w:w="9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5.2%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gridSpan w:val="9"/>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Manufacturing</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8.5</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vMerge w:val="restart"/>
          </w:tcPr>
          <w:p>
            <w:pPr>
              <w:spacing w:after="0"/>
              <w:rPr>
                <w:sz w:val="8"/>
                <w:szCs w:val="8"/>
                <w:color w:val="auto"/>
              </w:rPr>
            </w:pPr>
          </w:p>
        </w:tc>
        <w:tc>
          <w:tcPr>
            <w:tcW w:w="460" w:type="dxa"/>
            <w:vAlign w:val="bottom"/>
            <w:tcBorders>
              <w:top w:val="single" w:sz="8" w:color="CFF0FC"/>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2,995</w:t>
            </w:r>
          </w:p>
        </w:tc>
        <w:tc>
          <w:tcPr>
            <w:tcW w:w="220" w:type="dxa"/>
            <w:vAlign w:val="bottom"/>
            <w:tcBorders>
              <w:top w:val="single" w:sz="8" w:color="CFF0FC"/>
            </w:tcBorders>
            <w:vMerge w:val="restart"/>
          </w:tcPr>
          <w:p>
            <w:pPr>
              <w:spacing w:after="0"/>
              <w:rPr>
                <w:sz w:val="8"/>
                <w:szCs w:val="8"/>
                <w:color w:val="auto"/>
              </w:rPr>
            </w:pPr>
          </w:p>
        </w:tc>
        <w:tc>
          <w:tcPr>
            <w:tcW w:w="540" w:type="dxa"/>
            <w:vAlign w:val="bottom"/>
            <w:tcBorders>
              <w:top w:val="single" w:sz="8" w:color="CFF0FC"/>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2,995</w:t>
            </w:r>
          </w:p>
        </w:tc>
        <w:tc>
          <w:tcPr>
            <w:tcW w:w="200" w:type="dxa"/>
            <w:vAlign w:val="bottom"/>
            <w:tcBorders>
              <w:top w:val="single" w:sz="8" w:color="CFF0FC"/>
            </w:tcBorders>
            <w:vMerge w:val="restart"/>
          </w:tcPr>
          <w:p>
            <w:pPr>
              <w:spacing w:after="0"/>
              <w:rPr>
                <w:sz w:val="8"/>
                <w:szCs w:val="8"/>
                <w:color w:val="auto"/>
              </w:rPr>
            </w:pPr>
          </w:p>
        </w:tc>
        <w:tc>
          <w:tcPr>
            <w:tcW w:w="740" w:type="dxa"/>
            <w:vAlign w:val="bottom"/>
            <w:tcBorders>
              <w:top w:val="single" w:sz="8" w:color="CFF0FC"/>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1.0%</w:t>
            </w: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540" w:type="dxa"/>
            <w:vAlign w:val="bottom"/>
            <w:gridSpan w:val="9"/>
          </w:tcPr>
          <w:p>
            <w:pPr>
              <w:spacing w:after="0" w:line="122" w:lineRule="exact"/>
              <w:rPr>
                <w:sz w:val="20"/>
                <w:szCs w:val="20"/>
                <w:color w:val="auto"/>
              </w:rPr>
            </w:pPr>
            <w:r>
              <w:rPr>
                <w:rFonts w:ascii="Times New Roman" w:cs="Times New Roman" w:eastAsia="Times New Roman" w:hAnsi="Times New Roman"/>
                <w:sz w:val="11"/>
                <w:szCs w:val="11"/>
                <w:color w:val="auto"/>
              </w:rPr>
              <w:t>Action Target, Inc.</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2.75%</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8/29/2025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7/19/2027</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2,995</w:t>
            </w: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15"/>
        </w:trPr>
        <w:tc>
          <w:tcPr>
            <w:tcW w:w="1540" w:type="dxa"/>
            <w:vAlign w:val="bottom"/>
            <w:gridSpan w:val="9"/>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Manufacturing</w:t>
            </w: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2,995</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2,995</w:t>
            </w:r>
          </w:p>
        </w:tc>
        <w:tc>
          <w:tcPr>
            <w:tcW w:w="94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bottom w:val="single" w:sz="8" w:color="auto"/>
            </w:tcBorders>
            <w:gridSpan w:val="5"/>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Public Administration</w:t>
            </w:r>
          </w:p>
        </w:tc>
        <w:tc>
          <w:tcPr>
            <w:tcW w:w="500" w:type="dxa"/>
            <w:vAlign w:val="bottom"/>
            <w:gridSpan w:val="4"/>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540" w:type="dxa"/>
            <w:vAlign w:val="bottom"/>
            <w:gridSpan w:val="9"/>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Youth Opportunity Investments,</w:t>
            </w: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11,60</w:t>
            </w:r>
          </w:p>
        </w:tc>
        <w:tc>
          <w:tcPr>
            <w:tcW w:w="220" w:type="dxa"/>
            <w:vAlign w:val="bottom"/>
            <w:vMerge w:val="restart"/>
            <w:shd w:val="clear" w:color="auto" w:fill="CFF0FC"/>
          </w:tcPr>
          <w:p>
            <w:pPr>
              <w:spacing w:after="0"/>
              <w:rPr>
                <w:sz w:val="8"/>
                <w:szCs w:val="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11,547</w:t>
            </w:r>
          </w:p>
        </w:tc>
        <w:tc>
          <w:tcPr>
            <w:tcW w:w="220" w:type="dxa"/>
            <w:vAlign w:val="bottom"/>
            <w:vMerge w:val="restart"/>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11,660</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3.8%</w:t>
            </w: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tcBorders>
              <w:bottom w:val="single" w:sz="8" w:color="CFF0FC"/>
            </w:tcBorders>
            <w:gridSpan w:val="9"/>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12.02%</w:t>
            </w:r>
          </w:p>
        </w:tc>
        <w:tc>
          <w:tcPr>
            <w:tcW w:w="7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54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2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9/18/2026</w:t>
            </w:r>
          </w:p>
        </w:tc>
        <w:tc>
          <w:tcPr>
            <w:tcW w:w="4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6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40" w:type="dxa"/>
            <w:vAlign w:val="bottom"/>
            <w:tcBorders>
              <w:bottom w:val="single" w:sz="8" w:color="auto"/>
            </w:tcBorders>
            <w:vMerge w:val="continue"/>
            <w:shd w:val="clear" w:color="auto" w:fill="CFF0FC"/>
          </w:tcPr>
          <w:p>
            <w:pPr>
              <w:spacing w:after="0"/>
              <w:rPr>
                <w:sz w:val="10"/>
                <w:szCs w:val="10"/>
                <w:color w:val="auto"/>
              </w:rPr>
            </w:pPr>
          </w:p>
        </w:tc>
        <w:tc>
          <w:tcPr>
            <w:tcW w:w="700" w:type="dxa"/>
            <w:vAlign w:val="bottom"/>
            <w:tcBorders>
              <w:bottom w:val="single" w:sz="8" w:color="CFF0FC"/>
            </w:tcBorders>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(10)(17)</w:t>
            </w:r>
          </w:p>
        </w:tc>
        <w:tc>
          <w:tcPr>
            <w:tcW w:w="0" w:type="dxa"/>
            <w:vAlign w:val="bottom"/>
          </w:tcPr>
          <w:p>
            <w:pPr>
              <w:spacing w:after="0"/>
              <w:rPr>
                <w:sz w:val="1"/>
                <w:szCs w:val="1"/>
                <w:color w:val="auto"/>
              </w:rPr>
            </w:pPr>
          </w:p>
        </w:tc>
      </w:tr>
      <w:tr>
        <w:trPr>
          <w:trHeight w:val="115"/>
        </w:trPr>
        <w:tc>
          <w:tcPr>
            <w:tcW w:w="1540" w:type="dxa"/>
            <w:vAlign w:val="bottom"/>
            <w:gridSpan w:val="9"/>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Public Administration</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11,547</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11,660</w:t>
            </w:r>
          </w:p>
        </w:tc>
        <w:tc>
          <w:tcPr>
            <w:tcW w:w="9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3.8%</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gridSpan w:val="9"/>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Real Estate and Rental</w:t>
            </w: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60" w:type="dxa"/>
            <w:vAlign w:val="bottom"/>
            <w:tcBorders>
              <w:top w:val="single" w:sz="8" w:color="auto"/>
            </w:tcBorders>
            <w:gridSpan w:val="6"/>
            <w:shd w:val="clear" w:color="auto" w:fill="CFF0FC"/>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and Leasing</w:t>
            </w:r>
          </w:p>
        </w:tc>
        <w:tc>
          <w:tcPr>
            <w:tcW w:w="480" w:type="dxa"/>
            <w:vAlign w:val="bottom"/>
            <w:tcBorders>
              <w:top w:val="single" w:sz="8" w:color="CFF0FC"/>
            </w:tcBorders>
            <w:gridSpan w:val="3"/>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1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7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680" w:type="dxa"/>
            <w:vAlign w:val="bottom"/>
            <w:tcBorders>
              <w:top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1,936</w:t>
            </w:r>
          </w:p>
        </w:tc>
        <w:tc>
          <w:tcPr>
            <w:tcW w:w="760" w:type="dxa"/>
            <w:vAlign w:val="bottom"/>
            <w:tcBorders>
              <w:top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1,947</w:t>
            </w:r>
          </w:p>
        </w:tc>
        <w:tc>
          <w:tcPr>
            <w:tcW w:w="940" w:type="dxa"/>
            <w:vAlign w:val="bottom"/>
            <w:tcBorders>
              <w:top w:val="single" w:sz="8" w:color="CFF0FC"/>
            </w:tcBorders>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0.6%</w:t>
            </w: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gridSpan w:val="9"/>
          </w:tcPr>
          <w:p>
            <w:pPr>
              <w:spacing w:after="0" w:line="122" w:lineRule="exact"/>
              <w:rPr>
                <w:sz w:val="20"/>
                <w:szCs w:val="20"/>
                <w:color w:val="auto"/>
              </w:rPr>
            </w:pPr>
            <w:r>
              <w:rPr>
                <w:rFonts w:ascii="Times New Roman" w:cs="Times New Roman" w:eastAsia="Times New Roman" w:hAnsi="Times New Roman"/>
                <w:sz w:val="11"/>
                <w:szCs w:val="11"/>
                <w:color w:val="auto"/>
              </w:rPr>
              <w:t>Workbox Holdings, Inc.</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5/31/2029</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2,200</w:t>
            </w:r>
          </w:p>
        </w:tc>
        <w:tc>
          <w:tcPr>
            <w:tcW w:w="6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540" w:type="dxa"/>
            <w:vAlign w:val="bottom"/>
            <w:gridSpan w:val="9"/>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Real Estate and Rental</w:t>
            </w: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and Leasing</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1,936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1,947</w:t>
            </w:r>
          </w:p>
        </w:tc>
        <w:tc>
          <w:tcPr>
            <w:tcW w:w="94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0.6%</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40" w:type="dxa"/>
            <w:vAlign w:val="bottom"/>
            <w:gridSpan w:val="9"/>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Retail Trade</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Aura Home,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10.77%</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9/22/2026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1.1%</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Aura Home, Inc</w:t>
            </w:r>
          </w:p>
        </w:tc>
        <w:tc>
          <w:tcPr>
            <w:tcW w:w="12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10.52%</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4/11/2025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9/22/2026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2,390</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0.8%</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5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1"/>
                <w:szCs w:val="11"/>
                <w:color w:val="auto"/>
              </w:rPr>
              <w:t>Aura Home, Inc</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10.77%</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4/11/2025</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9/22/2026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94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5"/>
              </w:rPr>
              <w:t>0.2%</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1540" w:type="dxa"/>
            <w:vAlign w:val="bottom"/>
            <w:gridSpan w:val="9"/>
          </w:tcPr>
          <w:p>
            <w:pPr>
              <w:spacing w:after="0" w:line="108" w:lineRule="exact"/>
              <w:rPr>
                <w:sz w:val="20"/>
                <w:szCs w:val="20"/>
                <w:color w:val="auto"/>
              </w:rPr>
            </w:pPr>
            <w:r>
              <w:rPr>
                <w:rFonts w:ascii="Times New Roman" w:cs="Times New Roman" w:eastAsia="Times New Roman" w:hAnsi="Times New Roman"/>
                <w:sz w:val="11"/>
                <w:szCs w:val="11"/>
                <w:color w:val="auto"/>
              </w:rPr>
              <w:t>Portofino Labs, Inc. (dba Because</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4.2</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4,985</w:t>
            </w:r>
          </w:p>
        </w:tc>
        <w:tc>
          <w:tcPr>
            <w:tcW w:w="220" w:type="dxa"/>
            <w:vAlign w:val="bottom"/>
            <w:vMerge w:val="restart"/>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5,051</w:t>
            </w:r>
          </w:p>
        </w:tc>
        <w:tc>
          <w:tcPr>
            <w:tcW w:w="200" w:type="dxa"/>
            <w:vAlign w:val="bottom"/>
            <w:vMerge w:val="restart"/>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1.6%</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40" w:type="dxa"/>
            <w:vAlign w:val="bottom"/>
            <w:gridSpan w:val="9"/>
          </w:tcPr>
          <w:p>
            <w:pPr>
              <w:spacing w:after="0" w:line="122" w:lineRule="exact"/>
              <w:rPr>
                <w:sz w:val="20"/>
                <w:szCs w:val="20"/>
                <w:color w:val="auto"/>
              </w:rPr>
            </w:pPr>
            <w:r>
              <w:rPr>
                <w:rFonts w:ascii="Times New Roman" w:cs="Times New Roman" w:eastAsia="Times New Roman" w:hAnsi="Times New Roman"/>
                <w:sz w:val="11"/>
                <w:szCs w:val="11"/>
                <w:color w:val="auto"/>
              </w:rPr>
              <w:t>Market)</w:t>
            </w:r>
          </w:p>
        </w:tc>
        <w:tc>
          <w:tcPr>
            <w:tcW w:w="1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12.03%</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4/30/2025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4/30/2029</w:t>
            </w:r>
          </w:p>
        </w:tc>
        <w:tc>
          <w:tcPr>
            <w:tcW w:w="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5,026</w:t>
            </w:r>
          </w:p>
        </w:tc>
        <w:tc>
          <w:tcPr>
            <w:tcW w:w="22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Borders>
              <w:bottom w:val="single" w:sz="8" w:color="CFF0FC"/>
            </w:tcBorders>
            <w:gridSpan w:val="9"/>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Retail Trade</w:t>
            </w:r>
          </w:p>
        </w:tc>
        <w:tc>
          <w:tcPr>
            <w:tcW w:w="1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11,231</w:t>
            </w:r>
          </w:p>
        </w:tc>
        <w:tc>
          <w:tcPr>
            <w:tcW w:w="2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11,285</w:t>
            </w:r>
          </w:p>
        </w:tc>
        <w:tc>
          <w:tcPr>
            <w:tcW w:w="2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3.7%</w:t>
            </w: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40" w:type="dxa"/>
            <w:vAlign w:val="bottom"/>
            <w:gridSpan w:val="9"/>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 Secured</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265,50</w:t>
            </w: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40" w:type="dxa"/>
            <w:vAlign w:val="bottom"/>
            <w:gridSpan w:val="9"/>
          </w:tcPr>
          <w:p>
            <w:pPr>
              <w:spacing w:after="0"/>
              <w:rPr>
                <w:sz w:val="20"/>
                <w:szCs w:val="20"/>
                <w:color w:val="auto"/>
              </w:rPr>
            </w:pPr>
            <w:r>
              <w:rPr>
                <w:rFonts w:ascii="Times New Roman" w:cs="Times New Roman" w:eastAsia="Times New Roman" w:hAnsi="Times New Roman"/>
                <w:sz w:val="11"/>
                <w:szCs w:val="11"/>
                <w:b w:val="1"/>
                <w:bCs w:val="1"/>
                <w:color w:val="auto"/>
              </w:rPr>
              <w:t>U.S. Debt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266,273</w:t>
            </w:r>
          </w:p>
        </w:tc>
        <w:tc>
          <w:tcPr>
            <w:tcW w:w="9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87.9%</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-3414395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-3414395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-3414395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-2874010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-2874010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-2874010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-2102485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-2102485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-2102485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-1485265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-1485265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-1485265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-165100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-165100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-165100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ectPr>
          <w:pgSz w:w="11900" w:h="16838" w:orient="portrait"/>
          <w:cols w:equalWidth="0" w:num="1">
            <w:col w:w="11240"/>
          </w:cols>
          <w:pgMar w:left="320" w:top="117" w:right="339" w:bottom="1159"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159"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15"/>
        </w:trPr>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9"/>
                <w:szCs w:val="9"/>
                <w:color w:val="auto"/>
              </w:rPr>
            </w:pPr>
          </w:p>
        </w:tc>
        <w:tc>
          <w:tcPr>
            <w:tcW w:w="800" w:type="dxa"/>
            <w:vAlign w:val="bottom"/>
            <w:gridSpan w:val="2"/>
          </w:tcPr>
          <w:p>
            <w:pPr>
              <w:jc w:val="right"/>
              <w:ind w:right="420"/>
              <w:spacing w:after="0" w:line="111" w:lineRule="exact"/>
              <w:rPr>
                <w:sz w:val="20"/>
                <w:szCs w:val="20"/>
                <w:color w:val="auto"/>
              </w:rPr>
            </w:pPr>
            <w:r>
              <w:rPr>
                <w:rFonts w:ascii="Times New Roman" w:cs="Times New Roman" w:eastAsia="Times New Roman" w:hAnsi="Times New Roman"/>
                <w:sz w:val="11"/>
                <w:szCs w:val="11"/>
                <w:b w:val="1"/>
                <w:bCs w:val="1"/>
                <w:color w:val="auto"/>
              </w:rPr>
              <w:t>All in</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xml:space="preserve">Benchmark </w:t>
            </w:r>
            <w:r>
              <w:rPr>
                <w:rFonts w:ascii="Times New Roman" w:cs="Times New Roman" w:eastAsia="Times New Roman" w:hAnsi="Times New Roman"/>
                <w:sz w:val="14"/>
                <w:szCs w:val="14"/>
                <w:b w:val="1"/>
                <w:bCs w:val="1"/>
                <w:color w:val="auto"/>
                <w:w w:val="96"/>
                <w:vertAlign w:val="superscript"/>
              </w:rPr>
              <w:t>(3)</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21"/>
                <w:szCs w:val="21"/>
                <w:b w:val="1"/>
                <w:bCs w:val="1"/>
                <w:color w:val="auto"/>
                <w:vertAlign w:val="subscript"/>
              </w:rPr>
              <w:t>Par</w:t>
            </w:r>
            <w:r>
              <w:rPr>
                <w:rFonts w:ascii="Times New Roman" w:cs="Times New Roman" w:eastAsia="Times New Roman" w:hAnsi="Times New Roman"/>
                <w:sz w:val="7"/>
                <w:szCs w:val="7"/>
                <w:b w:val="1"/>
                <w:bCs w:val="1"/>
                <w:color w:val="auto"/>
              </w:rPr>
              <w:t xml:space="preserve"> (2)</w:t>
            </w:r>
          </w:p>
        </w:tc>
        <w:tc>
          <w:tcPr>
            <w:tcW w:w="680" w:type="dxa"/>
            <w:vAlign w:val="bottom"/>
            <w:gridSpan w:val="4"/>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Amortize</w:t>
            </w:r>
          </w:p>
        </w:tc>
        <w:tc>
          <w:tcPr>
            <w:tcW w:w="740" w:type="dxa"/>
            <w:vAlign w:val="bottom"/>
            <w:gridSpan w:val="4"/>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160" w:type="dxa"/>
            <w:vAlign w:val="bottom"/>
          </w:tcPr>
          <w:p>
            <w:pPr>
              <w:spacing w:after="0"/>
              <w:rPr>
                <w:sz w:val="9"/>
                <w:szCs w:val="9"/>
                <w:color w:val="auto"/>
              </w:rPr>
            </w:pPr>
          </w:p>
        </w:tc>
        <w:tc>
          <w:tcPr>
            <w:tcW w:w="58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b w:val="1"/>
                <w:bCs w:val="1"/>
                <w:color w:val="auto"/>
              </w:rPr>
              <w:t>% of</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20" w:type="dxa"/>
            <w:vAlign w:val="bottom"/>
            <w:gridSpan w:val="14"/>
          </w:tcPr>
          <w:p>
            <w:pPr>
              <w:ind w:left="28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Type</w:t>
            </w:r>
          </w:p>
        </w:tc>
        <w:tc>
          <w:tcPr>
            <w:tcW w:w="140" w:type="dxa"/>
            <w:vAlign w:val="bottom"/>
          </w:tcPr>
          <w:p>
            <w:pPr>
              <w:spacing w:after="0"/>
              <w:rPr>
                <w:sz w:val="12"/>
                <w:szCs w:val="12"/>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PIK</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2"/>
                <w:szCs w:val="12"/>
                <w:color w:val="auto"/>
              </w:rPr>
            </w:pP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d Cost</w:t>
            </w:r>
            <w:r>
              <w:rPr>
                <w:rFonts w:ascii="Times New Roman" w:cs="Times New Roman" w:eastAsia="Times New Roman" w:hAnsi="Times New Roman"/>
                <w:sz w:val="14"/>
                <w:szCs w:val="14"/>
                <w:b w:val="1"/>
                <w:bCs w:val="1"/>
                <w:color w:val="auto"/>
                <w:vertAlign w:val="superscript"/>
              </w:rPr>
              <w:t>(15)</w:t>
            </w:r>
          </w:p>
        </w:tc>
        <w:tc>
          <w:tcPr>
            <w:tcW w:w="7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1"/>
                <w:szCs w:val="11"/>
                <w:b w:val="1"/>
                <w:bCs w:val="1"/>
                <w:color w:val="auto"/>
                <w:w w:val="92"/>
              </w:rPr>
              <w:t xml:space="preserve">Value </w:t>
            </w:r>
            <w:r>
              <w:rPr>
                <w:rFonts w:ascii="Times New Roman" w:cs="Times New Roman" w:eastAsia="Times New Roman" w:hAnsi="Times New Roman"/>
                <w:sz w:val="14"/>
                <w:szCs w:val="14"/>
                <w:b w:val="1"/>
                <w:bCs w:val="1"/>
                <w:color w:val="auto"/>
                <w:w w:val="92"/>
                <w:vertAlign w:val="superscript"/>
              </w:rPr>
              <w:t>(4)</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Net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1"/>
        </w:trPr>
        <w:tc>
          <w:tcPr>
            <w:tcW w:w="1540" w:type="dxa"/>
            <w:vAlign w:val="bottom"/>
            <w:tcBorders>
              <w:top w:val="single" w:sz="8" w:color="auto"/>
            </w:tcBorders>
            <w:gridSpan w:val="13"/>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Senior Secured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5"/>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U.S. Notes</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tcBorders>
              <w:top w:val="single" w:sz="8" w:color="auto"/>
            </w:tcBorders>
            <w:gridSpan w:val="3"/>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1100" w:type="dxa"/>
            <w:vAlign w:val="bottom"/>
            <w:gridSpan w:val="12"/>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6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Ascend Wellness Holdings, Inc.</w:t>
            </w: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Senior Secured Note</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11"/>
                <w:szCs w:val="11"/>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7/16/2024</w:t>
            </w:r>
          </w:p>
        </w:tc>
        <w:tc>
          <w:tcPr>
            <w:tcW w:w="680" w:type="dxa"/>
            <w:vAlign w:val="bottom"/>
            <w:gridSpan w:val="3"/>
          </w:tcPr>
          <w:p>
            <w:pPr>
              <w:jc w:val="center"/>
              <w:ind w:left="66"/>
              <w:spacing w:after="0"/>
              <w:rPr>
                <w:sz w:val="20"/>
                <w:szCs w:val="20"/>
                <w:color w:val="auto"/>
              </w:rPr>
            </w:pPr>
            <w:r>
              <w:rPr>
                <w:rFonts w:ascii="Times New Roman" w:cs="Times New Roman" w:eastAsia="Times New Roman" w:hAnsi="Times New Roman"/>
                <w:sz w:val="11"/>
                <w:szCs w:val="11"/>
                <w:color w:val="auto"/>
                <w:w w:val="98"/>
              </w:rPr>
              <w:t>7/16/2029</w:t>
            </w:r>
          </w:p>
        </w:tc>
        <w:tc>
          <w:tcPr>
            <w:tcW w:w="20" w:type="dxa"/>
            <w:vAlign w:val="bottom"/>
          </w:tcPr>
          <w:p>
            <w:pPr>
              <w:spacing w:after="0"/>
              <w:rPr>
                <w:sz w:val="11"/>
                <w:szCs w:val="11"/>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96"/>
              </w:rPr>
              <w:t>3,500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3,361</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5"/>
              </w:rPr>
              <w:t>1.1%</w:t>
            </w:r>
          </w:p>
        </w:tc>
        <w:tc>
          <w:tcPr>
            <w:tcW w:w="700" w:type="dxa"/>
            <w:vAlign w:val="bottom"/>
            <w:gridSpan w:val="4"/>
          </w:tcPr>
          <w:p>
            <w:pPr>
              <w:jc w:val="center"/>
              <w:ind w:left="46"/>
              <w:spacing w:after="0"/>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08"/>
        </w:trPr>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40" w:type="dxa"/>
            <w:vAlign w:val="bottom"/>
            <w:tcBorders>
              <w:right w:val="single" w:sz="8" w:color="CFF0FC"/>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7,944</w:t>
            </w: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8,245</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2.8%</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60" w:type="dxa"/>
            <w:vAlign w:val="bottom"/>
            <w:tcBorders>
              <w:bottom w:val="single" w:sz="8" w:color="CFF0FC"/>
            </w:tcBorders>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Curaleaf Holdings, Inc.</w:t>
            </w: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Senior Secured Note</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40" w:type="dxa"/>
            <w:vAlign w:val="bottom"/>
            <w:tcBorders>
              <w:bottom w:val="single" w:sz="8" w:color="CFF0FC"/>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420" w:type="dxa"/>
            <w:vAlign w:val="bottom"/>
            <w:tcBorders>
              <w:bottom w:val="single" w:sz="8" w:color="CFF0FC"/>
            </w:tcBorders>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12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10/11/2022</w:t>
            </w:r>
          </w:p>
        </w:tc>
        <w:tc>
          <w:tcPr>
            <w:tcW w:w="680" w:type="dxa"/>
            <w:vAlign w:val="bottom"/>
            <w:tcBorders>
              <w:bottom w:val="single" w:sz="8" w:color="CFF0FC"/>
            </w:tcBorders>
            <w:gridSpan w:val="3"/>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12/15/2026</w:t>
            </w:r>
          </w:p>
        </w:tc>
        <w:tc>
          <w:tcPr>
            <w:tcW w:w="2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gridSpan w:val="2"/>
            <w:shd w:val="clear" w:color="auto" w:fill="CFF0FC"/>
          </w:tcPr>
          <w:p>
            <w:pPr>
              <w:ind w:left="220"/>
              <w:spacing w:after="0" w:line="122" w:lineRule="exact"/>
              <w:rPr>
                <w:sz w:val="20"/>
                <w:szCs w:val="20"/>
                <w:color w:val="auto"/>
              </w:rPr>
            </w:pPr>
            <w:r>
              <w:rPr>
                <w:rFonts w:ascii="Times New Roman" w:cs="Times New Roman" w:eastAsia="Times New Roman" w:hAnsi="Times New Roman"/>
                <w:sz w:val="11"/>
                <w:szCs w:val="11"/>
                <w:color w:val="auto"/>
                <w:w w:val="96"/>
              </w:rPr>
              <w:t>8,500</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gridSpan w:val="2"/>
            <w:vMerge w:val="continue"/>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gridSpan w:val="2"/>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gridSpan w:val="2"/>
            <w:vMerge w:val="continue"/>
            <w:shd w:val="clear" w:color="auto" w:fill="CFF0FC"/>
          </w:tcPr>
          <w:p>
            <w:pPr>
              <w:spacing w:after="0"/>
              <w:rPr>
                <w:sz w:val="10"/>
                <w:szCs w:val="10"/>
                <w:color w:val="auto"/>
              </w:rPr>
            </w:pPr>
          </w:p>
        </w:tc>
        <w:tc>
          <w:tcPr>
            <w:tcW w:w="700" w:type="dxa"/>
            <w:vAlign w:val="bottom"/>
            <w:tcBorders>
              <w:bottom w:val="single" w:sz="8" w:color="CFF0FC"/>
            </w:tcBorders>
            <w:gridSpan w:val="4"/>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(9)(14)</w:t>
            </w:r>
          </w:p>
        </w:tc>
        <w:tc>
          <w:tcPr>
            <w:tcW w:w="0" w:type="dxa"/>
            <w:vAlign w:val="bottom"/>
          </w:tcPr>
          <w:p>
            <w:pPr>
              <w:spacing w:after="0"/>
              <w:rPr>
                <w:sz w:val="1"/>
                <w:szCs w:val="1"/>
                <w:color w:val="auto"/>
              </w:rPr>
            </w:pPr>
          </w:p>
        </w:tc>
      </w:tr>
      <w:tr>
        <w:trPr>
          <w:trHeight w:val="115"/>
        </w:trPr>
        <w:tc>
          <w:tcPr>
            <w:tcW w:w="166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11,305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11,693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3.9%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gridSpan w:val="15"/>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Finance and Insurance</w:t>
            </w: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480" w:type="dxa"/>
            <w:vAlign w:val="bottom"/>
            <w:tcBorders>
              <w:top w:val="single" w:sz="8" w:color="CFF0FC"/>
            </w:tcBorders>
            <w:gridSpan w:val="2"/>
          </w:tcPr>
          <w:p>
            <w:pPr>
              <w:ind w:left="220"/>
              <w:spacing w:after="0" w:line="102" w:lineRule="exact"/>
              <w:rPr>
                <w:sz w:val="20"/>
                <w:szCs w:val="20"/>
                <w:color w:val="auto"/>
              </w:rPr>
            </w:pPr>
            <w:r>
              <w:rPr>
                <w:rFonts w:ascii="Times New Roman" w:cs="Times New Roman" w:eastAsia="Times New Roman" w:hAnsi="Times New Roman"/>
                <w:sz w:val="11"/>
                <w:szCs w:val="11"/>
                <w:color w:val="auto"/>
                <w:w w:val="96"/>
              </w:rPr>
              <w:t>22,00</w:t>
            </w: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6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RTCP, LLC</w:t>
            </w:r>
          </w:p>
        </w:tc>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Senior Secured Note</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11"/>
                <w:szCs w:val="11"/>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680" w:type="dxa"/>
            <w:vAlign w:val="bottom"/>
            <w:gridSpan w:val="3"/>
          </w:tcPr>
          <w:p>
            <w:pPr>
              <w:jc w:val="center"/>
              <w:ind w:left="66"/>
              <w:spacing w:after="0"/>
              <w:rPr>
                <w:sz w:val="20"/>
                <w:szCs w:val="20"/>
                <w:color w:val="auto"/>
              </w:rPr>
            </w:pPr>
            <w:r>
              <w:rPr>
                <w:rFonts w:ascii="Times New Roman" w:cs="Times New Roman" w:eastAsia="Times New Roman" w:hAnsi="Times New Roman"/>
                <w:sz w:val="11"/>
                <w:szCs w:val="11"/>
                <w:color w:val="auto"/>
                <w:w w:val="98"/>
              </w:rPr>
              <w:t>10/2/2028</w:t>
            </w:r>
          </w:p>
        </w:tc>
        <w:tc>
          <w:tcPr>
            <w:tcW w:w="2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21,979</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5"/>
              </w:rPr>
              <w:t>7.3%</w:t>
            </w:r>
          </w:p>
        </w:tc>
        <w:tc>
          <w:tcPr>
            <w:tcW w:w="700" w:type="dxa"/>
            <w:vAlign w:val="bottom"/>
            <w:gridSpan w:val="4"/>
          </w:tcPr>
          <w:p>
            <w:pPr>
              <w:jc w:val="center"/>
              <w:ind w:left="26"/>
              <w:spacing w:after="0"/>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08"/>
        </w:trPr>
        <w:tc>
          <w:tcPr>
            <w:tcW w:w="1660" w:type="dxa"/>
            <w:vAlign w:val="bottom"/>
            <w:gridSpan w:val="15"/>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West Creek Financial Holdings,</w:t>
            </w: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5,348</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1.7%</w:t>
            </w: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60" w:type="dxa"/>
            <w:vAlign w:val="bottom"/>
            <w:tcBorders>
              <w:bottom w:val="single" w:sz="8" w:color="CFF0FC"/>
            </w:tcBorders>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Inc. dba Koalafi</w:t>
            </w:r>
          </w:p>
        </w:tc>
        <w:tc>
          <w:tcPr>
            <w:tcW w:w="116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Series A Senior Note</w:t>
            </w:r>
          </w:p>
        </w:tc>
        <w:tc>
          <w:tcPr>
            <w:tcW w:w="94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18.80%</w:t>
            </w:r>
          </w:p>
        </w:tc>
        <w:tc>
          <w:tcPr>
            <w:tcW w:w="740" w:type="dxa"/>
            <w:vAlign w:val="bottom"/>
            <w:tcBorders>
              <w:bottom w:val="single" w:sz="8" w:color="CFF0FC"/>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80" w:type="dxa"/>
            <w:vAlign w:val="bottom"/>
            <w:tcBorders>
              <w:bottom w:val="single" w:sz="8" w:color="CFF0FC"/>
            </w:tcBorders>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13.80%</w:t>
            </w:r>
          </w:p>
        </w:tc>
        <w:tc>
          <w:tcPr>
            <w:tcW w:w="420" w:type="dxa"/>
            <w:vAlign w:val="bottom"/>
            <w:tcBorders>
              <w:bottom w:val="single" w:sz="8" w:color="CFF0FC"/>
            </w:tcBorders>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2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680" w:type="dxa"/>
            <w:vAlign w:val="bottom"/>
            <w:tcBorders>
              <w:bottom w:val="single" w:sz="8" w:color="CFF0FC"/>
            </w:tcBorders>
            <w:gridSpan w:val="3"/>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11/29/2027</w:t>
            </w:r>
          </w:p>
        </w:tc>
        <w:tc>
          <w:tcPr>
            <w:tcW w:w="2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gridSpan w:val="2"/>
            <w:shd w:val="clear" w:color="auto" w:fill="CFF0FC"/>
          </w:tcPr>
          <w:p>
            <w:pPr>
              <w:ind w:left="220"/>
              <w:spacing w:after="0" w:line="122" w:lineRule="exact"/>
              <w:rPr>
                <w:sz w:val="20"/>
                <w:szCs w:val="20"/>
                <w:color w:val="auto"/>
              </w:rPr>
            </w:pPr>
            <w:r>
              <w:rPr>
                <w:rFonts w:ascii="Times New Roman" w:cs="Times New Roman" w:eastAsia="Times New Roman" w:hAnsi="Times New Roman"/>
                <w:sz w:val="11"/>
                <w:szCs w:val="11"/>
                <w:color w:val="auto"/>
                <w:w w:val="96"/>
              </w:rPr>
              <w:t>5,322</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gridSpan w:val="2"/>
            <w:vMerge w:val="continue"/>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gridSpan w:val="2"/>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gridSpan w:val="2"/>
            <w:vMerge w:val="continue"/>
            <w:shd w:val="clear" w:color="auto" w:fill="CFF0FC"/>
          </w:tcPr>
          <w:p>
            <w:pPr>
              <w:spacing w:after="0"/>
              <w:rPr>
                <w:sz w:val="10"/>
                <w:szCs w:val="10"/>
                <w:color w:val="auto"/>
              </w:rPr>
            </w:pPr>
          </w:p>
        </w:tc>
        <w:tc>
          <w:tcPr>
            <w:tcW w:w="700" w:type="dxa"/>
            <w:vAlign w:val="bottom"/>
            <w:tcBorders>
              <w:bottom w:val="single" w:sz="8" w:color="CFF0FC"/>
            </w:tcBorders>
            <w:gridSpan w:val="4"/>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(12)(17)</w:t>
            </w:r>
          </w:p>
        </w:tc>
        <w:tc>
          <w:tcPr>
            <w:tcW w:w="0" w:type="dxa"/>
            <w:vAlign w:val="bottom"/>
          </w:tcPr>
          <w:p>
            <w:pPr>
              <w:spacing w:after="0"/>
              <w:rPr>
                <w:sz w:val="1"/>
                <w:szCs w:val="1"/>
                <w:color w:val="auto"/>
              </w:rPr>
            </w:pPr>
          </w:p>
        </w:tc>
      </w:tr>
      <w:tr>
        <w:trPr>
          <w:trHeight w:val="115"/>
        </w:trPr>
        <w:tc>
          <w:tcPr>
            <w:tcW w:w="166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Finance and Insurance</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27,276</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27,348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9.0%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15"/>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Senior Secured U.S. Notes</w:t>
            </w: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38,581</w:t>
            </w: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39,041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12.9%</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gridSpan w:val="15"/>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Second Lien Senior Secured</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20" w:type="dxa"/>
            <w:vAlign w:val="bottom"/>
            <w:tcBorders>
              <w:top w:val="single" w:sz="8" w:color="auto"/>
            </w:tcBorders>
            <w:gridSpan w:val="11"/>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340" w:type="dxa"/>
            <w:vAlign w:val="bottom"/>
            <w:gridSpan w:val="4"/>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FF0FC"/>
          </w:tcPr>
          <w:p>
            <w:pPr>
              <w:spacing w:after="0" w:line="20" w:lineRule="exact"/>
              <w:rPr>
                <w:sz w:val="1"/>
                <w:szCs w:val="1"/>
                <w:color w:val="auto"/>
              </w:rPr>
            </w:pPr>
          </w:p>
        </w:tc>
        <w:tc>
          <w:tcPr>
            <w:tcW w:w="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66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color w:val="auto"/>
              </w:rPr>
              <w:t>Remedy - Maryland Wellness,</w:t>
            </w: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7.7</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1,473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0.5%</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60" w:type="dxa"/>
            <w:vAlign w:val="bottom"/>
            <w:gridSpan w:val="15"/>
          </w:tcPr>
          <w:p>
            <w:pPr>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8"/>
              </w:rPr>
              <w:t>Delayed Draw 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20.25%</w:t>
            </w:r>
          </w:p>
        </w:tc>
        <w:tc>
          <w:tcPr>
            <w:tcW w:w="7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4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3.50%</w:t>
            </w:r>
          </w:p>
        </w:tc>
        <w:tc>
          <w:tcPr>
            <w:tcW w:w="120" w:type="dxa"/>
            <w:vAlign w:val="bottom"/>
          </w:tcPr>
          <w:p>
            <w:pPr>
              <w:spacing w:after="0"/>
              <w:rPr>
                <w:sz w:val="10"/>
                <w:szCs w:val="10"/>
                <w:color w:val="auto"/>
              </w:rPr>
            </w:pPr>
          </w:p>
        </w:tc>
        <w:tc>
          <w:tcPr>
            <w:tcW w:w="52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680" w:type="dxa"/>
            <w:vAlign w:val="bottom"/>
            <w:gridSpan w:val="3"/>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8/1/2028</w:t>
            </w:r>
          </w:p>
        </w:tc>
        <w:tc>
          <w:tcPr>
            <w:tcW w:w="20" w:type="dxa"/>
            <w:vAlign w:val="bottom"/>
          </w:tcPr>
          <w:p>
            <w:pPr>
              <w:spacing w:after="0"/>
              <w:rPr>
                <w:sz w:val="10"/>
                <w:szCs w:val="10"/>
                <w:color w:val="auto"/>
              </w:rPr>
            </w:pPr>
          </w:p>
        </w:tc>
        <w:tc>
          <w:tcPr>
            <w:tcW w:w="48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w w:val="96"/>
              </w:rPr>
              <w:t>1,466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700" w:type="dxa"/>
            <w:vAlign w:val="bottom"/>
            <w:gridSpan w:val="4"/>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15"/>
        </w:trPr>
        <w:tc>
          <w:tcPr>
            <w:tcW w:w="1660" w:type="dxa"/>
            <w:vAlign w:val="bottom"/>
            <w:tcBorders>
              <w:bottom w:val="single" w:sz="8" w:color="CFF0FC"/>
            </w:tcBorders>
            <w:gridSpan w:val="15"/>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1,466</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1,473</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0.5%</w:t>
            </w: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gridSpan w:val="15"/>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Second Lien Senior</w:t>
            </w: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1,466</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1,473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0.5%</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66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Secured U.S. Debt</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60" w:type="dxa"/>
            <w:vAlign w:val="bottom"/>
            <w:tcBorders>
              <w:left w:val="single" w:sz="8" w:color="CFF0FC"/>
            </w:tcBorders>
            <w:shd w:val="clear" w:color="auto" w:fill="CFF0FC"/>
          </w:tcPr>
          <w:p>
            <w:pPr>
              <w:spacing w:after="0"/>
              <w:rPr>
                <w:sz w:val="8"/>
                <w:szCs w:val="8"/>
                <w:color w:val="auto"/>
              </w:rPr>
            </w:pPr>
          </w:p>
        </w:tc>
        <w:tc>
          <w:tcPr>
            <w:tcW w:w="40" w:type="dxa"/>
            <w:vAlign w:val="bottom"/>
            <w:tcBorders>
              <w:right w:val="single" w:sz="8" w:color="CFF0FC"/>
            </w:tcBorders>
            <w:shd w:val="clear" w:color="auto" w:fill="CFF0FC"/>
          </w:tcPr>
          <w:p>
            <w:pPr>
              <w:spacing w:after="0"/>
              <w:rPr>
                <w:sz w:val="8"/>
                <w:szCs w:val="8"/>
                <w:color w:val="auto"/>
              </w:rPr>
            </w:pPr>
          </w:p>
        </w:tc>
        <w:tc>
          <w:tcPr>
            <w:tcW w:w="100" w:type="dxa"/>
            <w:vAlign w:val="bottom"/>
            <w:tcBorders>
              <w:lef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305,54</w:t>
            </w: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660" w:type="dxa"/>
            <w:vAlign w:val="bottom"/>
            <w:gridSpan w:val="15"/>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U.S. Corporate Debt</w:t>
            </w: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306,787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101.3%</w:t>
            </w: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gridSpan w:val="15"/>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9"/>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140" w:type="dxa"/>
            <w:vAlign w:val="bottom"/>
            <w:gridSpan w:val="2"/>
          </w:tcPr>
          <w:p>
            <w:pPr>
              <w:spacing w:after="0"/>
              <w:rPr>
                <w:sz w:val="8"/>
                <w:szCs w:val="8"/>
                <w:color w:val="auto"/>
              </w:rPr>
            </w:pPr>
          </w:p>
        </w:tc>
        <w:tc>
          <w:tcPr>
            <w:tcW w:w="3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0" w:type="dxa"/>
            <w:vAlign w:val="bottom"/>
            <w:tcBorders>
              <w:top w:val="single" w:sz="8" w:color="auto"/>
            </w:tcBorders>
            <w:gridSpan w:val="7"/>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880" w:type="dxa"/>
            <w:vAlign w:val="bottom"/>
            <w:gridSpan w:val="8"/>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8.0</w:t>
            </w:r>
          </w:p>
        </w:tc>
        <w:tc>
          <w:tcPr>
            <w:tcW w:w="220" w:type="dxa"/>
            <w:vAlign w:val="bottom"/>
            <w:tcBorders>
              <w:top w:val="single" w:sz="8" w:color="CFF0FC"/>
            </w:tcBorders>
          </w:tcPr>
          <w:p>
            <w:pPr>
              <w:spacing w:after="0"/>
              <w:rPr>
                <w:sz w:val="8"/>
                <w:szCs w:val="8"/>
                <w:color w:val="auto"/>
              </w:rPr>
            </w:pPr>
          </w:p>
        </w:tc>
        <w:tc>
          <w:tcPr>
            <w:tcW w:w="6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3,076</w:t>
            </w:r>
          </w:p>
        </w:tc>
        <w:tc>
          <w:tcPr>
            <w:tcW w:w="1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3,061</w:t>
            </w: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740" w:type="dxa"/>
            <w:vAlign w:val="bottom"/>
            <w:tcBorders>
              <w:top w:val="single" w:sz="8" w:color="CFF0FC"/>
            </w:tcBorders>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1.0%</w:t>
            </w:r>
          </w:p>
        </w:tc>
        <w:tc>
          <w:tcPr>
            <w:tcW w:w="6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60" w:type="dxa"/>
            <w:vAlign w:val="bottom"/>
            <w:gridSpan w:val="15"/>
          </w:tcPr>
          <w:p>
            <w:pPr>
              <w:spacing w:after="0" w:line="122" w:lineRule="exact"/>
              <w:rPr>
                <w:sz w:val="20"/>
                <w:szCs w:val="20"/>
                <w:color w:val="auto"/>
              </w:rPr>
            </w:pPr>
            <w:r>
              <w:rPr>
                <w:rFonts w:ascii="Times New Roman" w:cs="Times New Roman" w:eastAsia="Times New Roman" w:hAnsi="Times New Roman"/>
                <w:sz w:val="11"/>
                <w:szCs w:val="11"/>
                <w:color w:val="auto"/>
              </w:rPr>
              <w:t>Tulip.io Inc.</w:t>
            </w: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9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7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4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120" w:type="dxa"/>
            <w:vAlign w:val="bottom"/>
          </w:tcPr>
          <w:p>
            <w:pPr>
              <w:spacing w:after="0"/>
              <w:rPr>
                <w:sz w:val="10"/>
                <w:szCs w:val="10"/>
                <w:color w:val="auto"/>
              </w:rPr>
            </w:pPr>
          </w:p>
        </w:tc>
        <w:tc>
          <w:tcPr>
            <w:tcW w:w="52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11/4/2024</w:t>
            </w:r>
          </w:p>
        </w:tc>
        <w:tc>
          <w:tcPr>
            <w:tcW w:w="680" w:type="dxa"/>
            <w:vAlign w:val="bottom"/>
            <w:gridSpan w:val="3"/>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8"/>
              </w:rPr>
              <w:t>11/4/2028</w:t>
            </w:r>
          </w:p>
        </w:tc>
        <w:tc>
          <w:tcPr>
            <w:tcW w:w="20" w:type="dxa"/>
            <w:vAlign w:val="bottom"/>
          </w:tcPr>
          <w:p>
            <w:pPr>
              <w:spacing w:after="0"/>
              <w:rPr>
                <w:sz w:val="10"/>
                <w:szCs w:val="10"/>
                <w:color w:val="auto"/>
              </w:rPr>
            </w:pPr>
          </w:p>
        </w:tc>
        <w:tc>
          <w:tcPr>
            <w:tcW w:w="48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w w:val="96"/>
              </w:rPr>
              <w:t>3,076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700" w:type="dxa"/>
            <w:vAlign w:val="bottom"/>
            <w:gridSpan w:val="4"/>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15"/>
        </w:trPr>
        <w:tc>
          <w:tcPr>
            <w:tcW w:w="1660" w:type="dxa"/>
            <w:vAlign w:val="bottom"/>
            <w:tcBorders>
              <w:bottom w:val="single" w:sz="8" w:color="CFF0FC"/>
            </w:tcBorders>
            <w:gridSpan w:val="15"/>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3,076</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3,061</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gridSpan w:val="15"/>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 Secured</w:t>
            </w: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3,076</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3,061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66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CFF0FC"/>
            </w:tcBorders>
            <w:gridSpan w:val="15"/>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Canadian Corporate Debt</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3,076</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3,061</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308,62</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660" w:type="dxa"/>
            <w:vAlign w:val="bottom"/>
            <w:gridSpan w:val="15"/>
          </w:tcPr>
          <w:p>
            <w:pPr>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309,848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102.3%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3"/>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rPr>
              <w:t>Fair</w:t>
            </w:r>
          </w:p>
        </w:tc>
        <w:tc>
          <w:tcPr>
            <w:tcW w:w="160" w:type="dxa"/>
            <w:vAlign w:val="bottom"/>
          </w:tcPr>
          <w:p>
            <w:pPr>
              <w:spacing w:after="0"/>
              <w:rPr>
                <w:sz w:val="10"/>
                <w:szCs w:val="10"/>
                <w:color w:val="auto"/>
              </w:rPr>
            </w:pPr>
          </w:p>
        </w:tc>
        <w:tc>
          <w:tcPr>
            <w:tcW w:w="58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b w:val="1"/>
                <w:bCs w:val="1"/>
                <w:color w:val="auto"/>
              </w:rPr>
              <w:t>% of</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13"/>
          </w:tcPr>
          <w:p>
            <w:pPr>
              <w:ind w:left="3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Class Series</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Net Assets</w:t>
            </w: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2"/>
        </w:trPr>
        <w:tc>
          <w:tcPr>
            <w:tcW w:w="1660" w:type="dxa"/>
            <w:vAlign w:val="bottom"/>
            <w:gridSpan w:val="15"/>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U.S. Preferred Stock</w:t>
            </w: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700" w:type="dxa"/>
            <w:vAlign w:val="bottom"/>
            <w:gridSpan w:val="4"/>
            <w:shd w:val="clear" w:color="auto" w:fill="CFF0FC"/>
          </w:tcPr>
          <w:p>
            <w:pPr>
              <w:jc w:val="center"/>
              <w:ind w:left="86"/>
              <w:spacing w:after="0" w:line="102"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0" w:type="dxa"/>
            <w:vAlign w:val="bottom"/>
          </w:tcPr>
          <w:p>
            <w:pPr>
              <w:spacing w:after="0"/>
              <w:rPr>
                <w:sz w:val="8"/>
                <w:szCs w:val="8"/>
                <w:color w:val="auto"/>
              </w:rPr>
            </w:pPr>
          </w:p>
        </w:tc>
        <w:tc>
          <w:tcPr>
            <w:tcW w:w="1620" w:type="dxa"/>
            <w:vAlign w:val="bottom"/>
            <w:gridSpan w:val="14"/>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Real Estate and Rental and</w:t>
            </w: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300" w:type="dxa"/>
            <w:vAlign w:val="bottom"/>
            <w:tcBorders>
              <w:top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Leasing</w:t>
            </w:r>
          </w:p>
        </w:tc>
        <w:tc>
          <w:tcPr>
            <w:tcW w:w="3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60" w:type="dxa"/>
            <w:vAlign w:val="bottom"/>
            <w:tcBorders>
              <w:bottom w:val="single" w:sz="8" w:color="CFF0FC"/>
            </w:tcBorders>
            <w:gridSpan w:val="15"/>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A-1 Preferred</w:t>
            </w: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gridSpan w:val="3"/>
            <w:shd w:val="clear" w:color="auto" w:fill="CFF0FC"/>
          </w:tcPr>
          <w:p>
            <w:pPr>
              <w:ind w:left="220"/>
              <w:spacing w:after="0" w:line="115" w:lineRule="exact"/>
              <w:rPr>
                <w:sz w:val="20"/>
                <w:szCs w:val="20"/>
                <w:color w:val="auto"/>
              </w:rPr>
            </w:pPr>
            <w:r>
              <w:rPr>
                <w:rFonts w:ascii="Times New Roman" w:cs="Times New Roman" w:eastAsia="Times New Roman" w:hAnsi="Times New Roman"/>
                <w:sz w:val="11"/>
                <w:szCs w:val="11"/>
                <w:color w:val="auto"/>
                <w:w w:val="94"/>
              </w:rPr>
              <w:t>358,950</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0.2%</w:t>
            </w:r>
          </w:p>
        </w:tc>
        <w:tc>
          <w:tcPr>
            <w:tcW w:w="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CFF0FC"/>
            </w:tcBorders>
            <w:gridSpan w:val="3"/>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660" w:type="dxa"/>
            <w:vAlign w:val="bottom"/>
            <w:gridSpan w:val="15"/>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Real Estate and Rental and</w:t>
            </w: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500</w:t>
            </w:r>
          </w:p>
        </w:tc>
        <w:tc>
          <w:tcPr>
            <w:tcW w:w="40" w:type="dxa"/>
            <w:vAlign w:val="bottom"/>
          </w:tcPr>
          <w:p>
            <w:pPr>
              <w:spacing w:after="0"/>
              <w:rPr>
                <w:sz w:val="8"/>
                <w:szCs w:val="8"/>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500</w:t>
            </w:r>
          </w:p>
        </w:tc>
        <w:tc>
          <w:tcPr>
            <w:tcW w:w="80" w:type="dxa"/>
            <w:vAlign w:val="bottom"/>
          </w:tcPr>
          <w:p>
            <w:pPr>
              <w:spacing w:after="0"/>
              <w:rPr>
                <w:sz w:val="8"/>
                <w:szCs w:val="8"/>
                <w:color w:val="auto"/>
              </w:rPr>
            </w:pPr>
          </w:p>
        </w:tc>
        <w:tc>
          <w:tcPr>
            <w:tcW w:w="74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0.2%</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60" w:type="dxa"/>
            <w:vAlign w:val="bottom"/>
            <w:gridSpan w:val="15"/>
            <w:vMerge w:val="restart"/>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Leasing</w:t>
            </w: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660" w:type="dxa"/>
            <w:vAlign w:val="bottom"/>
            <w:gridSpan w:val="15"/>
            <w:vMerge w:val="continue"/>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660" w:type="dxa"/>
            <w:vAlign w:val="bottom"/>
            <w:gridSpan w:val="15"/>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U.S. Preferred Stock</w:t>
            </w: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4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gridSpan w:val="15"/>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U .S. Warrants</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gridSpan w:val="4"/>
          </w:tcPr>
          <w:p>
            <w:pPr>
              <w:jc w:val="center"/>
              <w:ind w:left="86"/>
              <w:spacing w:after="0" w:line="108"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102"/>
        </w:trPr>
        <w:tc>
          <w:tcPr>
            <w:tcW w:w="40" w:type="dxa"/>
            <w:vAlign w:val="bottom"/>
            <w:tcBorders>
              <w:top w:val="single" w:sz="8" w:color="auto"/>
            </w:tcBorders>
            <w:shd w:val="clear" w:color="auto" w:fill="CFF0FC"/>
          </w:tcPr>
          <w:p>
            <w:pPr>
              <w:spacing w:after="0"/>
              <w:rPr>
                <w:sz w:val="8"/>
                <w:szCs w:val="8"/>
                <w:color w:val="auto"/>
              </w:rPr>
            </w:pPr>
          </w:p>
        </w:tc>
        <w:tc>
          <w:tcPr>
            <w:tcW w:w="660" w:type="dxa"/>
            <w:vAlign w:val="bottom"/>
            <w:tcBorders>
              <w:top w:val="single" w:sz="8" w:color="auto"/>
            </w:tcBorders>
            <w:gridSpan w:val="4"/>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960" w:type="dxa"/>
            <w:vAlign w:val="bottom"/>
            <w:gridSpan w:val="10"/>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6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color w:val="auto"/>
              </w:rPr>
              <w:t>AI Software, LLC (d/b/a Capacity)</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Warrants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8"/>
              </w:rPr>
              <w:t>6/13/2025</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ind w:left="220"/>
              <w:spacing w:after="0" w:line="115" w:lineRule="exact"/>
              <w:rPr>
                <w:sz w:val="20"/>
                <w:szCs w:val="20"/>
                <w:color w:val="auto"/>
              </w:rPr>
            </w:pPr>
            <w:r>
              <w:rPr>
                <w:rFonts w:ascii="Times New Roman" w:cs="Times New Roman" w:eastAsia="Times New Roman" w:hAnsi="Times New Roman"/>
                <w:sz w:val="11"/>
                <w:szCs w:val="11"/>
                <w:color w:val="auto"/>
                <w:w w:val="94"/>
              </w:rPr>
              <w:t>139,435</w:t>
            </w:r>
          </w:p>
        </w:tc>
        <w:tc>
          <w:tcPr>
            <w:tcW w:w="120" w:type="dxa"/>
            <w:vAlign w:val="bottom"/>
          </w:tcPr>
          <w:p>
            <w:pPr>
              <w:spacing w:after="0"/>
              <w:rPr>
                <w:sz w:val="10"/>
                <w:szCs w:val="10"/>
                <w:color w:val="auto"/>
              </w:rPr>
            </w:pPr>
          </w:p>
        </w:tc>
        <w:tc>
          <w:tcPr>
            <w:tcW w:w="64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431</w:t>
            </w:r>
          </w:p>
        </w:tc>
        <w:tc>
          <w:tcPr>
            <w:tcW w:w="40" w:type="dxa"/>
            <w:vAlign w:val="bottom"/>
          </w:tcPr>
          <w:p>
            <w:pPr>
              <w:spacing w:after="0"/>
              <w:rPr>
                <w:sz w:val="10"/>
                <w:szCs w:val="10"/>
                <w:color w:val="auto"/>
              </w:rPr>
            </w:pPr>
          </w:p>
        </w:tc>
        <w:tc>
          <w:tcPr>
            <w:tcW w:w="66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491</w:t>
            </w:r>
          </w:p>
        </w:tc>
        <w:tc>
          <w:tcPr>
            <w:tcW w:w="80" w:type="dxa"/>
            <w:vAlign w:val="bottom"/>
          </w:tcPr>
          <w:p>
            <w:pPr>
              <w:spacing w:after="0"/>
              <w:rPr>
                <w:sz w:val="10"/>
                <w:szCs w:val="10"/>
                <w:color w:val="auto"/>
              </w:rPr>
            </w:pPr>
          </w:p>
        </w:tc>
        <w:tc>
          <w:tcPr>
            <w:tcW w:w="740" w:type="dxa"/>
            <w:vAlign w:val="bottom"/>
            <w:gridSpan w:val="2"/>
          </w:tcPr>
          <w:p>
            <w:pPr>
              <w:jc w:val="center"/>
              <w:ind w:left="146"/>
              <w:spacing w:after="0" w:line="115" w:lineRule="exact"/>
              <w:rPr>
                <w:sz w:val="20"/>
                <w:szCs w:val="20"/>
                <w:color w:val="auto"/>
              </w:rPr>
            </w:pPr>
            <w:r>
              <w:rPr>
                <w:rFonts w:ascii="Times New Roman" w:cs="Times New Roman" w:eastAsia="Times New Roman" w:hAnsi="Times New Roman"/>
                <w:sz w:val="11"/>
                <w:szCs w:val="11"/>
                <w:color w:val="auto"/>
                <w:w w:val="95"/>
              </w:rPr>
              <w:t>0.2%</w:t>
            </w:r>
          </w:p>
        </w:tc>
        <w:tc>
          <w:tcPr>
            <w:tcW w:w="700" w:type="dxa"/>
            <w:vAlign w:val="bottom"/>
            <w:gridSpan w:val="4"/>
          </w:tcPr>
          <w:p>
            <w:pPr>
              <w:jc w:val="center"/>
              <w:ind w:left="106"/>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1660" w:type="dxa"/>
            <w:vAlign w:val="bottom"/>
            <w:tcBorders>
              <w:bottom w:val="single" w:sz="8" w:color="CFF0FC"/>
            </w:tcBorders>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Engage3 Holdings, Inc.</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Warrants</w:t>
            </w: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7/22/2025</w:t>
            </w: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gridSpan w:val="3"/>
            <w:shd w:val="clear" w:color="auto" w:fill="CFF0FC"/>
          </w:tcPr>
          <w:p>
            <w:pPr>
              <w:ind w:left="220"/>
              <w:spacing w:after="0" w:line="122" w:lineRule="exact"/>
              <w:rPr>
                <w:sz w:val="20"/>
                <w:szCs w:val="20"/>
                <w:color w:val="auto"/>
              </w:rPr>
            </w:pPr>
            <w:r>
              <w:rPr>
                <w:rFonts w:ascii="Times New Roman" w:cs="Times New Roman" w:eastAsia="Times New Roman" w:hAnsi="Times New Roman"/>
                <w:sz w:val="11"/>
                <w:szCs w:val="11"/>
                <w:color w:val="auto"/>
                <w:w w:val="94"/>
              </w:rPr>
              <w:t>342,439</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w:t>
            </w:r>
          </w:p>
        </w:tc>
        <w:tc>
          <w:tcPr>
            <w:tcW w:w="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342</w:t>
            </w: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0.1%</w:t>
            </w:r>
          </w:p>
        </w:tc>
        <w:tc>
          <w:tcPr>
            <w:tcW w:w="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CFF0FC"/>
            </w:tcBorders>
            <w:gridSpan w:val="3"/>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15"/>
        </w:trPr>
        <w:tc>
          <w:tcPr>
            <w:tcW w:w="1660" w:type="dxa"/>
            <w:vAlign w:val="bottom"/>
            <w:gridSpan w:val="15"/>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773</w:t>
            </w:r>
          </w:p>
        </w:tc>
        <w:tc>
          <w:tcPr>
            <w:tcW w:w="40" w:type="dxa"/>
            <w:vAlign w:val="bottom"/>
          </w:tcPr>
          <w:p>
            <w:pPr>
              <w:spacing w:after="0"/>
              <w:rPr>
                <w:sz w:val="10"/>
                <w:szCs w:val="10"/>
                <w:color w:val="auto"/>
              </w:rPr>
            </w:pPr>
          </w:p>
        </w:tc>
        <w:tc>
          <w:tcPr>
            <w:tcW w:w="66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833</w:t>
            </w:r>
          </w:p>
        </w:tc>
        <w:tc>
          <w:tcPr>
            <w:tcW w:w="80" w:type="dxa"/>
            <w:vAlign w:val="bottom"/>
          </w:tcPr>
          <w:p>
            <w:pPr>
              <w:spacing w:after="0"/>
              <w:rPr>
                <w:sz w:val="10"/>
                <w:szCs w:val="10"/>
                <w:color w:val="auto"/>
              </w:rPr>
            </w:pPr>
          </w:p>
        </w:tc>
        <w:tc>
          <w:tcPr>
            <w:tcW w:w="7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CFF0FC"/>
          </w:tcPr>
          <w:p>
            <w:pPr>
              <w:spacing w:after="0"/>
              <w:rPr>
                <w:sz w:val="9"/>
                <w:szCs w:val="9"/>
                <w:color w:val="auto"/>
              </w:rPr>
            </w:pPr>
          </w:p>
        </w:tc>
        <w:tc>
          <w:tcPr>
            <w:tcW w:w="1620" w:type="dxa"/>
            <w:vAlign w:val="bottom"/>
            <w:gridSpan w:val="14"/>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Real Estate and Rental and</w:t>
            </w: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0" w:type="dxa"/>
            <w:vAlign w:val="bottom"/>
            <w:tcBorders>
              <w:top w:val="single" w:sz="8" w:color="CFF0FC"/>
            </w:tcBorders>
            <w:shd w:val="clear" w:color="auto" w:fill="CFF0FC"/>
          </w:tcPr>
          <w:p>
            <w:pPr>
              <w:spacing w:after="0"/>
              <w:rPr>
                <w:sz w:val="8"/>
                <w:szCs w:val="8"/>
                <w:color w:val="auto"/>
              </w:rPr>
            </w:pPr>
          </w:p>
        </w:tc>
        <w:tc>
          <w:tcPr>
            <w:tcW w:w="1300" w:type="dxa"/>
            <w:vAlign w:val="bottom"/>
            <w:tcBorders>
              <w:top w:val="single" w:sz="8" w:color="auto"/>
            </w:tcBorders>
            <w:gridSpan w:val="11"/>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Leasing</w:t>
            </w:r>
          </w:p>
        </w:tc>
        <w:tc>
          <w:tcPr>
            <w:tcW w:w="320" w:type="dxa"/>
            <w:vAlign w:val="bottom"/>
            <w:tcBorders>
              <w:top w:val="single" w:sz="8" w:color="CFF0FC"/>
            </w:tcBorders>
            <w:gridSpan w:val="3"/>
            <w:shd w:val="clear" w:color="auto" w:fill="CFF0FC"/>
          </w:tcPr>
          <w:p>
            <w:pPr>
              <w:spacing w:after="0"/>
              <w:rPr>
                <w:sz w:val="8"/>
                <w:szCs w:val="8"/>
                <w:color w:val="auto"/>
              </w:rPr>
            </w:pPr>
          </w:p>
        </w:tc>
        <w:tc>
          <w:tcPr>
            <w:tcW w:w="11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CFF0FC"/>
            </w:tcBorders>
            <w:shd w:val="clear" w:color="auto" w:fill="CFF0FC"/>
          </w:tcPr>
          <w:p>
            <w:pPr>
              <w:spacing w:after="0"/>
              <w:rPr>
                <w:sz w:val="8"/>
                <w:szCs w:val="8"/>
                <w:color w:val="auto"/>
              </w:rPr>
            </w:pPr>
          </w:p>
        </w:tc>
        <w:tc>
          <w:tcPr>
            <w:tcW w:w="36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54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6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A-3 Warrants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ind w:left="220"/>
              <w:spacing w:after="0" w:line="115" w:lineRule="exact"/>
              <w:rPr>
                <w:sz w:val="20"/>
                <w:szCs w:val="20"/>
                <w:color w:val="auto"/>
              </w:rPr>
            </w:pPr>
            <w:r>
              <w:rPr>
                <w:rFonts w:ascii="Times New Roman" w:cs="Times New Roman" w:eastAsia="Times New Roman" w:hAnsi="Times New Roman"/>
                <w:sz w:val="11"/>
                <w:szCs w:val="11"/>
                <w:color w:val="auto"/>
                <w:w w:val="94"/>
              </w:rPr>
              <w:t>791,258</w:t>
            </w:r>
          </w:p>
        </w:tc>
        <w:tc>
          <w:tcPr>
            <w:tcW w:w="120" w:type="dxa"/>
            <w:vAlign w:val="bottom"/>
          </w:tcPr>
          <w:p>
            <w:pPr>
              <w:spacing w:after="0"/>
              <w:rPr>
                <w:sz w:val="10"/>
                <w:szCs w:val="10"/>
                <w:color w:val="auto"/>
              </w:rPr>
            </w:pPr>
          </w:p>
        </w:tc>
        <w:tc>
          <w:tcPr>
            <w:tcW w:w="64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97</w:t>
            </w:r>
          </w:p>
        </w:tc>
        <w:tc>
          <w:tcPr>
            <w:tcW w:w="40" w:type="dxa"/>
            <w:vAlign w:val="bottom"/>
          </w:tcPr>
          <w:p>
            <w:pPr>
              <w:spacing w:after="0"/>
              <w:rPr>
                <w:sz w:val="10"/>
                <w:szCs w:val="10"/>
                <w:color w:val="auto"/>
              </w:rPr>
            </w:pPr>
          </w:p>
        </w:tc>
        <w:tc>
          <w:tcPr>
            <w:tcW w:w="66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0"/>
                <w:szCs w:val="10"/>
                <w:color w:val="auto"/>
              </w:rPr>
            </w:pPr>
          </w:p>
        </w:tc>
        <w:tc>
          <w:tcPr>
            <w:tcW w:w="740" w:type="dxa"/>
            <w:vAlign w:val="bottom"/>
            <w:gridSpan w:val="2"/>
          </w:tcPr>
          <w:p>
            <w:pPr>
              <w:jc w:val="center"/>
              <w:ind w:left="146"/>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700" w:type="dxa"/>
            <w:vAlign w:val="bottom"/>
            <w:gridSpan w:val="4"/>
          </w:tcPr>
          <w:p>
            <w:pPr>
              <w:jc w:val="center"/>
              <w:ind w:left="106"/>
              <w:spacing w:after="0" w:line="115"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1660" w:type="dxa"/>
            <w:vAlign w:val="bottom"/>
            <w:tcBorders>
              <w:bottom w:val="single" w:sz="8" w:color="CFF0FC"/>
            </w:tcBorders>
            <w:gridSpan w:val="15"/>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Workbox Holdings, Inc.</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A-4 Warrants</w:t>
            </w: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gridSpan w:val="3"/>
            <w:shd w:val="clear" w:color="auto" w:fill="CFF0FC"/>
          </w:tcPr>
          <w:p>
            <w:pPr>
              <w:ind w:left="220"/>
              <w:spacing w:after="0" w:line="122" w:lineRule="exact"/>
              <w:rPr>
                <w:sz w:val="20"/>
                <w:szCs w:val="20"/>
                <w:color w:val="auto"/>
              </w:rPr>
            </w:pPr>
            <w:r>
              <w:rPr>
                <w:rFonts w:ascii="Times New Roman" w:cs="Times New Roman" w:eastAsia="Times New Roman" w:hAnsi="Times New Roman"/>
                <w:sz w:val="11"/>
                <w:szCs w:val="11"/>
                <w:color w:val="auto"/>
                <w:w w:val="94"/>
              </w:rPr>
              <w:t>520,814</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231</w:t>
            </w:r>
          </w:p>
        </w:tc>
        <w:tc>
          <w:tcPr>
            <w:tcW w:w="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CFF0FC"/>
            </w:tcBorders>
            <w:gridSpan w:val="3"/>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99"/>
        </w:trPr>
        <w:tc>
          <w:tcPr>
            <w:tcW w:w="1660" w:type="dxa"/>
            <w:vAlign w:val="bottom"/>
            <w:gridSpan w:val="15"/>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Real Estate and Rental and</w:t>
            </w: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328</w:t>
            </w:r>
          </w:p>
        </w:tc>
        <w:tc>
          <w:tcPr>
            <w:tcW w:w="40" w:type="dxa"/>
            <w:vAlign w:val="bottom"/>
          </w:tcPr>
          <w:p>
            <w:pPr>
              <w:spacing w:after="0"/>
              <w:rPr>
                <w:sz w:val="8"/>
                <w:szCs w:val="8"/>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159</w:t>
            </w:r>
          </w:p>
        </w:tc>
        <w:tc>
          <w:tcPr>
            <w:tcW w:w="80" w:type="dxa"/>
            <w:vAlign w:val="bottom"/>
          </w:tcPr>
          <w:p>
            <w:pPr>
              <w:spacing w:after="0"/>
              <w:rPr>
                <w:sz w:val="8"/>
                <w:szCs w:val="8"/>
                <w:color w:val="auto"/>
              </w:rPr>
            </w:pPr>
          </w:p>
        </w:tc>
        <w:tc>
          <w:tcPr>
            <w:tcW w:w="740" w:type="dxa"/>
            <w:vAlign w:val="bottom"/>
            <w:gridSpan w:val="2"/>
            <w:vMerge w:val="restart"/>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60" w:type="dxa"/>
            <w:vAlign w:val="bottom"/>
            <w:gridSpan w:val="15"/>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Leasing</w:t>
            </w: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660" w:type="dxa"/>
            <w:vAlign w:val="bottom"/>
            <w:gridSpan w:val="15"/>
            <w:vMerge w:val="continue"/>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CFF0FC"/>
          </w:tcPr>
          <w:p>
            <w:pPr>
              <w:spacing w:after="0"/>
              <w:rPr>
                <w:sz w:val="9"/>
                <w:szCs w:val="9"/>
                <w:color w:val="auto"/>
              </w:rPr>
            </w:pPr>
          </w:p>
        </w:tc>
        <w:tc>
          <w:tcPr>
            <w:tcW w:w="1620" w:type="dxa"/>
            <w:vAlign w:val="bottom"/>
            <w:gridSpan w:val="14"/>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Retail Trade</w:t>
            </w:r>
          </w:p>
        </w:tc>
        <w:tc>
          <w:tcPr>
            <w:tcW w:w="1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66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color w:val="auto"/>
              </w:rPr>
              <w:t>Portofino Labs, Inc. (dba Because</w:t>
            </w: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4"/>
              </w:rPr>
              <w:t>Warrants</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40" w:type="dxa"/>
            <w:vAlign w:val="bottom"/>
          </w:tcPr>
          <w:p>
            <w:pPr>
              <w:spacing w:after="0"/>
              <w:rPr>
                <w:sz w:val="8"/>
                <w:szCs w:val="8"/>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8"/>
                <w:szCs w:val="8"/>
                <w:color w:val="auto"/>
              </w:rPr>
            </w:pPr>
          </w:p>
        </w:tc>
        <w:tc>
          <w:tcPr>
            <w:tcW w:w="74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0.0%</w:t>
            </w:r>
          </w:p>
        </w:tc>
        <w:tc>
          <w:tcPr>
            <w:tcW w:w="700" w:type="dxa"/>
            <w:vAlign w:val="bottom"/>
            <w:gridSpan w:val="4"/>
            <w:vMerge w:val="restart"/>
          </w:tcPr>
          <w:p>
            <w:pPr>
              <w:jc w:val="center"/>
              <w:ind w:left="10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73"/>
        </w:trPr>
        <w:tc>
          <w:tcPr>
            <w:tcW w:w="1660" w:type="dxa"/>
            <w:vAlign w:val="bottom"/>
            <w:gridSpan w:val="15"/>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Market)</w:t>
            </w: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660" w:type="dxa"/>
            <w:vAlign w:val="bottom"/>
            <w:gridSpan w:val="15"/>
            <w:vMerge w:val="continue"/>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CFF0FC"/>
            </w:tcBorders>
            <w:gridSpan w:val="15"/>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Retail Trade</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w:t>
            </w:r>
          </w:p>
        </w:tc>
        <w:tc>
          <w:tcPr>
            <w:tcW w:w="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53</w:t>
            </w: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15"/>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U.S. Warrants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1,147</w:t>
            </w:r>
          </w:p>
        </w:tc>
        <w:tc>
          <w:tcPr>
            <w:tcW w:w="40" w:type="dxa"/>
            <w:vAlign w:val="bottom"/>
          </w:tcPr>
          <w:p>
            <w:pPr>
              <w:spacing w:after="0"/>
              <w:rPr>
                <w:sz w:val="10"/>
                <w:szCs w:val="10"/>
                <w:color w:val="auto"/>
              </w:rPr>
            </w:pPr>
          </w:p>
        </w:tc>
        <w:tc>
          <w:tcPr>
            <w:tcW w:w="66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1,045</w:t>
            </w:r>
          </w:p>
        </w:tc>
        <w:tc>
          <w:tcPr>
            <w:tcW w:w="80" w:type="dxa"/>
            <w:vAlign w:val="bottom"/>
          </w:tcPr>
          <w:p>
            <w:pPr>
              <w:spacing w:after="0"/>
              <w:rPr>
                <w:sz w:val="10"/>
                <w:szCs w:val="10"/>
                <w:color w:val="auto"/>
              </w:rPr>
            </w:pPr>
          </w:p>
        </w:tc>
        <w:tc>
          <w:tcPr>
            <w:tcW w:w="74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right w:val="single" w:sz="8" w:color="CFF0FC"/>
            </w:tcBorders>
            <w:gridSpan w:val="8"/>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Canadian Warrants</w:t>
            </w:r>
          </w:p>
        </w:tc>
        <w:tc>
          <w:tcPr>
            <w:tcW w:w="700" w:type="dxa"/>
            <w:vAlign w:val="bottom"/>
            <w:tcBorders>
              <w:bottom w:val="single" w:sz="8" w:color="CFF0FC"/>
            </w:tcBorders>
            <w:gridSpan w:val="7"/>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4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4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36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gridSpan w:val="4"/>
            <w:shd w:val="clear" w:color="auto" w:fill="CFF0FC"/>
          </w:tcPr>
          <w:p>
            <w:pPr>
              <w:jc w:val="center"/>
              <w:ind w:left="86"/>
              <w:spacing w:after="0" w:line="108" w:lineRule="exact"/>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620" w:type="dxa"/>
            <w:vAlign w:val="bottom"/>
            <w:gridSpan w:val="14"/>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60" w:type="dxa"/>
            <w:vAlign w:val="bottom"/>
            <w:tcBorders>
              <w:bottom w:val="single" w:sz="8" w:color="CFF0FC"/>
            </w:tcBorders>
            <w:gridSpan w:val="15"/>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Tulip.io Inc.</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Warrants</w:t>
            </w: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8"/>
              </w:rPr>
              <w:t>11/4/2024</w:t>
            </w: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0.0%</w:t>
            </w:r>
          </w:p>
        </w:tc>
        <w:tc>
          <w:tcPr>
            <w:tcW w:w="6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CFF0FC"/>
            </w:tcBorders>
            <w:gridSpan w:val="3"/>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115"/>
        </w:trPr>
        <w:tc>
          <w:tcPr>
            <w:tcW w:w="1660" w:type="dxa"/>
            <w:vAlign w:val="bottom"/>
            <w:gridSpan w:val="15"/>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CFF0FC"/>
            </w:tcBorders>
            <w:gridSpan w:val="15"/>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Canadian Warrants</w:t>
            </w:r>
          </w:p>
        </w:tc>
        <w:tc>
          <w:tcPr>
            <w:tcW w:w="1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6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15"/>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Total Equity Investments</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1,647</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1,545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0.5%</w:t>
            </w: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15"/>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w:t>
            </w: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310,270</w:t>
            </w:r>
          </w:p>
        </w:tc>
        <w:tc>
          <w:tcPr>
            <w:tcW w:w="4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311,393</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4"/>
              </w:rPr>
              <w:t>102.8%</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-4962525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-4962525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-4962525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-4499610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-4499610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-4499610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-3942715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-3942715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-3942715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-3162300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-3162300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-3162300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-2922270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-2922270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-2922270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-2073910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-2073910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-2073910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-1525270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-1525270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-1525270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-1130935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-1130935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-1130935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-659130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-659130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-659130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-342265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-342265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-342265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Legend</w:t>
      </w:r>
    </w:p>
    <w:p>
      <w:pPr>
        <w:spacing w:after="0" w:line="31" w:lineRule="exact"/>
        <w:rPr>
          <w:sz w:val="20"/>
          <w:szCs w:val="20"/>
          <w:color w:val="auto"/>
        </w:rPr>
      </w:pPr>
    </w:p>
    <w:p>
      <w:pPr>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indicated, all securities are valued using significant unobservable inputs, which are categorized as Level 3 assets under the Financial Accounting Standards Board’s Accounting Standards Codification 820, </w:t>
      </w:r>
      <w:r>
        <w:rPr>
          <w:rFonts w:ascii="Times New Roman" w:cs="Times New Roman" w:eastAsia="Times New Roman" w:hAnsi="Times New Roman"/>
          <w:sz w:val="18"/>
          <w:szCs w:val="18"/>
          <w:i w:val="1"/>
          <w:iCs w:val="1"/>
          <w:color w:val="auto"/>
        </w:rPr>
        <w:t>Fair Value Hierarchy.</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represents the outstanding principal balance net of repayments, if any, as per the terms of the debt instrument’s contract.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September 30, 2025, rates for 1M S, 3M S and 6M S are 4.31%, 4.35%, and 4.37%, respectively. As of September 30, 2025, the P was 7.25%.</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were valued at fair value. See "Note 4 — Fair Value of Financial Instruments" in the accompanying notes to the financial statements.</w:t>
      </w:r>
    </w:p>
    <w:p>
      <w:pPr>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non-income producing investment. As of September 30, 2025, no debt investments are deemed as non-income producing.</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regions are determined by the respective portfolio company’s headquarters’ location.</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portfolio company’s headquarters is located outside of the United States.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Northeast.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Midwest.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Southwest.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September 30, 2025, the aggregate fair value of non-qualifying assets is $14,266,605 or 4.36% of the Company’s total assets.</w:t>
      </w:r>
    </w:p>
    <w:p>
      <w:pPr>
        <w:spacing w:after="0" w:line="1"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any accretion of discounts, amortization of premiums and payment-in-kind ("PIK") interest or dividends.</w:t>
      </w:r>
    </w:p>
    <w:p>
      <w:pPr>
        <w:jc w:val="both"/>
        <w:ind w:left="5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as amended, the Company generally is deemed to be an “affiliated person” of a portfolio company if it owns 5% or more of the portfolio company’s voting securities and is generally deemed to “control” a portfolio company if it owns more than 25% of the portfolio company’s voting securities or it has the power to exercise control over the management or policies of such portfolio company. As of September 30, 2025, the Company did not hold investments in portfolio companies of which it is deemed to be an “affiliated person” nor deemed to “control” a portfolio company.</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pledged as collateral for the Revolving Line of Credit (as defined below). See "Note 5 - Debt."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has an all in rate cap of 16.75%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has a prime rate cap of 9.50%.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PIK - Payment-In-Kind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 SOFR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CHICAGO ATLANTIC BDC, INC.</w:t>
      </w:r>
    </w:p>
    <w:p>
      <w:pPr>
        <w:spacing w:after="0" w:line="23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Facility Type</w:t>
            </w:r>
          </w:p>
        </w:tc>
        <w:tc>
          <w:tcPr>
            <w:tcW w:w="0" w:type="dxa"/>
            <w:vAlign w:val="bottom"/>
          </w:tcPr>
          <w:p>
            <w:pPr>
              <w:spacing w:after="0"/>
              <w:rPr>
                <w:sz w:val="1"/>
                <w:szCs w:val="1"/>
                <w:color w:val="auto"/>
              </w:rPr>
            </w:pPr>
          </w:p>
        </w:tc>
      </w:tr>
      <w:tr>
        <w:trPr>
          <w:trHeight w:val="102"/>
        </w:trPr>
        <w:tc>
          <w:tcPr>
            <w:tcW w:w="1580" w:type="dxa"/>
            <w:vAlign w:val="bottom"/>
            <w:gridSpan w:val="17"/>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Investments at Fair Value</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15"/>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U.S. Corporate Debt First</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14"/>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Lien Senior Secured</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940" w:type="dxa"/>
            <w:vAlign w:val="bottom"/>
            <w:tcBorders>
              <w:top w:val="single" w:sz="8" w:color="auto"/>
              <w:bottom w:val="single" w:sz="8" w:color="auto"/>
            </w:tcBorders>
            <w:gridSpan w:val="8"/>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w w:val="97"/>
              </w:rPr>
              <w:t>U.S. Debt Cannabis</w:t>
            </w: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10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Aeriz Holdings Corp</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Archos Capital Group, LLC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Deep Roots Harvest,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Dreamfields Brands,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(d/b/a Jeeter)</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Elevation Cannabis, LLC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Flowery - Bill's Nursery,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HA-MD,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Kaleafa, 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Nova Farms,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Oasis - AZ GOAT AZ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Proper Holdings, LLC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Remedy - Maryland Wellness,</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STIIIZY, Inc. (f/k/a Shryne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Group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1"/>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Subsero Holdings - Illinois,</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15"/>
          </w:tcPr>
          <w:p>
            <w:pPr>
              <w:ind w:left="20"/>
              <w:spacing w:after="0"/>
              <w:rPr>
                <w:sz w:val="20"/>
                <w:szCs w:val="20"/>
                <w:color w:val="auto"/>
              </w:rPr>
            </w:pPr>
            <w:r>
              <w:rPr>
                <w:rFonts w:ascii="Times New Roman" w:cs="Times New Roman" w:eastAsia="Times New Roman" w:hAnsi="Times New Roman"/>
                <w:sz w:val="11"/>
                <w:szCs w:val="11"/>
                <w:color w:val="auto"/>
              </w:rPr>
              <w:t>Inc</w:t>
            </w:r>
          </w:p>
        </w:tc>
        <w:tc>
          <w:tcPr>
            <w:tcW w:w="9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Cannabis</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6"/>
              </w:rPr>
              <w:t>Finance and Insurance</w:t>
            </w:r>
          </w:p>
        </w:tc>
        <w:tc>
          <w:tcPr>
            <w:tcW w:w="46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Hartford Gold Group,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Hartford Gold Group,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Minden Holdings,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Finance and</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5"/>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Insurance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86"/>
              </w:rPr>
              <w:t>Health Care</w:t>
            </w:r>
          </w:p>
        </w:tc>
        <w:tc>
          <w:tcPr>
            <w:tcW w:w="80" w:type="dxa"/>
            <w:vAlign w:val="bottom"/>
          </w:tcPr>
          <w:p>
            <w:pPr>
              <w:spacing w:after="0"/>
              <w:rPr>
                <w:sz w:val="8"/>
                <w:szCs w:val="8"/>
                <w:color w:val="auto"/>
              </w:rPr>
            </w:pPr>
          </w:p>
        </w:tc>
        <w:tc>
          <w:tcPr>
            <w:tcW w:w="900" w:type="dxa"/>
            <w:vAlign w:val="bottom"/>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and Social</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top w:val="single" w:sz="8" w:color="auto"/>
            </w:tcBorders>
            <w:gridSpan w:val="13"/>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Assistance</w:t>
            </w:r>
          </w:p>
        </w:tc>
        <w:tc>
          <w:tcPr>
            <w:tcW w:w="380" w:type="dxa"/>
            <w:vAlign w:val="bottom"/>
            <w:gridSpan w:val="2"/>
          </w:tcPr>
          <w:p>
            <w:pPr>
              <w:spacing w:after="0"/>
              <w:rPr>
                <w:sz w:val="8"/>
                <w:szCs w:val="8"/>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Delayed Draw</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Sunny Days Enterprises, LLC</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Health Care and</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10"/>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Social Assistance</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6"/>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80" w:type="dxa"/>
            <w:vAlign w:val="bottom"/>
          </w:tcPr>
          <w:p>
            <w:pPr>
              <w:spacing w:after="0"/>
              <w:rPr>
                <w:sz w:val="8"/>
                <w:szCs w:val="8"/>
                <w:color w:val="auto"/>
              </w:rPr>
            </w:pPr>
          </w:p>
        </w:tc>
        <w:tc>
          <w:tcPr>
            <w:tcW w:w="1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0" w:type="dxa"/>
            <w:vAlign w:val="bottom"/>
            <w:gridSpan w:val="2"/>
            <w:vMerge w:val="continue"/>
          </w:tcPr>
          <w:p>
            <w:pPr>
              <w:spacing w:after="0"/>
              <w:rPr>
                <w:sz w:val="8"/>
                <w:szCs w:val="8"/>
                <w:color w:val="auto"/>
              </w:rPr>
            </w:pPr>
          </w:p>
        </w:tc>
        <w:tc>
          <w:tcPr>
            <w:tcW w:w="152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color w:val="auto"/>
              </w:rPr>
              <w:t>Protect Animals With</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Satellites LLC (Halo Collar)</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80" w:type="dxa"/>
            <w:vAlign w:val="bottom"/>
            <w:gridSpan w:val="17"/>
          </w:tcPr>
          <w:p>
            <w:pPr>
              <w:spacing w:after="0" w:line="122" w:lineRule="exact"/>
              <w:rPr>
                <w:sz w:val="20"/>
                <w:szCs w:val="20"/>
                <w:color w:val="auto"/>
              </w:rPr>
            </w:pPr>
            <w:r>
              <w:rPr>
                <w:rFonts w:ascii="Times New Roman" w:cs="Times New Roman" w:eastAsia="Times New Roman" w:hAnsi="Times New Roman"/>
                <w:sz w:val="11"/>
                <w:szCs w:val="11"/>
                <w:color w:val="auto"/>
              </w:rPr>
              <w:t>Protect Animals With</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Incremental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15"/>
          </w:tcPr>
          <w:p>
            <w:pPr>
              <w:ind w:left="20"/>
              <w:spacing w:after="0"/>
              <w:rPr>
                <w:sz w:val="20"/>
                <w:szCs w:val="20"/>
                <w:color w:val="auto"/>
              </w:rPr>
            </w:pPr>
            <w:r>
              <w:rPr>
                <w:rFonts w:ascii="Times New Roman" w:cs="Times New Roman" w:eastAsia="Times New Roman" w:hAnsi="Times New Roman"/>
                <w:sz w:val="11"/>
                <w:szCs w:val="11"/>
                <w:color w:val="auto"/>
              </w:rPr>
              <w:t>Satellites LLC (Halo Collar)</w:t>
            </w:r>
          </w:p>
        </w:tc>
        <w:tc>
          <w:tcPr>
            <w:tcW w:w="9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75"/>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Simspace Corporation</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Information</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Public Administration</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 w:type="dxa"/>
            <w:vAlign w:val="bottom"/>
            <w:gridSpan w:val="2"/>
          </w:tcPr>
          <w:p>
            <w:pPr>
              <w:spacing w:after="0"/>
              <w:rPr>
                <w:sz w:val="8"/>
                <w:szCs w:val="8"/>
                <w:color w:val="auto"/>
              </w:rPr>
            </w:pPr>
          </w:p>
        </w:tc>
        <w:tc>
          <w:tcPr>
            <w:tcW w:w="1040" w:type="dxa"/>
            <w:vAlign w:val="bottom"/>
            <w:tcBorders>
              <w:top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color w:val="auto"/>
              </w:rPr>
              <w:t>Youth Opportunity</w:t>
            </w:r>
          </w:p>
        </w:tc>
        <w:tc>
          <w:tcPr>
            <w:tcW w:w="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0" w:lineRule="exact"/>
              <w:rPr>
                <w:sz w:val="20"/>
                <w:szCs w:val="20"/>
                <w:color w:val="auto"/>
              </w:rPr>
            </w:pPr>
            <w:r>
              <w:rPr>
                <w:rFonts w:ascii="Times New Roman" w:cs="Times New Roman" w:eastAsia="Times New Roman" w:hAnsi="Times New Roman"/>
                <w:sz w:val="11"/>
                <w:szCs w:val="11"/>
                <w:color w:val="auto"/>
              </w:rPr>
              <w:t>Investments, LLC</w:t>
            </w:r>
          </w:p>
        </w:tc>
        <w:tc>
          <w:tcPr>
            <w:tcW w:w="980" w:type="dxa"/>
            <w:vAlign w:val="bottom"/>
          </w:tcPr>
          <w:p>
            <w:pPr>
              <w:ind w:left="240"/>
              <w:spacing w:after="0" w:line="120" w:lineRule="exact"/>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80" w:type="dxa"/>
            <w:vAlign w:val="bottom"/>
            <w:gridSpan w:val="17"/>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Total Public</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Administration</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Real Estate and Rental</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top w:val="single" w:sz="8" w:color="auto"/>
            </w:tcBorders>
            <w:gridSpan w:val="12"/>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and Leasing</w:t>
            </w:r>
          </w:p>
        </w:tc>
        <w:tc>
          <w:tcPr>
            <w:tcW w:w="46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Workbox Holdings 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Real Estate and</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Rental and Leasing</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Retail Trade</w:t>
            </w:r>
          </w:p>
        </w:tc>
        <w:tc>
          <w:tcPr>
            <w:tcW w:w="900" w:type="dxa"/>
            <w:vAlign w:val="bottom"/>
            <w:gridSpan w:val="11"/>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580" w:type="dxa"/>
            <w:vAlign w:val="bottom"/>
            <w:gridSpan w:val="17"/>
          </w:tcPr>
          <w:p>
            <w:pPr>
              <w:spacing w:after="0"/>
              <w:rPr>
                <w:sz w:val="20"/>
                <w:szCs w:val="20"/>
                <w:color w:val="auto"/>
              </w:rPr>
            </w:pPr>
            <w:r>
              <w:rPr>
                <w:rFonts w:ascii="Times New Roman" w:cs="Times New Roman" w:eastAsia="Times New Roman" w:hAnsi="Times New Roman"/>
                <w:sz w:val="11"/>
                <w:szCs w:val="11"/>
                <w:color w:val="auto"/>
              </w:rPr>
              <w:t>Aura Home, 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Retail Trade</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580" w:type="dxa"/>
            <w:vAlign w:val="bottom"/>
            <w:gridSpan w:val="17"/>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Secured U.S. Debt</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Senior Secured U.S.</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w w:val="91"/>
              </w:rPr>
              <w:t>Notes</w:t>
            </w:r>
          </w:p>
        </w:tc>
        <w:tc>
          <w:tcPr>
            <w:tcW w:w="600" w:type="dxa"/>
            <w:vAlign w:val="bottom"/>
            <w:tcBorders>
              <w:top w:val="single" w:sz="8" w:color="auto"/>
            </w:tcBorders>
            <w:gridSpan w:val="6"/>
          </w:tcPr>
          <w:p>
            <w:pPr>
              <w:spacing w:after="0"/>
              <w:rPr>
                <w:sz w:val="8"/>
                <w:szCs w:val="8"/>
                <w:color w:val="auto"/>
              </w:rPr>
            </w:pPr>
          </w:p>
        </w:tc>
        <w:tc>
          <w:tcPr>
            <w:tcW w:w="600" w:type="dxa"/>
            <w:vAlign w:val="bottom"/>
            <w:gridSpan w:val="8"/>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20"/>
        </w:trPr>
        <w:tc>
          <w:tcPr>
            <w:tcW w:w="60" w:type="dxa"/>
            <w:vAlign w:val="bottom"/>
            <w:gridSpan w:val="2"/>
            <w:vMerge w:val="restart"/>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0" w:type="dxa"/>
            <w:vAlign w:val="bottom"/>
            <w:gridSpan w:val="2"/>
            <w:vMerge w:val="continue"/>
          </w:tcPr>
          <w:p>
            <w:pPr>
              <w:spacing w:after="0"/>
              <w:rPr>
                <w:sz w:val="8"/>
                <w:szCs w:val="8"/>
                <w:color w:val="auto"/>
              </w:rPr>
            </w:pPr>
          </w:p>
        </w:tc>
        <w:tc>
          <w:tcPr>
            <w:tcW w:w="1520" w:type="dxa"/>
            <w:vAlign w:val="bottom"/>
            <w:gridSpan w:val="15"/>
          </w:tcPr>
          <w:p>
            <w:pPr>
              <w:spacing w:after="0" w:line="102" w:lineRule="exact"/>
              <w:rPr>
                <w:sz w:val="20"/>
                <w:szCs w:val="20"/>
                <w:color w:val="auto"/>
              </w:rPr>
            </w:pPr>
            <w:r>
              <w:rPr>
                <w:rFonts w:ascii="Times New Roman" w:cs="Times New Roman" w:eastAsia="Times New Roman" w:hAnsi="Times New Roman"/>
                <w:sz w:val="11"/>
                <w:szCs w:val="11"/>
                <w:color w:val="auto"/>
              </w:rPr>
              <w:t>Ascend Wellness Holdings,</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12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Curaleaf Holdings,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Cannabis</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6"/>
              </w:rPr>
              <w:t>Finance and Insurance</w:t>
            </w:r>
          </w:p>
        </w:tc>
        <w:tc>
          <w:tcPr>
            <w:tcW w:w="460" w:type="dxa"/>
            <w:vAlign w:val="bottom"/>
            <w:gridSpan w:val="3"/>
          </w:tcPr>
          <w:p>
            <w:pPr>
              <w:spacing w:after="0"/>
              <w:rPr>
                <w:sz w:val="10"/>
                <w:szCs w:val="10"/>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101"/>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RTCP, LLC</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580" w:type="dxa"/>
            <w:vAlign w:val="bottom"/>
            <w:gridSpan w:val="17"/>
            <w:vMerge w:val="continue"/>
          </w:tcPr>
          <w:p>
            <w:pPr>
              <w:spacing w:after="0"/>
              <w:rPr>
                <w:sz w:val="6"/>
                <w:szCs w:val="6"/>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68"/>
        </w:trPr>
        <w:tc>
          <w:tcPr>
            <w:tcW w:w="158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color w:val="auto"/>
              </w:rPr>
              <w:t>West Creek Financial</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580" w:type="dxa"/>
            <w:vAlign w:val="bottom"/>
            <w:gridSpan w:val="17"/>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2" w:lineRule="exact"/>
              <w:rPr>
                <w:sz w:val="20"/>
                <w:szCs w:val="20"/>
                <w:color w:val="auto"/>
              </w:rPr>
            </w:pPr>
            <w:r>
              <w:rPr>
                <w:rFonts w:ascii="Times New Roman" w:cs="Times New Roman" w:eastAsia="Times New Roman" w:hAnsi="Times New Roman"/>
                <w:sz w:val="11"/>
                <w:szCs w:val="11"/>
                <w:color w:val="auto"/>
              </w:rPr>
              <w:t>Holdings,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Series A Senior</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5"/>
          </w:tcPr>
          <w:p>
            <w:pPr>
              <w:ind w:left="20"/>
              <w:spacing w:after="0" w:line="120" w:lineRule="exact"/>
              <w:rPr>
                <w:sz w:val="20"/>
                <w:szCs w:val="20"/>
                <w:color w:val="auto"/>
              </w:rPr>
            </w:pPr>
            <w:r>
              <w:rPr>
                <w:rFonts w:ascii="Times New Roman" w:cs="Times New Roman" w:eastAsia="Times New Roman" w:hAnsi="Times New Roman"/>
                <w:sz w:val="11"/>
                <w:szCs w:val="11"/>
                <w:color w:val="auto"/>
              </w:rPr>
              <w:t>dba Koalafi</w:t>
            </w:r>
          </w:p>
        </w:tc>
        <w:tc>
          <w:tcPr>
            <w:tcW w:w="980" w:type="dxa"/>
            <w:vAlign w:val="bottom"/>
          </w:tcPr>
          <w:p>
            <w:pPr>
              <w:ind w:left="240"/>
              <w:spacing w:after="0" w:line="120" w:lineRule="exact"/>
              <w:rPr>
                <w:sz w:val="20"/>
                <w:szCs w:val="20"/>
                <w:color w:val="auto"/>
              </w:rPr>
            </w:pPr>
            <w:r>
              <w:rPr>
                <w:rFonts w:ascii="Times New Roman" w:cs="Times New Roman" w:eastAsia="Times New Roman" w:hAnsi="Times New Roman"/>
                <w:sz w:val="11"/>
                <w:szCs w:val="11"/>
                <w:color w:val="auto"/>
              </w:rPr>
              <w:t>Note</w:t>
            </w:r>
          </w:p>
        </w:tc>
        <w:tc>
          <w:tcPr>
            <w:tcW w:w="0" w:type="dxa"/>
            <w:vAlign w:val="bottom"/>
          </w:tcPr>
          <w:p>
            <w:pPr>
              <w:spacing w:after="0"/>
              <w:rPr>
                <w:sz w:val="1"/>
                <w:szCs w:val="1"/>
                <w:color w:val="auto"/>
              </w:rPr>
            </w:pPr>
          </w:p>
        </w:tc>
      </w:tr>
      <w:tr>
        <w:trPr>
          <w:trHeight w:val="121"/>
        </w:trPr>
        <w:tc>
          <w:tcPr>
            <w:tcW w:w="1580" w:type="dxa"/>
            <w:vAlign w:val="bottom"/>
            <w:gridSpan w:val="17"/>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Total Finance and</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15"/>
          </w:tcPr>
          <w:p>
            <w:pPr>
              <w:ind w:left="6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2"/>
              </w:rPr>
              <w:t>All in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Benchmark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restart"/>
          </w:tcPr>
          <w:p>
            <w:pPr>
              <w:jc w:val="right"/>
              <w:ind w:right="24"/>
              <w:spacing w:after="0"/>
              <w:rPr>
                <w:sz w:val="20"/>
                <w:szCs w:val="20"/>
                <w:color w:val="auto"/>
              </w:rPr>
            </w:pPr>
            <w:r>
              <w:rPr>
                <w:rFonts w:ascii="Times New Roman" w:cs="Times New Roman" w:eastAsia="Times New Roman" w:hAnsi="Times New Roman"/>
                <w:sz w:val="21"/>
                <w:szCs w:val="21"/>
                <w:b w:val="1"/>
                <w:bCs w:val="1"/>
                <w:color w:val="auto"/>
                <w:w w:val="88"/>
                <w:vertAlign w:val="subscript"/>
              </w:rPr>
              <w:t>Par</w:t>
            </w:r>
            <w:r>
              <w:rPr>
                <w:rFonts w:ascii="Times New Roman" w:cs="Times New Roman" w:eastAsia="Times New Roman" w:hAnsi="Times New Roman"/>
                <w:sz w:val="7"/>
                <w:szCs w:val="7"/>
                <w:b w:val="1"/>
                <w:bCs w:val="1"/>
                <w:color w:val="auto"/>
                <w:w w:val="88"/>
              </w:rPr>
              <w:t xml:space="preserve"> (2)</w:t>
            </w:r>
          </w:p>
        </w:tc>
        <w:tc>
          <w:tcPr>
            <w:tcW w:w="200" w:type="dxa"/>
            <w:vAlign w:val="bottom"/>
          </w:tcPr>
          <w:p>
            <w:pPr>
              <w:spacing w:after="0"/>
              <w:rPr>
                <w:sz w:val="9"/>
                <w:szCs w:val="9"/>
                <w:color w:val="auto"/>
              </w:rPr>
            </w:pPr>
          </w:p>
        </w:tc>
        <w:tc>
          <w:tcPr>
            <w:tcW w:w="54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6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0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2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PIK</w:t>
            </w:r>
          </w:p>
        </w:tc>
        <w:tc>
          <w:tcPr>
            <w:tcW w:w="220" w:type="dxa"/>
            <w:vAlign w:val="bottom"/>
          </w:tcPr>
          <w:p>
            <w:pPr>
              <w:spacing w:after="0"/>
              <w:rPr>
                <w:sz w:val="12"/>
                <w:szCs w:val="12"/>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00" w:type="dxa"/>
            <w:vAlign w:val="bottom"/>
          </w:tcPr>
          <w:p>
            <w:pPr>
              <w:spacing w:after="0"/>
              <w:rPr>
                <w:sz w:val="12"/>
                <w:szCs w:val="12"/>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6"/>
              <w:spacing w:after="0" w:line="149" w:lineRule="exact"/>
              <w:rPr>
                <w:sz w:val="20"/>
                <w:szCs w:val="20"/>
                <w:color w:val="auto"/>
              </w:rPr>
            </w:pPr>
            <w:r>
              <w:rPr>
                <w:rFonts w:ascii="Times New Roman" w:cs="Times New Roman" w:eastAsia="Times New Roman" w:hAnsi="Times New Roman"/>
                <w:sz w:val="11"/>
                <w:szCs w:val="11"/>
                <w:b w:val="1"/>
                <w:bCs w:val="1"/>
                <w:color w:val="auto"/>
                <w:w w:val="85"/>
              </w:rPr>
              <w:t xml:space="preserve">Cost </w:t>
            </w:r>
            <w:r>
              <w:rPr>
                <w:rFonts w:ascii="Times New Roman" w:cs="Times New Roman" w:eastAsia="Times New Roman" w:hAnsi="Times New Roman"/>
                <w:sz w:val="14"/>
                <w:szCs w:val="14"/>
                <w:b w:val="1"/>
                <w:bCs w:val="1"/>
                <w:color w:val="auto"/>
                <w:w w:val="85"/>
                <w:vertAlign w:val="superscript"/>
              </w:rPr>
              <w:t>(17)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line="149" w:lineRule="exact"/>
              <w:rPr>
                <w:sz w:val="20"/>
                <w:szCs w:val="20"/>
                <w:color w:val="auto"/>
              </w:rPr>
            </w:pPr>
            <w:r>
              <w:rPr>
                <w:rFonts w:ascii="Times New Roman" w:cs="Times New Roman" w:eastAsia="Times New Roman" w:hAnsi="Times New Roman"/>
                <w:sz w:val="11"/>
                <w:szCs w:val="11"/>
                <w:b w:val="1"/>
                <w:bCs w:val="1"/>
                <w:color w:val="auto"/>
                <w:w w:val="97"/>
              </w:rPr>
              <w:t xml:space="preserve">Value </w:t>
            </w:r>
            <w:r>
              <w:rPr>
                <w:rFonts w:ascii="Times New Roman" w:cs="Times New Roman" w:eastAsia="Times New Roman" w:hAnsi="Times New Roman"/>
                <w:sz w:val="14"/>
                <w:szCs w:val="14"/>
                <w:b w:val="1"/>
                <w:bCs w:val="1"/>
                <w:color w:val="auto"/>
                <w:w w:val="97"/>
                <w:vertAlign w:val="superscript"/>
              </w:rPr>
              <w:t>(4)</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2"/>
                <w:szCs w:val="12"/>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Footnote</w:t>
            </w:r>
          </w:p>
        </w:tc>
        <w:tc>
          <w:tcPr>
            <w:tcW w:w="0" w:type="dxa"/>
            <w:vAlign w:val="bottom"/>
          </w:tcPr>
          <w:p>
            <w:pPr>
              <w:spacing w:after="0"/>
              <w:rPr>
                <w:sz w:val="1"/>
                <w:szCs w:val="1"/>
                <w:color w:val="auto"/>
              </w:rPr>
            </w:pPr>
          </w:p>
        </w:tc>
      </w:tr>
      <w:tr>
        <w:trPr>
          <w:trHeight w:val="295"/>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 (5)</w:t>
            </w:r>
          </w:p>
        </w:tc>
        <w:tc>
          <w:tcPr>
            <w:tcW w:w="0" w:type="dxa"/>
            <w:vAlign w:val="bottom"/>
          </w:tcPr>
          <w:p>
            <w:pPr>
              <w:spacing w:after="0"/>
              <w:rPr>
                <w:sz w:val="1"/>
                <w:szCs w:val="1"/>
                <w:color w:val="auto"/>
              </w:rPr>
            </w:pPr>
          </w:p>
        </w:tc>
      </w:tr>
      <w:tr>
        <w:trPr>
          <w:trHeight w:val="29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15.50%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6/30/2025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   75</w:t>
            </w:r>
          </w:p>
        </w:tc>
        <w:tc>
          <w:tcPr>
            <w:tcW w:w="280" w:type="dxa"/>
            <w:vAlign w:val="bottom"/>
            <w:gridSpan w:val="2"/>
            <w:vMerge w:val="restart"/>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9,927</w:t>
            </w:r>
          </w:p>
        </w:tc>
        <w:tc>
          <w:tcPr>
            <w:tcW w:w="300" w:type="dxa"/>
            <w:vAlign w:val="bottom"/>
            <w:gridSpan w:val="2"/>
            <w:vMerge w:val="restart"/>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9,873</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3.3%</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13.25%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2/28/2025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0.5%</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10/23/2024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8/15/2027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4,975</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1.7%</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rPr>
              <w:t>5/3/2023</w:t>
            </w:r>
          </w:p>
        </w:tc>
        <w:tc>
          <w:tcPr>
            <w:tcW w:w="7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5/3/2026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31,659</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31,745</w:t>
            </w:r>
          </w:p>
        </w:tc>
        <w:tc>
          <w:tcPr>
            <w:tcW w:w="980" w:type="dxa"/>
            <w:vAlign w:val="bottom"/>
            <w:gridSpan w:val="2"/>
            <w:vMerge w:val="restart"/>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8"/>
              </w:rPr>
              <w:t>10.5%</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12/31/2026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13,893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14,157</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4.7%</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12/31/2025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12,303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12,364</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4.1%</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6/6/2026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3,286</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3,290</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12/3/2027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2,875</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2,875</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3/28/2027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14,579</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14,817</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4.9%</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3/31/2026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5,073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5,069</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1.7%</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13.00%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11/28/2025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4,393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4,396</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1.5%</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18.50%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8/4/2025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3,086</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3,130</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17.00%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5/26/2022</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5/26/2027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93</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40,504</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40,385</w:t>
            </w:r>
          </w:p>
        </w:tc>
        <w:tc>
          <w:tcPr>
            <w:tcW w:w="980" w:type="dxa"/>
            <w:vAlign w:val="bottom"/>
            <w:gridSpan w:val="2"/>
            <w:vMerge w:val="restart"/>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8"/>
              </w:rPr>
              <w:t>13.4%</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16.50%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7/29/2026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2,873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2,882</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51,760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52,027</w:t>
            </w:r>
          </w:p>
        </w:tc>
        <w:tc>
          <w:tcPr>
            <w:tcW w:w="980" w:type="dxa"/>
            <w:vAlign w:val="bottom"/>
            <w:gridSpan w:val="2"/>
            <w:vMerge w:val="restart"/>
          </w:tcPr>
          <w:p>
            <w:pPr>
              <w:jc w:val="center"/>
              <w:ind w:left="126"/>
              <w:spacing w:after="0"/>
              <w:rPr>
                <w:sz w:val="20"/>
                <w:szCs w:val="20"/>
                <w:color w:val="auto"/>
              </w:rPr>
            </w:pPr>
            <w:r>
              <w:rPr>
                <w:rFonts w:ascii="Times New Roman" w:cs="Times New Roman" w:eastAsia="Times New Roman" w:hAnsi="Times New Roman"/>
                <w:sz w:val="11"/>
                <w:szCs w:val="11"/>
                <w:color w:val="auto"/>
                <w:w w:val="98"/>
              </w:rPr>
              <w:t>17.2%</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10/27/2024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10/30/2026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(10)(14)</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202,673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203,447</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67.6%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14.40%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12/17/2025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162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144</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0.1%</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14.40%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1/6/2027</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1,431</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1,455</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0.5%</w:t>
            </w: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14.75%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200" w:type="dxa"/>
            <w:vAlign w:val="bottom"/>
            <w:vMerge w:val="restart"/>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0.7%</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7.25%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5/31/2026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3,772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3,811</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1.3%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20.25%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2,797</w:t>
            </w:r>
          </w:p>
        </w:tc>
        <w:tc>
          <w:tcPr>
            <w:tcW w:w="200" w:type="dxa"/>
            <w:vAlign w:val="bottom"/>
            <w:vMerge w:val="restart"/>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0.9%</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3/31/2025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2,754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2,797</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12.25%</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3,417</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3,407</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1,870</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1,864</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0.6%</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17.50%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6,573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2.2%</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11,860</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11,771</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3.9%</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12.28%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10,273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10,323</w:t>
            </w:r>
          </w:p>
        </w:tc>
        <w:tc>
          <w:tcPr>
            <w:tcW w:w="200" w:type="dxa"/>
            <w:vAlign w:val="bottom"/>
            <w:vMerge w:val="restart"/>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3.4%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9/18/2026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10,273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10,323</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12.00%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200" w:type="dxa"/>
            <w:vAlign w:val="bottom"/>
            <w:vMerge w:val="restart"/>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5/31/2029</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1,406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1,452</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12.03%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3,275</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9/22/2025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3,285</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3,275</w:t>
            </w:r>
          </w:p>
        </w:tc>
        <w:tc>
          <w:tcPr>
            <w:tcW w:w="2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1.1%</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236,023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236,876</w:t>
            </w:r>
          </w:p>
        </w:tc>
        <w:tc>
          <w:tcPr>
            <w:tcW w:w="9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78.7%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12.75%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7/16/2024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7/16/2029</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3,331</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3,308</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20" w:type="dxa"/>
            <w:vAlign w:val="bottom"/>
            <w:gridSpan w:val="2"/>
            <w:vMerge w:val="restart"/>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8.00%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4,142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4,253</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1.4%</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10/11/2022</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12/15/2026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(9)(14)</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7,473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7,561</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15.00%</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8"/>
              </w:rPr>
              <w:t>10/2/2028</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21,980</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7.3%</w:t>
            </w:r>
          </w:p>
        </w:tc>
        <w:tc>
          <w:tcPr>
            <w:tcW w:w="8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18.80%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5,096</w:t>
            </w:r>
          </w:p>
        </w:tc>
        <w:tc>
          <w:tcPr>
            <w:tcW w:w="200" w:type="dxa"/>
            <w:vAlign w:val="bottom"/>
            <w:vMerge w:val="restart"/>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13.80%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11/29/2027</w:t>
            </w: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27,095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27,096</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9.0%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-7028815</wp:posOffset>
            </wp:positionV>
            <wp:extent cx="7132320" cy="3086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-6565900</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-6257290</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-5948680</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-5640070</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-5331460</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-5022850</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-4714240</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-4405630</wp:posOffset>
            </wp:positionV>
            <wp:extent cx="7132320" cy="768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-4251325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-3634105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-3325495</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-3093720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-2553970</wp:posOffset>
            </wp:positionV>
            <wp:extent cx="7132320" cy="774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-2322195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-1704975</wp:posOffset>
            </wp:positionV>
            <wp:extent cx="7132320" cy="768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-1233805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-1002030</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-694055</wp:posOffset>
            </wp:positionV>
            <wp:extent cx="7132320" cy="76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-539115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-3942715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-2785110</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-2014220</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-1473835</wp:posOffset>
            </wp:positionV>
            <wp:extent cx="7132320" cy="85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-153670</wp:posOffset>
            </wp:positionV>
            <wp:extent cx="71323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560" w:space="100"/>
            <w:col w:w="8580"/>
          </w:cols>
          <w:pgMar w:left="320" w:top="11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2"/>
              </w:rPr>
              <w:t>All in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Benchmark </w:t>
            </w:r>
            <w:r>
              <w:rPr>
                <w:rFonts w:ascii="Times New Roman" w:cs="Times New Roman" w:eastAsia="Times New Roman" w:hAnsi="Times New Roman"/>
                <w:sz w:val="14"/>
                <w:szCs w:val="14"/>
                <w:b w:val="1"/>
                <w:bCs w:val="1"/>
                <w:color w:val="auto"/>
                <w:w w:val="93"/>
                <w:vertAlign w:val="superscript"/>
              </w:rPr>
              <w:t>(3)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3"/>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21"/>
                <w:szCs w:val="21"/>
                <w:b w:val="1"/>
                <w:bCs w:val="1"/>
                <w:color w:val="auto"/>
                <w:w w:val="94"/>
                <w:vertAlign w:val="subscript"/>
              </w:rPr>
              <w:t>Par</w:t>
            </w:r>
            <w:r>
              <w:rPr>
                <w:rFonts w:ascii="Times New Roman" w:cs="Times New Roman" w:eastAsia="Times New Roman" w:hAnsi="Times New Roman"/>
                <w:sz w:val="7"/>
                <w:szCs w:val="7"/>
                <w:b w:val="1"/>
                <w:bCs w:val="1"/>
                <w:color w:val="auto"/>
                <w:w w:val="94"/>
              </w:rPr>
              <w:t xml:space="preserve"> (2)</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Facility Type</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220" w:type="dxa"/>
            <w:vAlign w:val="bottom"/>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12"/>
                <w:szCs w:val="12"/>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PIK</w:t>
            </w:r>
          </w:p>
        </w:tc>
        <w:tc>
          <w:tcPr>
            <w:tcW w:w="1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00" w:type="dxa"/>
            <w:vAlign w:val="bottom"/>
          </w:tcPr>
          <w:p>
            <w:pPr>
              <w:spacing w:after="0"/>
              <w:rPr>
                <w:sz w:val="12"/>
                <w:szCs w:val="12"/>
                <w:color w:val="auto"/>
              </w:rPr>
            </w:pPr>
          </w:p>
        </w:tc>
        <w:tc>
          <w:tcPr>
            <w:tcW w:w="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46"/>
              <w:spacing w:after="0" w:line="149" w:lineRule="exact"/>
              <w:rPr>
                <w:sz w:val="20"/>
                <w:szCs w:val="20"/>
                <w:color w:val="auto"/>
              </w:rPr>
            </w:pPr>
            <w:r>
              <w:rPr>
                <w:rFonts w:ascii="Times New Roman" w:cs="Times New Roman" w:eastAsia="Times New Roman" w:hAnsi="Times New Roman"/>
                <w:sz w:val="11"/>
                <w:szCs w:val="11"/>
                <w:b w:val="1"/>
                <w:bCs w:val="1"/>
                <w:color w:val="auto"/>
                <w:w w:val="85"/>
              </w:rPr>
              <w:t xml:space="preserve">Cost </w:t>
            </w:r>
            <w:r>
              <w:rPr>
                <w:rFonts w:ascii="Times New Roman" w:cs="Times New Roman" w:eastAsia="Times New Roman" w:hAnsi="Times New Roman"/>
                <w:sz w:val="14"/>
                <w:szCs w:val="14"/>
                <w:b w:val="1"/>
                <w:bCs w:val="1"/>
                <w:color w:val="auto"/>
                <w:w w:val="85"/>
                <w:vertAlign w:val="superscript"/>
              </w:rPr>
              <w:t>(17)</w:t>
            </w:r>
          </w:p>
        </w:tc>
        <w:tc>
          <w:tcPr>
            <w:tcW w:w="22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Footnote</w:t>
            </w:r>
          </w:p>
        </w:tc>
        <w:tc>
          <w:tcPr>
            <w:tcW w:w="0" w:type="dxa"/>
            <w:vAlign w:val="bottom"/>
          </w:tcPr>
          <w:p>
            <w:pPr>
              <w:spacing w:after="0"/>
              <w:rPr>
                <w:sz w:val="1"/>
                <w:szCs w:val="1"/>
                <w:color w:val="auto"/>
              </w:rPr>
            </w:pPr>
          </w:p>
        </w:tc>
      </w:tr>
      <w:tr>
        <w:trPr>
          <w:trHeight w:val="99"/>
        </w:trPr>
        <w:tc>
          <w:tcPr>
            <w:tcW w:w="1740" w:type="dxa"/>
            <w:vAlign w:val="bottom"/>
            <w:gridSpan w:val="6"/>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Senior Secured</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34,568</w:t>
            </w:r>
          </w:p>
        </w:tc>
        <w:tc>
          <w:tcPr>
            <w:tcW w:w="8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34,657</w:t>
            </w:r>
          </w:p>
        </w:tc>
        <w:tc>
          <w:tcPr>
            <w:tcW w:w="980" w:type="dxa"/>
            <w:vAlign w:val="bottom"/>
            <w:gridSpan w:val="3"/>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11.5%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64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U.S. Notes</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Borders>
              <w:left w:val="single" w:sz="8" w:color="CFF0FC"/>
            </w:tcBorders>
            <w:gridSpan w:val="6"/>
            <w:shd w:val="clear" w:color="auto" w:fill="CFF0FC"/>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U.S. Corporate</w:t>
            </w: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00" w:type="dxa"/>
            <w:vAlign w:val="bottom"/>
            <w:tcBorders>
              <w:left w:val="single" w:sz="8" w:color="CFF0FC"/>
            </w:tcBorders>
            <w:shd w:val="clear" w:color="auto" w:fill="CFF0FC"/>
          </w:tcPr>
          <w:p>
            <w:pPr>
              <w:spacing w:after="0"/>
              <w:rPr>
                <w:sz w:val="11"/>
                <w:szCs w:val="11"/>
                <w:color w:val="auto"/>
              </w:rPr>
            </w:pPr>
          </w:p>
        </w:tc>
        <w:tc>
          <w:tcPr>
            <w:tcW w:w="16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Debt</w:t>
            </w:r>
          </w:p>
        </w:tc>
        <w:tc>
          <w:tcPr>
            <w:tcW w:w="8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270,590</w:t>
            </w: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271,532</w:t>
            </w:r>
          </w:p>
        </w:tc>
        <w:tc>
          <w:tcPr>
            <w:tcW w:w="980" w:type="dxa"/>
            <w:vAlign w:val="bottom"/>
            <w:gridSpan w:val="3"/>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90.2%</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40" w:type="dxa"/>
            <w:vAlign w:val="bottom"/>
            <w:gridSpan w:val="6"/>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200" w:type="dxa"/>
            <w:vAlign w:val="bottom"/>
            <w:tcBorders>
              <w:top w:val="single" w:sz="8" w:color="auto"/>
            </w:tcBorders>
            <w:gridSpan w:val="5"/>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0" w:type="dxa"/>
            <w:vAlign w:val="bottom"/>
            <w:tcBorders>
              <w:top w:val="single" w:sz="8" w:color="auto"/>
              <w:left w:val="single" w:sz="8" w:color="CFF0FC"/>
            </w:tcBorders>
            <w:gridSpan w:val="3"/>
            <w:shd w:val="clear" w:color="auto" w:fill="CFF0FC"/>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960" w:type="dxa"/>
            <w:vAlign w:val="bottom"/>
            <w:gridSpan w:val="3"/>
            <w:shd w:val="clear" w:color="auto" w:fill="CFF0FC"/>
          </w:tcPr>
          <w:p>
            <w:pPr>
              <w:spacing w:after="0"/>
              <w:rPr>
                <w:sz w:val="8"/>
                <w:szCs w:val="8"/>
                <w:color w:val="auto"/>
              </w:rPr>
            </w:pP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CFF0FC"/>
            </w:tcBorders>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74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color w:val="auto"/>
              </w:rPr>
              <w:t>Tulip.io Inc.</w:t>
            </w:r>
          </w:p>
        </w:tc>
        <w:tc>
          <w:tcPr>
            <w:tcW w:w="820" w:type="dxa"/>
            <w:vAlign w:val="bottom"/>
          </w:tcPr>
          <w:p>
            <w:pPr>
              <w:spacing w:after="0"/>
              <w:rPr>
                <w:sz w:val="8"/>
                <w:szCs w:val="8"/>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14.50%</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3.0</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220" w:type="dxa"/>
            <w:vAlign w:val="bottom"/>
            <w:vMerge w:val="restart"/>
          </w:tcPr>
          <w:p>
            <w:pPr>
              <w:spacing w:after="0"/>
              <w:rPr>
                <w:sz w:val="8"/>
                <w:szCs w:val="8"/>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2,984</w:t>
            </w:r>
          </w:p>
        </w:tc>
        <w:tc>
          <w:tcPr>
            <w:tcW w:w="200" w:type="dxa"/>
            <w:vAlign w:val="bottom"/>
            <w:gridSpan w:val="2"/>
            <w:vMerge w:val="restart"/>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740" w:type="dxa"/>
            <w:vAlign w:val="bottom"/>
            <w:gridSpan w:val="6"/>
            <w:vMerge w:val="continue"/>
          </w:tcPr>
          <w:p>
            <w:pPr>
              <w:spacing w:after="0"/>
              <w:rPr>
                <w:sz w:val="6"/>
                <w:szCs w:val="6"/>
                <w:color w:val="auto"/>
              </w:rPr>
            </w:pPr>
          </w:p>
        </w:tc>
        <w:tc>
          <w:tcPr>
            <w:tcW w:w="820" w:type="dxa"/>
            <w:vAlign w:val="bottom"/>
            <w:vMerge w:val="restart"/>
          </w:tcPr>
          <w:p>
            <w:pPr>
              <w:ind w:left="8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continue"/>
          </w:tcPr>
          <w:p>
            <w:pPr>
              <w:spacing w:after="0"/>
              <w:rPr>
                <w:sz w:val="6"/>
                <w:szCs w:val="6"/>
                <w:color w:val="auto"/>
              </w:rPr>
            </w:pPr>
          </w:p>
        </w:tc>
        <w:tc>
          <w:tcPr>
            <w:tcW w:w="72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80" w:type="dxa"/>
            <w:vAlign w:val="bottom"/>
            <w:gridSpan w:val="4"/>
            <w:vMerge w:val="restart"/>
          </w:tcPr>
          <w:p>
            <w:pPr>
              <w:ind w:left="36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420" w:type="dxa"/>
            <w:vAlign w:val="bottom"/>
            <w:gridSpan w:val="4"/>
            <w:vMerge w:val="restart"/>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2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40" w:type="dxa"/>
            <w:vAlign w:val="bottom"/>
            <w:gridSpan w:val="3"/>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11/4/2024</w:t>
            </w:r>
          </w:p>
        </w:tc>
        <w:tc>
          <w:tcPr>
            <w:tcW w:w="720" w:type="dxa"/>
            <w:vAlign w:val="bottom"/>
            <w:gridSpan w:val="4"/>
            <w:vMerge w:val="restart"/>
          </w:tcPr>
          <w:p>
            <w:pPr>
              <w:ind w:left="180"/>
              <w:spacing w:after="0" w:line="122" w:lineRule="exact"/>
              <w:rPr>
                <w:sz w:val="20"/>
                <w:szCs w:val="20"/>
                <w:color w:val="auto"/>
              </w:rPr>
            </w:pPr>
            <w:r>
              <w:rPr>
                <w:rFonts w:ascii="Times New Roman" w:cs="Times New Roman" w:eastAsia="Times New Roman" w:hAnsi="Times New Roman"/>
                <w:sz w:val="11"/>
                <w:szCs w:val="11"/>
                <w:color w:val="auto"/>
              </w:rPr>
              <w:t>11/4/2028</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4"/>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6"/>
              </w:rPr>
              <w:t>(8)(14)</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40" w:type="dxa"/>
            <w:vAlign w:val="bottom"/>
            <w:tcBorders>
              <w:bottom w:val="single" w:sz="8" w:color="auto"/>
            </w:tcBorders>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20" w:type="dxa"/>
            <w:vAlign w:val="bottom"/>
            <w:tcBorders>
              <w:bottom w:val="single" w:sz="8" w:color="auto"/>
            </w:tcBorders>
            <w:gridSpan w:val="2"/>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tcBorders>
            <w:gridSpan w:val="6"/>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8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3,014</w:t>
            </w:r>
          </w:p>
        </w:tc>
        <w:tc>
          <w:tcPr>
            <w:tcW w:w="840" w:type="dxa"/>
            <w:vAlign w:val="bottom"/>
            <w:gridSpan w:val="3"/>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2,984</w:t>
            </w:r>
          </w:p>
        </w:tc>
        <w:tc>
          <w:tcPr>
            <w:tcW w:w="980" w:type="dxa"/>
            <w:vAlign w:val="bottom"/>
            <w:gridSpan w:val="3"/>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Borders>
              <w:top w:val="single" w:sz="8" w:color="CFF0FC"/>
            </w:tcBorders>
            <w:gridSpan w:val="6"/>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8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2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40" w:type="dxa"/>
            <w:vAlign w:val="bottom"/>
            <w:tcBorders>
              <w:top w:val="single" w:sz="8" w:color="CFF0FC"/>
            </w:tcBorders>
          </w:tcPr>
          <w:p>
            <w:pPr>
              <w:spacing w:after="0"/>
              <w:rPr>
                <w:sz w:val="8"/>
                <w:szCs w:val="8"/>
                <w:color w:val="auto"/>
              </w:rPr>
            </w:pPr>
          </w:p>
        </w:tc>
        <w:tc>
          <w:tcPr>
            <w:tcW w:w="68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64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Secured Canadian</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3,014</w:t>
            </w:r>
          </w:p>
        </w:tc>
        <w:tc>
          <w:tcPr>
            <w:tcW w:w="220" w:type="dxa"/>
            <w:vAlign w:val="bottom"/>
            <w:vMerge w:val="restart"/>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2,984</w:t>
            </w:r>
          </w:p>
        </w:tc>
        <w:tc>
          <w:tcPr>
            <w:tcW w:w="200" w:type="dxa"/>
            <w:vAlign w:val="bottom"/>
            <w:gridSpan w:val="2"/>
            <w:vMerge w:val="restart"/>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0"/>
                <w:szCs w:val="10"/>
                <w:color w:val="auto"/>
              </w:rPr>
            </w:pPr>
          </w:p>
        </w:tc>
        <w:tc>
          <w:tcPr>
            <w:tcW w:w="164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Debt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540" w:type="dxa"/>
            <w:vAlign w:val="bottom"/>
            <w:tcBorders>
              <w:bottom w:val="single" w:sz="8" w:color="auto"/>
            </w:tcBorders>
            <w:gridSpan w:val="3"/>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Borders>
              <w:left w:val="single" w:sz="8" w:color="CFF0FC"/>
            </w:tcBorders>
            <w:gridSpan w:val="6"/>
            <w:shd w:val="clear" w:color="auto" w:fill="CFF0FC"/>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Total Canadian</w:t>
            </w: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spacing w:after="0"/>
              <w:rPr>
                <w:sz w:val="8"/>
                <w:szCs w:val="8"/>
                <w:color w:val="auto"/>
              </w:rPr>
            </w:pPr>
          </w:p>
        </w:tc>
        <w:tc>
          <w:tcPr>
            <w:tcW w:w="5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3,014</w:t>
            </w:r>
          </w:p>
        </w:tc>
        <w:tc>
          <w:tcPr>
            <w:tcW w:w="220" w:type="dxa"/>
            <w:vAlign w:val="bottom"/>
            <w:vMerge w:val="restart"/>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2,984</w:t>
            </w:r>
          </w:p>
        </w:tc>
        <w:tc>
          <w:tcPr>
            <w:tcW w:w="200" w:type="dxa"/>
            <w:vAlign w:val="bottom"/>
            <w:gridSpan w:val="2"/>
            <w:vMerge w:val="restart"/>
            <w:shd w:val="clear" w:color="auto" w:fill="CFF0FC"/>
          </w:tcPr>
          <w:p>
            <w:pPr>
              <w:spacing w:after="0"/>
              <w:rPr>
                <w:sz w:val="8"/>
                <w:szCs w:val="8"/>
                <w:color w:val="auto"/>
              </w:rPr>
            </w:pPr>
          </w:p>
        </w:tc>
        <w:tc>
          <w:tcPr>
            <w:tcW w:w="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0" w:type="dxa"/>
            <w:vAlign w:val="bottom"/>
            <w:tcBorders>
              <w:left w:val="single" w:sz="8" w:color="CFF0FC"/>
              <w:bottom w:val="single" w:sz="8" w:color="CFF0FC"/>
            </w:tcBorders>
            <w:shd w:val="clear" w:color="auto" w:fill="CFF0FC"/>
          </w:tcPr>
          <w:p>
            <w:pPr>
              <w:spacing w:after="0"/>
              <w:rPr>
                <w:sz w:val="10"/>
                <w:szCs w:val="10"/>
                <w:color w:val="auto"/>
              </w:rPr>
            </w:pPr>
          </w:p>
        </w:tc>
        <w:tc>
          <w:tcPr>
            <w:tcW w:w="1640" w:type="dxa"/>
            <w:vAlign w:val="bottom"/>
            <w:tcBorders>
              <w:bottom w:val="single" w:sz="8" w:color="CFF0FC"/>
            </w:tcBorders>
            <w:gridSpan w:val="5"/>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Corporate Debt</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540" w:type="dxa"/>
            <w:vAlign w:val="bottom"/>
            <w:tcBorders>
              <w:bottom w:val="single" w:sz="8" w:color="auto"/>
            </w:tcBorders>
            <w:gridSpan w:val="3"/>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620" w:type="dxa"/>
            <w:vAlign w:val="bottom"/>
            <w:tcBorders>
              <w:bottom w:val="single" w:sz="8" w:color="auto"/>
            </w:tcBorders>
            <w:gridSpan w:val="2"/>
            <w:vMerge w:val="continue"/>
            <w:shd w:val="clear" w:color="auto" w:fill="CFF0FC"/>
          </w:tcPr>
          <w:p>
            <w:pPr>
              <w:spacing w:after="0"/>
              <w:rPr>
                <w:sz w:val="10"/>
                <w:szCs w:val="10"/>
                <w:color w:val="auto"/>
              </w:rPr>
            </w:pPr>
          </w:p>
        </w:tc>
        <w:tc>
          <w:tcPr>
            <w:tcW w:w="200" w:type="dxa"/>
            <w:vAlign w:val="bottom"/>
            <w:tcBorders>
              <w:bottom w:val="single" w:sz="8" w:color="CFF0FC"/>
            </w:tcBorders>
            <w:gridSpan w:val="2"/>
            <w:vMerge w:val="continue"/>
            <w:shd w:val="clear" w:color="auto" w:fill="CFF0FC"/>
          </w:tcPr>
          <w:p>
            <w:pPr>
              <w:spacing w:after="0"/>
              <w:rPr>
                <w:sz w:val="10"/>
                <w:szCs w:val="10"/>
                <w:color w:val="auto"/>
              </w:rPr>
            </w:pPr>
          </w:p>
        </w:tc>
        <w:tc>
          <w:tcPr>
            <w:tcW w:w="780" w:type="dxa"/>
            <w:vAlign w:val="bottom"/>
            <w:tcBorders>
              <w:bottom w:val="single" w:sz="8" w:color="auto"/>
            </w:tcBorders>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4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273,604</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274,516</w:t>
            </w:r>
          </w:p>
        </w:tc>
        <w:tc>
          <w:tcPr>
            <w:tcW w:w="980" w:type="dxa"/>
            <w:vAlign w:val="bottom"/>
            <w:gridSpan w:val="3"/>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91.2%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Class Series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4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6"/>
                <w:szCs w:val="6"/>
                <w:b w:val="1"/>
                <w:bCs w:val="1"/>
                <w:color w:val="auto"/>
              </w:rPr>
              <w:t xml:space="preserve"> (17)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 of Net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Footnote</w:t>
            </w:r>
          </w:p>
        </w:tc>
        <w:tc>
          <w:tcPr>
            <w:tcW w:w="0" w:type="dxa"/>
            <w:vAlign w:val="bottom"/>
          </w:tcPr>
          <w:p>
            <w:pPr>
              <w:spacing w:after="0"/>
              <w:rPr>
                <w:sz w:val="1"/>
                <w:szCs w:val="1"/>
                <w:color w:val="auto"/>
              </w:rPr>
            </w:pPr>
          </w:p>
        </w:tc>
      </w:tr>
      <w:tr>
        <w:trPr>
          <w:trHeight w:val="102"/>
        </w:trPr>
        <w:tc>
          <w:tcPr>
            <w:tcW w:w="1740" w:type="dxa"/>
            <w:vAlign w:val="bottom"/>
            <w:tcBorders>
              <w:top w:val="single" w:sz="8" w:color="auto"/>
              <w:left w:val="single" w:sz="8" w:color="CFF0FC"/>
            </w:tcBorders>
            <w:gridSpan w:val="6"/>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U.S. Preferred Stock</w:t>
            </w:r>
          </w:p>
        </w:tc>
        <w:tc>
          <w:tcPr>
            <w:tcW w:w="820" w:type="dxa"/>
            <w:vAlign w:val="bottom"/>
            <w:tcBorders>
              <w:top w:val="single" w:sz="8" w:color="auto"/>
              <w:lef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 w:type="dxa"/>
            <w:vAlign w:val="bottom"/>
          </w:tcPr>
          <w:p>
            <w:pPr>
              <w:spacing w:after="0"/>
              <w:rPr>
                <w:sz w:val="8"/>
                <w:szCs w:val="8"/>
                <w:color w:val="auto"/>
              </w:rPr>
            </w:pPr>
          </w:p>
        </w:tc>
        <w:tc>
          <w:tcPr>
            <w:tcW w:w="1640" w:type="dxa"/>
            <w:vAlign w:val="bottom"/>
            <w:gridSpan w:val="5"/>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5"/>
              </w:rPr>
              <w:t>Real Estate and Rental and Leasing</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40" w:type="dxa"/>
            <w:vAlign w:val="bottom"/>
            <w:tcBorders>
              <w:left w:val="single" w:sz="8" w:color="CFF0FC"/>
              <w:bottom w:val="single" w:sz="8" w:color="CFF0FC"/>
            </w:tcBorders>
            <w:gridSpan w:val="6"/>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gridSpan w:val="4"/>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A-1 Preferred</w:t>
            </w: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gridSpan w:val="3"/>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500,000</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84"/>
              </w:rPr>
              <w:t>500</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500</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rPr>
              <w:t>0.2%</w:t>
            </w:r>
          </w:p>
        </w:tc>
        <w:tc>
          <w:tcPr>
            <w:tcW w:w="2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CFF0FC"/>
            </w:tcBorders>
            <w:gridSpan w:val="3"/>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6"/>
              </w:rPr>
              <w:t>(6)(10)</w:t>
            </w:r>
          </w:p>
        </w:tc>
        <w:tc>
          <w:tcPr>
            <w:tcW w:w="0" w:type="dxa"/>
            <w:vAlign w:val="bottom"/>
          </w:tcPr>
          <w:p>
            <w:pPr>
              <w:spacing w:after="0"/>
              <w:rPr>
                <w:sz w:val="1"/>
                <w:szCs w:val="1"/>
                <w:color w:val="auto"/>
              </w:rPr>
            </w:pPr>
          </w:p>
        </w:tc>
      </w:tr>
      <w:tr>
        <w:trPr>
          <w:trHeight w:val="115"/>
        </w:trPr>
        <w:tc>
          <w:tcPr>
            <w:tcW w:w="2560" w:type="dxa"/>
            <w:vAlign w:val="bottom"/>
            <w:gridSpan w:val="7"/>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Real Estate and Rental and Leasing</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500</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tcBorders>
            <w:gridSpan w:val="6"/>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U.S. Preferred Stock</w:t>
            </w:r>
          </w:p>
        </w:tc>
        <w:tc>
          <w:tcPr>
            <w:tcW w:w="8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500</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500</w:t>
            </w:r>
          </w:p>
        </w:tc>
        <w:tc>
          <w:tcPr>
            <w:tcW w:w="180" w:type="dxa"/>
            <w:vAlign w:val="bottom"/>
            <w:shd w:val="clear" w:color="auto" w:fill="CFF0FC"/>
          </w:tcPr>
          <w:p>
            <w:pPr>
              <w:spacing w:after="0"/>
              <w:rPr>
                <w:sz w:val="10"/>
                <w:szCs w:val="10"/>
                <w:color w:val="auto"/>
              </w:rPr>
            </w:pPr>
          </w:p>
        </w:tc>
        <w:tc>
          <w:tcPr>
            <w:tcW w:w="980" w:type="dxa"/>
            <w:vAlign w:val="bottom"/>
            <w:gridSpan w:val="3"/>
            <w:shd w:val="clear" w:color="auto" w:fill="CFF0FC"/>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6"/>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U .S. Warrants</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 w:type="dxa"/>
            <w:vAlign w:val="bottom"/>
            <w:tcBorders>
              <w:left w:val="single" w:sz="8" w:color="CFF0FC"/>
            </w:tcBorders>
            <w:shd w:val="clear" w:color="auto" w:fill="CFF0FC"/>
          </w:tcPr>
          <w:p>
            <w:pPr>
              <w:spacing w:after="0"/>
              <w:rPr>
                <w:sz w:val="8"/>
                <w:szCs w:val="8"/>
                <w:color w:val="auto"/>
              </w:rPr>
            </w:pPr>
          </w:p>
        </w:tc>
        <w:tc>
          <w:tcPr>
            <w:tcW w:w="1640" w:type="dxa"/>
            <w:vAlign w:val="bottom"/>
            <w:gridSpan w:val="5"/>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5"/>
              </w:rPr>
              <w:t>Real Estate and Rental and Leasing</w:t>
            </w: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4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auto"/>
              </w:rPr>
              <w:t>Workbox Holdings Inc.</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color w:val="auto"/>
              </w:rPr>
              <w:t>A-3 Warrants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5/20/2024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71,000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97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91</w:t>
            </w:r>
          </w:p>
        </w:tc>
        <w:tc>
          <w:tcPr>
            <w:tcW w:w="180" w:type="dxa"/>
            <w:vAlign w:val="bottom"/>
          </w:tcPr>
          <w:p>
            <w:pPr>
              <w:spacing w:after="0"/>
              <w:rPr>
                <w:sz w:val="10"/>
                <w:szCs w:val="10"/>
                <w:color w:val="auto"/>
              </w:rPr>
            </w:pPr>
          </w:p>
        </w:tc>
        <w:tc>
          <w:tcPr>
            <w:tcW w:w="980" w:type="dxa"/>
            <w:vAlign w:val="bottom"/>
            <w:gridSpan w:val="3"/>
          </w:tcPr>
          <w:p>
            <w:pPr>
              <w:jc w:val="center"/>
              <w:ind w:left="6"/>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820" w:type="dxa"/>
            <w:vAlign w:val="bottom"/>
            <w:gridSpan w:val="4"/>
          </w:tcPr>
          <w:p>
            <w:pPr>
              <w:jc w:val="center"/>
              <w:ind w:left="66"/>
              <w:spacing w:after="0" w:line="115" w:lineRule="exact"/>
              <w:rPr>
                <w:sz w:val="20"/>
                <w:szCs w:val="20"/>
                <w:color w:val="auto"/>
              </w:rPr>
            </w:pPr>
            <w:r>
              <w:rPr>
                <w:rFonts w:ascii="Times New Roman" w:cs="Times New Roman" w:eastAsia="Times New Roman" w:hAnsi="Times New Roman"/>
                <w:sz w:val="11"/>
                <w:szCs w:val="11"/>
                <w:color w:val="auto"/>
                <w:w w:val="96"/>
              </w:rPr>
              <w:t>(6)(10)</w:t>
            </w:r>
          </w:p>
        </w:tc>
        <w:tc>
          <w:tcPr>
            <w:tcW w:w="0" w:type="dxa"/>
            <w:vAlign w:val="bottom"/>
          </w:tcPr>
          <w:p>
            <w:pPr>
              <w:spacing w:after="0"/>
              <w:rPr>
                <w:sz w:val="1"/>
                <w:szCs w:val="1"/>
                <w:color w:val="auto"/>
              </w:rPr>
            </w:pPr>
          </w:p>
        </w:tc>
      </w:tr>
      <w:tr>
        <w:trPr>
          <w:trHeight w:val="122"/>
        </w:trPr>
        <w:tc>
          <w:tcPr>
            <w:tcW w:w="1740" w:type="dxa"/>
            <w:vAlign w:val="bottom"/>
            <w:tcBorders>
              <w:left w:val="single" w:sz="8" w:color="CFF0FC"/>
              <w:bottom w:val="single" w:sz="8" w:color="CFF0FC"/>
            </w:tcBorders>
            <w:gridSpan w:val="6"/>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Workbox Holdings Inc.</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gridSpan w:val="4"/>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A-4 Warrants</w:t>
            </w: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gridSpan w:val="3"/>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105,000</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84"/>
              </w:rPr>
              <w:t>146</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CFF0FC"/>
            </w:tcBorders>
            <w:gridSpan w:val="3"/>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6"/>
              </w:rPr>
              <w:t>(6)(10)</w:t>
            </w:r>
          </w:p>
        </w:tc>
        <w:tc>
          <w:tcPr>
            <w:tcW w:w="0" w:type="dxa"/>
            <w:vAlign w:val="bottom"/>
          </w:tcPr>
          <w:p>
            <w:pPr>
              <w:spacing w:after="0"/>
              <w:rPr>
                <w:sz w:val="1"/>
                <w:szCs w:val="1"/>
                <w:color w:val="auto"/>
              </w:rPr>
            </w:pPr>
          </w:p>
        </w:tc>
      </w:tr>
      <w:tr>
        <w:trPr>
          <w:trHeight w:val="115"/>
        </w:trPr>
        <w:tc>
          <w:tcPr>
            <w:tcW w:w="2560" w:type="dxa"/>
            <w:vAlign w:val="bottom"/>
            <w:gridSpan w:val="7"/>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Real Estate and Rental and Leasing</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243</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tcBorders>
            <w:gridSpan w:val="6"/>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U.S. Warrants</w:t>
            </w:r>
          </w:p>
        </w:tc>
        <w:tc>
          <w:tcPr>
            <w:tcW w:w="8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243</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225</w:t>
            </w:r>
          </w:p>
        </w:tc>
        <w:tc>
          <w:tcPr>
            <w:tcW w:w="180" w:type="dxa"/>
            <w:vAlign w:val="bottom"/>
            <w:shd w:val="clear" w:color="auto" w:fill="CFF0FC"/>
          </w:tcPr>
          <w:p>
            <w:pPr>
              <w:spacing w:after="0"/>
              <w:rPr>
                <w:sz w:val="10"/>
                <w:szCs w:val="10"/>
                <w:color w:val="auto"/>
              </w:rPr>
            </w:pPr>
          </w:p>
        </w:tc>
        <w:tc>
          <w:tcPr>
            <w:tcW w:w="980" w:type="dxa"/>
            <w:vAlign w:val="bottom"/>
            <w:gridSpan w:val="3"/>
            <w:shd w:val="clear" w:color="auto" w:fill="CFF0FC"/>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gridSpan w:val="4"/>
          </w:tcPr>
          <w:p>
            <w:pPr>
              <w:spacing w:after="0" w:line="108" w:lineRule="exact"/>
              <w:rPr>
                <w:sz w:val="20"/>
                <w:szCs w:val="20"/>
                <w:color w:val="auto"/>
              </w:rPr>
            </w:pPr>
            <w:r>
              <w:rPr>
                <w:rFonts w:ascii="Times New Roman" w:cs="Times New Roman" w:eastAsia="Times New Roman" w:hAnsi="Times New Roman"/>
                <w:sz w:val="11"/>
                <w:szCs w:val="11"/>
                <w:b w:val="1"/>
                <w:bCs w:val="1"/>
                <w:color w:val="auto"/>
                <w:w w:val="97"/>
              </w:rPr>
              <w:t>Canadian Warrants</w:t>
            </w:r>
          </w:p>
        </w:tc>
        <w:tc>
          <w:tcPr>
            <w:tcW w:w="78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0" w:type="dxa"/>
            <w:vAlign w:val="bottom"/>
            <w:tcBorders>
              <w:left w:val="single" w:sz="8" w:color="CFF0FC"/>
            </w:tcBorders>
            <w:shd w:val="clear" w:color="auto" w:fill="CFF0FC"/>
          </w:tcPr>
          <w:p>
            <w:pPr>
              <w:spacing w:after="0"/>
              <w:rPr>
                <w:sz w:val="8"/>
                <w:szCs w:val="8"/>
                <w:color w:val="auto"/>
              </w:rPr>
            </w:pPr>
          </w:p>
        </w:tc>
        <w:tc>
          <w:tcPr>
            <w:tcW w:w="1640" w:type="dxa"/>
            <w:vAlign w:val="bottom"/>
            <w:gridSpan w:val="5"/>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820" w:type="dxa"/>
            <w:vAlign w:val="bottom"/>
            <w:tcBorders>
              <w:lef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4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auto"/>
              </w:rPr>
              <w:t>Tulip.io Inc.</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color w:val="auto"/>
              </w:rPr>
              <w:t>Warrants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11/4/2024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64,776</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20" w:type="dxa"/>
            <w:vAlign w:val="bottom"/>
            <w:tcBorders>
              <w:bottom w:val="single" w:sz="8" w:color="auto"/>
            </w:tcBorders>
          </w:tcPr>
          <w:p>
            <w:pPr>
              <w:spacing w:after="0"/>
              <w:rPr>
                <w:sz w:val="10"/>
                <w:szCs w:val="10"/>
                <w:color w:val="auto"/>
              </w:rPr>
            </w:pPr>
          </w:p>
        </w:tc>
        <w:tc>
          <w:tcPr>
            <w:tcW w:w="800" w:type="dxa"/>
            <w:vAlign w:val="bottom"/>
            <w:gridSpan w:val="3"/>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5"/>
              </w:rPr>
              <w:t>(6)(8)(14)</w:t>
            </w: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bottom w:val="single" w:sz="8" w:color="CFF0FC"/>
            </w:tcBorders>
            <w:gridSpan w:val="6"/>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2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6"/>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Total Canadian Warrants</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0.0%</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CFF0FC"/>
              <w:bottom w:val="single" w:sz="8" w:color="CFF0FC"/>
            </w:tcBorders>
            <w:gridSpan w:val="6"/>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Total Equity Investments</w:t>
            </w:r>
          </w:p>
        </w:tc>
        <w:tc>
          <w:tcPr>
            <w:tcW w:w="8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4"/>
              </w:rPr>
              <w:t>743</w:t>
            </w:r>
          </w:p>
        </w:tc>
        <w:tc>
          <w:tcPr>
            <w:tcW w:w="22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725</w:t>
            </w:r>
          </w:p>
        </w:tc>
        <w:tc>
          <w:tcPr>
            <w:tcW w:w="1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gridSpan w:val="2"/>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0.2%</w:t>
            </w:r>
          </w:p>
        </w:tc>
        <w:tc>
          <w:tcPr>
            <w:tcW w:w="2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4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274,347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275,241</w:t>
            </w:r>
          </w:p>
        </w:tc>
        <w:tc>
          <w:tcPr>
            <w:tcW w:w="180" w:type="dxa"/>
            <w:vAlign w:val="bottom"/>
          </w:tcPr>
          <w:p>
            <w:pPr>
              <w:spacing w:after="0"/>
              <w:rPr>
                <w:sz w:val="11"/>
                <w:szCs w:val="11"/>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91.4%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-2318385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-2318385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-2318385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-1932940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-1932940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-1932940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-1238250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-1238250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-1238250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-758190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-758190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-758190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-269875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-269875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-269875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-98425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-98425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-98425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of</w:t>
            </w: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37"/>
        </w:trPr>
        <w:tc>
          <w:tcPr>
            <w:tcW w:w="1200" w:type="dxa"/>
            <w:vAlign w:val="bottom"/>
          </w:tcPr>
          <w:p>
            <w:pPr>
              <w:spacing w:after="0"/>
              <w:rPr>
                <w:sz w:val="11"/>
                <w:szCs w:val="11"/>
                <w:color w:val="auto"/>
              </w:rPr>
            </w:pPr>
          </w:p>
        </w:tc>
        <w:tc>
          <w:tcPr>
            <w:tcW w:w="374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Pr>
          <w:p>
            <w:pPr>
              <w:spacing w:after="0"/>
              <w:rPr>
                <w:sz w:val="11"/>
                <w:szCs w:val="11"/>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62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Footnote</w:t>
            </w:r>
          </w:p>
        </w:tc>
      </w:tr>
      <w:tr>
        <w:trPr>
          <w:trHeight w:val="102"/>
        </w:trPr>
        <w:tc>
          <w:tcPr>
            <w:tcW w:w="1200" w:type="dxa"/>
            <w:vAlign w:val="bottom"/>
            <w:tcBorders>
              <w:top w:val="single" w:sz="8" w:color="auto"/>
              <w:bottom w:val="single" w:sz="8" w:color="auto"/>
            </w:tcBorders>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Cash &amp; Cash Equivalents</w:t>
            </w:r>
          </w:p>
        </w:tc>
        <w:tc>
          <w:tcPr>
            <w:tcW w:w="374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040" w:type="dxa"/>
            <w:vAlign w:val="bottom"/>
            <w:tcBorders>
              <w:top w:val="single" w:sz="8" w:color="auto"/>
              <w:bottom w:val="single" w:sz="8" w:color="CFF0FC"/>
            </w:tcBorders>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620" w:type="dxa"/>
            <w:vAlign w:val="bottom"/>
            <w:tcBorders>
              <w:top w:val="single" w:sz="8" w:color="auto"/>
              <w:bottom w:val="single" w:sz="8" w:color="CFF0FC"/>
            </w:tcBorders>
            <w:shd w:val="clear" w:color="auto" w:fill="CFF0FC"/>
          </w:tcPr>
          <w:p>
            <w:pPr>
              <w:spacing w:after="0"/>
              <w:rPr>
                <w:sz w:val="8"/>
                <w:szCs w:val="8"/>
                <w:color w:val="auto"/>
              </w:rPr>
            </w:pPr>
          </w:p>
        </w:tc>
        <w:tc>
          <w:tcPr>
            <w:tcW w:w="400" w:type="dxa"/>
            <w:vAlign w:val="bottom"/>
            <w:tcBorders>
              <w:top w:val="single" w:sz="8" w:color="auto"/>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660" w:type="dxa"/>
            <w:vAlign w:val="bottom"/>
            <w:tcBorders>
              <w:top w:val="single" w:sz="8" w:color="auto"/>
              <w:bottom w:val="single" w:sz="8" w:color="CFF0FC"/>
            </w:tcBorders>
            <w:shd w:val="clear" w:color="auto" w:fill="CFF0FC"/>
          </w:tcPr>
          <w:p>
            <w:pPr>
              <w:spacing w:after="0"/>
              <w:rPr>
                <w:sz w:val="8"/>
                <w:szCs w:val="8"/>
                <w:color w:val="auto"/>
              </w:rPr>
            </w:pPr>
          </w:p>
        </w:tc>
        <w:tc>
          <w:tcPr>
            <w:tcW w:w="380" w:type="dxa"/>
            <w:vAlign w:val="bottom"/>
            <w:tcBorders>
              <w:top w:val="single" w:sz="8" w:color="auto"/>
              <w:bottom w:val="single" w:sz="8" w:color="CFF0FC"/>
            </w:tcBorders>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1100" w:type="dxa"/>
            <w:vAlign w:val="bottom"/>
            <w:tcBorders>
              <w:top w:val="single" w:sz="8" w:color="auto"/>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1100" w:type="dxa"/>
            <w:vAlign w:val="bottom"/>
            <w:tcBorders>
              <w:top w:val="single" w:sz="8" w:color="auto"/>
              <w:bottom w:val="single" w:sz="8" w:color="CFF0FC"/>
            </w:tcBorders>
            <w:shd w:val="clear" w:color="auto" w:fill="CFF0FC"/>
          </w:tcPr>
          <w:p>
            <w:pPr>
              <w:spacing w:after="0"/>
              <w:rPr>
                <w:sz w:val="8"/>
                <w:szCs w:val="8"/>
                <w:color w:val="auto"/>
              </w:rPr>
            </w:pPr>
          </w:p>
        </w:tc>
      </w:tr>
      <w:tr>
        <w:trPr>
          <w:trHeight w:val="115"/>
        </w:trPr>
        <w:tc>
          <w:tcPr>
            <w:tcW w:w="49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State Street Institutional US Government Money Market Fund</w:t>
            </w:r>
          </w:p>
        </w:tc>
        <w:tc>
          <w:tcPr>
            <w:tcW w:w="142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4.43%</w:t>
            </w:r>
          </w:p>
        </w:tc>
        <w:tc>
          <w:tcPr>
            <w:tcW w:w="620" w:type="dxa"/>
            <w:vAlign w:val="bottom"/>
          </w:tcPr>
          <w:p>
            <w:pPr>
              <w:spacing w:after="0"/>
              <w:rPr>
                <w:sz w:val="10"/>
                <w:szCs w:val="10"/>
                <w:color w:val="auto"/>
              </w:rPr>
            </w:pP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23,932</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23,932</w:t>
            </w:r>
          </w:p>
        </w:tc>
        <w:tc>
          <w:tcPr>
            <w:tcW w:w="1360" w:type="dxa"/>
            <w:vAlign w:val="bottom"/>
            <w:gridSpan w:val="2"/>
          </w:tcPr>
          <w:p>
            <w:pPr>
              <w:jc w:val="center"/>
              <w:ind w:left="186"/>
              <w:spacing w:after="0" w:line="115" w:lineRule="exact"/>
              <w:rPr>
                <w:sz w:val="20"/>
                <w:szCs w:val="20"/>
                <w:color w:val="auto"/>
              </w:rPr>
            </w:pPr>
            <w:r>
              <w:rPr>
                <w:rFonts w:ascii="Times New Roman" w:cs="Times New Roman" w:eastAsia="Times New Roman" w:hAnsi="Times New Roman"/>
                <w:sz w:val="11"/>
                <w:szCs w:val="11"/>
                <w:color w:val="auto"/>
              </w:rPr>
              <w:t>7.9%</w:t>
            </w:r>
          </w:p>
        </w:tc>
        <w:tc>
          <w:tcPr>
            <w:tcW w:w="1240" w:type="dxa"/>
            <w:vAlign w:val="bottom"/>
            <w:gridSpan w:val="2"/>
          </w:tcPr>
          <w:p>
            <w:pPr>
              <w:jc w:val="right"/>
              <w:ind w:right="326"/>
              <w:spacing w:after="0" w:line="115" w:lineRule="exact"/>
              <w:rPr>
                <w:sz w:val="20"/>
                <w:szCs w:val="20"/>
                <w:color w:val="auto"/>
              </w:rPr>
            </w:pPr>
            <w:r>
              <w:rPr>
                <w:rFonts w:ascii="Times New Roman" w:cs="Times New Roman" w:eastAsia="Times New Roman" w:hAnsi="Times New Roman"/>
                <w:sz w:val="11"/>
                <w:szCs w:val="11"/>
                <w:color w:val="auto"/>
              </w:rPr>
              <w:t>(15)(16)</w:t>
            </w:r>
          </w:p>
        </w:tc>
      </w:tr>
      <w:tr>
        <w:trPr>
          <w:trHeight w:val="121"/>
        </w:trPr>
        <w:tc>
          <w:tcPr>
            <w:tcW w:w="4940" w:type="dxa"/>
            <w:vAlign w:val="bottom"/>
            <w:gridSpan w:val="2"/>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Total Cash &amp; Cash Equivalents</w:t>
            </w: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23,932</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23,932</w:t>
            </w:r>
          </w:p>
        </w:tc>
        <w:tc>
          <w:tcPr>
            <w:tcW w:w="1360" w:type="dxa"/>
            <w:vAlign w:val="bottom"/>
            <w:gridSpan w:val="2"/>
            <w:shd w:val="clear" w:color="auto" w:fill="CFF0FC"/>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7.9%</w:t>
            </w:r>
          </w:p>
        </w:tc>
        <w:tc>
          <w:tcPr>
            <w:tcW w:w="1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r>
      <w:tr>
        <w:trPr>
          <w:trHeight w:val="122"/>
        </w:trPr>
        <w:tc>
          <w:tcPr>
            <w:tcW w:w="12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55"/>
        </w:trPr>
        <w:tc>
          <w:tcPr>
            <w:tcW w:w="4940" w:type="dxa"/>
            <w:vAlign w:val="bottom"/>
            <w:tcBorders>
              <w:bottom w:val="single" w:sz="8" w:color="CFF0FC"/>
            </w:tcBorders>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Portfolio Investments and Cash &amp; Cash Equivalents</w:t>
            </w: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298,279</w:t>
            </w:r>
          </w:p>
        </w:tc>
        <w:tc>
          <w:tcPr>
            <w:tcW w:w="2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299,174</w:t>
            </w:r>
          </w:p>
        </w:tc>
        <w:tc>
          <w:tcPr>
            <w:tcW w:w="26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99.3%</w:t>
            </w:r>
          </w:p>
        </w:tc>
        <w:tc>
          <w:tcPr>
            <w:tcW w:w="14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Legend</w:t>
      </w:r>
    </w:p>
    <w:p>
      <w:pPr>
        <w:spacing w:after="0" w:line="31" w:lineRule="exact"/>
        <w:rPr>
          <w:sz w:val="20"/>
          <w:szCs w:val="20"/>
          <w:color w:val="auto"/>
        </w:rPr>
      </w:pPr>
    </w:p>
    <w:p>
      <w:pPr>
        <w:ind w:left="5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securities are valued using significant unobservable inputs, which are categorized as Level 3 assets under the Financial Accounting Standards Board’s Accounting Standards Codification 820's Fair Value Hierarchy.</w:t>
      </w: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represents the outstanding principal balance net of repayments, if any, as per the terms of the debt instrument’s contract.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December 31, 2024, rates for 1M S, 3M S and 6M S are 4.53%, 4.69%, and 5.03%, respectively. As of December 31, 2024, the P was 7.50%.</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were valued at fair value. See "Note 4 — Fair Value of Financial Instruments" in the accompanying notes to the financial statements.</w:t>
      </w:r>
    </w:p>
    <w:p>
      <w:pPr>
        <w:ind w:left="5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non-income producing investment. As of December 31, 2024, no debt investments are deemed as non-income producing.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regions are determined by the respective portfolio company’s headquarters’ location.</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portfolio company’s headquarters is located outside of the United States.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Northeast.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Midwest.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West.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Southeast.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Southwest.</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2024 the aggregate fair value of non-qualifying assets is $59,263,833 or 19.14% of the Company’s total assets.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shown is the annualized seven-day yield as of December 31,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‘Cash and cash equivalents’ on the Statements of Assets and Liabilities.</w:t>
      </w:r>
    </w:p>
    <w:p>
      <w:pPr>
        <w:spacing w:after="0" w:line="9"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any accretion of discounts, amortization of premiums and payment-in-kind ("PIK") interest or dividends.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PIK - Payment-In-Kind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 SOFR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Chicago Atlantic BDC, Inc. (formerly, Silver Spike Investment Corp.) (an emerging growth company) (the “Company”, “we” or “our”) was formed on January 25, 2021 as a Maryland corporation structured as an externally managed, closed-end, non-diversified management investment company. The Company has elected to be regulated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and has maintained (and intends to continue to maintain) such election in subsequent taxable years. However, there is no guarantee that the Company will qualify to make such an election for any taxable year.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managed by Chicago Atlantic BDC Advisers, LLC (formerly, Silver Spike Capital, LLC) (the “Adviser”), a registered investment adviser under the Investment Advisers Act of 1940 with the Securities and Exchange Commission (“SEC”). The Adviser has engaged SS&amp;C Technologies, Inc. and ALPS Fund Services, Inc. (“SS&amp;C”), as sub-administrator, to perform administrative services necessary for the Company's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the Company focuses on investments in the cannabis industry, the Company may also invest in growth and technology companies, esoteric and asset-based lending opportunities, and liquidity solutions opportunities.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investment objective is to maximize risk-adjusted returns on equity for its shareholders. The Company seeks to capitalize on, among other things, what it believes to be nascent cannabis industry growth, and drive return on equity by generating current income from its debt investments and capital appreciation from its equity and equity-related investments. The Company intends to achieve its investment objective by investing primarily in secured debt, unsecured debt, equity warrants and direct equity investments in privately held businesses. The Company intends that its debt investments will often be secured by either a first or second priority lien on the assets of the portfolio company, can include either fixed or floating rate terms and will generally have a term of between three and six years from the original investment date.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acquisition of a portfolio of loans (the “Loan Portfolio”) from Chicago Atlantic Loan Portfolio, LLC ("CALP")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Loan Portfolio Acquisition and the Joint Venture, the Company has been renamed “Chicago Atlantic BDC, Inc.,” and its ticker symbol has been changed to “LIEN,” and the Adviser has been renamed “Chicago Atlantic BDC Advisers, LLC.” The changes to the Company’s name and ticker symbol became effective in the market at the open of business on October 2,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statements have been prepared in accordance with accounting principles generally accepted in the United States of America (“U.S. GAAP”). The Company is an investment company following the accounting and reporting requirements set forth in the Financial Accounting Standards Board (“FASB”) Accounting Standards Codification (“ASC”) 946, </w:t>
      </w:r>
      <w:r>
        <w:rPr>
          <w:rFonts w:ascii="Times New Roman" w:cs="Times New Roman" w:eastAsia="Times New Roman" w:hAnsi="Times New Roman"/>
          <w:sz w:val="18"/>
          <w:szCs w:val="18"/>
          <w:i w:val="1"/>
          <w:iCs w:val="1"/>
          <w:color w:val="auto"/>
        </w:rPr>
        <w:t>Financial Services—Investment Companies ("ASC 946")</w:t>
      </w:r>
      <w:r>
        <w:rPr>
          <w:rFonts w:ascii="Times New Roman" w:cs="Times New Roman" w:eastAsia="Times New Roman" w:hAnsi="Times New Roman"/>
          <w:sz w:val="18"/>
          <w:szCs w:val="18"/>
          <w:color w:val="auto"/>
        </w:rPr>
        <w:t xml:space="preserve"> and Articles 6 and 12 of Regulation S-X. The financial statements reflect all adjustments and reclassification that, in the opinion of management, are necessary for the fair statement of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and for the periods presented. The current period’s results of operations are not necessarily indicative of results that may be achieved for the full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provided under ASC 946, the Company will not consolidate its investment in a portfolio company other than an investment company subsidiary or a controlled operating company whose business consists of providing services to the Company. An investment company’s interests in portfolio companies that are not investment companies are measured at fair value in accordance with ASC 946.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in the presentation of prior year financial statements and accompanying notes to conform to the current period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certain estimates and assumptions affecting reported amounts of assets and liabilities at the date of the financial statements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Cash and cash equivalents consists of funds deposited with financial institutions and short-term (maturity of 90 days or less) liquid investments and money market funds. Funds held in money market funds are considered Level 1 in the fair value hierarchy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accounts are held. As of September 30, 2025 and December 31, 2024, cash and cash equivalents consisted of $10.5 million and $23.9 million, respectively, all of which are held with high credit quality financial institutions, which are members of the FDIC.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 transactions are recorded on the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the fair value of investments are reflected as a component of the net change in unrealized appreciation (depreciation) from investments on the Statements of Operations. The net change in unrealized appreciation (depreciation) primarily reflects the change in fair value of investments as of the last business day of the reporting period, including the reversal of previously recorded unrealized gains or losses with respect to investments realized during the period.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traded but not yet settled, if any, are reported in payable for investments purchased and receivable for investments sold on the Statements of Assets and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are recorded at their estimated fair value on the Statements of Assets and Liabilities.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will typically be valued at the bid price of those market quotations. To validate market quotations, the Adviser utilizes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public company method (“GPC”) and the controlling transaction method (“CTM”). The GPC method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GPC.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Rule 2a-5 under the 1940 Act, the Board of Directors of the Company (the "Board") designated the Adviser as the Valuation Designee to perform the fair value determinations for the Company, subject to the oversight of the Board and certain Board reporting and other requirements.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undertakes a multi-step valuation process, which includes, among other procedures, the following:</w:t>
      </w:r>
    </w:p>
    <w:p>
      <w:pPr>
        <w:spacing w:after="0" w:line="185" w:lineRule="exact"/>
        <w:rPr>
          <w:sz w:val="20"/>
          <w:szCs w:val="20"/>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readily available, those investments will typically be valued at the bid price of those market quotations;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valuations are documented and discussed by the Adviser’s valuation committee and, where appropriate, the independent valuation firm(s); and</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determines the fair value of each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48" w:lineRule="exact"/>
        <w:rPr>
          <w:sz w:val="20"/>
          <w:szCs w:val="20"/>
          <w:color w:val="auto"/>
        </w:rPr>
      </w:pPr>
    </w:p>
    <w:p>
      <w:pPr>
        <w:ind w:left="520" w:right="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we have the ability to access at the measurement date;</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 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and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be issued warrants by portfolio companies as yield enhancements in connection with a related debt investment. These warrants are recorded as assets at estimated fair value on the grant date. The Company determines the cost basis of the warrants or other equity securities received based upon their respective fair values on the date of receipt in proportion to the total fair value of the debt and warrants or other equity securities received. Depending on the facts and circumstances, the Company generally utilizes a combination of one or several forms of the market approach and contingent claim analyses (a form of option analysis) to estimate the fair value of the securities as of the measurement date and determines the cost basis using a relative fair value methodology. As part of its application of the market approach, the Company estimates the enterprise value of a portfolio company utilizing customary pricing multiples, based on the development stage of the underlying issuers, or other appropriate valuation methods, such as considering recent transactions in the equity securities of the portfolio company or third-party valuations that are assessed to be indicative of fair value of the respective portfolio company. If appropriate, based on the facts and circumstances, the Company performs an allocation of the enterprise value to the equity securities utilizing a contingent claim analysis and/or other waterfall calculation by which it allocates the enterprise value across the portfolio company’s warrants and other equity securities in order of their preference relative to one another.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investments may have contractual payment-in-kind ("PIK") interest or dividends. PIK interest or dividends represents accrued interest or dividends that is added to the principal amount of the investment on the respective interest or dividend payment dates rather than being paid in cash and generally becomes due at maturity.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Income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transaction fees earned in connection with our investments are recognized as fee income and are generally non-recurring. Such fees typically include fees for services, including administrative, structuring (including with respect to amendments) and advisory services, provided to portfolio companies. We recognize income from fees for providing such structuring and advisory services when the services are rendered or the transactions are completed, and payment is received (generally immediately).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Policy</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interest receivable is reversed from income in the period that a loan is placed on non-accrual status. However, the Company may make exceptions to this policy if the investment has sufficient collateral value and is in the process of collection.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 As of September 30, 2025 and December 31, 2024, there were no investments placed on non-accrual status.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decision to establish an interest reserve is made during the underwriting process and considers the creditworthiness and expertise of the borrower, and the debt coverage provided by the pledged collateral. It is the Company’s policy to recognize income for this interest component as long as the subject loan is performing as originally projected and if there has been no deterioration in the financial condition of the borrower. The Company’s standard accounting policies for interest income recognition are applied to all loans, including those with interest reserves. As of September 30, 2025 and December 31, 2024, the Company recorded $15,499 and $37,752, respectively, of prepaid interest reserves, which are presented as unearned interest income on the Statements of Assets and Liabilities.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an initial tax year end of December 31, 2021 and was taxed as a corporation for U.S. federal income tax purposes for the tax period ended December 31, 2021. The Company adopted the tax year end of March 31 and elected to be treated for U.S. federal income tax purposes as a RIC under Subchapter M of the Code for the tax period January 1, 2022 through March 31, 2022 and in subsequent years. The Company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w:t>
      </w:r>
    </w:p>
    <w:p>
      <w:pPr>
        <w:spacing w:after="0" w:line="3" w:lineRule="exact"/>
        <w:rPr>
          <w:sz w:val="20"/>
          <w:szCs w:val="20"/>
          <w:color w:val="auto"/>
        </w:rPr>
      </w:pPr>
    </w:p>
    <w:p>
      <w:pPr>
        <w:jc w:val="both"/>
        <w:ind w:firstLine="8"/>
        <w:spacing w:after="0" w:line="253"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both the three and nine months ended September 30, 2025 and 2024, the Company accrued $2,797 and $31,314, respectively, of excise taxes. As of September 30, 2025 and December 31, 2024, $0 and $88,709, respectively, of accrued excise taxes remained payable.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September 30, 2025, the Company determined that it had overpaid its estimated federal excise tax liability for the prior fiscal year by $23,851. This overpayment resulted in a deferred tax asset and is included in prepaid expenses and other assets on the Statements of Assets and Liabilities. The Company has evaluated the realizability of the deferred tax asset and believes it is more likely than not that the benefit will be realized in future periods through either a refund or application against future excise tax liabilities. Accordingly, no valuation allowance has been recorded against this deferred tax asset.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analysis of the Company’s tax position, the Company had no uncertain tax positions that met the recognition or measurement criteria as of September 30, 2025 and December 31, 2024. The Company does not anticipate any significant increase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decrease in unrecognized tax benefits for the next twelve months. The Company identifies its major tax jurisdiction as the United States. As of September 30, 2025, the tax years that remain subject to examination by the Internal Revenue Service are from 2022 (commencement of operations) forward.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Distributions to common stockholders are recorded on the record date. The amount of taxable income to be paid out as a distribution is determined by our Board on a quarterly basis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costs consist primarily of legal fees and other costs incurred in connection with issuances of the Company’s common stock, including the preparation of the Company’s registration statement, registration fees, transfer agent expenses, and other expenses relating to the offering. Offering costs are capitalized as deferred offering costs and, if any, are included in prepaid expenses and other assets on the Statements of Assets and Liabilities. As of September 30, 2025 and December 31, 2024, deferred offering costs were $151,284 and $49,998, respectively.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deferred offering costs were charged to capital upon the issuance of shares subsequent to the completion of the Loan Portfolio Acquisition. For the three and nine months ended September 30, 2025, $0 of offering costs were charged to capital. For the year ended December 31, 2024, $1,214,375 of offering costs were charged to capital. As of September 30, 2025 and December 31, 2024, there were $0 and $989,645, respectively, of offering costs that remained payable by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related to the Loan Portfolio Acquisition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Cumulative transaction expenses related to the Loan Portfolio Acquisition through September 30, 2025 and December 31, 2024 were $6,053,043 and $6,053,043, respectively, and consisted primarily of legal fees and valuation fees.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incurred transaction expenses related to the Loan Portfolio Acquisition of $0. For the three and nine months ended September 30, 2024, the Company incurred transaction expenses related to the Loan Portfolio Acquisition of $2,429,993 and $5,069,062, respectively. As of September 30, 2025 and December 31, 2024, $0 and $2,945,125, respectively, of transaction expenses related to the Loan Portfolio Acquisition remained payable, and are included in transaction fees payable on the Statements of Assets and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financing costs consist of origination expenses incurred in connection with the closing, or anticipated closing, of a credit facility, and include legal, accounting, and other related expenses. These costs are deferred and amortized as interest expense using the straight-line method over the term of the applicable credit facility. In addition to origination expenses, the Company pays an annual upfront fee related to its credit facility. These fees are deferred and amortized as interest expense using the straight-line method over a one-year term. Deferred financing costs are included in prepaid expenses and other assets on the Statements of Assets and Liabilities. As of September 30, 2025 and December 31, 2024, deferred financing costs payable were $0 and $47,881,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2025, the Company adopted Accounting Standards Update ("ASU") No. 2023-09, Income Taxes (Topic 740): Improvements to Income Tax Disclosures, which requires, among other things, greater disaggregation of information in the income tax rate reconciliation and for paid income taxes to be disaggregated by jurisdiction. This ASU affects financial statement disclosure only, which is not required until year end 2025 and, as a result, does not affect our results of operations or financial condition.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ASU No. 2024-03 requires disaggregated disclosure of certain costs and expenses, including purchase of inventory, employee compensation, depreciation, amortization and depletion, within relevant income statement captions. ASU 2024-03 is effective for annual years beginning after December 15, 2026, and interim periods beginning after December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2027. Early adoption and retrospective application are permitted. The Company is currently evaluating the impact of adopting ASU No. 2024-03.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investments in portfolio companies are primarily in the form of debt investments, but may include equity warrants received in connection with debt investments, equity investments and derivative investments.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tables presented below for the Company’s debt investments, the amortized cost represents the original cost adjusted for any accretion of discounts, amortization of premiums and PIK interest or dividends.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investment type as of September 30, 2025 and December 31, 2024.</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at Principal</w:t>
            </w:r>
          </w:p>
        </w:tc>
        <w:tc>
          <w:tcPr>
            <w:tcW w:w="10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at Fair</w:t>
            </w:r>
          </w:p>
        </w:tc>
      </w:tr>
      <w:tr>
        <w:trPr>
          <w:trHeight w:val="218"/>
        </w:trPr>
        <w:tc>
          <w:tcPr>
            <w:tcW w:w="20" w:type="dxa"/>
            <w:vAlign w:val="bottom"/>
          </w:tcPr>
          <w:p>
            <w:pPr>
              <w:spacing w:after="0"/>
              <w:rPr>
                <w:sz w:val="18"/>
                <w:szCs w:val="18"/>
                <w:color w:val="auto"/>
              </w:rPr>
            </w:pPr>
          </w:p>
        </w:tc>
        <w:tc>
          <w:tcPr>
            <w:tcW w:w="246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48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271,676,674</w:t>
            </w:r>
          </w:p>
        </w:tc>
        <w:tc>
          <w:tcPr>
            <w:tcW w:w="1600" w:type="dxa"/>
            <w:vAlign w:val="bottom"/>
            <w:tcBorders>
              <w:left w:val="single" w:sz="8" w:color="CFF0FC"/>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268,576,152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86.5%</w:t>
            </w: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269,334,628</w:t>
            </w:r>
          </w:p>
        </w:tc>
        <w:tc>
          <w:tcPr>
            <w:tcW w:w="180" w:type="dxa"/>
            <w:vAlign w:val="bottom"/>
            <w:shd w:val="clear" w:color="auto" w:fill="CFF0FC"/>
          </w:tcPr>
          <w:p>
            <w:pPr>
              <w:spacing w:after="0"/>
              <w:rPr>
                <w:sz w:val="17"/>
                <w:szCs w:val="17"/>
                <w:color w:val="auto"/>
              </w:rPr>
            </w:pPr>
          </w:p>
        </w:tc>
        <w:tc>
          <w:tcPr>
            <w:tcW w:w="128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86.5%</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39,321,781</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38,581,332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39,040,890</w:t>
            </w:r>
          </w:p>
        </w:tc>
        <w:tc>
          <w:tcPr>
            <w:tcW w:w="18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12.5%</w:t>
            </w:r>
          </w:p>
        </w:tc>
      </w:tr>
      <w:tr>
        <w:trPr>
          <w:trHeight w:val="203"/>
        </w:trPr>
        <w:tc>
          <w:tcPr>
            <w:tcW w:w="20" w:type="dxa"/>
            <w:vAlign w:val="bottom"/>
          </w:tcPr>
          <w:p>
            <w:pPr>
              <w:spacing w:after="0"/>
              <w:rPr>
                <w:sz w:val="17"/>
                <w:szCs w:val="17"/>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1,465,697</w:t>
            </w:r>
          </w:p>
        </w:tc>
        <w:tc>
          <w:tcPr>
            <w:tcW w:w="1600" w:type="dxa"/>
            <w:vAlign w:val="bottom"/>
            <w:tcBorders>
              <w:left w:val="single" w:sz="8" w:color="CFF0FC"/>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1,465,696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1,473,025</w:t>
            </w:r>
          </w:p>
        </w:tc>
        <w:tc>
          <w:tcPr>
            <w:tcW w:w="180" w:type="dxa"/>
            <w:vAlign w:val="bottom"/>
            <w:shd w:val="clear" w:color="auto" w:fill="CFF0FC"/>
          </w:tcPr>
          <w:p>
            <w:pPr>
              <w:spacing w:after="0"/>
              <w:rPr>
                <w:sz w:val="17"/>
                <w:szCs w:val="17"/>
                <w:color w:val="auto"/>
              </w:rPr>
            </w:pPr>
          </w:p>
        </w:tc>
        <w:tc>
          <w:tcPr>
            <w:tcW w:w="128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1,147,081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1,044,939</w:t>
            </w:r>
          </w:p>
        </w:tc>
        <w:tc>
          <w:tcPr>
            <w:tcW w:w="18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r>
      <w:tr>
        <w:trPr>
          <w:trHeight w:val="203"/>
        </w:trPr>
        <w:tc>
          <w:tcPr>
            <w:tcW w:w="20" w:type="dxa"/>
            <w:vAlign w:val="bottom"/>
          </w:tcPr>
          <w:p>
            <w:pPr>
              <w:spacing w:after="0"/>
              <w:rPr>
                <w:sz w:val="17"/>
                <w:szCs w:val="17"/>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CFF0FC"/>
              <w:right w:val="single" w:sz="8" w:color="CFF0FC"/>
            </w:tcBorders>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shd w:val="clear" w:color="auto" w:fill="CFF0FC"/>
          </w:tcPr>
          <w:p>
            <w:pPr>
              <w:spacing w:after="0"/>
              <w:rPr>
                <w:sz w:val="17"/>
                <w:szCs w:val="17"/>
                <w:color w:val="auto"/>
              </w:rPr>
            </w:pPr>
          </w:p>
        </w:tc>
        <w:tc>
          <w:tcPr>
            <w:tcW w:w="128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gridSpan w:val="2"/>
          </w:tcPr>
          <w:p>
            <w:pPr>
              <w:jc w:val="right"/>
              <w:ind w:right="15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312,464,152</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310,270,261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311,393,482</w:t>
            </w:r>
          </w:p>
        </w:tc>
        <w:tc>
          <w:tcPr>
            <w:tcW w:w="180" w:type="dxa"/>
            <w:vAlign w:val="bottom"/>
          </w:tcPr>
          <w:p>
            <w:pPr>
              <w:spacing w:after="0"/>
              <w:rPr>
                <w:sz w:val="17"/>
                <w:szCs w:val="17"/>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at Principal</w:t>
            </w:r>
          </w:p>
        </w:tc>
        <w:tc>
          <w:tcPr>
            <w:tcW w:w="100" w:type="dxa"/>
            <w:vAlign w:val="bottom"/>
          </w:tcPr>
          <w:p>
            <w:pPr>
              <w:spacing w:after="0"/>
              <w:rPr>
                <w:sz w:val="17"/>
                <w:szCs w:val="17"/>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17"/>
                <w:szCs w:val="17"/>
                <w:color w:val="auto"/>
              </w:rPr>
            </w:pP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at Amortized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218"/>
        </w:trPr>
        <w:tc>
          <w:tcPr>
            <w:tcW w:w="20" w:type="dxa"/>
            <w:vAlign w:val="bottom"/>
          </w:tcPr>
          <w:p>
            <w:pPr>
              <w:spacing w:after="0"/>
              <w:rPr>
                <w:sz w:val="18"/>
                <w:szCs w:val="18"/>
                <w:color w:val="auto"/>
              </w:rPr>
            </w:pPr>
          </w:p>
        </w:tc>
        <w:tc>
          <w:tcPr>
            <w:tcW w:w="24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4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242,269,725</w:t>
            </w:r>
          </w:p>
        </w:tc>
        <w:tc>
          <w:tcPr>
            <w:tcW w:w="1600" w:type="dxa"/>
            <w:vAlign w:val="bottom"/>
            <w:tcBorders>
              <w:left w:val="single" w:sz="8" w:color="CFF0FC"/>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239,036,463</w:t>
            </w:r>
          </w:p>
        </w:tc>
        <w:tc>
          <w:tcPr>
            <w:tcW w:w="120" w:type="dxa"/>
            <w:vAlign w:val="bottom"/>
            <w:shd w:val="clear" w:color="auto" w:fill="CFF0FC"/>
          </w:tcPr>
          <w:p>
            <w:pPr>
              <w:spacing w:after="0"/>
              <w:rPr>
                <w:sz w:val="17"/>
                <w:szCs w:val="17"/>
                <w:color w:val="auto"/>
              </w:rPr>
            </w:pPr>
          </w:p>
        </w:tc>
        <w:tc>
          <w:tcPr>
            <w:tcW w:w="15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239,860,206</w:t>
            </w:r>
          </w:p>
        </w:tc>
        <w:tc>
          <w:tcPr>
            <w:tcW w:w="128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87.1%</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35,147,669</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34,567,422</w:t>
            </w:r>
          </w:p>
        </w:tc>
        <w:tc>
          <w:tcPr>
            <w:tcW w:w="1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34,656,192</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20" w:type="dxa"/>
            <w:vAlign w:val="bottom"/>
          </w:tcPr>
          <w:p>
            <w:pPr>
              <w:spacing w:after="0"/>
              <w:rPr>
                <w:sz w:val="17"/>
                <w:szCs w:val="17"/>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2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left w:val="single" w:sz="8" w:color="CFF0FC"/>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FF0FC"/>
          </w:tcPr>
          <w:p>
            <w:pPr>
              <w:spacing w:after="0"/>
              <w:rPr>
                <w:sz w:val="17"/>
                <w:szCs w:val="17"/>
                <w:color w:val="auto"/>
              </w:rPr>
            </w:pPr>
          </w:p>
        </w:tc>
        <w:tc>
          <w:tcPr>
            <w:tcW w:w="15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128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242,826</w:t>
            </w:r>
          </w:p>
        </w:tc>
        <w:tc>
          <w:tcPr>
            <w:tcW w:w="1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225,000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277,417,394</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274,346,711</w:t>
            </w:r>
          </w:p>
        </w:tc>
        <w:tc>
          <w:tcPr>
            <w:tcW w:w="120" w:type="dxa"/>
            <w:vAlign w:val="bottom"/>
            <w:shd w:val="clear" w:color="auto" w:fill="CFF0FC"/>
          </w:tcPr>
          <w:p>
            <w:pPr>
              <w:spacing w:after="0"/>
              <w:rPr>
                <w:sz w:val="18"/>
                <w:szCs w:val="18"/>
                <w:color w:val="auto"/>
              </w:rPr>
            </w:pPr>
          </w:p>
        </w:tc>
        <w:tc>
          <w:tcPr>
            <w:tcW w:w="15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275,241,398</w:t>
            </w:r>
          </w:p>
        </w:tc>
        <w:tc>
          <w:tcPr>
            <w:tcW w:w="128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-1508125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-1508125</wp:posOffset>
            </wp:positionV>
            <wp:extent cx="93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-1508125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-1508125</wp:posOffset>
            </wp:positionV>
            <wp:extent cx="939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-1508125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-1508125</wp:posOffset>
            </wp:positionV>
            <wp:extent cx="939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-24765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93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939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946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946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939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93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debt portfolio based on rate characteristics as of September 30,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8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Time to</w:t>
            </w:r>
          </w:p>
        </w:tc>
      </w:tr>
      <w:tr>
        <w:trPr>
          <w:trHeight w:val="215"/>
        </w:trPr>
        <w:tc>
          <w:tcPr>
            <w:tcW w:w="57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Rate Type</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19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Fixed-rate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96,968,593</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95,363,231</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95,727,796</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3.0 years</w:t>
            </w:r>
          </w:p>
        </w:tc>
      </w:tr>
      <w:tr>
        <w:trPr>
          <w:trHeight w:val="203"/>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Floating-rate debt (SOFR)</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35,052,066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34,924,985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35,116,259</w:t>
            </w:r>
          </w:p>
        </w:tc>
        <w:tc>
          <w:tcPr>
            <w:tcW w:w="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years</w:t>
            </w:r>
          </w:p>
        </w:tc>
      </w:tr>
      <w:tr>
        <w:trPr>
          <w:trHeight w:val="203"/>
        </w:trPr>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Floating-rate debt (PRIME)</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180,443,493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178,334,964</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179,004,488</w:t>
            </w:r>
          </w:p>
        </w:tc>
        <w:tc>
          <w:tcPr>
            <w:tcW w:w="2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1.7 years</w:t>
            </w:r>
          </w:p>
        </w:tc>
      </w:tr>
      <w:tr>
        <w:trPr>
          <w:trHeight w:val="196"/>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 Instruments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312,464,152</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308,623,180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309,848,543</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-161925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8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Time to</w:t>
            </w:r>
          </w:p>
        </w:tc>
      </w:tr>
      <w:tr>
        <w:trPr>
          <w:trHeight w:val="215"/>
        </w:trPr>
        <w:tc>
          <w:tcPr>
            <w:tcW w:w="57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Rate Type</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19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Fixed-rate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56,819,862</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55,954,923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56,158,027</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2.6 years</w:t>
            </w:r>
          </w:p>
        </w:tc>
      </w:tr>
      <w:tr>
        <w:trPr>
          <w:trHeight w:val="203"/>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Floating-rate debt (SOFR)</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15,543,708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15,134,388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15,209,230</w:t>
            </w:r>
          </w:p>
        </w:tc>
        <w:tc>
          <w:tcPr>
            <w:tcW w:w="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 years</w:t>
            </w:r>
          </w:p>
        </w:tc>
      </w:tr>
      <w:tr>
        <w:trPr>
          <w:trHeight w:val="203"/>
        </w:trPr>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Floating-rate debt (PRIME)</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205,053,824</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202,514,574</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203,149,141</w:t>
            </w:r>
          </w:p>
        </w:tc>
        <w:tc>
          <w:tcPr>
            <w:tcW w:w="2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1.8 years</w:t>
            </w:r>
          </w:p>
        </w:tc>
      </w:tr>
      <w:tr>
        <w:trPr>
          <w:trHeight w:val="196"/>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 Instruments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277,417,394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273,603,885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274,516,398</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-161925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portfolio investments are primarily in companies conducting business in or supporting the cannabis industry. The Company uses the North American Industry Classification System ("NAICS") for classifying the industry groupings of its portfolio companies, excluding any portfolio company operating in the cannabis industry. The following tables summarize the composition of the Company’s portfolio investments by industry as of September 30, 2025 and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234,372,073</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75.5%</w:t>
            </w: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235,218,000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27,839,521</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27,909,690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19,474,988</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19,667,570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11,547,379</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11,659,571</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11,277,093</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11,337,888</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2,994,731</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2,994,731</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2,764,476</w:t>
            </w:r>
          </w:p>
        </w:tc>
        <w:tc>
          <w:tcPr>
            <w:tcW w:w="2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2,606,032</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310,270,261</w:t>
            </w:r>
          </w:p>
        </w:tc>
        <w:tc>
          <w:tcPr>
            <w:tcW w:w="220" w:type="dxa"/>
            <w:vAlign w:val="bottom"/>
            <w:vMerge w:val="continue"/>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vMerge w:val="continue"/>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220" w:type="dxa"/>
            <w:vAlign w:val="bottom"/>
            <w:vMerge w:val="continue"/>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210,144,841</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76.6%</w:t>
            </w: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211,007,307</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30,866,942</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30,907,369</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14,873,810</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14,754,624</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10,273,444</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10,322,928</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3,285,390</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3,275,125</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Health Care and Social Assistance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2,753,852</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2,796,946</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2,148,432</w:t>
            </w:r>
          </w:p>
        </w:tc>
        <w:tc>
          <w:tcPr>
            <w:tcW w:w="2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2,177,099</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274,346,711</w:t>
            </w:r>
          </w:p>
        </w:tc>
        <w:tc>
          <w:tcPr>
            <w:tcW w:w="22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-161925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-161925</wp:posOffset>
            </wp:positionV>
            <wp:extent cx="939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-161925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-161925</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geographic composition is determined by the location of the principal place of business of each portfolio company. Geographic regions are defined as: West, for the states of WA, OR, ID, MT, WY, CO, AK, HI, UT, NV and CA; Midwest, for the states of ND, SD, NE, KS, MO, IA, MN, WI, MI, IL, IN and OH; Northeast, for the states of PA, NJ, NY, CT, RI, MA, VT, NH and ME; Southeast, for the states of AR, LA, MS, TN, KY, AL, FL, GA, SC, NC, VA, DE, WV and MD; and Southwest, for the states of AZ, NM, TX and OK.</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geographic region as of September 30,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 at</w:t>
            </w:r>
          </w:p>
        </w:tc>
      </w:tr>
      <w:tr>
        <w:trPr>
          <w:trHeight w:val="215"/>
        </w:trPr>
        <w:tc>
          <w:tcPr>
            <w:tcW w:w="49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r>
      <w:tr>
        <w:trPr>
          <w:trHeight w:val="19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Midwest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122,055,582</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122,676,344</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39.4%</w:t>
            </w:r>
          </w:p>
        </w:tc>
      </w:tr>
      <w:tr>
        <w:trPr>
          <w:trHeight w:val="203"/>
        </w:trPr>
        <w:tc>
          <w:tcPr>
            <w:tcW w:w="5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Northeast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68,514,604</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68,926,063</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West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59,696,233</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59,835,851</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19.2%</w:t>
            </w:r>
          </w:p>
        </w:tc>
      </w:tr>
      <w:tr>
        <w:trPr>
          <w:trHeight w:val="203"/>
        </w:trPr>
        <w:tc>
          <w:tcPr>
            <w:tcW w:w="5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Southeast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31,987,492</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31,933,619</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Southwest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21,979,366</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2"/>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6,036,984</w:t>
            </w:r>
          </w:p>
        </w:tc>
        <w:tc>
          <w:tcPr>
            <w:tcW w:w="22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6,021,605</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310,270,261</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93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939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at</w:t>
            </w:r>
          </w:p>
        </w:tc>
        <w:tc>
          <w:tcPr>
            <w:tcW w:w="160" w:type="dxa"/>
            <w:vAlign w:val="bottom"/>
          </w:tcPr>
          <w:p>
            <w:pPr>
              <w:spacing w:after="0"/>
              <w:rPr>
                <w:sz w:val="16"/>
                <w:szCs w:val="16"/>
                <w:color w:val="auto"/>
              </w:rPr>
            </w:pPr>
          </w:p>
        </w:tc>
      </w:tr>
      <w:tr>
        <w:trPr>
          <w:trHeight w:val="215"/>
        </w:trPr>
        <w:tc>
          <w:tcPr>
            <w:tcW w:w="49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8"/>
                <w:szCs w:val="18"/>
                <w:color w:val="auto"/>
              </w:rPr>
            </w:pPr>
          </w:p>
        </w:tc>
      </w:tr>
      <w:tr>
        <w:trPr>
          <w:trHeight w:val="19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Midwest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88,999,405</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89,624,122</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32.6%</w:t>
            </w:r>
          </w:p>
        </w:tc>
      </w:tr>
      <w:tr>
        <w:trPr>
          <w:trHeight w:val="203"/>
        </w:trPr>
        <w:tc>
          <w:tcPr>
            <w:tcW w:w="5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West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86,686,279</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86,660,218</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31.5%</w:t>
            </w: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Northeast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52,963,212</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53,223,047</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r>
      <w:tr>
        <w:trPr>
          <w:trHeight w:val="203"/>
        </w:trPr>
        <w:tc>
          <w:tcPr>
            <w:tcW w:w="5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Southwest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21,980,052</w:t>
            </w:r>
          </w:p>
        </w:tc>
        <w:tc>
          <w:tcPr>
            <w:tcW w:w="1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Southeast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20,703,496</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20,749,887</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3,014,267</w:t>
            </w:r>
          </w:p>
        </w:tc>
        <w:tc>
          <w:tcPr>
            <w:tcW w:w="22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2,984,124</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274,346,711</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93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 Factors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manages a variety of risks including market risk, concentration risk, credit risk, liquidity risk, interest rate risk, prepayment risk, risks associated with financial, economic and other global market developments and disruptions, including those arising from war, terrorism, market manipulation, government interventions,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Concentration risk includes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 Investing in portfolio companies involved in the cannabis industry subjects us to the following risks:</w:t>
      </w:r>
    </w:p>
    <w:p>
      <w:pPr>
        <w:spacing w:after="0" w:line="139"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is extremely speculative and raises a host of legality issues, making it subject to inherent risk;</w:t>
      </w:r>
    </w:p>
    <w:p>
      <w:pPr>
        <w:spacing w:after="0" w:line="19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Presidential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3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collateralizing loans to cannabis businesses may be forfeited to the U.S. federal government in connection with government enforcement actions under U.S. federal law;</w:t>
      </w:r>
    </w:p>
    <w:p>
      <w:pPr>
        <w:spacing w:after="0" w:line="134"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4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we had three portfolio companies that represented 34.2% and 45.1%, respectively, of the fair values of our portfolio. As of September 30, 2025 and December 31, 2024, our largest portfolio company represented 16.9% and 18.9%, respectively, of the total fair values of our investments in portfolio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an adverse impact on our and our portfolio companies’ businesses, financial condition and results of operations.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refers to the change in earnings that may result from changes in the level of interest rates. To the extent that the Company borrows money to make investments, including under its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OF FINANCIAL INSTRUMENTS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September 30, 2025 and December 31, 2024, the Company’s portfolio investments consisted primarily of investments in senior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determination of each portfolio investment categorized as Level 3 required the use of one or more unobservable inputs.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significant unobservable inputs creates uncertainty in the measurement of fair value as of the reporting date. The significant unobservable inputs used in the fair value measurement of the Company’s debt investments may vary and may include debt investments’ yield (i.e. discount rate) and volatility assumptions. The significant unobservable inputs used in the fair value measurement of the Company’s equity and warrant investments may vary and may include EBITDA multiples, revenue multiples and asset multiples.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investments measured at fair value by investment type on a recurring basis as of September 30, 2025 and December 31, 2024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 Measurements at September 30, 2025 Using</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2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Inputs (Level 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9"/>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40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269,334,628</w:t>
            </w: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269,334,628</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40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39,040,890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39,040,890</w:t>
            </w:r>
          </w:p>
        </w:tc>
        <w:tc>
          <w:tcPr>
            <w:tcW w:w="100" w:type="dxa"/>
            <w:vAlign w:val="bottom"/>
          </w:tcPr>
          <w:p>
            <w:pPr>
              <w:spacing w:after="0"/>
              <w:rPr>
                <w:sz w:val="17"/>
                <w:szCs w:val="17"/>
                <w:color w:val="auto"/>
              </w:rPr>
            </w:pPr>
          </w:p>
        </w:tc>
      </w:tr>
      <w:tr>
        <w:trPr>
          <w:trHeight w:val="203"/>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1,473,025</w:t>
            </w: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1,473,025</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40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1,044,939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1,044,939</w:t>
            </w:r>
          </w:p>
        </w:tc>
        <w:tc>
          <w:tcPr>
            <w:tcW w:w="100" w:type="dxa"/>
            <w:vAlign w:val="bottom"/>
          </w:tcPr>
          <w:p>
            <w:pPr>
              <w:spacing w:after="0"/>
              <w:rPr>
                <w:sz w:val="17"/>
                <w:szCs w:val="17"/>
                <w:color w:val="auto"/>
              </w:rPr>
            </w:pPr>
          </w:p>
        </w:tc>
      </w:tr>
      <w:tr>
        <w:trPr>
          <w:trHeight w:val="203"/>
        </w:trPr>
        <w:tc>
          <w:tcPr>
            <w:tcW w:w="4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4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24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100" w:type="dxa"/>
            <w:vAlign w:val="bottom"/>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6"/>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2024 Using</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2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Inputs (Level 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9"/>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40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239,860,206</w:t>
            </w: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239,860,206</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40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34,656,192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34,656,192</w:t>
            </w:r>
          </w:p>
        </w:tc>
        <w:tc>
          <w:tcPr>
            <w:tcW w:w="100" w:type="dxa"/>
            <w:vAlign w:val="bottom"/>
          </w:tcPr>
          <w:p>
            <w:pPr>
              <w:spacing w:after="0"/>
              <w:rPr>
                <w:sz w:val="17"/>
                <w:szCs w:val="17"/>
                <w:color w:val="auto"/>
              </w:rPr>
            </w:pPr>
          </w:p>
        </w:tc>
      </w:tr>
      <w:tr>
        <w:trPr>
          <w:trHeight w:val="203"/>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00" w:type="dxa"/>
            <w:vAlign w:val="bottom"/>
          </w:tcPr>
          <w:p>
            <w:pPr>
              <w:spacing w:after="0"/>
              <w:rPr>
                <w:sz w:val="17"/>
                <w:szCs w:val="17"/>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00" w:type="dxa"/>
            <w:vAlign w:val="bottom"/>
            <w:shd w:val="clear" w:color="auto" w:fill="CFF0FC"/>
          </w:tcPr>
          <w:p>
            <w:pPr>
              <w:spacing w:after="0"/>
              <w:rPr>
                <w:sz w:val="18"/>
                <w:szCs w:val="18"/>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-1636395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-1636395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-1636395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provide a summary of the significant unobservable inputs used to fair value the Level 3 portfolio investments as of September 30, 2025 and December 31, 2024. The methodology for the determination of the fair value of the Company’s investments is discussed in “Note 2 – Significant Accounting Policies”. Discount rate ranges are shown as spread over the U.S. Prime Rate ("PRIME"), Secured Overnight Financing Rate ("SOFR") and/or U.S. Treasury Rates, as applicable, for senior secured first lien term loans, as of September 30, 2025 and December 31,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46"/>
        </w:trPr>
        <w:tc>
          <w:tcPr>
            <w:tcW w:w="19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Techniques/Methodologies</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21"/>
                <w:szCs w:val="21"/>
                <w:color w:val="auto"/>
              </w:rPr>
            </w:pPr>
          </w:p>
        </w:tc>
        <w:tc>
          <w:tcPr>
            <w:tcW w:w="1800" w:type="dxa"/>
            <w:vAlign w:val="bottom"/>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Average</w:t>
            </w:r>
            <w:r>
              <w:rPr>
                <w:rFonts w:ascii="Times New Roman" w:cs="Times New Roman" w:eastAsia="Times New Roman" w:hAnsi="Times New Roman"/>
                <w:sz w:val="21"/>
                <w:szCs w:val="21"/>
                <w:b w:val="1"/>
                <w:bCs w:val="1"/>
                <w:color w:val="auto"/>
                <w:vertAlign w:val="superscript"/>
              </w:rPr>
              <w:t>(1)</w:t>
            </w:r>
          </w:p>
        </w:tc>
      </w:tr>
      <w:tr>
        <w:trPr>
          <w:trHeight w:val="182"/>
        </w:trPr>
        <w:tc>
          <w:tcPr>
            <w:tcW w:w="196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First Lien Senior Secured</w:t>
            </w: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1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1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208,140,610</w:t>
            </w:r>
          </w:p>
        </w:tc>
        <w:tc>
          <w:tcPr>
            <w:tcW w:w="220" w:type="dxa"/>
            <w:vAlign w:val="bottom"/>
            <w:shd w:val="clear" w:color="auto" w:fill="CFF0FC"/>
          </w:tcPr>
          <w:p>
            <w:pPr>
              <w:spacing w:after="0"/>
              <w:rPr>
                <w:sz w:val="18"/>
                <w:szCs w:val="18"/>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- 29.63%</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13.00%</w:t>
            </w: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First Lien Senior Secured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61,194,018</w:t>
            </w:r>
          </w:p>
        </w:tc>
        <w:tc>
          <w:tcPr>
            <w:tcW w:w="2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Recent Transaction</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r>
      <w:tr>
        <w:trPr>
          <w:trHeight w:val="205"/>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39,040,890</w:t>
            </w:r>
          </w:p>
        </w:tc>
        <w:tc>
          <w:tcPr>
            <w:tcW w:w="220" w:type="dxa"/>
            <w:vAlign w:val="bottom"/>
            <w:shd w:val="clear" w:color="auto" w:fill="CFF0FC"/>
          </w:tcPr>
          <w:p>
            <w:pPr>
              <w:spacing w:after="0"/>
              <w:rPr>
                <w:sz w:val="17"/>
                <w:szCs w:val="17"/>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- 18.23%</w:t>
            </w: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11.08%</w:t>
            </w: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Second Lien Senior Secured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1,473,025</w:t>
            </w:r>
          </w:p>
        </w:tc>
        <w:tc>
          <w:tcPr>
            <w:tcW w:w="2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- 20.64%</w:t>
            </w:r>
          </w:p>
        </w:tc>
        <w:tc>
          <w:tcPr>
            <w:tcW w:w="26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19.64%</w:t>
            </w:r>
          </w:p>
        </w:tc>
      </w:tr>
      <w:tr>
        <w:trPr>
          <w:trHeight w:val="205"/>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shd w:val="clear" w:color="auto" w:fill="CFF0FC"/>
          </w:tcPr>
          <w:p>
            <w:pPr>
              <w:spacing w:after="0"/>
              <w:rPr>
                <w:sz w:val="17"/>
                <w:szCs w:val="17"/>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Current Value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2.25x</w:t>
            </w:r>
          </w:p>
        </w:tc>
        <w:tc>
          <w:tcPr>
            <w:tcW w:w="13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2.25x</w:t>
            </w: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885,939</w:t>
            </w:r>
          </w:p>
        </w:tc>
        <w:tc>
          <w:tcPr>
            <w:tcW w:w="2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Recent Transaction</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1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159,000</w:t>
            </w:r>
          </w:p>
        </w:tc>
        <w:tc>
          <w:tcPr>
            <w:tcW w:w="2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0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Volatility Factor</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58.70%</w:t>
            </w:r>
          </w:p>
        </w:tc>
        <w:tc>
          <w:tcPr>
            <w:tcW w:w="1300" w:type="dxa"/>
            <w:vAlign w:val="bottom"/>
            <w:tcBorders>
              <w:bottom w:val="single" w:sz="8" w:color="CFF0FC"/>
            </w:tcBorders>
            <w:gridSpan w:val="2"/>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58.70%</w:t>
            </w: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-161925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46"/>
        </w:trPr>
        <w:tc>
          <w:tcPr>
            <w:tcW w:w="19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Techniques/Methodologies</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21"/>
                <w:szCs w:val="21"/>
                <w:color w:val="auto"/>
              </w:rPr>
            </w:pP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Average</w:t>
            </w:r>
            <w:r>
              <w:rPr>
                <w:rFonts w:ascii="Times New Roman" w:cs="Times New Roman" w:eastAsia="Times New Roman" w:hAnsi="Times New Roman"/>
                <w:sz w:val="21"/>
                <w:szCs w:val="21"/>
                <w:b w:val="1"/>
                <w:bCs w:val="1"/>
                <w:color w:val="auto"/>
                <w:vertAlign w:val="superscript"/>
              </w:rPr>
              <w:t>(1)</w:t>
            </w:r>
          </w:p>
        </w:tc>
      </w:tr>
      <w:tr>
        <w:trPr>
          <w:trHeight w:val="182"/>
        </w:trPr>
        <w:tc>
          <w:tcPr>
            <w:tcW w:w="192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First Lien Senior Secured</w:t>
            </w: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6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16"/>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239,860,206</w:t>
            </w:r>
          </w:p>
        </w:tc>
        <w:tc>
          <w:tcPr>
            <w:tcW w:w="220" w:type="dxa"/>
            <w:vAlign w:val="bottom"/>
            <w:shd w:val="clear" w:color="auto" w:fill="CFF0FC"/>
          </w:tcPr>
          <w:p>
            <w:pPr>
              <w:spacing w:after="0"/>
              <w:rPr>
                <w:sz w:val="18"/>
                <w:szCs w:val="18"/>
                <w:color w:val="auto"/>
              </w:rPr>
            </w:pPr>
          </w:p>
        </w:tc>
        <w:tc>
          <w:tcPr>
            <w:tcW w:w="2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 - 28.60%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13.38%</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34,656,192</w:t>
            </w:r>
          </w:p>
        </w:tc>
        <w:tc>
          <w:tcPr>
            <w:tcW w:w="2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7.40% - 17.20%</w:t>
            </w:r>
          </w:p>
        </w:tc>
        <w:tc>
          <w:tcPr>
            <w:tcW w:w="26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11.53%</w:t>
            </w:r>
          </w:p>
        </w:tc>
      </w:tr>
      <w:tr>
        <w:trPr>
          <w:trHeight w:val="203"/>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shd w:val="clear" w:color="auto" w:fill="CFF0FC"/>
          </w:tcPr>
          <w:p>
            <w:pPr>
              <w:spacing w:after="0"/>
              <w:rPr>
                <w:sz w:val="17"/>
                <w:szCs w:val="17"/>
                <w:color w:val="auto"/>
              </w:rPr>
            </w:pPr>
          </w:p>
        </w:tc>
        <w:tc>
          <w:tcPr>
            <w:tcW w:w="2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Current Value</w:t>
            </w: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2.5x</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2.5x</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2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Option Pricing Model</w:t>
            </w: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Volatility Factor</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47.20%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47.20%</w:t>
            </w:r>
          </w:p>
        </w:tc>
      </w:tr>
      <w:tr>
        <w:trPr>
          <w:trHeight w:val="216"/>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2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is calculated based on the fair value of each investment.</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changes in the fair value of the Company’s Level 3 portfolio investments for the nine months ended September 30,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First Lien</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Second Lien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Senior Secured</w:t>
            </w:r>
          </w:p>
        </w:tc>
        <w:tc>
          <w:tcPr>
            <w:tcW w:w="200" w:type="dxa"/>
            <w:vAlign w:val="bottom"/>
          </w:tcPr>
          <w:p>
            <w:pPr>
              <w:spacing w:after="0"/>
              <w:rPr>
                <w:sz w:val="17"/>
                <w:szCs w:val="17"/>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Senior Secured</w:t>
            </w:r>
          </w:p>
        </w:tc>
        <w:tc>
          <w:tcPr>
            <w:tcW w:w="14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60" w:type="dxa"/>
            <w:vAlign w:val="bottom"/>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Secured Notes</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as of December 31, 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239,860,206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34,656,192</w:t>
            </w:r>
          </w:p>
        </w:tc>
        <w:tc>
          <w:tcPr>
            <w:tcW w:w="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Purchases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120,405,247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904,255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124,909,502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premium), net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1,857,239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239,798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2,105,692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PIK interest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1,311,017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1,499,341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investments and</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principal repayments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(91,045,553)</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(1,545,432)</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(92,590,985)</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on investments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(26,642)</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370,788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(31,296)</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(84,316)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Transfers between investment types</w:t>
            </w: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(3,026,886)</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3,026,886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269,334,628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39,040,890</w:t>
            </w:r>
          </w:p>
        </w:tc>
        <w:tc>
          <w:tcPr>
            <w:tcW w:w="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1,473,025</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1,044,939</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unrealized appreciation/depreciation on Level 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(202,733)</w:t>
            </w: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370,787</w:t>
            </w:r>
          </w:p>
        </w:tc>
        <w:tc>
          <w:tcPr>
            <w:tcW w:w="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(37,400)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(84,316)</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46,338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investments still held as of September 30, 2025</w:t>
            </w:r>
          </w:p>
        </w:tc>
        <w:tc>
          <w:tcPr>
            <w:tcW w:w="1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-539115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-521970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-539115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-521970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-539115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-521970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-539115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-521970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-539115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-521970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-539115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-521970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First Lien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Senior Secured</w:t>
            </w:r>
          </w:p>
        </w:tc>
        <w:tc>
          <w:tcPr>
            <w:tcW w:w="140" w:type="dxa"/>
            <w:vAlign w:val="bottom"/>
          </w:tcPr>
          <w:p>
            <w:pPr>
              <w:spacing w:after="0"/>
              <w:rPr>
                <w:sz w:val="17"/>
                <w:szCs w:val="17"/>
                <w:color w:val="auto"/>
              </w:rPr>
            </w:pPr>
          </w:p>
        </w:tc>
        <w:tc>
          <w:tcPr>
            <w:tcW w:w="12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Secured Notes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46,006,000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8,114,000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54,120,000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Purchases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1,082,174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3,316,250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premium), net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316,057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185,246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PIK interest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investments and</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principal repayments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(4,344,000)</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(4,344,000)</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127,135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127,015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(66,826)</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on investments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43,370,000</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11,742,511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176,000</w:t>
            </w:r>
          </w:p>
        </w:tc>
        <w:tc>
          <w:tcPr>
            <w:tcW w:w="14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55,788,511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on Level 3 investments still held as of September 30,</w:t>
            </w:r>
          </w:p>
        </w:tc>
        <w:tc>
          <w:tcPr>
            <w:tcW w:w="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127,135</w:t>
            </w:r>
          </w:p>
        </w:tc>
        <w:tc>
          <w:tcPr>
            <w:tcW w:w="24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127,015</w:t>
            </w:r>
          </w:p>
        </w:tc>
        <w:tc>
          <w:tcPr>
            <w:tcW w:w="4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(66,826)</w:t>
            </w:r>
          </w:p>
        </w:tc>
        <w:tc>
          <w:tcPr>
            <w:tcW w:w="3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2024</w:t>
            </w:r>
          </w:p>
        </w:tc>
        <w:tc>
          <w:tcPr>
            <w:tcW w:w="200" w:type="dxa"/>
            <w:vAlign w:val="bottom"/>
            <w:gridSpan w:val="2"/>
            <w:vMerge w:val="continue"/>
            <w:shd w:val="clear" w:color="auto" w:fill="CFF0FC"/>
          </w:tcPr>
          <w:p>
            <w:pPr>
              <w:spacing w:after="0"/>
              <w:rPr>
                <w:sz w:val="17"/>
                <w:szCs w:val="17"/>
                <w:color w:val="auto"/>
              </w:rPr>
            </w:pPr>
          </w:p>
        </w:tc>
        <w:tc>
          <w:tcPr>
            <w:tcW w:w="12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-676275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-676275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-676275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-676275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senior secured revolving credit agreement (the “Credit Agreement”, the "Revolving Line of Credit") by and among the Company, as borrower, Western Alliance Trust Company, N.A. (“WATC”), as administrative agent, Western Alliance Bank, as an issuing bank and as the initial lender, and the other lenders party thereto from time to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Credit Agreement also provides for the issuance of letters of credit in an aggregate face amount of up to $5,000,000.</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Availability under the Credit Agreement (the “Revolving Period”) will terminate on February 11, 2027, and the Credit Agreement has a scheduled maturity date of March 31, 2028.</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annual rate of one-month term SOFR plus 3.00%, subject to a minimum interest rate of 6.00%. The Company will pay a commitment fee of 0.50% per annum on the average daily unused portion of commitments under the Credit Agreement during the Revolving Period. For the three and nine months ended September 30, 2025, the company recorded $125,465 and $318,243, respectively, of commitment fees which are included in interest expense on the Statements of Operations. The Company will also be required to pay letter of credit participation fees and a fronting fee on the average daily amount of the lenders’ exposure with respect to any letters of credit issued at the request of the Company under the Credit Agreement.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$1,154,310 of financing costs in connection with the origination of the Revolving Line of Credit. As of September 30, 2025, the balance of $727,566 of deferred financing costs was included in prepaid expenses and other assets on the Statements of Assets and Liabilities. For the three and nine months ended September 30, 2025, $177,966 and $426,745 respectively, of such costs were amortized and included in interest expense on the Statements of Operations.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$11,000,000 in outstanding borrowings and $89,000,000 available under the Revolving Line of Credit. Additionally, as of September 30, 2025, $192.5 million of loans held for investment, at principal, were pledged as collateral in the borrowing base of the Revolving Loan.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Revolving Line of Credit is equal to its carrying value because the revolver is a floating rate facility that reprices to a market rate frequently. The fair value is categorized as Level 2 under ASC 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 for the following periods: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186"/>
        </w:trPr>
        <w:tc>
          <w:tcPr>
            <w:tcW w:w="47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r>
      <w:tr>
        <w:trPr>
          <w:trHeight w:val="215"/>
        </w:trPr>
        <w:tc>
          <w:tcPr>
            <w:tcW w:w="4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 fee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125,465</w:t>
            </w:r>
          </w:p>
        </w:tc>
        <w:tc>
          <w:tcPr>
            <w:tcW w:w="2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318,243</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177,966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426,745</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35,084</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40,168</w:t>
            </w:r>
          </w:p>
        </w:tc>
        <w:tc>
          <w:tcPr>
            <w:tcW w:w="34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338,515</w:t>
            </w:r>
          </w:p>
        </w:tc>
        <w:tc>
          <w:tcPr>
            <w:tcW w:w="240" w:type="dxa"/>
            <w:vAlign w:val="bottom"/>
          </w:tcPr>
          <w:p>
            <w:pPr>
              <w:spacing w:after="0"/>
              <w:rPr>
                <w:sz w:val="17"/>
                <w:szCs w:val="17"/>
                <w:color w:val="auto"/>
              </w:rPr>
            </w:pPr>
          </w:p>
        </w:tc>
        <w:tc>
          <w:tcPr>
            <w:tcW w:w="1320" w:type="dxa"/>
            <w:vAlign w:val="bottom"/>
            <w:gridSpan w:val="2"/>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785,156</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Average interest rate</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7.33%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Average daily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1,875,000</w:t>
            </w:r>
          </w:p>
        </w:tc>
        <w:tc>
          <w:tcPr>
            <w:tcW w:w="240" w:type="dxa"/>
            <w:vAlign w:val="bottom"/>
          </w:tcPr>
          <w:p>
            <w:pPr>
              <w:spacing w:after="0"/>
              <w:rPr>
                <w:sz w:val="18"/>
                <w:szCs w:val="18"/>
                <w:color w:val="auto"/>
              </w:rPr>
            </w:pPr>
          </w:p>
        </w:tc>
        <w:tc>
          <w:tcPr>
            <w:tcW w:w="1320" w:type="dxa"/>
            <w:vAlign w:val="bottom"/>
            <w:gridSpan w:val="2"/>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723,443</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-424180</wp:posOffset>
            </wp:positionV>
            <wp:extent cx="939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-424180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-424180</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-424180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investment advisory agreement between the Company and the Adviser (the “Investment Advisory Agreement”), fees payable to the Adviser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the Adviser if the Company’s entire investment portfolio was liquidated at its fair value as of the balance sheet date even though the Adviser is not entitled to an Incentive Fee on Capital Gains with respect to unrealized capital appreciation unless and until such gains are actually realized.</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management fee is payable quarterly in arrears. For the three months ended September 30, 2025 and 2024, the Company incurred management fee expenses of $1,399,845 and $253,421, respectively. For the nine months ended September 30, 2025 and 2024, the Company incurred management fee expenses of $4,006,051 and $745,876, respectively. As of September 30, 2025 and December 31, 2024, $1,399,845 and $758,362, respectively, remained payable.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incurred income-based incentive fee expenses of $2,347,473 and $0, respectively. For the nine months ended September 30, 2025 and 2024, the Company incurred income-based incentive fee expenses of $6,232,387 and $328,503, respectively. As of September 30, 2025 and December 31, 2024, $2,347,474 and $1,998,945, respectively, remained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incurred capital gains incentive fee expenses of $(131,412) and $(35,904), respectively. For the nine months ended September 30, 2025 and 2024, the Company incurred capital gains incentive fee expenses of $45,707 and $37,465, respectively. As of September 30, 2025 and December 31, 2024, $167,594 and $121,887, respectively, remained payable.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Expexnse Limitation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2024, in connection with the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the period ending September 30,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$230,419 and $0, respectively, of the Company’s operating expenses were waived by the Adviser pursuant to the Expense Limitation Agreement. For the nine months ended September 30, 2025 and 2024 $1,338,202 and $0, respectively, of the Company’s operating expenses were waived by the Adviser pursuant to the Expense Limitation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administration agreement between the Company and the Adviser (the “Administration Agreement”), the Company is to reimburse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SS&amp;C, the sub-administrator. The Company is generally not responsible for the compensation of the Adviser’s employees or any overhead expenses. However, we may reimburse the Adviser for an allocable portion of the compensation paid by the Adviser to our Chief Compliance Officer ("CCO") and Chief Financial Officer ("CFO") and their respective staffs (based on a percentage of time such individuals devote, on an estimated basis, to our business affairs).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entered into a license agreement with the Adviser pursuant to which the Adviser has agreed to grant the Company a nonexclusive, royalty-free license to use the name “Chicago Atlantic.” Under this agreement, the Company will have a right to use the “Chicago Atlantic” name, for so long as the Adviser or one of its affiliates remains the Company’s investment adviser. Other than with respect to this limited license, the Company will have no legal right to the “Chicago Atlantic” name.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Fees &amp;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related parties fees and expenses incurred by the Company for the three and nine months ended September 30,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186"/>
        </w:trPr>
        <w:tc>
          <w:tcPr>
            <w:tcW w:w="47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r>
      <w:tr>
        <w:trPr>
          <w:trHeight w:val="215"/>
        </w:trPr>
        <w:tc>
          <w:tcPr>
            <w:tcW w:w="478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Affiliate Payments</w:t>
            </w:r>
          </w:p>
        </w:tc>
        <w:tc>
          <w:tcPr>
            <w:tcW w:w="3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2,347,473</w:t>
            </w:r>
          </w:p>
        </w:tc>
        <w:tc>
          <w:tcPr>
            <w:tcW w:w="360" w:type="dxa"/>
            <w:vAlign w:val="bottom"/>
          </w:tcPr>
          <w:p>
            <w:pPr>
              <w:spacing w:after="0"/>
              <w:rPr>
                <w:sz w:val="17"/>
                <w:szCs w:val="17"/>
                <w:color w:val="auto"/>
              </w:rPr>
            </w:pP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6,232,387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328,503</w:t>
            </w:r>
          </w:p>
        </w:tc>
        <w:tc>
          <w:tcPr>
            <w:tcW w:w="100" w:type="dxa"/>
            <w:vAlign w:val="bottom"/>
          </w:tcPr>
          <w:p>
            <w:pPr>
              <w:spacing w:after="0"/>
              <w:rPr>
                <w:sz w:val="17"/>
                <w:szCs w:val="17"/>
                <w:color w:val="auto"/>
              </w:rPr>
            </w:pPr>
          </w:p>
        </w:tc>
      </w:tr>
      <w:tr>
        <w:trPr>
          <w:trHeight w:val="202"/>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fee</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1,399,845</w:t>
            </w: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253,421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4,006,051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745,876</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34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(131,412)</w:t>
            </w:r>
          </w:p>
        </w:tc>
        <w:tc>
          <w:tcPr>
            <w:tcW w:w="9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(35,904)</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w:t>
            </w:r>
          </w:p>
        </w:tc>
        <w:tc>
          <w:tcPr>
            <w:tcW w:w="100" w:type="dxa"/>
            <w:vAlign w:val="bottom"/>
          </w:tcPr>
          <w:p>
            <w:pPr>
              <w:spacing w:after="0"/>
              <w:rPr>
                <w:sz w:val="17"/>
                <w:szCs w:val="17"/>
                <w:color w:val="auto"/>
              </w:rPr>
            </w:pPr>
          </w:p>
        </w:tc>
      </w:tr>
      <w:tr>
        <w:trPr>
          <w:trHeight w:val="19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management and incentive fees earned</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3,615,906</w:t>
            </w:r>
          </w:p>
        </w:tc>
        <w:tc>
          <w:tcPr>
            <w:tcW w:w="3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217,517</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10,284,145</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1,111,844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1,082,419</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3,423,679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 limitation agreement</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(230,419)</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(1,338,202)</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 waiver</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(658,477)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 reimbursable to the Adviser</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852,000</w:t>
            </w:r>
          </w:p>
        </w:tc>
        <w:tc>
          <w:tcPr>
            <w:tcW w:w="3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1,427,000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affiliate payments</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4,467,906</w:t>
            </w:r>
          </w:p>
        </w:tc>
        <w:tc>
          <w:tcPr>
            <w:tcW w:w="360" w:type="dxa"/>
            <w:vAlign w:val="bottom"/>
          </w:tcPr>
          <w:p>
            <w:pPr>
              <w:spacing w:after="0"/>
              <w:rPr>
                <w:sz w:val="17"/>
                <w:szCs w:val="17"/>
                <w:color w:val="auto"/>
              </w:rPr>
            </w:pP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217,517</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11,711,145</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1,111,844</w:t>
            </w:r>
          </w:p>
        </w:tc>
        <w:tc>
          <w:tcPr>
            <w:tcW w:w="10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-693420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-693420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-693420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-162560</wp:posOffset>
            </wp:positionV>
            <wp:extent cx="77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administrative expenses reimbursable to the Adviser are included in due to affiliates on the accompanying Statements of Assets and Liabilities as of September 30, 2025 and December 31, 2024. Due to affiliates as of September 30, 2025 was $985,882, of which $852,000 and $133,882, represented general and administrative expenses reimbursable to the Adviser and amounts due to Chicago Atlantic Admin, LLC, respectively. Total amounts payable to the Adviser and its affiliates as of December 31, 2024 were $905,129, of which $820,797 and $84,332, represented general and administrative expenses reimbursable to the Adviser and amounts due to Chicago Atlantic Admin, LLC, respectively.</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Adviser voluntarily and irrevocably waived approximately $0 and $658,477, respectively, of general and administrative expenses incurred by the Adviser that would have otherwise been reimbursed and payable by the Company. The expenses waived for the three and nine months ended September 30, 2025 are not subject to recoupment by the Adviser or future reimbursement by the Company. There were no waived expenses for the three and nine months ended September 30,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Affiliated Loan Administrative and Collateral Agent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Chicago Atlantic Admin, LLC (the “Loan Administrator”), serves as a loan administrator and collateral agent for certain loans within the Company’s investment portfolio. Among other customary responsibilities as described in each respective loan document, the Loan Administrator is responsible for: (a) the collection of interest, loan fees, and principal payments from portfolio companies, and (b) the</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disbursement of the allocable portion of such collections to the lender(s), including the Company. The Loan Administrator is a wholly-owned subsidiary of Chicago Atlantic Group, LP.</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principal payments from our portfolio companies which were received by the Loan Administrator prior to September 30, 2025, but which were not remitted to the Company until after September 30, 2025, are included in due from affiliates on the Statements of Assets and Liabilities. As of September 30, 2025, the due from affiliates balance of $669,753 consists of $221,696 and $448,057 in interest and principal payments receivable, respectively. The amounts due from affiliates as of September 30, 2025 were collected in October 2025.</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principal payments from our portfolio companies which were received by the Loan Administrator prior to December 31, 2024, but which were not remitted to the Company until after December 31, 2024, are included in due from affiliates on the Statements of Assets and Liabilities. As of December 31, 2024, the due from affiliates balance of $2,361,019 consists of $1,559,758 and $801,261 in interest and principal payments receivable, respectively. The amounts due from affiliates as of December 31, 2024 were collected in January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Co-Investments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Company’s co-investment exemptive order and the Adviser’s co-investment allocation policies. The Company is not obligated to provide, nor has it provided, any financial support to the other managed investment vehicles. As such, the Company’s risk is limited to the carrying value of its investment in any such co-investment. As of September 30, 2025 and December 31, 2024, $258,783,889 and $272,816,695, respectively, of the Company’s investments were co-investments with affiliates of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Adviser was the seed investor of the Company and provided initial funding to the Company by purchasing approximately 4.5 million shares of the Company’s common stock in the Company’s initial public offering. The Adviser provided this “seed capital” to the Company for the purpose of facilitating the launch and initial operation of the Company, as opposed to for long term investment purposes. The Adviser does not expect to hold the Company’s common stock indefinitely, and may sell the Company’s common stock, or distribute the Company’s common stock to its members (who may, in turn, sell the Company’s common stock subject to certain holding period requirements), at a future point in time. In order for the Adviser’s sales of the shares of the Company not to be deemed to have been made “on the basis of” material nonpublic information, such sales may be made pursuant to a pre-approved trading plan that complies with Rule 10b5-1 under the Exchange Act and that may obligate the Adviser to make recurring sales of the Company’s common stock on a periodic basis. Sales of substantial amounts of the Company’s common stock, including by the Adviser, its members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Adviser and certain related parties received dividend distributions from the Company relating to their shares held. Refer to “Note 8 – Common Stock” for further details on the Company’s dividend reinvestment plan and the distributions declared.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commitments and contingencies include unfunded commitments to extend credit, typically in the form of delayed draw term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includes only those commitments that are available at the request of the portfolio company and are unencumbered by milestones or additional lending provisions. As of September 30, 2025 and December 31, 2024, the Company had the following unfunded commitments on existing loans: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5"/>
        </w:trPr>
        <w:tc>
          <w:tcPr>
            <w:tcW w:w="6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r>
      <w:tr>
        <w:trPr>
          <w:trHeight w:val="19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Unfunded delayed draw loan commitments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18,285,715</w:t>
            </w:r>
          </w:p>
        </w:tc>
        <w:tc>
          <w:tcPr>
            <w:tcW w:w="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2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Undrawn revolver commitments</w:t>
            </w: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8,333,333</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9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unfunded commitments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26,619,048</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have any other off-balance sheet commitments or liabilities as of September 30, 2025 or December 31, 2024. The Company will fund its unfunded commitments, if any, from the same sources it uses to fund its investment commitments that are funded at the time they are made (which are typically through existing cash and cash equivalents) and maintains adequate liquidity to fund its unfunded commitments through these 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As of September 30, 2025, there were no material legal matters or material litigation pending of which the Company is aware.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100,000,000 shares of $0.01 par value common stock were authorized.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 Acquisition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the Loan Portfolio Acquisition, pursuant to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by the Company during the nine months ended September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Per Share Amount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00" w:type="dxa"/>
            <w:vAlign w:val="bottom"/>
          </w:tcPr>
          <w:p>
            <w:pPr>
              <w:spacing w:after="0"/>
              <w:rPr>
                <w:sz w:val="18"/>
                <w:szCs w:val="18"/>
                <w:color w:val="auto"/>
              </w:rPr>
            </w:pPr>
          </w:p>
        </w:tc>
      </w:tr>
      <w:tr>
        <w:trPr>
          <w:trHeight w:val="199"/>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7,758,931</w:t>
            </w:r>
          </w:p>
        </w:tc>
        <w:tc>
          <w:tcPr>
            <w:tcW w:w="100" w:type="dxa"/>
            <w:vAlign w:val="bottom"/>
            <w:shd w:val="clear" w:color="auto" w:fill="CFF0FC"/>
          </w:tcPr>
          <w:p>
            <w:pPr>
              <w:spacing w:after="0"/>
              <w:rPr>
                <w:sz w:val="17"/>
                <w:szCs w:val="17"/>
                <w:color w:val="auto"/>
              </w:rPr>
            </w:pPr>
          </w:p>
        </w:tc>
      </w:tr>
      <w:tr>
        <w:trPr>
          <w:trHeight w:val="203"/>
        </w:trPr>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2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7,758,939</w:t>
            </w:r>
          </w:p>
        </w:tc>
        <w:tc>
          <w:tcPr>
            <w:tcW w:w="100" w:type="dxa"/>
            <w:vAlign w:val="bottom"/>
          </w:tcPr>
          <w:p>
            <w:pPr>
              <w:spacing w:after="0"/>
              <w:rPr>
                <w:sz w:val="17"/>
                <w:szCs w:val="17"/>
                <w:color w:val="auto"/>
              </w:rPr>
            </w:pPr>
          </w:p>
        </w:tc>
      </w:tr>
      <w:tr>
        <w:trPr>
          <w:trHeight w:val="202"/>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14, 2025</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29, 2025</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October 10, 2025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and paid by the Company during the nine months ended September 30,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Per Share Amount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00" w:type="dxa"/>
            <w:vAlign w:val="bottom"/>
          </w:tcPr>
          <w:p>
            <w:pPr>
              <w:spacing w:after="0"/>
              <w:rPr>
                <w:sz w:val="18"/>
                <w:szCs w:val="18"/>
                <w:color w:val="auto"/>
              </w:rPr>
            </w:pPr>
          </w:p>
        </w:tc>
      </w:tr>
      <w:tr>
        <w:trPr>
          <w:trHeight w:val="199"/>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1,553,736</w:t>
            </w:r>
          </w:p>
        </w:tc>
        <w:tc>
          <w:tcPr>
            <w:tcW w:w="100" w:type="dxa"/>
            <w:vAlign w:val="bottom"/>
            <w:shd w:val="clear" w:color="auto" w:fill="CFF0FC"/>
          </w:tcPr>
          <w:p>
            <w:pPr>
              <w:spacing w:after="0"/>
              <w:rPr>
                <w:sz w:val="17"/>
                <w:szCs w:val="17"/>
                <w:color w:val="auto"/>
              </w:rPr>
            </w:pPr>
          </w:p>
        </w:tc>
      </w:tr>
      <w:tr>
        <w:trPr>
          <w:trHeight w:val="203"/>
        </w:trPr>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2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1,553,738</w:t>
            </w:r>
          </w:p>
        </w:tc>
        <w:tc>
          <w:tcPr>
            <w:tcW w:w="100" w:type="dxa"/>
            <w:vAlign w:val="bottom"/>
          </w:tcPr>
          <w:p>
            <w:pPr>
              <w:spacing w:after="0"/>
              <w:rPr>
                <w:sz w:val="17"/>
                <w:szCs w:val="17"/>
                <w:color w:val="auto"/>
              </w:rPr>
            </w:pPr>
          </w:p>
        </w:tc>
      </w:tr>
      <w:tr>
        <w:trPr>
          <w:trHeight w:val="203"/>
        </w:trPr>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8, 2024</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1,553,741</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dividend reinvestment plan (the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DRIP is administered by its transfer agent on behalf of the Company’s record holders and participating brokerage firms. Brokerage firms and other financial intermediaries may decide not to participate in the DRIP but may provide a similar dividend reinvestment plan for their clients.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Company issued the following shares of common stock under the DRIP:</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40" w:type="dxa"/>
            <w:vAlign w:val="bottom"/>
          </w:tcPr>
          <w:p>
            <w:pPr>
              <w:spacing w:after="0"/>
              <w:rPr>
                <w:sz w:val="18"/>
                <w:szCs w:val="18"/>
                <w:color w:val="auto"/>
              </w:rPr>
            </w:pPr>
          </w:p>
        </w:tc>
        <w:tc>
          <w:tcPr>
            <w:tcW w:w="19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r>
      <w:tr>
        <w:trPr>
          <w:trHeight w:val="19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r>
      <w:tr>
        <w:trPr>
          <w:trHeight w:val="210"/>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2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 Company issued the following shares of common stock under the DRIP: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60" w:type="dxa"/>
            <w:vAlign w:val="bottom"/>
          </w:tcPr>
          <w:p>
            <w:pPr>
              <w:spacing w:after="0"/>
              <w:rPr>
                <w:sz w:val="18"/>
                <w:szCs w:val="18"/>
                <w:color w:val="auto"/>
              </w:rPr>
            </w:pPr>
          </w:p>
        </w:tc>
        <w:tc>
          <w:tcPr>
            <w:tcW w:w="18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r>
      <w:tr>
        <w:trPr>
          <w:trHeight w:val="19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7"/>
                <w:szCs w:val="17"/>
                <w:color w:val="auto"/>
              </w:rPr>
            </w:pPr>
          </w:p>
        </w:tc>
      </w:tr>
      <w:tr>
        <w:trPr>
          <w:trHeight w:val="203"/>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2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r>
      <w:tr>
        <w:trPr>
          <w:trHeight w:val="203"/>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August 8, 2024</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INDEMNIFICATION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weighted average basic and diluted net increase (decrease) in net assets per share resulting from operations for the three and nine months ended September 30,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8"/>
                <w:szCs w:val="18"/>
                <w:color w:val="auto"/>
              </w:rPr>
            </w:pPr>
          </w:p>
        </w:tc>
        <w:tc>
          <w:tcPr>
            <w:tcW w:w="2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186"/>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r>
      <w:tr>
        <w:trPr>
          <w:trHeight w:val="215"/>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8,834,061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(165,012)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25,032,683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1,647,660</w:t>
            </w: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22,820,568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6,214,965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22,820,454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6,214,952</w:t>
            </w:r>
          </w:p>
        </w:tc>
        <w:tc>
          <w:tcPr>
            <w:tcW w:w="100" w:type="dxa"/>
            <w:vAlign w:val="bottom"/>
          </w:tcPr>
          <w:p>
            <w:pPr>
              <w:spacing w:after="0"/>
              <w:rPr>
                <w:sz w:val="17"/>
                <w:szCs w:val="17"/>
                <w:color w:val="auto"/>
              </w:rPr>
            </w:pPr>
          </w:p>
        </w:tc>
      </w:tr>
      <w:tr>
        <w:trPr>
          <w:trHeight w:val="18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 per share - basic</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diluted</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FF0FC"/>
          </w:tcPr>
          <w:p>
            <w:pPr>
              <w:spacing w:after="0"/>
              <w:rPr>
                <w:sz w:val="18"/>
                <w:szCs w:val="18"/>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adopted a tax year end of March 31 and elected to be treated as a RIC for U.S. federal income tax purposes under Subchapter M of the Code.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such carryover ICTI must be distributed before the end of that next tax year through a dividend declared prior to filing the final tax return related to the year which generated such ICTI. The amount to be paid out as a distribution is determined by the Board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and sources of distributions reported are only estimates and are not being provided for U.S. federal income tax reporting purposes. The timing and character of distributions for U.S. federal income tax purposes will be determined in accordance with the U.S. federal tax rules which may differ from U.S. GAAP. The final determination of the source of all distributions in 2025 will be made after the tax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federal income tax regulations differ from U.S. GAAP, distributions in accordance with tax regulations may differ from net investment income (loss)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 The Company had not recorded a liability for any uncertain tax positions pursuant to the provisions of ASC 740 as of September 30, 2025 and December 31, 2024. In the normal course of business, the Company is subject to examination by federal and certain state and local tax regulators.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normal course of business, the Company is subject to examination by federal and certain state and local tax regulators.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As of March 31, 2025, the Company’s most recent tax year end, the Company had a net short-term capital loss carryforward of $210,767 and a net long-term capital loss carryforward of $74,483, each of which may be carried forward for an indefinite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taxable income for each period is an estimate and will not be finally determined until the Company files its tax return for each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final taxable income earned in each year and carried forward for distribution in the following year may be different than this estimate.</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tax years ended March 31, 2025 and March 31, 2024, the Company reclassified for book purposes amounts arising from permanent book to tax differences primarily related to non-deductible excise tax paid.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r>
      <w:tr>
        <w:trPr>
          <w:trHeight w:val="19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(decrease) in additional paid in capital</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(120,003)</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(10,676)</w:t>
            </w: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distributable earnings (accumulated loss)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tcPr>
          <w:p>
            <w:pPr>
              <w:spacing w:after="0"/>
              <w:rPr>
                <w:sz w:val="18"/>
                <w:szCs w:val="18"/>
                <w:color w:val="auto"/>
              </w:rPr>
            </w:pP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income tax purposes, distributions paid to shareholders are reported as ordinary income, return of capital, long-term capital gains, or a combination thereof. The tax character of distributions paid for the six months ended September 30, 2025 and the tax year ended March 31, 2025,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tax period from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April 1, 2025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tax year from</w:t>
            </w:r>
          </w:p>
        </w:tc>
      </w:tr>
      <w:tr>
        <w:trPr>
          <w:trHeight w:val="203"/>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through September 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April 1, 2024</w:t>
            </w:r>
          </w:p>
        </w:tc>
      </w:tr>
      <w:tr>
        <w:trPr>
          <w:trHeight w:val="215"/>
        </w:trPr>
        <w:tc>
          <w:tcPr>
            <w:tcW w:w="7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through March 31, 2025</w:t>
            </w:r>
          </w:p>
        </w:tc>
        <w:tc>
          <w:tcPr>
            <w:tcW w:w="100" w:type="dxa"/>
            <w:vAlign w:val="bottom"/>
          </w:tcPr>
          <w:p>
            <w:pPr>
              <w:spacing w:after="0"/>
              <w:rPr>
                <w:sz w:val="18"/>
                <w:szCs w:val="18"/>
                <w:color w:val="auto"/>
              </w:rPr>
            </w:pPr>
          </w:p>
        </w:tc>
      </w:tr>
      <w:tr>
        <w:trPr>
          <w:trHeight w:val="19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Ordinary income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15,517,940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18,625,335</w:t>
            </w:r>
          </w:p>
        </w:tc>
        <w:tc>
          <w:tcPr>
            <w:tcW w:w="10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Long-term Capital Gain</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Return of Capital</w:t>
            </w:r>
          </w:p>
        </w:tc>
        <w:tc>
          <w:tcPr>
            <w:tcW w:w="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Total Distributions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15,517,940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18,625,335</w:t>
            </w:r>
          </w:p>
        </w:tc>
        <w:tc>
          <w:tcPr>
            <w:tcW w:w="10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-162560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and March 31, 2024,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the tax treatment of uncrystallized capital gain incentive fees, and distributions payable.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Pr>
          <w:p>
            <w:pPr>
              <w:spacing w:after="0"/>
              <w:rPr>
                <w:sz w:val="18"/>
                <w:szCs w:val="18"/>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Undistributed ordinary income</w:t>
            </w: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9,344,744</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1,782,017</w:t>
            </w:r>
          </w:p>
        </w:tc>
        <w:tc>
          <w:tcPr>
            <w:tcW w:w="10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appreciation (depreciation) on investments</w:t>
            </w:r>
          </w:p>
        </w:tc>
        <w:tc>
          <w:tcPr>
            <w:tcW w:w="220" w:type="dxa"/>
            <w:vAlign w:val="bottom"/>
          </w:tcPr>
          <w:p>
            <w:pPr>
              <w:spacing w:after="0"/>
              <w:rPr>
                <w:sz w:val="17"/>
                <w:szCs w:val="17"/>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(3,210,239)</w:t>
            </w: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1,248,303</w:t>
            </w:r>
          </w:p>
        </w:tc>
        <w:tc>
          <w:tcPr>
            <w:tcW w:w="100" w:type="dxa"/>
            <w:vAlign w:val="bottom"/>
          </w:tcPr>
          <w:p>
            <w:pPr>
              <w:spacing w:after="0"/>
              <w:rPr>
                <w:sz w:val="17"/>
                <w:szCs w:val="17"/>
                <w:color w:val="auto"/>
              </w:rPr>
            </w:pPr>
          </w:p>
        </w:tc>
      </w:tr>
      <w:tr>
        <w:trPr>
          <w:trHeight w:val="203"/>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Gain/(Loss) Carry Forwards</w:t>
            </w:r>
          </w:p>
        </w:tc>
        <w:tc>
          <w:tcPr>
            <w:tcW w:w="22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(285,250)</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(210,767)</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Other temporary differences</w:t>
            </w:r>
          </w:p>
        </w:tc>
        <w:tc>
          <w:tcPr>
            <w:tcW w:w="220" w:type="dxa"/>
            <w:vAlign w:val="bottom"/>
          </w:tcPr>
          <w:p>
            <w:pPr>
              <w:spacing w:after="0"/>
              <w:rPr>
                <w:sz w:val="17"/>
                <w:szCs w:val="17"/>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(8,211,487)</w:t>
            </w:r>
          </w:p>
        </w:tc>
        <w:tc>
          <w:tcPr>
            <w:tcW w:w="24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(3,393,536)</w:t>
            </w:r>
          </w:p>
        </w:tc>
      </w:tr>
      <w:tr>
        <w:trPr>
          <w:trHeight w:val="20"/>
        </w:trPr>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(2,362,232)</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(573,983)</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cost basis and the estimated aggregate gross unrealized appreciation and depreciation from investments and cash equivalents for federal income tax purposes as of September 30, 2025 and March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8"/>
                <w:szCs w:val="18"/>
                <w:color w:val="auto"/>
              </w:rPr>
            </w:pPr>
          </w:p>
        </w:tc>
      </w:tr>
      <w:tr>
        <w:trPr>
          <w:trHeight w:val="19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cost of investments and cash equivalents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324,803,488</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307,394,719</w:t>
            </w:r>
          </w:p>
        </w:tc>
        <w:tc>
          <w:tcPr>
            <w:tcW w:w="120" w:type="dxa"/>
            <w:vAlign w:val="bottom"/>
            <w:shd w:val="clear" w:color="auto" w:fill="CFF0FC"/>
          </w:tcPr>
          <w:p>
            <w:pPr>
              <w:spacing w:after="0"/>
              <w:rPr>
                <w:sz w:val="17"/>
                <w:szCs w:val="17"/>
                <w:color w:val="auto"/>
              </w:rPr>
            </w:pPr>
          </w:p>
        </w:tc>
      </w:tr>
      <w:tr>
        <w:trPr>
          <w:trHeight w:val="20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Unrealized appreciation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1,553,354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1,286,665</w:t>
            </w:r>
          </w:p>
        </w:tc>
        <w:tc>
          <w:tcPr>
            <w:tcW w:w="120" w:type="dxa"/>
            <w:vAlign w:val="bottom"/>
          </w:tcPr>
          <w:p>
            <w:pPr>
              <w:spacing w:after="0"/>
              <w:rPr>
                <w:sz w:val="17"/>
                <w:szCs w:val="17"/>
                <w:color w:val="auto"/>
              </w:rPr>
            </w:pPr>
          </w:p>
        </w:tc>
      </w:tr>
      <w:tr>
        <w:trPr>
          <w:trHeight w:val="20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depreciation</w:t>
            </w: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(4,500,995)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(4,496,904)</w:t>
            </w:r>
          </w:p>
        </w:tc>
      </w:tr>
      <w:tr>
        <w:trPr>
          <w:trHeight w:val="20"/>
        </w:trPr>
        <w:tc>
          <w:tcPr>
            <w:tcW w:w="706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appreciation (depreciation) from investments and cash equivalents</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(2,947,641)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(3,210,239)</w:t>
            </w:r>
          </w:p>
        </w:tc>
      </w:tr>
      <w:tr>
        <w:trPr>
          <w:trHeight w:val="20"/>
        </w:trPr>
        <w:tc>
          <w:tcPr>
            <w:tcW w:w="706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-162560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HIGHLIGHTS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financial highlights for the nine months ended September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7"/>
                <w:szCs w:val="17"/>
                <w:color w:val="auto"/>
              </w:rPr>
            </w:pP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0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51"/>
        </w:trPr>
        <w:tc>
          <w:tcPr>
            <w:tcW w:w="7620" w:type="dxa"/>
            <w:vAlign w:val="bottom"/>
          </w:tcPr>
          <w:p>
            <w:pPr>
              <w:spacing w:after="0" w:line="151" w:lineRule="exact"/>
              <w:rPr>
                <w:sz w:val="20"/>
                <w:szCs w:val="20"/>
                <w:color w:val="auto"/>
              </w:rPr>
            </w:pPr>
            <w:r>
              <w:rPr>
                <w:rFonts w:ascii="Times New Roman" w:cs="Times New Roman" w:eastAsia="Times New Roman" w:hAnsi="Times New Roman"/>
                <w:sz w:val="16"/>
                <w:szCs w:val="16"/>
                <w:color w:val="auto"/>
              </w:rPr>
              <w:t>Net asset value at beginning of period</w:t>
            </w:r>
          </w:p>
        </w:tc>
        <w:tc>
          <w:tcPr>
            <w:tcW w:w="100" w:type="dxa"/>
            <w:vAlign w:val="bottom"/>
          </w:tcPr>
          <w:p>
            <w:pPr>
              <w:jc w:val="right"/>
              <w:spacing w:after="0" w:line="151"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line="151" w:lineRule="exact"/>
              <w:rPr>
                <w:sz w:val="20"/>
                <w:szCs w:val="20"/>
                <w:color w:val="auto"/>
              </w:rPr>
            </w:pPr>
            <w:r>
              <w:rPr>
                <w:rFonts w:ascii="Times New Roman" w:cs="Times New Roman" w:eastAsia="Times New Roman" w:hAnsi="Times New Roman"/>
                <w:sz w:val="16"/>
                <w:szCs w:val="16"/>
                <w:color w:val="auto"/>
              </w:rPr>
              <w:t>13.20</w:t>
            </w:r>
          </w:p>
        </w:tc>
        <w:tc>
          <w:tcPr>
            <w:tcW w:w="420" w:type="dxa"/>
            <w:vAlign w:val="bottom"/>
          </w:tcPr>
          <w:p>
            <w:pPr>
              <w:spacing w:after="0"/>
              <w:rPr>
                <w:sz w:val="13"/>
                <w:szCs w:val="13"/>
                <w:color w:val="auto"/>
              </w:rPr>
            </w:pPr>
          </w:p>
        </w:tc>
        <w:tc>
          <w:tcPr>
            <w:tcW w:w="700" w:type="dxa"/>
            <w:vAlign w:val="bottom"/>
          </w:tcPr>
          <w:p>
            <w:pPr>
              <w:jc w:val="right"/>
              <w:ind w:right="539"/>
              <w:spacing w:after="0" w:line="151"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51" w:lineRule="exact"/>
              <w:rPr>
                <w:sz w:val="20"/>
                <w:szCs w:val="20"/>
                <w:color w:val="auto"/>
              </w:rPr>
            </w:pPr>
            <w:r>
              <w:rPr>
                <w:rFonts w:ascii="Times New Roman" w:cs="Times New Roman" w:eastAsia="Times New Roman" w:hAnsi="Times New Roman"/>
                <w:sz w:val="16"/>
                <w:szCs w:val="16"/>
                <w:color w:val="auto"/>
              </w:rPr>
              <w:t>13.77</w:t>
            </w:r>
          </w:p>
        </w:tc>
        <w:tc>
          <w:tcPr>
            <w:tcW w:w="140" w:type="dxa"/>
            <w:vAlign w:val="bottom"/>
          </w:tcPr>
          <w:p>
            <w:pPr>
              <w:spacing w:after="0"/>
              <w:rPr>
                <w:sz w:val="13"/>
                <w:szCs w:val="13"/>
                <w:color w:val="auto"/>
              </w:rPr>
            </w:pPr>
          </w:p>
        </w:tc>
      </w:tr>
      <w:tr>
        <w:trPr>
          <w:trHeight w:val="216"/>
        </w:trPr>
        <w:tc>
          <w:tcPr>
            <w:tcW w:w="76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investment income (loss)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40" w:type="dxa"/>
            <w:vAlign w:val="bottom"/>
          </w:tcPr>
          <w:p>
            <w:pPr>
              <w:spacing w:after="0"/>
              <w:rPr>
                <w:sz w:val="18"/>
                <w:szCs w:val="18"/>
                <w:color w:val="auto"/>
              </w:rPr>
            </w:pPr>
          </w:p>
        </w:tc>
      </w:tr>
      <w:tr>
        <w:trPr>
          <w:trHeight w:val="241"/>
        </w:trPr>
        <w:tc>
          <w:tcPr>
            <w:tcW w:w="762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 xml:space="preserve">Net realized and unrealized gains/(losses) on investments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9"/>
                <w:szCs w:val="9"/>
                <w:color w:val="auto"/>
              </w:rPr>
              <w:t>(5)</w:t>
            </w:r>
          </w:p>
        </w:tc>
        <w:tc>
          <w:tcPr>
            <w:tcW w:w="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20"/>
                <w:szCs w:val="20"/>
                <w:color w:val="auto"/>
              </w:rPr>
            </w:pPr>
          </w:p>
        </w:tc>
      </w:tr>
      <w:tr>
        <w:trPr>
          <w:trHeight w:val="196"/>
        </w:trPr>
        <w:tc>
          <w:tcPr>
            <w:tcW w:w="76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5"/>
                <w:szCs w:val="15"/>
                <w:color w:val="auto"/>
              </w:rPr>
              <w:t xml:space="preserve">Net increase/(decrease) in net assets resulting from operations </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4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spacing w:after="0" w:line="196" w:lineRule="exact"/>
              <w:rPr>
                <w:sz w:val="20"/>
                <w:szCs w:val="20"/>
                <w:color w:val="auto"/>
              </w:rPr>
            </w:pPr>
            <w:r>
              <w:rPr>
                <w:rFonts w:ascii="Times New Roman" w:cs="Times New Roman" w:eastAsia="Times New Roman" w:hAnsi="Times New Roman"/>
                <w:sz w:val="15"/>
                <w:szCs w:val="15"/>
                <w:color w:val="auto"/>
              </w:rPr>
              <w:t xml:space="preserve">Distributions from net investment income (loss) </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7"/>
                <w:szCs w:val="17"/>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(1.02)</w:t>
            </w:r>
          </w:p>
        </w:tc>
        <w:tc>
          <w:tcPr>
            <w:tcW w:w="7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(0.75)</w:t>
            </w:r>
          </w:p>
        </w:tc>
      </w:tr>
      <w:tr>
        <w:trPr>
          <w:trHeight w:val="23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4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18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302,920,579</w:t>
            </w:r>
          </w:p>
        </w:tc>
        <w:tc>
          <w:tcPr>
            <w:tcW w:w="420" w:type="dxa"/>
            <w:vAlign w:val="bottom"/>
          </w:tcPr>
          <w:p>
            <w:pPr>
              <w:spacing w:after="0"/>
              <w:rPr>
                <w:sz w:val="15"/>
                <w:szCs w:val="15"/>
                <w:color w:val="auto"/>
              </w:rPr>
            </w:pP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82,539,642</w:t>
            </w:r>
          </w:p>
        </w:tc>
        <w:tc>
          <w:tcPr>
            <w:tcW w:w="140" w:type="dxa"/>
            <w:vAlign w:val="bottom"/>
          </w:tcPr>
          <w:p>
            <w:pPr>
              <w:spacing w:after="0"/>
              <w:rPr>
                <w:sz w:val="15"/>
                <w:szCs w:val="15"/>
                <w:color w:val="auto"/>
              </w:rPr>
            </w:pPr>
          </w:p>
        </w:tc>
      </w:tr>
      <w:tr>
        <w:trPr>
          <w:trHeight w:val="202"/>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22,820,590</w:t>
            </w: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6,214,995</w:t>
            </w:r>
          </w:p>
        </w:tc>
        <w:tc>
          <w:tcPr>
            <w:tcW w:w="140" w:type="dxa"/>
            <w:vAlign w:val="bottom"/>
            <w:shd w:val="clear" w:color="auto" w:fill="CFF0FC"/>
          </w:tcPr>
          <w:p>
            <w:pPr>
              <w:spacing w:after="0"/>
              <w:rPr>
                <w:sz w:val="17"/>
                <w:szCs w:val="17"/>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301,347,821</w:t>
            </w:r>
          </w:p>
        </w:tc>
        <w:tc>
          <w:tcPr>
            <w:tcW w:w="420" w:type="dxa"/>
            <w:vAlign w:val="bottom"/>
          </w:tcPr>
          <w:p>
            <w:pPr>
              <w:spacing w:after="0"/>
              <w:rPr>
                <w:sz w:val="18"/>
                <w:szCs w:val="18"/>
                <w:color w:val="auto"/>
              </w:rPr>
            </w:pP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84,768,322</w:t>
            </w:r>
          </w:p>
        </w:tc>
        <w:tc>
          <w:tcPr>
            <w:tcW w:w="140" w:type="dxa"/>
            <w:vAlign w:val="bottom"/>
          </w:tcPr>
          <w:p>
            <w:pPr>
              <w:spacing w:after="0"/>
              <w:rPr>
                <w:sz w:val="18"/>
                <w:szCs w:val="18"/>
                <w:color w:val="auto"/>
              </w:rPr>
            </w:pPr>
          </w:p>
        </w:tc>
      </w:tr>
      <w:tr>
        <w:trPr>
          <w:trHeight w:val="345"/>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420" w:type="dxa"/>
            <w:vAlign w:val="bottom"/>
          </w:tcPr>
          <w:p>
            <w:pPr>
              <w:spacing w:after="0"/>
              <w:rPr>
                <w:sz w:val="24"/>
                <w:szCs w:val="24"/>
                <w:color w:val="auto"/>
              </w:rPr>
            </w:pP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40" w:type="dxa"/>
            <w:vAlign w:val="bottom"/>
          </w:tcPr>
          <w:p>
            <w:pPr>
              <w:spacing w:after="0"/>
              <w:rPr>
                <w:sz w:val="24"/>
                <w:szCs w:val="24"/>
                <w:color w:val="auto"/>
              </w:rPr>
            </w:pPr>
          </w:p>
        </w:tc>
      </w:tr>
      <w:tr>
        <w:trPr>
          <w:trHeight w:val="203"/>
        </w:trPr>
        <w:tc>
          <w:tcPr>
            <w:tcW w:w="76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(8.31)%</w:t>
            </w:r>
          </w:p>
        </w:tc>
        <w:tc>
          <w:tcPr>
            <w:tcW w:w="7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35.15%</w:t>
            </w:r>
          </w:p>
        </w:tc>
      </w:tr>
      <w:tr>
        <w:trPr>
          <w:trHeight w:val="254"/>
        </w:trPr>
        <w:tc>
          <w:tcPr>
            <w:tcW w:w="7620" w:type="dxa"/>
            <w:vAlign w:val="bottom"/>
          </w:tcPr>
          <w:p>
            <w:pPr>
              <w:spacing w:after="0" w:line="255" w:lineRule="exact"/>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22"/>
                <w:szCs w:val="22"/>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7.01%</w:t>
            </w:r>
          </w:p>
        </w:tc>
        <w:tc>
          <w:tcPr>
            <w:tcW w:w="7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3.39%</w:t>
            </w:r>
          </w:p>
        </w:tc>
      </w:tr>
      <w:tr>
        <w:trPr>
          <w:trHeight w:val="35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Ratio/Supplemental data:</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76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Ratio of net investment income (loss) to average net assets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7"/>
                <w:szCs w:val="17"/>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8.23%</w:t>
            </w:r>
          </w:p>
        </w:tc>
        <w:tc>
          <w:tcPr>
            <w:tcW w:w="7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1.72%</w:t>
            </w:r>
          </w:p>
        </w:tc>
      </w:tr>
      <w:tr>
        <w:trPr>
          <w:trHeight w:val="203"/>
        </w:trPr>
        <w:tc>
          <w:tcPr>
            <w:tcW w:w="76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 xml:space="preserve">Ratio of expenses to average net assets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7"/>
                <w:szCs w:val="17"/>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5.73%</w:t>
            </w:r>
          </w:p>
        </w:tc>
        <w:tc>
          <w:tcPr>
            <w:tcW w:w="7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8.92%</w:t>
            </w:r>
          </w:p>
        </w:tc>
      </w:tr>
      <w:tr>
        <w:trPr>
          <w:trHeight w:val="203"/>
        </w:trPr>
        <w:tc>
          <w:tcPr>
            <w:tcW w:w="76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Ratio of waived expenses to average net assets</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(0.66)%</w:t>
            </w:r>
          </w:p>
        </w:tc>
        <w:tc>
          <w:tcPr>
            <w:tcW w:w="7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r>
        <w:trPr>
          <w:trHeight w:val="203"/>
        </w:trPr>
        <w:tc>
          <w:tcPr>
            <w:tcW w:w="76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Ratio of net expenses to average net assets</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7"/>
                <w:szCs w:val="17"/>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5.07%</w:t>
            </w:r>
          </w:p>
        </w:tc>
        <w:tc>
          <w:tcPr>
            <w:tcW w:w="7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r>
        <w:trPr>
          <w:trHeight w:val="254"/>
        </w:trPr>
        <w:tc>
          <w:tcPr>
            <w:tcW w:w="7620" w:type="dxa"/>
            <w:vAlign w:val="bottom"/>
          </w:tcPr>
          <w:p>
            <w:pPr>
              <w:spacing w:after="0" w:line="255" w:lineRule="exact"/>
              <w:rPr>
                <w:sz w:val="20"/>
                <w:szCs w:val="20"/>
                <w:color w:val="auto"/>
              </w:rPr>
            </w:pPr>
            <w:r>
              <w:rPr>
                <w:rFonts w:ascii="Times New Roman" w:cs="Times New Roman" w:eastAsia="Times New Roman" w:hAnsi="Times New Roman"/>
                <w:sz w:val="16"/>
                <w:szCs w:val="16"/>
                <w:color w:val="auto"/>
              </w:rPr>
              <w:t xml:space="preserve">Portfolio turnover </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22"/>
                <w:szCs w:val="22"/>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31.30%</w:t>
            </w:r>
          </w:p>
        </w:tc>
        <w:tc>
          <w:tcPr>
            <w:tcW w:w="7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128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289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-2099310</wp:posOffset>
            </wp:positionV>
            <wp:extent cx="1289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-2099310</wp:posOffset>
            </wp:positionV>
            <wp:extent cx="939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-1824990</wp:posOffset>
            </wp:positionV>
            <wp:extent cx="12890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-1807845</wp:posOffset>
            </wp:positionV>
            <wp:extent cx="1289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-1824990</wp:posOffset>
            </wp:positionV>
            <wp:extent cx="939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-1807845</wp:posOffset>
            </wp:positionV>
            <wp:extent cx="939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3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per share data was derived by using the weighted average shares outstanding during the periods presented.</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 shown may not correspond for the period as it includes the effect of the timing of the distribution and the issuance of common stock.</w:t>
      </w:r>
    </w:p>
    <w:p>
      <w:pPr>
        <w:spacing w:after="0" w:line="2" w:lineRule="exact"/>
        <w:rPr>
          <w:rFonts w:ascii="Times New Roman" w:cs="Times New Roman" w:eastAsia="Times New Roman" w:hAnsi="Times New Roman"/>
          <w:sz w:val="24"/>
          <w:szCs w:val="24"/>
          <w:color w:val="auto"/>
          <w:vertAlign w:val="superscript"/>
        </w:rPr>
      </w:pPr>
    </w:p>
    <w:p>
      <w:pPr>
        <w:jc w:val="both"/>
        <w:ind w:left="520" w:hanging="512"/>
        <w:spacing w:after="0" w:line="230" w:lineRule="auto"/>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Total return based on market value is based on the change in market price per share between the beginning and ending market prices per share in each period and assumes that common stock dividends are reinvested in accordance with the DRIP. Total return based on net asset value is based upon the change in net asset value per share between the beginning and ending net asset values per share in each period and assumes that dividends are reinvested in accordance with the DRIP. For periods less than a year, total return is not annualized.</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Ratio is not annualized.</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less than $0.005 per Share.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Company operates through a single operating and reporting segment with an investment objective of maximizing risk-adjusted returns on equity for its shareholders. The management approach considers the internal organization and reporting used by the Company’s Chief Executive Officer, Chief Financial Officer, and Co-Chief Investment Officers, which comprise the chief operating decision maker (“CODM”) for making decisions, allocating resources and assessing performance. The CODM assesses the performance of, and makes operating decisions for, the Company primarily based on the Company’s net asset value, net investment income, and net increase (decrease) in net assets resulting from operations. These measures of segment performance are the same as those presented in the Company’s Statements of Assets and Liabilities and Statements of Operations, prepared in accordance with U.S. GAAP. In addition to other factors and metrics, the CODM utilizes net increase (decrease) in net assets resulting from operations, as reported on the Statements of Operations, as a key determinant of the amount of dividends to be distributed to the Company’s stockholders.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Company’s operations comprise of a single reporting segment, the segment assets are reflected on the accompanying Statements of Assets and Liabilities as “total assets” and the significant segment expenses are listed on the accompanying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November 11, 2025, the Board approved a cash dividend of $0.34 per share. The dividend is payable on January 15, 2026 to stockholders of record on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annual report on Form 10-K for the fiscal year ended December 31, 2024 and elsewhere in this quarterly report on Form 10-Q. Please also see the section entitled “Special Note Regarding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formed in January 2021 as a Maryland corporation and are structured as an externally managed, closed-end, non-diversified management investment company. We have elected to be regulated as a business development company ("BDC") under the Investment Company Act of 1940 (the "1940 Act"). In addition, for U.S. federal income tax purposes we have elected to be treated, and intend to qualify annually to be treated, as a regulated investment company ("RIC") under Subchapter M of the Internal Revenue Code (the "Code"), commencing with our taxable year ended March 31, 2022.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and technology companies, esoteric and asset-based lending opportunities, and liquidity solutions opportunities as described further below.</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 We have an active pipeline of investments and are currently reviewing approximately $609.7 million of potential investments in varying stages of underwriting.</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describes the four primary current sub-strategies of our principal investment strategy. We are not required to have a minimum investment in any of these sub-strategies.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Cannabis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Chicago Atlantic BDC Advisers, LLC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cannabis companies that it believes have some or all of the following characteristics:</w:t>
      </w:r>
    </w:p>
    <w:p>
      <w:pPr>
        <w:spacing w:after="0" w:line="18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or EBITDA positive entities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require capital but do not want to dilute their equity</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Growth &amp; Technology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growth and technology focused companies that it believes have some or all of the following characteristics:</w:t>
      </w:r>
    </w:p>
    <w:p>
      <w:pPr>
        <w:spacing w:after="0" w:line="19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 and disruptive companies experiencing strong growth</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raised significant equity capital validating market value</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focus typically includes software, hardware, e-commerce, direct to consumer and other fast-growing companies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covenants that ensure such company has adequate cash runway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Profitable or demonstrated path to near term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Esoteric &amp; Asset-Based Lending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Adviser seeks to invest in esoteric industries or companies in need of asset-based loans that it believes have some or all of the following characteristics:</w:t>
      </w:r>
    </w:p>
    <w:p>
      <w:pPr>
        <w:spacing w:after="0" w:line="121"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 but the industries carry regulatory, reputational or other risks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attractive assets, including, but not limited to, accounts receivable, equipment or real estate</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 or situation</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asset value and/or enterprise value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 Solutions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liquidity solutions opportunities that it believes have some or all of the following characteristics:</w:t>
      </w:r>
    </w:p>
    <w:p>
      <w:pPr>
        <w:spacing w:after="0" w:line="18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is typically event driven</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pursuing a merger, acquisition, refinancing, dividend recap, or other strategic liquidity need</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multiple areas of value and liquidity in addition to the underlying business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 ratios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investment policies are fundamental, and thus may be changed without stockholder approval.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externally managed by the Adviser. The Adviser also provides the administrative services necessary for us to operate. We believe that our ability to leverage the existing investment management platform of Chicago Atlantic enables us to operate more efficiently and with lower overhead costs than other funds of comparable size.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two to six years. Our loan portfolio will bear interest at a fixed or floating rate, subject to interest rate floors in certain cases. Interest on our debt investments will generally be payable either monthly or quarterly, but may be semi-annually.</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investment portfolio consists of fixed and floating rate loans, and our revolving credit facility also bears interest at a floating rate, when drawn. Macro trends in base interest rates like PRIME or SOFR may affect our net investment income (loss) over the long term.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income on equity investments, if applicable, will be recorded on the record date for private portfolio companies or on the ex-dividend date for publicly traded companies.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operating expenses are a base management fee and any incentive fees under the investment advisory agreement between the Company and the Adviser (the "Investment Advisory Agreement"). Our investment management fee compensates our Adviser for its work in identifying, evaluating, negotiating, executing, monitoring, servicing and realizing our investments. See “Item 1. Business—Investment Advisory Agreement.”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Chief Financial Officer ("CFO") and Chief Compliance Officer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47"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organization and offerings;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including the cost of any third-party valuation services;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shares of our common stock and other securities;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under any underwriting agreements, if any;</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payable pursuant to the Investment Advisory Agreement;</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third-parties relating to, or associated with, making investments and valuing investments (including third-party valuation firms);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including legal fees, associated with compliance under cannabis laws;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 (including attendance at industry and investor conferences and similar events);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 and fees payable to rating agencies;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 including travel expenses;</w:t>
      </w:r>
    </w:p>
    <w:p>
      <w:pPr>
        <w:spacing w:after="0" w:line="19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 and other compensation payable to brokers or dealers;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market data;</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errors and omissions liability insurance and other insurance premiums;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and staff;</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and outside legal and consulting costs;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winding up;</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formation or maintenance of entities or vehicles to hold our assets for tax or other purposes;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indemnification); and</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reporting and compliance obligations under the 1940 Act and applicable federal and state securities laws.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but cannot assure, that our general and administrative expenses will increase in dollar terms during periods of asset growth, but will decline as a percentage of total assets during such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 and Investment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Composition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our investment portfolio had an aggregate fair value of approximately $311.4 million and was comprised of approximately $269.3 million in first lien, senior secured loans, approximately $39.0 million in senior secured notes, approximately $1.5 million in second lien, senior secured loans, and approximately $1.5 million in equity securities across thirty-seven portfolio companies. As of December 31, 2024, our investment portfolio had an aggregate fair value of approximately $275.2 million and was comprised of approximately $239.9 million in first lien, senior secured loans, approximately $34.7 million in senior secured notes and $0.7 million in equity securities across twenty-eight portfolio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composition of our investment portfolio at amortized cost and fair value as a percentage of total investments as of September 30, 2025 and December 31, 2024 are shown in the following tables.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r>
      <w:tr>
        <w:trPr>
          <w:trHeight w:val="202"/>
        </w:trPr>
        <w:tc>
          <w:tcPr>
            <w:tcW w:w="74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86.5%</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12.5%</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-161925</wp:posOffset>
            </wp:positionV>
            <wp:extent cx="946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-161925</wp:posOffset>
            </wp:positionV>
            <wp:extent cx="939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202"/>
        </w:trPr>
        <w:tc>
          <w:tcPr>
            <w:tcW w:w="74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87.1%</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946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946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the composition of our investment portfolio by geographic region of the United States at amortized cost and fair value as a percentage of total investments as of September 30, 2025 and December 31, 2024. The geographic composition is determined by the location of the headquarters of the portfolio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Geographic regions are defined as: West, for the states of WA, OR, ID, MT, WY, CO, AK, HI, UT, NV and CA; Midwest, for the states of ND, SD, NE, KS, MO, IA, MN, WI, MI, IL, IN and OH; Northeast, for the states of PA, NJ, NY, CT, RI, MA, VT, NH and ME; Southeast, for the states of AR, LA, MS, TN, KY, AL, FL, GA, SC, NC, VA, DE, WV and MD; and Southwest, for the states of AZ, NM, TX and OK.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r>
      <w:tr>
        <w:trPr>
          <w:trHeight w:val="202"/>
        </w:trPr>
        <w:tc>
          <w:tcPr>
            <w:tcW w:w="748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Midwest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39.3%</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39.4%</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West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19.2%</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Northeast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Southeast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10.3%</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Southwest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946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946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202"/>
        </w:trPr>
        <w:tc>
          <w:tcPr>
            <w:tcW w:w="748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Midwest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32.6%</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West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31.6%</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31.5%</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Northeast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Southwest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Southeast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r>
      <w:tr>
        <w:trPr>
          <w:trHeight w:val="202"/>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946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9461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the industry composition of our investment portfolio at amortized cost and fair value as a percentage of total investments as of September 30,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vMerge w:val="restart"/>
          </w:tcPr>
          <w:p>
            <w:pPr>
              <w:ind w:left="3380"/>
              <w:spacing w:after="0"/>
              <w:rPr>
                <w:sz w:val="20"/>
                <w:szCs w:val="20"/>
                <w:color w:val="auto"/>
              </w:rPr>
            </w:pPr>
            <w:r>
              <w:rPr>
                <w:rFonts w:ascii="Times New Roman" w:cs="Times New Roman" w:eastAsia="Times New Roman" w:hAnsi="Times New Roman"/>
                <w:sz w:val="16"/>
                <w:szCs w:val="16"/>
                <w:b w:val="1"/>
                <w:bCs w:val="1"/>
                <w:color w:val="auto"/>
              </w:rPr>
              <w:t>Industry</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8"/>
                <w:szCs w:val="18"/>
                <w:color w:val="auto"/>
              </w:rPr>
            </w:pPr>
          </w:p>
        </w:tc>
        <w:tc>
          <w:tcPr>
            <w:tcW w:w="3640" w:type="dxa"/>
            <w:vAlign w:val="bottom"/>
            <w:gridSpan w:val="4"/>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0" w:type="dxa"/>
            <w:vAlign w:val="bottom"/>
          </w:tcPr>
          <w:p>
            <w:pPr>
              <w:spacing w:after="0"/>
              <w:rPr>
                <w:sz w:val="1"/>
                <w:szCs w:val="1"/>
                <w:color w:val="auto"/>
              </w:rPr>
            </w:pPr>
          </w:p>
        </w:tc>
      </w:tr>
      <w:tr>
        <w:trPr>
          <w:trHeight w:val="202"/>
        </w:trPr>
        <w:tc>
          <w:tcPr>
            <w:tcW w:w="74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75.5%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vMerge w:val="restart"/>
          </w:tcPr>
          <w:p>
            <w:pPr>
              <w:ind w:left="3380"/>
              <w:spacing w:after="0"/>
              <w:rPr>
                <w:sz w:val="20"/>
                <w:szCs w:val="20"/>
                <w:color w:val="auto"/>
              </w:rPr>
            </w:pPr>
            <w:r>
              <w:rPr>
                <w:rFonts w:ascii="Times New Roman" w:cs="Times New Roman" w:eastAsia="Times New Roman" w:hAnsi="Times New Roman"/>
                <w:sz w:val="16"/>
                <w:szCs w:val="16"/>
                <w:b w:val="1"/>
                <w:bCs w:val="1"/>
                <w:color w:val="auto"/>
              </w:rPr>
              <w:t>Industry</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8"/>
                <w:szCs w:val="18"/>
                <w:color w:val="auto"/>
              </w:rPr>
            </w:pPr>
          </w:p>
        </w:tc>
        <w:tc>
          <w:tcPr>
            <w:tcW w:w="364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0" w:type="dxa"/>
            <w:vAlign w:val="bottom"/>
          </w:tcPr>
          <w:p>
            <w:pPr>
              <w:spacing w:after="0"/>
              <w:rPr>
                <w:sz w:val="1"/>
                <w:szCs w:val="1"/>
                <w:color w:val="auto"/>
              </w:rPr>
            </w:pPr>
          </w:p>
        </w:tc>
      </w:tr>
      <w:tr>
        <w:trPr>
          <w:trHeight w:val="202"/>
        </w:trPr>
        <w:tc>
          <w:tcPr>
            <w:tcW w:w="74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76.6%</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Health Care and Social Assistance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0.8%</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is the risk of default or non-performance by portfolio companies, equivalent to the investment’s carrying amount. Industry and sector concentrations will vary from period to period based on portfolio activity.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we had three portfolio companies that represented 34.2% and 45.1% respectively, of our investments, at fair value. As of September 30, 2025 and December 31, 2024, our largest portfolio company represented 16.9% and 18.9%, respectively, of our investments, at fair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investment portfolio for the nine months ended September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2"/>
        </w:trPr>
        <w:tc>
          <w:tcPr>
            <w:tcW w:w="76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7"/>
                <w:szCs w:val="17"/>
                <w:color w:val="auto"/>
              </w:rPr>
            </w:pPr>
          </w:p>
        </w:tc>
      </w:tr>
      <w:tr>
        <w:trPr>
          <w:trHeight w:val="19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Portfolio, at fair value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54,120,000</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Purchases</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124,909,502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 of premium), net</w:t>
            </w: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2,105,692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501,303</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PIK interest</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1,499,341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182,634</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investments and principal repayments</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(92,590,985)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(4,344,000)</w:t>
            </w: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228,534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Ending Portfolio,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55,788,511</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Asset Quality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Company's Board of Directors (the "Board") and the Audit Committee of the Board.</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Investment Performance Risk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886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1976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Investments rated 1 involve the least amount of risk to our initial cost basis. The borrower is performing above expectations, and the trends and risk factors for this investment since origination or acquisition are generally favorable. Full return of principal, interest and dividend income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-409575</wp:posOffset>
            </wp:positionV>
            <wp:extent cx="7132320" cy="4114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Investment is performing in-line with expectations. Investments rated 2 involve an acceptable level of risk that is similar to the risk at the time of origination or acquisition. Risk factors remain neutral or favorable compared with initial underwriting. All investments or acquired investments in new portfolio companies are initially assessed a rating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635</wp:posOffset>
            </wp:positionV>
            <wp:extent cx="7132320" cy="4114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right="80"/>
        <w:spacing w:after="0" w:line="250" w:lineRule="auto"/>
        <w:rPr>
          <w:sz w:val="20"/>
          <w:szCs w:val="20"/>
          <w:color w:val="auto"/>
        </w:rPr>
      </w:pPr>
      <w:r>
        <w:rPr>
          <w:rFonts w:ascii="Times New Roman" w:cs="Times New Roman" w:eastAsia="Times New Roman" w:hAnsi="Times New Roman"/>
          <w:sz w:val="18"/>
          <w:szCs w:val="18"/>
          <w:color w:val="auto"/>
        </w:rPr>
        <w:t>Investments rated 3 involve a borrower performing below expectations and indicates that the loan’s risk has increased somewhat since origination or acquisition. Capital impairment or payment delinquency is not anticipated. The investment may also be out of compliance with certain financial covenants.</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 Delinquency of interest and / or dividend payments in anticipated. No loss of principal is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1270</wp:posOffset>
            </wp:positionV>
            <wp:extent cx="7132320" cy="548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jc w:val="both"/>
        <w:ind w:right="260"/>
        <w:spacing w:after="0" w:line="273" w:lineRule="auto"/>
        <w:rPr>
          <w:sz w:val="20"/>
          <w:szCs w:val="20"/>
          <w:color w:val="auto"/>
        </w:rPr>
      </w:pPr>
      <w:r>
        <w:rPr>
          <w:rFonts w:ascii="Times New Roman" w:cs="Times New Roman" w:eastAsia="Times New Roman" w:hAnsi="Times New Roman"/>
          <w:sz w:val="17"/>
          <w:szCs w:val="17"/>
          <w:color w:val="auto"/>
        </w:rPr>
        <w:t>Investments rated 5 involve a borrower performing substantially below expectations and indicates that the loan’s risk has increased substantially since origination or acquisition. It is anticipated that the Company will not recoup its initial cost and may realize a loss upon exit. Most or all of the debt covenants are out of compliance and payments are substantially delinquent. Loans rated 5 are not anticipated to be repaid in full and we will reduce the fair market value of the loan to the amount we anticipate will be recovered.</w:t>
      </w:r>
    </w:p>
    <w:p>
      <w:pPr>
        <w:spacing w:after="0" w:line="172" w:lineRule="exact"/>
        <w:rPr>
          <w:sz w:val="20"/>
          <w:szCs w:val="20"/>
          <w:color w:val="auto"/>
        </w:rPr>
      </w:pPr>
    </w:p>
    <w:p>
      <w:pPr>
        <w:sectPr>
          <w:pgSz w:w="11900" w:h="16838" w:orient="portrait"/>
          <w:cols w:equalWidth="0" w:num="2">
            <w:col w:w="920" w:space="560"/>
            <w:col w:w="976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tables show the distribution of our loan investments on the 1 to 5 investment risk rating scale at fair value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r>
      <w:tr>
        <w:trPr>
          <w:trHeight w:val="186"/>
        </w:trPr>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2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 w:type="dxa"/>
            <w:vAlign w:val="bottom"/>
          </w:tcPr>
          <w:p>
            <w:pPr>
              <w:spacing w:after="0"/>
              <w:rPr>
                <w:sz w:val="16"/>
                <w:szCs w:val="16"/>
                <w:color w:val="auto"/>
              </w:rPr>
            </w:pPr>
          </w:p>
        </w:tc>
      </w:tr>
      <w:tr>
        <w:trPr>
          <w:trHeight w:val="203"/>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at Fair</w:t>
            </w:r>
          </w:p>
        </w:tc>
        <w:tc>
          <w:tcPr>
            <w:tcW w:w="220" w:type="dxa"/>
            <w:vAlign w:val="bottom"/>
          </w:tcPr>
          <w:p>
            <w:pPr>
              <w:spacing w:after="0"/>
              <w:rPr>
                <w:sz w:val="17"/>
                <w:szCs w:val="17"/>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 Total</w:t>
            </w:r>
          </w:p>
        </w:tc>
      </w:tr>
      <w:tr>
        <w:trPr>
          <w:trHeight w:val="215"/>
        </w:trPr>
        <w:tc>
          <w:tcPr>
            <w:tcW w:w="7280" w:type="dxa"/>
            <w:vAlign w:val="bottom"/>
            <w:tcBorders>
              <w:bottom w:val="single" w:sz="8" w:color="auto"/>
            </w:tcBorders>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Investment Performance Risk Rating</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0" w:type="dxa"/>
            <w:vAlign w:val="bottom"/>
          </w:tcPr>
          <w:p>
            <w:pPr>
              <w:spacing w:after="0"/>
              <w:rPr>
                <w:sz w:val="18"/>
                <w:szCs w:val="18"/>
                <w:color w:val="auto"/>
              </w:rPr>
            </w:pPr>
          </w:p>
        </w:tc>
      </w:tr>
      <w:tr>
        <w:trPr>
          <w:trHeight w:val="199"/>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1</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280" w:type="dxa"/>
            <w:vAlign w:val="bottom"/>
          </w:tcPr>
          <w:p>
            <w:pPr>
              <w:jc w:val="right"/>
              <w:ind w:right="7119"/>
              <w:spacing w:after="0"/>
              <w:rPr>
                <w:sz w:val="20"/>
                <w:szCs w:val="20"/>
                <w:color w:val="auto"/>
              </w:rPr>
            </w:pPr>
            <w:r>
              <w:rPr>
                <w:rFonts w:ascii="Times New Roman" w:cs="Times New Roman" w:eastAsia="Times New Roman" w:hAnsi="Times New Roman"/>
                <w:sz w:val="16"/>
                <w:szCs w:val="16"/>
                <w:color w:val="auto"/>
                <w:w w:val="74"/>
              </w:rPr>
              <w:t>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308,787,450</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99.2%</w:t>
            </w:r>
          </w:p>
        </w:tc>
      </w:tr>
      <w:tr>
        <w:trPr>
          <w:trHeight w:val="203"/>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3</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2,606,032</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r>
      <w:tr>
        <w:trPr>
          <w:trHeight w:val="203"/>
        </w:trPr>
        <w:tc>
          <w:tcPr>
            <w:tcW w:w="7280" w:type="dxa"/>
            <w:vAlign w:val="bottom"/>
          </w:tcPr>
          <w:p>
            <w:pPr>
              <w:jc w:val="right"/>
              <w:ind w:right="7119"/>
              <w:spacing w:after="0"/>
              <w:rPr>
                <w:sz w:val="20"/>
                <w:szCs w:val="20"/>
                <w:color w:val="auto"/>
              </w:rPr>
            </w:pPr>
            <w:r>
              <w:rPr>
                <w:rFonts w:ascii="Times New Roman" w:cs="Times New Roman" w:eastAsia="Times New Roman" w:hAnsi="Times New Roman"/>
                <w:sz w:val="16"/>
                <w:szCs w:val="16"/>
                <w:color w:val="auto"/>
                <w:w w:val="74"/>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2"/>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5</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72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7280" w:type="dxa"/>
            <w:vAlign w:val="bottom"/>
          </w:tcPr>
          <w:p>
            <w:pPr>
              <w:jc w:val="right"/>
              <w:ind w:right="6719"/>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311,393,482</w:t>
            </w:r>
          </w:p>
        </w:tc>
        <w:tc>
          <w:tcPr>
            <w:tcW w:w="22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3"/>
        </w:trPr>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86"/>
        </w:trPr>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2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 w:type="dxa"/>
            <w:vAlign w:val="bottom"/>
          </w:tcPr>
          <w:p>
            <w:pPr>
              <w:spacing w:after="0"/>
              <w:rPr>
                <w:sz w:val="16"/>
                <w:szCs w:val="16"/>
                <w:color w:val="auto"/>
              </w:rPr>
            </w:pPr>
          </w:p>
        </w:tc>
      </w:tr>
      <w:tr>
        <w:trPr>
          <w:trHeight w:val="203"/>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8"/>
              </w:rPr>
              <w:t>at Fair</w:t>
            </w:r>
          </w:p>
        </w:tc>
        <w:tc>
          <w:tcPr>
            <w:tcW w:w="220" w:type="dxa"/>
            <w:vAlign w:val="bottom"/>
          </w:tcPr>
          <w:p>
            <w:pPr>
              <w:spacing w:after="0"/>
              <w:rPr>
                <w:sz w:val="17"/>
                <w:szCs w:val="17"/>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Total</w:t>
            </w:r>
          </w:p>
        </w:tc>
      </w:tr>
      <w:tr>
        <w:trPr>
          <w:trHeight w:val="215"/>
        </w:trPr>
        <w:tc>
          <w:tcPr>
            <w:tcW w:w="7280" w:type="dxa"/>
            <w:vAlign w:val="bottom"/>
            <w:tcBorders>
              <w:bottom w:val="single" w:sz="8" w:color="auto"/>
            </w:tcBorders>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Investment Performance Risk Rating</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0" w:type="dxa"/>
            <w:vAlign w:val="bottom"/>
          </w:tcPr>
          <w:p>
            <w:pPr>
              <w:spacing w:after="0"/>
              <w:rPr>
                <w:sz w:val="18"/>
                <w:szCs w:val="18"/>
                <w:color w:val="auto"/>
              </w:rPr>
            </w:pPr>
          </w:p>
        </w:tc>
      </w:tr>
      <w:tr>
        <w:trPr>
          <w:trHeight w:val="199"/>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1</w:t>
            </w:r>
          </w:p>
        </w:tc>
        <w:tc>
          <w:tcPr>
            <w:tcW w:w="4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280" w:type="dxa"/>
            <w:vAlign w:val="bottom"/>
          </w:tcPr>
          <w:p>
            <w:pPr>
              <w:jc w:val="right"/>
              <w:ind w:right="7119"/>
              <w:spacing w:after="0"/>
              <w:rPr>
                <w:sz w:val="20"/>
                <w:szCs w:val="20"/>
                <w:color w:val="auto"/>
              </w:rPr>
            </w:pPr>
            <w:r>
              <w:rPr>
                <w:rFonts w:ascii="Times New Roman" w:cs="Times New Roman" w:eastAsia="Times New Roman" w:hAnsi="Times New Roman"/>
                <w:sz w:val="16"/>
                <w:szCs w:val="16"/>
                <w:color w:val="auto"/>
                <w:w w:val="74"/>
              </w:rPr>
              <w:t>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3</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280" w:type="dxa"/>
            <w:vAlign w:val="bottom"/>
          </w:tcPr>
          <w:p>
            <w:pPr>
              <w:jc w:val="right"/>
              <w:ind w:right="7119"/>
              <w:spacing w:after="0"/>
              <w:rPr>
                <w:sz w:val="20"/>
                <w:szCs w:val="20"/>
                <w:color w:val="auto"/>
              </w:rPr>
            </w:pPr>
            <w:r>
              <w:rPr>
                <w:rFonts w:ascii="Times New Roman" w:cs="Times New Roman" w:eastAsia="Times New Roman" w:hAnsi="Times New Roman"/>
                <w:sz w:val="16"/>
                <w:szCs w:val="16"/>
                <w:color w:val="auto"/>
                <w:w w:val="74"/>
              </w:rPr>
              <w:t>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280" w:type="dxa"/>
            <w:vAlign w:val="bottom"/>
            <w:shd w:val="clear" w:color="auto" w:fill="CFF0FC"/>
          </w:tcPr>
          <w:p>
            <w:pPr>
              <w:jc w:val="right"/>
              <w:ind w:right="7119"/>
              <w:spacing w:after="0"/>
              <w:rPr>
                <w:sz w:val="20"/>
                <w:szCs w:val="20"/>
                <w:color w:val="auto"/>
              </w:rPr>
            </w:pPr>
            <w:r>
              <w:rPr>
                <w:rFonts w:ascii="Times New Roman" w:cs="Times New Roman" w:eastAsia="Times New Roman" w:hAnsi="Times New Roman"/>
                <w:sz w:val="16"/>
                <w:szCs w:val="16"/>
                <w:color w:val="auto"/>
                <w:w w:val="74"/>
              </w:rPr>
              <w:t>5</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72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7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7280" w:type="dxa"/>
            <w:vAlign w:val="bottom"/>
          </w:tcPr>
          <w:p>
            <w:pPr>
              <w:jc w:val="right"/>
              <w:ind w:right="6719"/>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-1637030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-1637030</wp:posOffset>
            </wp:positionV>
            <wp:extent cx="939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-161925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-161925</wp:posOffset>
            </wp:positionV>
            <wp:extent cx="1028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Investments on Non-Accrual Status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there were no loans in our portfolio placed on non-accrual status.</w:t>
      </w:r>
    </w:p>
    <w:p>
      <w:pPr>
        <w:sectPr>
          <w:pgSz w:w="11900" w:h="16838" w:orient="portrait"/>
          <w:cols w:equalWidth="0" w:num="1">
            <w:col w:w="11240"/>
          </w:cols>
          <w:pgMar w:left="320" w:top="117" w:right="339" w:bottom="1440"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Line of Credit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senior secured revolving credit agreement (the “Credit Agreement”, the "Revolving Line of Credit") by and among the Company, as borrower, Western Alliance Trust Company, N.A. (“WATC”), as administrative agent, Western Alliance Bank, as an issuing bank and as the initial lender, and the other lenders party thereto from time to time.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Credit Agreement also provides for the issuance of letters of credit in an aggregate face amount of up to $5,000,000.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Availability under the Credit Agreement (the “Revolving Period”) will terminate on February 11, 2027, and the Credit Agreement has a scheduled maturity date of March 31,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$11,000,000 in outstanding borrowings and $89,000,000 available under the Revolving Line of Credit. Additionally, as of September 30, 2025, $192.5 million of loans held for investment, at principal, were pledged as collateral in the borrowing base of the Revolving Loan.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our results of operations encompasses our results for the three and nine months ended September 30, 2025 and 2024.</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2024, the Company completed the Loan Portfolio Acquisition and acquired a portfolio of loans with a fair value of $219.6 million. Following the Loan Portfolio Acquisition, the fair value of the Company’s investment portfolio grew from $55.8 million as of September 30, 2024, to $311.4 million as of September 30, 2025. The 458% growth in the fair value of our investment portfolio resulting from the Loan Portfolio Acquisition is the main driver for the changes in investment income, operating expenses, net investment income and change in unrealized appreciation (depreciation) for the three months and nine months ended September 30, 2025 compared to the three and nine months ended September 30,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investment income for the three and nine months ended September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186"/>
        </w:trPr>
        <w:tc>
          <w:tcPr>
            <w:tcW w:w="590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r>
      <w:tr>
        <w:trPr>
          <w:trHeight w:val="215"/>
        </w:trPr>
        <w:tc>
          <w:tcPr>
            <w:tcW w:w="5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Stated interest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12,402,672</w:t>
            </w:r>
          </w:p>
        </w:tc>
        <w:tc>
          <w:tcPr>
            <w:tcW w:w="4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2,465,150</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33,202,422</w:t>
            </w:r>
          </w:p>
        </w:tc>
        <w:tc>
          <w:tcPr>
            <w:tcW w:w="4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7,519,664</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 of premium), net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889,590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2,105,692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501,303</w:t>
            </w:r>
          </w:p>
        </w:tc>
        <w:tc>
          <w:tcPr>
            <w:tcW w:w="100" w:type="dxa"/>
            <w:vAlign w:val="bottom"/>
          </w:tcPr>
          <w:p>
            <w:pPr>
              <w:spacing w:after="0"/>
              <w:rPr>
                <w:sz w:val="17"/>
                <w:szCs w:val="17"/>
                <w:color w:val="auto"/>
              </w:rPr>
            </w:pPr>
          </w:p>
        </w:tc>
      </w:tr>
      <w:tr>
        <w:trPr>
          <w:trHeight w:val="20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PIK</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534,412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69,497</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1,704,082</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interest income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13,826,674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2,686,771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37,012,196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8,203,601</w:t>
            </w:r>
          </w:p>
        </w:tc>
        <w:tc>
          <w:tcPr>
            <w:tcW w:w="100" w:type="dxa"/>
            <w:vAlign w:val="bottom"/>
          </w:tcPr>
          <w:p>
            <w:pPr>
              <w:spacing w:after="0"/>
              <w:rPr>
                <w:sz w:val="17"/>
                <w:szCs w:val="17"/>
                <w:color w:val="auto"/>
              </w:rPr>
            </w:pPr>
          </w:p>
        </w:tc>
      </w:tr>
      <w:tr>
        <w:trPr>
          <w:trHeight w:val="20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Fee income</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1,243,929</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489,176</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3,061,447</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813,926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investment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15,070,603</w:t>
            </w:r>
          </w:p>
        </w:tc>
        <w:tc>
          <w:tcPr>
            <w:tcW w:w="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3,175,947</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40,073,643</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9,017,527</w:t>
            </w:r>
          </w:p>
        </w:tc>
        <w:tc>
          <w:tcPr>
            <w:tcW w:w="10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-427990</wp:posOffset>
            </wp:positionV>
            <wp:extent cx="774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-427990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-427990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-162560</wp:posOffset>
            </wp:positionV>
            <wp:extent cx="774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-162560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investment income from the investments we hold, generally in the form of interest income from our debt securities. We also generate revenues in the form of investment income from the cash we hold, generally in the form of interest income from our investment in a money market fund.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recognizes certain fees as one-time fee income, including, but not limited to, structuring fees.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2025, total investment income was approximately $15.1 million and $40.1 million, respectively, which was attributable to approximately $1.2 million and $3.1 million of fee income related to commitment fees, success fees, amendment fees and administrative fees and approximately $13.8 million and $37.0 million of interest income, respectively. Approximately $1.9 million of prepayment premiums were included in interest income for the three and nine months ended September 30, 2025. For the three and nine months ended September 30, 2024, total investment income was approximately $3.2 million and $9.0 million, respectively, which was attributable to approximately $0.5 million and $0.8 million of fee income related to commitment fees, advisory fees, and administrative fees and approximately $2.7 million and $8.2 million of interest income, respectively. Approximately $0.1 million of prepayment premiums were included in interest income for the three and nine months ended September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for the nine months ended September 30, 2025 and 2024 are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86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5"/>
                <w:szCs w:val="15"/>
                <w:color w:val="auto"/>
              </w:rPr>
            </w:pP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04"/>
        </w:trPr>
        <w:tc>
          <w:tcPr>
            <w:tcW w:w="5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6,232,387</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328,503</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5,903,884</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1797.2%</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4,006,051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745,876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3,260,175</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437.1%</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3,423,679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3,423,679</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785,156</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691,525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240,898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450,627</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187.1%</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Legal expenses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667,798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200,073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467,725</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Audit expense</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497,502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299,225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198,277</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66.3%</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306,643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165,399</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53.9%</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Sub-administrator fees</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441,529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298,132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143,397</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48.1%</w:t>
            </w:r>
          </w:p>
        </w:tc>
        <w:tc>
          <w:tcPr>
            <w:tcW w:w="0" w:type="dxa"/>
            <w:vAlign w:val="bottom"/>
          </w:tcPr>
          <w:p>
            <w:pPr>
              <w:spacing w:after="0"/>
              <w:rPr>
                <w:sz w:val="1"/>
                <w:szCs w:val="1"/>
                <w:color w:val="auto"/>
              </w:rPr>
            </w:pPr>
          </w:p>
        </w:tc>
      </w:tr>
      <w:tr>
        <w:trPr>
          <w:trHeight w:val="202"/>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22.0%</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Excise tax expense</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31,314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(28,517)</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Transaction expenses related to the Loan Portfolio Acquisition</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5,069,062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(5,069,062)</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17,266,173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7,557,191</w:t>
            </w: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9,708,982</w:t>
            </w:r>
          </w:p>
        </w:tc>
        <w:tc>
          <w:tcPr>
            <w:tcW w:w="2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Waiver of General and administrative expense (Note 6)</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(658,477)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(658,477)</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 limitation agreement (Note 6)</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(1,338,202)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(1,338,202)</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expenses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15,269,494</w:t>
            </w:r>
          </w:p>
        </w:tc>
        <w:tc>
          <w:tcPr>
            <w:tcW w:w="140" w:type="dxa"/>
            <w:vAlign w:val="bottom"/>
          </w:tcPr>
          <w:p>
            <w:pPr>
              <w:spacing w:after="0"/>
              <w:rPr>
                <w:sz w:val="17"/>
                <w:szCs w:val="17"/>
                <w:color w:val="auto"/>
              </w:rPr>
            </w:pP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7,557,191</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7,712,303</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-162560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investment income was approximately $9.5 million and $24.8 million for the three and nine months ended September 30, 2025, respectively, as compared to approximately $15 thousand and $1.5 million for the three and nine months ended September 30,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and Losses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There were no net realized gains or losses from investments during the three and nine months ended September 30,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from Investments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change in unrealized appreciation (depreciation) from investments for the three and nine months ended September 30, 2025 and 2024 is comprised of the following: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16"/>
                <w:szCs w:val="16"/>
                <w:color w:val="auto"/>
              </w:rPr>
            </w:pPr>
          </w:p>
        </w:tc>
        <w:tc>
          <w:tcPr>
            <w:tcW w:w="16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6"/>
                <w:szCs w:val="16"/>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unrealized appreciation</w:t>
            </w:r>
          </w:p>
        </w:tc>
        <w:tc>
          <w:tcPr>
            <w:tcW w:w="4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579,668</w:t>
            </w:r>
          </w:p>
        </w:tc>
        <w:tc>
          <w:tcPr>
            <w:tcW w:w="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101,825</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1,198,129</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282,329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Gross unrealized depreciation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(1,236,728)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(281,349)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(969,595)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(95,005)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net change in unrealized appreciation (depreciation) from investments</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(657,060)</w:t>
            </w:r>
          </w:p>
        </w:tc>
        <w:tc>
          <w:tcPr>
            <w:tcW w:w="56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(179,524)</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228,534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-25400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net change in unrealized appreciation (depreciation) for our portfolio for the three and nine months ended September 30,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0" w:type="dxa"/>
            <w:vAlign w:val="bottom"/>
          </w:tcPr>
          <w:p>
            <w:pPr>
              <w:spacing w:after="0"/>
              <w:rPr>
                <w:sz w:val="18"/>
                <w:szCs w:val="18"/>
                <w:color w:val="auto"/>
              </w:rPr>
            </w:pPr>
          </w:p>
        </w:tc>
        <w:tc>
          <w:tcPr>
            <w:tcW w:w="268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186"/>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6"/>
                <w:szCs w:val="16"/>
                <w:color w:val="auto"/>
              </w:rPr>
            </w:pPr>
          </w:p>
        </w:tc>
      </w:tr>
      <w:tr>
        <w:trPr>
          <w:trHeight w:val="215"/>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AI Software, LLC (d/b/a Capacity)</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101,271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101,271</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AI Software, LLC (d/b/a Capacity) - Warrants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Aeriz Holdings Corp</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53,418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Aeriz Holdings Corp (Maturity: 6/30/2028)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(47,949)</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(47,949)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Archos Capital Group, LLC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Ascend Wellness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Aura Home, Inc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(12,441)</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10,266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Aura Home, Inc - Term DDTL B</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(12,013)</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 &amp; Glass (Kapple Holdings LLC)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26,929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Curaleaf Holdings, Inc.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(21,189)</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45,173</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Deep Roots Harvest, Inc.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(797,813)</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Dreamfields Brands, Inc. (d/b/a Jeeter)</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(14,913)</w:t>
            </w:r>
          </w:p>
        </w:tc>
        <w:tc>
          <w:tcPr>
            <w:tcW w:w="1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(8,223)</w:t>
            </w: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(51,633)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(25,429)</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Elevation Cannabis, LLC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(107,706)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Flowery - Bill's Nursery, Inc.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(73,642)</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(107,222)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Fluent Corp. (f/k/a Consortium)</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(61,938)</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(60,489)</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HA-MD, LLC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Hartford Gold Group, LLC: (Maturity: 1/6/2027)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(25,452)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Hartford Gold Group, LLC: (Maturity: 12/17/2025)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Kaleafa, Inc.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Minden Holdings, LLC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Nova Farms, LLC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(43,819)</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(151,251)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Oasis - AZ GOAT AZ LLC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PharmaCann, Inc.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40,560</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81,842</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Portofino Labs, Inc. (dba Because Market)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Portofino Labs, Inc. (dba Because Market) - Warrants</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Proper Holdings, LLC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Protect Animals With Satellites LLC (Halo Collar): Term Loan</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40,614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Protect Animals With Satellites LLC (Halo Collar): Incremental Term Loan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Remedy - Maryland Wellness, LLC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(31,296)</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(37,400)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RTCP, LLC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Shangri-La Columbia, LLC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39,061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39,061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Silver Therapeutics, Inc.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2"/>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Simspace Corporation</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72,959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STIIIZY, Inc. (f/k/a Shryne Group Inc.)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129,965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(134,430)</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(2,750)</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Subsero Holdings - Illinois, Inc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30,122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78,523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Sunny Days Enterprises, LLC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(43,094)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TheraTrue, Inc.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14,928</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Tulip.io Inc.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(15,381)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Verano Holdings Corp.</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(49,621)</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(33,696)</w:t>
            </w: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(44,305)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West Creek Financial Holdings, Inc. dba Koalafi</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Workbox Holdings Inc.</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(20,020)</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(36,396)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141,399</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Workbox Holdings Inc.: A-3 Warrants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(41,000)</w:t>
            </w:r>
          </w:p>
        </w:tc>
        <w:tc>
          <w:tcPr>
            <w:tcW w:w="8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(25,785)</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Workbox Holdings Inc.:A-4 Warrants</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(64,000)</w:t>
            </w: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(103,715)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(41,041)</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Youth Opportunity Investments, LLC</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42,935</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change in unrealized appreciation (depreciation) from investments</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(657,060)</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(179,524)</w:t>
            </w: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187,324</w:t>
            </w:r>
          </w:p>
        </w:tc>
        <w:tc>
          <w:tcPr>
            <w:tcW w:w="100" w:type="dxa"/>
            <w:vAlign w:val="bottom"/>
            <w:shd w:val="clear" w:color="auto" w:fill="CFF0FC"/>
          </w:tcPr>
          <w:p>
            <w:pPr>
              <w:spacing w:after="0"/>
              <w:rPr>
                <w:sz w:val="18"/>
                <w:szCs w:val="18"/>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-25400</wp:posOffset>
            </wp:positionV>
            <wp:extent cx="768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768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 Liquidity and Capital Resources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offerings of our securities, borrowing under our Revolving Line of Credit, as well as cash flows from operating activities, including proceeds from sales of investments and principal repayments, and interest and fee income earned on investments. The primary uses of our cash includes (i) investments in portfolio companies, (ii) payment of operating expenses, and (iii) dividend payments to holders of our common stock who opt out of the Company’s dividend reinvestment plan (the “DRIP”). We have used, and expect to continue to use, our borrowings, including our Revolving Line of Credit, as well as proceeds from investment income and the turnover of our portfolio, to finance our investment objectives and activities.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believe we have sufficient liquidity available to meet our short-term and long-term obligations for at least the next 12 months and for the foreseeable future thereafter. We cannot, however, be certain that these sources of funds will be available at a time and upon terms acceptable to us in sufficient amounts in the future.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we had cash and cash equivalents of approximately $10.5 million and $23.9 million, respectively. During the nine months ended September 30, 2025, we experienced a net decrease in cash and cash equivalents of approximately $13.5 million. During the period, cash used in operating activities was $6.7 million, primarily driven by the purchase of investments of $124.9 million, partially offset by proceeds from sales of investments and principal repayments of portfolio investments of $92.6 million and net investment income of $25 million. Cash used in financing activities was $6.8 million, primarily driven by distributions paid of $15.5 million, financing costs paid of $1.2 million, and offering costs paid of $1.1 million, offset by proceeds from borrowings on revolving line of credit of $11 million.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may also be distributed in accordance with the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estimates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r>
        <w:rPr>
          <w:rFonts w:ascii="Times New Roman" w:cs="Times New Roman" w:eastAsia="Times New Roman" w:hAnsi="Times New Roman"/>
          <w:sz w:val="18"/>
          <w:szCs w:val="18"/>
          <w:color w:val="00B05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undertakes a multi-step valuation process, which includes, among other procedures, the following:</w:t>
      </w:r>
    </w:p>
    <w:p>
      <w:pPr>
        <w:spacing w:after="0" w:line="185" w:lineRule="exact"/>
        <w:rPr>
          <w:sz w:val="20"/>
          <w:szCs w:val="20"/>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readily available, those investments will typically be valued at the bid price of those market quotations;</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valuations are documented and discussed by the Adviser’s valuation committee and, where appropriate, the independent valuation firm(s); and</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determines the fair value of each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apply Accounting Standards Codification ("ASC")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48" w:lineRule="exact"/>
        <w:rPr>
          <w:sz w:val="20"/>
          <w:szCs w:val="20"/>
          <w:color w:val="auto"/>
        </w:rPr>
      </w:pPr>
    </w:p>
    <w:p>
      <w:pPr>
        <w:ind w:left="520" w:right="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we have the ability to access at the measurement date;</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investments as of September 30, 2025 and December 31, 2024 were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or unobservable inputs, fluctuate based on both market and company specific factors. Please refer to “Note 4 – Fair Value of Financial Instruments” in the notes to the financial statements included with this quarterly report on Form 10-Q for specific unobservable inputs.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Global Market on February 4, 2022 in connection with our initial public offering of shares of our common stock. Since October 2, 2024, our common stock trades on the Nasdaq Global Market under the symbol “LIEN.”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November 12, 2025, the last reported closing sales price of our common stock on the Nasdaq Global Market was $10.04 per share, which represented a discount of approximately 24.34% to our net asset value per share of $13.27 as of September 30,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High Sales</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Low Sales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Premium</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Premium</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Price Range</w:t>
            </w:r>
          </w:p>
        </w:tc>
        <w:tc>
          <w:tcPr>
            <w:tcW w:w="2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line="166" w:lineRule="exact"/>
              <w:rPr>
                <w:sz w:val="20"/>
                <w:szCs w:val="20"/>
                <w:color w:val="auto"/>
              </w:rPr>
            </w:pPr>
            <w:r>
              <w:rPr>
                <w:rFonts w:ascii="Times New Roman" w:cs="Times New Roman" w:eastAsia="Times New Roman" w:hAnsi="Times New Roman"/>
                <w:sz w:val="16"/>
                <w:szCs w:val="16"/>
                <w:b w:val="1"/>
                <w:bCs w:val="1"/>
                <w:color w:val="auto"/>
              </w:rPr>
              <w:t>Net Asset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80"/>
              <w:spacing w:after="0" w:line="166" w:lineRule="exact"/>
              <w:rPr>
                <w:sz w:val="20"/>
                <w:szCs w:val="20"/>
                <w:color w:val="auto"/>
              </w:rPr>
            </w:pPr>
            <w:r>
              <w:rPr>
                <w:rFonts w:ascii="Times New Roman" w:cs="Times New Roman" w:eastAsia="Times New Roman" w:hAnsi="Times New Roman"/>
                <w:sz w:val="16"/>
                <w:szCs w:val="16"/>
                <w:b w:val="1"/>
                <w:bCs w:val="1"/>
                <w:color w:val="auto"/>
                <w:w w:val="99"/>
              </w:rPr>
              <w:t>Net Asset</w:t>
            </w:r>
          </w:p>
        </w:tc>
        <w:tc>
          <w:tcPr>
            <w:tcW w:w="1340" w:type="dxa"/>
            <w:vAlign w:val="bottom"/>
            <w:gridSpan w:val="2"/>
          </w:tcPr>
          <w:p>
            <w:pPr>
              <w:jc w:val="center"/>
              <w:ind w:right="280"/>
              <w:spacing w:after="0" w:line="166" w:lineRule="exact"/>
              <w:rPr>
                <w:sz w:val="20"/>
                <w:szCs w:val="20"/>
                <w:color w:val="auto"/>
              </w:rPr>
            </w:pPr>
            <w:r>
              <w:rPr>
                <w:rFonts w:ascii="Times New Roman" w:cs="Times New Roman" w:eastAsia="Times New Roman" w:hAnsi="Times New Roman"/>
                <w:sz w:val="16"/>
                <w:szCs w:val="16"/>
                <w:b w:val="1"/>
                <w:bCs w:val="1"/>
                <w:color w:val="auto"/>
              </w:rPr>
              <w:t>Net Asset</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6" w:lineRule="exact"/>
              <w:rPr>
                <w:sz w:val="20"/>
                <w:szCs w:val="20"/>
                <w:color w:val="auto"/>
              </w:rPr>
            </w:pPr>
            <w:r>
              <w:rPr>
                <w:rFonts w:ascii="Times New Roman" w:cs="Times New Roman" w:eastAsia="Times New Roman" w:hAnsi="Times New Roman"/>
                <w:sz w:val="16"/>
                <w:szCs w:val="16"/>
                <w:b w:val="1"/>
                <w:bCs w:val="1"/>
                <w:color w:val="auto"/>
                <w:w w:val="99"/>
              </w:rPr>
              <w:t>Dividend</w:t>
            </w:r>
          </w:p>
        </w:tc>
        <w:tc>
          <w:tcPr>
            <w:tcW w:w="0" w:type="dxa"/>
            <w:vAlign w:val="bottom"/>
          </w:tcPr>
          <w:p>
            <w:pPr>
              <w:spacing w:after="0"/>
              <w:rPr>
                <w:sz w:val="1"/>
                <w:szCs w:val="1"/>
                <w:color w:val="auto"/>
              </w:rPr>
            </w:pPr>
          </w:p>
        </w:tc>
      </w:tr>
      <w:tr>
        <w:trPr>
          <w:trHeight w:val="232"/>
        </w:trPr>
        <w:tc>
          <w:tcPr>
            <w:tcW w:w="4280" w:type="dxa"/>
            <w:vAlign w:val="bottom"/>
          </w:tcPr>
          <w:p>
            <w:pPr>
              <w:ind w:left="1560"/>
              <w:spacing w:after="0"/>
              <w:rPr>
                <w:sz w:val="20"/>
                <w:szCs w:val="20"/>
                <w:color w:val="auto"/>
              </w:rPr>
            </w:pPr>
            <w:r>
              <w:rPr>
                <w:rFonts w:ascii="Times New Roman" w:cs="Times New Roman" w:eastAsia="Times New Roman" w:hAnsi="Times New Roman"/>
                <w:sz w:val="16"/>
                <w:szCs w:val="16"/>
                <w:b w:val="1"/>
                <w:bCs w:val="1"/>
                <w:color w:val="auto"/>
              </w:rPr>
              <w:t>Class and Period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40"/>
              <w:spacing w:after="0" w:line="232" w:lineRule="exact"/>
              <w:rPr>
                <w:sz w:val="20"/>
                <w:szCs w:val="20"/>
                <w:color w:val="auto"/>
              </w:rPr>
            </w:pPr>
            <w:r>
              <w:rPr>
                <w:rFonts w:ascii="Times New Roman" w:cs="Times New Roman" w:eastAsia="Times New Roman" w:hAnsi="Times New Roman"/>
                <w:sz w:val="16"/>
                <w:szCs w:val="16"/>
                <w:b w:val="1"/>
                <w:bCs w:val="1"/>
                <w:color w:val="auto"/>
                <w:w w:val="95"/>
              </w:rPr>
              <w:t>Value</w:t>
            </w:r>
            <w:r>
              <w:rPr>
                <w:rFonts w:ascii="Times New Roman" w:cs="Times New Roman" w:eastAsia="Times New Roman" w:hAnsi="Times New Roman"/>
                <w:sz w:val="21"/>
                <w:szCs w:val="21"/>
                <w:b w:val="1"/>
                <w:bCs w:val="1"/>
                <w:color w:val="auto"/>
                <w:w w:val="95"/>
                <w:vertAlign w:val="superscript"/>
              </w:rPr>
              <w:t>(1)</w:t>
            </w:r>
          </w:p>
        </w:tc>
        <w:tc>
          <w:tcPr>
            <w:tcW w:w="14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High</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Low</w:t>
            </w:r>
          </w:p>
        </w:tc>
        <w:tc>
          <w:tcPr>
            <w:tcW w:w="220" w:type="dxa"/>
            <w:vAlign w:val="bottom"/>
          </w:tcPr>
          <w:p>
            <w:pPr>
              <w:spacing w:after="0"/>
              <w:rPr>
                <w:sz w:val="20"/>
                <w:szCs w:val="20"/>
                <w:color w:val="auto"/>
              </w:rPr>
            </w:pPr>
          </w:p>
        </w:tc>
        <w:tc>
          <w:tcPr>
            <w:tcW w:w="1280" w:type="dxa"/>
            <w:vAlign w:val="bottom"/>
            <w:gridSpan w:val="2"/>
          </w:tcPr>
          <w:p>
            <w:pPr>
              <w:jc w:val="center"/>
              <w:ind w:right="280"/>
              <w:spacing w:after="0" w:line="232" w:lineRule="exact"/>
              <w:rPr>
                <w:sz w:val="20"/>
                <w:szCs w:val="20"/>
                <w:color w:val="auto"/>
              </w:rPr>
            </w:pPr>
            <w:r>
              <w:rPr>
                <w:rFonts w:ascii="Times New Roman" w:cs="Times New Roman" w:eastAsia="Times New Roman" w:hAnsi="Times New Roman"/>
                <w:sz w:val="16"/>
                <w:szCs w:val="16"/>
                <w:b w:val="1"/>
                <w:bCs w:val="1"/>
                <w:color w:val="auto"/>
                <w:w w:val="92"/>
              </w:rPr>
              <w:t>Value</w:t>
            </w:r>
            <w:r>
              <w:rPr>
                <w:rFonts w:ascii="Times New Roman" w:cs="Times New Roman" w:eastAsia="Times New Roman" w:hAnsi="Times New Roman"/>
                <w:sz w:val="21"/>
                <w:szCs w:val="21"/>
                <w:b w:val="1"/>
                <w:bCs w:val="1"/>
                <w:color w:val="auto"/>
                <w:w w:val="92"/>
                <w:vertAlign w:val="superscript"/>
              </w:rPr>
              <w:t>(2)</w:t>
            </w:r>
          </w:p>
        </w:tc>
        <w:tc>
          <w:tcPr>
            <w:tcW w:w="1340" w:type="dxa"/>
            <w:vAlign w:val="bottom"/>
            <w:gridSpan w:val="2"/>
          </w:tcPr>
          <w:p>
            <w:pPr>
              <w:jc w:val="center"/>
              <w:ind w:right="280"/>
              <w:spacing w:after="0" w:line="232" w:lineRule="exact"/>
              <w:rPr>
                <w:sz w:val="20"/>
                <w:szCs w:val="20"/>
                <w:color w:val="auto"/>
              </w:rPr>
            </w:pPr>
            <w:r>
              <w:rPr>
                <w:rFonts w:ascii="Times New Roman" w:cs="Times New Roman" w:eastAsia="Times New Roman" w:hAnsi="Times New Roman"/>
                <w:sz w:val="16"/>
                <w:szCs w:val="16"/>
                <w:b w:val="1"/>
                <w:bCs w:val="1"/>
                <w:color w:val="auto"/>
                <w:w w:val="95"/>
              </w:rPr>
              <w:t>Value</w:t>
            </w:r>
            <w:r>
              <w:rPr>
                <w:rFonts w:ascii="Times New Roman" w:cs="Times New Roman" w:eastAsia="Times New Roman" w:hAnsi="Times New Roman"/>
                <w:sz w:val="21"/>
                <w:szCs w:val="21"/>
                <w:b w:val="1"/>
                <w:bCs w:val="1"/>
                <w:color w:val="auto"/>
                <w:w w:val="95"/>
                <w:vertAlign w:val="superscript"/>
              </w:rPr>
              <w:t>(2)</w:t>
            </w:r>
          </w:p>
        </w:tc>
        <w:tc>
          <w:tcPr>
            <w:tcW w:w="100" w:type="dxa"/>
            <w:vAlign w:val="bottom"/>
          </w:tcPr>
          <w:p>
            <w:pPr>
              <w:spacing w:after="0"/>
              <w:rPr>
                <w:sz w:val="20"/>
                <w:szCs w:val="20"/>
                <w:color w:val="auto"/>
              </w:rPr>
            </w:pPr>
          </w:p>
        </w:tc>
        <w:tc>
          <w:tcPr>
            <w:tcW w:w="1080" w:type="dxa"/>
            <w:vAlign w:val="bottom"/>
            <w:gridSpan w:val="2"/>
          </w:tcPr>
          <w:p>
            <w:pPr>
              <w:jc w:val="center"/>
              <w:ind w:right="220"/>
              <w:spacing w:after="0" w:line="232" w:lineRule="exact"/>
              <w:rPr>
                <w:sz w:val="20"/>
                <w:szCs w:val="20"/>
                <w:color w:val="auto"/>
              </w:rPr>
            </w:pPr>
            <w:r>
              <w:rPr>
                <w:rFonts w:ascii="Times New Roman" w:cs="Times New Roman" w:eastAsia="Times New Roman" w:hAnsi="Times New Roman"/>
                <w:sz w:val="16"/>
                <w:szCs w:val="16"/>
                <w:b w:val="1"/>
                <w:bCs w:val="1"/>
                <w:color w:val="auto"/>
                <w:w w:val="97"/>
              </w:rPr>
              <w:t>Per Share</w:t>
            </w:r>
            <w:r>
              <w:rPr>
                <w:rFonts w:ascii="Times New Roman" w:cs="Times New Roman" w:eastAsia="Times New Roman" w:hAnsi="Times New Roman"/>
                <w:sz w:val="21"/>
                <w:szCs w:val="21"/>
                <w:b w:val="1"/>
                <w:bCs w:val="1"/>
                <w:color w:val="auto"/>
                <w:w w:val="97"/>
                <w:vertAlign w:val="superscript"/>
              </w:rPr>
              <w:t>(3)</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 (Through November 12, 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-16.2%</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-16.0%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-24.4%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-26.3%</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-36.3%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-30.2%</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Times New Roman" w:cs="Times New Roman" w:eastAsia="Times New Roman" w:hAnsi="Times New Roman"/>
                <w:sz w:val="16"/>
                <w:szCs w:val="16"/>
                <w:b w:val="1"/>
                <w:bCs w:val="1"/>
                <w:color w:val="auto"/>
              </w:rPr>
              <w:t>Year Ended December 31, 2022</w:t>
            </w:r>
            <w:r>
              <w:rPr>
                <w:rFonts w:ascii="Times New Roman" w:cs="Times New Roman" w:eastAsia="Times New Roman" w:hAnsi="Times New Roman"/>
                <w:sz w:val="21"/>
                <w:szCs w:val="21"/>
                <w:b w:val="1"/>
                <w:bCs w:val="1"/>
                <w:color w:val="auto"/>
                <w:vertAlign w:val="superscript"/>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-21.8%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r>
              <w:rPr>
                <w:rFonts w:ascii="Times New Roman" w:cs="Times New Roman" w:eastAsia="Times New Roman" w:hAnsi="Times New Roman"/>
                <w:sz w:val="21"/>
                <w:szCs w:val="21"/>
                <w:color w:val="auto"/>
                <w:vertAlign w:val="superscript"/>
              </w:rPr>
              <w:t>(5)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end of the applicable quarter).</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8, 2022, our Board approved a change to our fiscal year end from March 31 to December 31.</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began trading on the Nasdaq Global Market on February 4, 2022. Since October 2, 2024, our common stock trades on the Nasdaq Global Market under the symbol “LIEN.”</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quarterly dividend and a special dividend.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determined at time of filing.</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11, 2025, there were approximately 198 holders of record of our common stock, which does not include stockholders for whom shares are held in “nominee” or “street 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pay quarterly distributions to our stockholders out of assets legally available for distribution. All distributions will be paid at the discretion of our Board and will depend on our earnings, financial condition, maintenance of our tax treatment as a RIC, compliance with applicable BDC regulations and such other factors as our Board may deem relevant from time to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 or if distributions are limited by the terms of any of our borrowings. See “Item 1. Business — Business Development Company Regulations” and “Item 1. Business —Material U.S. Federal Income Tax Considerations.”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and/or paid by the Company from inception through September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2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2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00" w:type="dxa"/>
            <w:vAlign w:val="bottom"/>
          </w:tcPr>
          <w:p>
            <w:pPr>
              <w:spacing w:after="0"/>
              <w:rPr>
                <w:sz w:val="18"/>
                <w:szCs w:val="18"/>
                <w:color w:val="auto"/>
              </w:rPr>
            </w:pPr>
          </w:p>
        </w:tc>
      </w:tr>
      <w:tr>
        <w:trPr>
          <w:trHeight w:val="199"/>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10, 2023</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15, 2023</w:t>
            </w: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29, 2023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1,429,375</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10, 2023</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Special</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15, 2023</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29, 2023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2,485,869</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November 9, 2023</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20, 2023</w:t>
            </w: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1,553,676</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9, 2023</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Special</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 2023</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2,796,617</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1,553,736</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1,553,738</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8, 2024</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1,553,741</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9, 2024</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27, 2024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7,758,925</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7,758,931</w:t>
            </w:r>
          </w:p>
        </w:tc>
        <w:tc>
          <w:tcPr>
            <w:tcW w:w="100" w:type="dxa"/>
            <w:vAlign w:val="bottom"/>
            <w:shd w:val="clear" w:color="auto" w:fill="CFF0FC"/>
          </w:tcPr>
          <w:p>
            <w:pPr>
              <w:spacing w:after="0"/>
              <w:rPr>
                <w:sz w:val="17"/>
                <w:szCs w:val="17"/>
                <w:color w:val="auto"/>
              </w:rPr>
            </w:pPr>
          </w:p>
        </w:tc>
      </w:tr>
      <w:tr>
        <w:trPr>
          <w:trHeight w:val="203"/>
        </w:trPr>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7,758,939</w:t>
            </w:r>
          </w:p>
        </w:tc>
        <w:tc>
          <w:tcPr>
            <w:tcW w:w="100" w:type="dxa"/>
            <w:vAlign w:val="bottom"/>
          </w:tcPr>
          <w:p>
            <w:pPr>
              <w:spacing w:after="0"/>
              <w:rPr>
                <w:sz w:val="17"/>
                <w:szCs w:val="17"/>
                <w:color w:val="auto"/>
              </w:rPr>
            </w:pPr>
          </w:p>
        </w:tc>
      </w:tr>
      <w:tr>
        <w:trPr>
          <w:trHeight w:val="203"/>
        </w:trPr>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14, 2025</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29, 2025</w:t>
            </w: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October 10, 2025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shd w:val="clear" w:color="auto" w:fill="CFF0FC"/>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“opt out” DRIP for our stockholders. As a result, if we declare a dividend, then stockholders’ cash distributions will be automatically reinvested in additional shares of our common stock, unless they specifically “opt out” of the DRIP so as to receive cash distributions. Stockholders who receive distributions in the form of shares of our common stock generally are subject to the same U.S. federal income tax consequences as are stockholders who elect to receive their distributions in cash.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Company issued the following shares of common stock under the DRIP:</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40" w:type="dxa"/>
            <w:vAlign w:val="bottom"/>
          </w:tcPr>
          <w:p>
            <w:pPr>
              <w:spacing w:after="0"/>
              <w:rPr>
                <w:sz w:val="18"/>
                <w:szCs w:val="18"/>
                <w:color w:val="auto"/>
              </w:rPr>
            </w:pPr>
          </w:p>
        </w:tc>
        <w:tc>
          <w:tcPr>
            <w:tcW w:w="19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r>
      <w:tr>
        <w:trPr>
          <w:trHeight w:val="19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r>
      <w:tr>
        <w:trPr>
          <w:trHeight w:val="210"/>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2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 Company issued the following shares of common stock under the DRIP: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00" w:type="dxa"/>
            <w:vAlign w:val="bottom"/>
          </w:tcPr>
          <w:p>
            <w:pPr>
              <w:spacing w:after="0"/>
              <w:rPr>
                <w:sz w:val="18"/>
                <w:szCs w:val="18"/>
                <w:color w:val="auto"/>
              </w:rPr>
            </w:pPr>
          </w:p>
        </w:tc>
        <w:tc>
          <w:tcPr>
            <w:tcW w:w="19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19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2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2"/>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August 8, 2024</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nine months ended September 30, 2025 or the fiscal year ended December 31,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Uncertainty with respect to the economic effects of political tensions in the United States and around the world (including the current conflicts between Russia and Ukraine and in the Middle East)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and risk refer to the change in earnings that may result from changes in the level of interest rates. To the extent that we borrow money to make investments, including under our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69.0% of our debt investments based on outstanding principal balance represented floating-rate investments based on PRIME or SOFR and approximately 31.0% of our debt investments based on outstanding principal balance represented fixed rate investments. As of December 31, 2024, 79.5% of our debt investments based on outstanding principal balance represented floating-rate investments based on PRIME or SOFR and approximately 20.5% of our debt investments based on outstanding principal balance represented fixed rate investments.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Statements of Assets and Liabilities as of September 30, 2025,the following table shows the annualized impact on net investment income of hypothetical base rate changes in the benchmark rate on our debt investments (considering interest rate floors/ceilings for floating rate instruments) and hypothetical changes in the SOFR on our Revolving line of credit, assuming that there is no change in our investment and borrowing structure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5"/>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Rates</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 Interest Income</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in Interest Expense</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 Net Investment Income</w:t>
            </w:r>
          </w:p>
        </w:tc>
        <w:tc>
          <w:tcPr>
            <w:tcW w:w="100" w:type="dxa"/>
            <w:vAlign w:val="bottom"/>
          </w:tcPr>
          <w:p>
            <w:pPr>
              <w:spacing w:after="0"/>
              <w:rPr>
                <w:sz w:val="18"/>
                <w:szCs w:val="18"/>
                <w:color w:val="auto"/>
              </w:rPr>
            </w:pPr>
          </w:p>
        </w:tc>
      </w:tr>
      <w:tr>
        <w:trPr>
          <w:trHeight w:val="19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300 basis points</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Up 200 basis points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tcPr>
          <w:p>
            <w:pPr>
              <w:spacing w:after="0"/>
              <w:rPr>
                <w:sz w:val="17"/>
                <w:szCs w:val="17"/>
                <w:color w:val="auto"/>
              </w:rPr>
            </w:pPr>
          </w:p>
        </w:tc>
      </w:tr>
      <w:tr>
        <w:trPr>
          <w:trHeight w:val="20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100 basis points</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shd w:val="clear" w:color="auto" w:fill="CFF0FC"/>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Down 100 basis points</w:t>
            </w:r>
          </w:p>
        </w:tc>
        <w:tc>
          <w:tcPr>
            <w:tcW w:w="35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(622)</w:t>
            </w:r>
          </w:p>
        </w:tc>
        <w:tc>
          <w:tcPr>
            <w:tcW w:w="26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(110)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Down 200 basis points</w:t>
            </w:r>
          </w:p>
        </w:tc>
        <w:tc>
          <w:tcPr>
            <w:tcW w:w="354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(724)</w:t>
            </w:r>
          </w:p>
        </w:tc>
        <w:tc>
          <w:tcPr>
            <w:tcW w:w="264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6"/>
                <w:szCs w:val="16"/>
                <w:color w:val="auto"/>
              </w:rPr>
              <w:t>(128)</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Down 300 basis points</w:t>
            </w:r>
          </w:p>
        </w:tc>
        <w:tc>
          <w:tcPr>
            <w:tcW w:w="35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(824)</w:t>
            </w:r>
          </w:p>
        </w:tc>
        <w:tc>
          <w:tcPr>
            <w:tcW w:w="26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(128)</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Rules 13a-15(b) and 15d-15(b) under the Securities Exchange Act of 1934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three months ended September 30, 2025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during the nine months ended September 30, 2025 to the risk factors discussed in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in our annual report on Form 10-K for the fiscal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Use of Leverage and Credit Facilities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credit facility and any credit facility we may enter into in the future would likely subject all or significant amounts of our assets to security interests and if we default on our obligations under such a credit facility, we may suffer adverse consequences, including foreclosure on our assets.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2025, we entered into a senior secured revolving credit agreement, under which, the lenders have agreed to extend credit to the Company on a revolving basis in an initial aggregate amount of up to $100,000,000 with an option for the Company to request additional commitments, in a minimum amount of $5,000,000, at one or more times from existing and/or new lenders at their election. The credit facility also provides for the issuance of letters of credit in an aggregate face amount of up to $5,000,000. Availability under the credit agreement will terminate on February 11, 2027, and the credit agreement has a scheduled maturity date of March 31, 2028.</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credit facility, all or significant amounts of our assets are pledged as collateral to secure borrowings thereunder. If we default on our obligations under the facility, the lenders may have the right to foreclose upon and sell, or otherwise transfer, the collateral subject to their security interests or their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intend to operate. As a result, we could be forced to curtail or cease new investment activities and lower or eliminate the dividends that we intend to pay to our stockholders.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the lenders exercise their right to sell the assets pledged under the credit facility, such sales may be completed at distressed sale prices, thereby diminishing or potentially eliminating the amount of cash available to us after repayment of the amounts outstanding under such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11, 2025, pursuant to its DRIP, the Company issued 182 shares of its common stock, at a price of $10.71 per share, to stockholders of record as of June 27, 2025 that did not opt out of the DRIP in order to satisfy the reinvestment portion of the Company’s dividends. This issuance was not subject to the registration requirements of the Securities Act. See “Item 1. Financial Statements – Note 8 – Common Stock – Dividend Reinvestment Plan” for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 or hereby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94"/>
        </w:trPr>
        <w:tc>
          <w:tcPr>
            <w:tcW w:w="120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4140" w:type="dxa"/>
            <w:vAlign w:val="bottom"/>
            <w:tcBorders>
              <w:bottom w:val="single" w:sz="8" w:color="CCEEFF"/>
            </w:tcBorders>
            <w:gridSpan w:val="12"/>
            <w:vMerge w:val="restart"/>
            <w:shd w:val="clear" w:color="auto" w:fill="CCEEFF"/>
          </w:tcPr>
          <w:p>
            <w:pPr>
              <w:spacing w:after="0" w:line="176" w:lineRule="exact"/>
              <w:rPr>
                <w:rFonts w:ascii="Times New Roman" w:cs="Times New Roman" w:eastAsia="Times New Roman" w:hAnsi="Times New Roman"/>
                <w:sz w:val="18"/>
                <w:szCs w:val="18"/>
                <w:color w:val="0000FF"/>
                <w:w w:val="99"/>
              </w:rPr>
            </w:pPr>
            <w:hyperlink r:id="rId466">
              <w:r>
                <w:rPr>
                  <w:rFonts w:ascii="Times New Roman" w:cs="Times New Roman" w:eastAsia="Times New Roman" w:hAnsi="Times New Roman"/>
                  <w:sz w:val="18"/>
                  <w:szCs w:val="18"/>
                  <w:color w:val="0000FF"/>
                  <w:w w:val="99"/>
                </w:rPr>
                <w:t>Articles of Amendment and Restatement of the Company</w:t>
              </w:r>
            </w:hyperlink>
          </w:p>
        </w:tc>
        <w:tc>
          <w:tcPr>
            <w:tcW w:w="140" w:type="dxa"/>
            <w:vAlign w:val="bottom"/>
            <w:tcBorders>
              <w:bottom w:val="single" w:sz="8" w:color="0000FF"/>
            </w:tcBorders>
            <w:shd w:val="clear" w:color="auto" w:fill="CCEEFF"/>
          </w:tcPr>
          <w:p>
            <w:pPr>
              <w:jc w:val="right"/>
              <w:spacing w:after="0" w:line="75" w:lineRule="exact"/>
              <w:rPr>
                <w:rFonts w:ascii="Times New Roman" w:cs="Times New Roman" w:eastAsia="Times New Roman" w:hAnsi="Times New Roman"/>
                <w:sz w:val="8"/>
                <w:szCs w:val="8"/>
                <w:color w:val="0000FF"/>
              </w:rPr>
            </w:pPr>
            <w:hyperlink r:id="rId466">
              <w:r>
                <w:rPr>
                  <w:rFonts w:ascii="Times New Roman" w:cs="Times New Roman" w:eastAsia="Times New Roman" w:hAnsi="Times New Roman"/>
                  <w:sz w:val="8"/>
                  <w:szCs w:val="8"/>
                  <w:color w:val="0000FF"/>
                </w:rPr>
                <w:t>(1)</w:t>
              </w:r>
            </w:hyperlink>
          </w:p>
        </w:tc>
        <w:tc>
          <w:tcPr>
            <w:tcW w:w="5760" w:type="dxa"/>
            <w:vAlign w:val="bottom"/>
            <w:tcBorders>
              <w:bottom w:val="single" w:sz="8" w:color="CCEEFF"/>
            </w:tcBorders>
            <w:gridSpan w:val="2"/>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4140" w:type="dxa"/>
            <w:vAlign w:val="bottom"/>
            <w:tcBorders>
              <w:bottom w:val="single" w:sz="8" w:color="0000FF"/>
            </w:tcBorders>
            <w:gridSpan w:val="12"/>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5760" w:type="dxa"/>
            <w:vAlign w:val="bottom"/>
            <w:tcBorders>
              <w:bottom w:val="single" w:sz="8" w:color="CCEEFF"/>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00" w:type="dxa"/>
            <w:vAlign w:val="bottom"/>
            <w:tcBorders>
              <w:top w:val="single" w:sz="8" w:color="CCEEFF"/>
              <w:bottom w:val="single" w:sz="8" w:color="CCEEFF"/>
            </w:tcBorders>
            <w:gridSpan w:val="2"/>
            <w:vMerge w:val="restart"/>
          </w:tcPr>
          <w:p>
            <w:pPr>
              <w:spacing w:after="0" w:line="176" w:lineRule="exact"/>
              <w:rPr>
                <w:rFonts w:ascii="Times New Roman" w:cs="Times New Roman" w:eastAsia="Times New Roman" w:hAnsi="Times New Roman"/>
                <w:sz w:val="18"/>
                <w:szCs w:val="18"/>
                <w:color w:val="auto"/>
              </w:rPr>
            </w:pPr>
            <w:hyperlink r:id="rId467">
              <w:r>
                <w:rPr>
                  <w:rFonts w:ascii="Times New Roman" w:cs="Times New Roman" w:eastAsia="Times New Roman" w:hAnsi="Times New Roman"/>
                  <w:sz w:val="18"/>
                  <w:szCs w:val="18"/>
                  <w:color w:val="auto"/>
                </w:rPr>
                <w:t>3.2</w:t>
              </w:r>
            </w:hyperlink>
          </w:p>
        </w:tc>
        <w:tc>
          <w:tcPr>
            <w:tcW w:w="2900" w:type="dxa"/>
            <w:vAlign w:val="bottom"/>
            <w:tcBorders>
              <w:top w:val="single" w:sz="8" w:color="CCEEFF"/>
              <w:bottom w:val="single" w:sz="8" w:color="CCEEFF"/>
            </w:tcBorders>
            <w:gridSpan w:val="8"/>
            <w:vMerge w:val="restart"/>
          </w:tcPr>
          <w:p>
            <w:pPr>
              <w:spacing w:after="0" w:line="176" w:lineRule="exact"/>
              <w:rPr>
                <w:rFonts w:ascii="Times New Roman" w:cs="Times New Roman" w:eastAsia="Times New Roman" w:hAnsi="Times New Roman"/>
                <w:sz w:val="18"/>
                <w:szCs w:val="18"/>
                <w:color w:val="0000FF"/>
                <w:w w:val="99"/>
              </w:rPr>
            </w:pPr>
            <w:hyperlink r:id="rId467">
              <w:r>
                <w:rPr>
                  <w:rFonts w:ascii="Times New Roman" w:cs="Times New Roman" w:eastAsia="Times New Roman" w:hAnsi="Times New Roman"/>
                  <w:sz w:val="18"/>
                  <w:szCs w:val="18"/>
                  <w:color w:val="0000FF"/>
                  <w:w w:val="99"/>
                </w:rPr>
                <w:t>Articles of Amendment of the Company</w:t>
              </w:r>
            </w:hyperlink>
          </w:p>
        </w:tc>
        <w:tc>
          <w:tcPr>
            <w:tcW w:w="140" w:type="dxa"/>
            <w:vAlign w:val="bottom"/>
            <w:tcBorders>
              <w:top w:val="single" w:sz="8" w:color="CCEEFF"/>
              <w:bottom w:val="single" w:sz="8" w:color="0000FF"/>
            </w:tcBorders>
          </w:tcPr>
          <w:p>
            <w:pPr>
              <w:jc w:val="right"/>
              <w:spacing w:after="0" w:line="75" w:lineRule="exact"/>
              <w:rPr>
                <w:rFonts w:ascii="Times New Roman" w:cs="Times New Roman" w:eastAsia="Times New Roman" w:hAnsi="Times New Roman"/>
                <w:sz w:val="8"/>
                <w:szCs w:val="8"/>
                <w:color w:val="0000FF"/>
              </w:rPr>
            </w:pPr>
            <w:hyperlink r:id="rId467">
              <w:r>
                <w:rPr>
                  <w:rFonts w:ascii="Times New Roman" w:cs="Times New Roman" w:eastAsia="Times New Roman" w:hAnsi="Times New Roman"/>
                  <w:sz w:val="8"/>
                  <w:szCs w:val="8"/>
                  <w:color w:val="0000FF"/>
                </w:rPr>
                <w:t>(2)</w:t>
              </w:r>
            </w:hyperlink>
          </w:p>
        </w:tc>
        <w:tc>
          <w:tcPr>
            <w:tcW w:w="560" w:type="dxa"/>
            <w:vAlign w:val="bottom"/>
            <w:tcBorders>
              <w:top w:val="single" w:sz="8" w:color="CCEEFF"/>
              <w:bottom w:val="single" w:sz="8" w:color="CCEEFF"/>
            </w:tcBorders>
            <w:gridSpan w:val="2"/>
            <w:vMerge w:val="restart"/>
          </w:tcPr>
          <w:p>
            <w:pPr>
              <w:spacing w:after="0"/>
              <w:rPr>
                <w:sz w:val="8"/>
                <w:szCs w:val="8"/>
                <w:color w:val="auto"/>
              </w:rPr>
            </w:pPr>
          </w:p>
        </w:tc>
        <w:tc>
          <w:tcPr>
            <w:tcW w:w="6440" w:type="dxa"/>
            <w:vAlign w:val="bottom"/>
            <w:tcBorders>
              <w:top w:val="single" w:sz="8" w:color="CCEEFF"/>
              <w:bottom w:val="single" w:sz="8" w:color="CCEEFF"/>
            </w:tcBorders>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00" w:type="dxa"/>
            <w:vAlign w:val="bottom"/>
            <w:gridSpan w:val="2"/>
            <w:vMerge w:val="continue"/>
          </w:tcPr>
          <w:p>
            <w:pPr>
              <w:spacing w:after="0"/>
              <w:rPr>
                <w:sz w:val="5"/>
                <w:szCs w:val="5"/>
                <w:color w:val="auto"/>
              </w:rPr>
            </w:pPr>
          </w:p>
        </w:tc>
        <w:tc>
          <w:tcPr>
            <w:tcW w:w="2900" w:type="dxa"/>
            <w:vAlign w:val="bottom"/>
            <w:gridSpan w:val="8"/>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0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3460" w:type="dxa"/>
            <w:vAlign w:val="bottom"/>
            <w:tcBorders>
              <w:bottom w:val="single" w:sz="8" w:color="CCEEFF"/>
            </w:tcBorders>
            <w:gridSpan w:val="10"/>
            <w:vMerge w:val="restart"/>
            <w:shd w:val="clear" w:color="auto" w:fill="CCEEFF"/>
          </w:tcPr>
          <w:p>
            <w:pPr>
              <w:spacing w:after="0" w:line="176" w:lineRule="exact"/>
              <w:rPr>
                <w:rFonts w:ascii="Times New Roman" w:cs="Times New Roman" w:eastAsia="Times New Roman" w:hAnsi="Times New Roman"/>
                <w:sz w:val="18"/>
                <w:szCs w:val="18"/>
                <w:color w:val="0000FF"/>
                <w:w w:val="99"/>
              </w:rPr>
            </w:pPr>
            <w:hyperlink r:id="rId468">
              <w:r>
                <w:rPr>
                  <w:rFonts w:ascii="Times New Roman" w:cs="Times New Roman" w:eastAsia="Times New Roman" w:hAnsi="Times New Roman"/>
                  <w:sz w:val="18"/>
                  <w:szCs w:val="18"/>
                  <w:color w:val="0000FF"/>
                  <w:w w:val="99"/>
                </w:rPr>
                <w:t>Amended and Restated Bylaws of the Company</w:t>
              </w:r>
            </w:hyperlink>
          </w:p>
        </w:tc>
        <w:tc>
          <w:tcPr>
            <w:tcW w:w="140" w:type="dxa"/>
            <w:vAlign w:val="bottom"/>
            <w:tcBorders>
              <w:bottom w:val="single" w:sz="8" w:color="0000FF"/>
            </w:tcBorders>
            <w:shd w:val="clear" w:color="auto" w:fill="CCEEFF"/>
          </w:tcPr>
          <w:p>
            <w:pPr>
              <w:jc w:val="right"/>
              <w:spacing w:after="0" w:line="75" w:lineRule="exact"/>
              <w:rPr>
                <w:rFonts w:ascii="Times New Roman" w:cs="Times New Roman" w:eastAsia="Times New Roman" w:hAnsi="Times New Roman"/>
                <w:sz w:val="8"/>
                <w:szCs w:val="8"/>
                <w:color w:val="0000FF"/>
              </w:rPr>
            </w:pPr>
            <w:hyperlink r:id="rId468">
              <w:r>
                <w:rPr>
                  <w:rFonts w:ascii="Times New Roman" w:cs="Times New Roman" w:eastAsia="Times New Roman" w:hAnsi="Times New Roman"/>
                  <w:sz w:val="8"/>
                  <w:szCs w:val="8"/>
                  <w:color w:val="0000FF"/>
                </w:rPr>
                <w:t>(3)</w:t>
              </w:r>
            </w:hyperlink>
          </w:p>
        </w:tc>
        <w:tc>
          <w:tcPr>
            <w:tcW w:w="6440" w:type="dxa"/>
            <w:vAlign w:val="bottom"/>
            <w:tcBorders>
              <w:bottom w:val="single" w:sz="8" w:color="CCEEFF"/>
            </w:tcBorders>
            <w:gridSpan w:val="4"/>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3460" w:type="dxa"/>
            <w:vAlign w:val="bottom"/>
            <w:tcBorders>
              <w:bottom w:val="single" w:sz="8" w:color="0000FF"/>
            </w:tcBorders>
            <w:gridSpan w:val="10"/>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6440" w:type="dxa"/>
            <w:vAlign w:val="bottom"/>
            <w:tcBorders>
              <w:bottom w:val="single" w:sz="8" w:color="CCEEFF"/>
            </w:tcBorders>
            <w:gridSpan w:val="4"/>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20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Borders>
              <w:top w:val="single" w:sz="8" w:color="CCEEFF"/>
              <w:bottom w:val="single" w:sz="8" w:color="CCEEFF"/>
            </w:tcBorders>
            <w:gridSpan w:val="5"/>
            <w:vMerge w:val="restart"/>
          </w:tcPr>
          <w:p>
            <w:pPr>
              <w:spacing w:after="0" w:line="176" w:lineRule="exact"/>
              <w:rPr>
                <w:rFonts w:ascii="Times New Roman" w:cs="Times New Roman" w:eastAsia="Times New Roman" w:hAnsi="Times New Roman"/>
                <w:sz w:val="18"/>
                <w:szCs w:val="18"/>
                <w:color w:val="0000FF"/>
                <w:w w:val="98"/>
              </w:rPr>
            </w:pPr>
            <w:hyperlink r:id="rId469">
              <w:r>
                <w:rPr>
                  <w:rFonts w:ascii="Times New Roman" w:cs="Times New Roman" w:eastAsia="Times New Roman" w:hAnsi="Times New Roman"/>
                  <w:sz w:val="18"/>
                  <w:szCs w:val="18"/>
                  <w:color w:val="0000FF"/>
                  <w:w w:val="98"/>
                </w:rPr>
                <w:t>WATC Custody Agreement</w:t>
              </w:r>
            </w:hyperlink>
          </w:p>
        </w:tc>
        <w:tc>
          <w:tcPr>
            <w:tcW w:w="140" w:type="dxa"/>
            <w:vAlign w:val="bottom"/>
            <w:tcBorders>
              <w:top w:val="single" w:sz="8" w:color="CCEEFF"/>
              <w:bottom w:val="single" w:sz="8" w:color="0000FF"/>
            </w:tcBorders>
            <w:gridSpan w:val="2"/>
          </w:tcPr>
          <w:p>
            <w:pPr>
              <w:jc w:val="right"/>
              <w:spacing w:after="0" w:line="75" w:lineRule="exact"/>
              <w:rPr>
                <w:rFonts w:ascii="Times New Roman" w:cs="Times New Roman" w:eastAsia="Times New Roman" w:hAnsi="Times New Roman"/>
                <w:sz w:val="8"/>
                <w:szCs w:val="8"/>
                <w:color w:val="0000FF"/>
              </w:rPr>
            </w:pPr>
            <w:hyperlink r:id="rId469">
              <w:r>
                <w:rPr>
                  <w:rFonts w:ascii="Times New Roman" w:cs="Times New Roman" w:eastAsia="Times New Roman" w:hAnsi="Times New Roman"/>
                  <w:sz w:val="8"/>
                  <w:szCs w:val="8"/>
                  <w:color w:val="0000FF"/>
                </w:rPr>
                <w:t>(4)</w:t>
              </w:r>
            </w:hyperlink>
          </w:p>
        </w:tc>
        <w:tc>
          <w:tcPr>
            <w:tcW w:w="7880" w:type="dxa"/>
            <w:vAlign w:val="bottom"/>
            <w:tcBorders>
              <w:top w:val="single" w:sz="8" w:color="CCEEFF"/>
              <w:bottom w:val="single" w:sz="8" w:color="CCEEFF"/>
            </w:tcBorders>
            <w:gridSpan w:val="8"/>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00" w:type="dxa"/>
            <w:vAlign w:val="bottom"/>
            <w:gridSpan w:val="2"/>
            <w:vMerge w:val="continue"/>
          </w:tcPr>
          <w:p>
            <w:pPr>
              <w:spacing w:after="0"/>
              <w:rPr>
                <w:sz w:val="5"/>
                <w:szCs w:val="5"/>
                <w:color w:val="auto"/>
              </w:rPr>
            </w:pPr>
          </w:p>
        </w:tc>
        <w:tc>
          <w:tcPr>
            <w:tcW w:w="2020" w:type="dxa"/>
            <w:vAlign w:val="bottom"/>
            <w:tcBorders>
              <w:bottom w:val="single" w:sz="8" w:color="0000FF"/>
            </w:tcBorders>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20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900" w:type="dxa"/>
            <w:vAlign w:val="bottom"/>
            <w:tcBorders>
              <w:bottom w:val="single" w:sz="8" w:color="CCEEFF"/>
            </w:tcBorders>
            <w:gridSpan w:val="4"/>
            <w:vMerge w:val="restart"/>
            <w:shd w:val="clear" w:color="auto" w:fill="CCEEFF"/>
          </w:tcPr>
          <w:p>
            <w:pPr>
              <w:spacing w:after="0" w:line="176" w:lineRule="exact"/>
              <w:rPr>
                <w:rFonts w:ascii="Times New Roman" w:cs="Times New Roman" w:eastAsia="Times New Roman" w:hAnsi="Times New Roman"/>
                <w:sz w:val="18"/>
                <w:szCs w:val="18"/>
                <w:color w:val="0000FF"/>
                <w:w w:val="98"/>
              </w:rPr>
            </w:pPr>
            <w:hyperlink r:id="rId470">
              <w:r>
                <w:rPr>
                  <w:rFonts w:ascii="Times New Roman" w:cs="Times New Roman" w:eastAsia="Times New Roman" w:hAnsi="Times New Roman"/>
                  <w:sz w:val="18"/>
                  <w:szCs w:val="18"/>
                  <w:color w:val="0000FF"/>
                  <w:w w:val="98"/>
                </w:rPr>
                <w:t>WAB Custody Agreement</w:t>
              </w:r>
            </w:hyperlink>
          </w:p>
        </w:tc>
        <w:tc>
          <w:tcPr>
            <w:tcW w:w="140" w:type="dxa"/>
            <w:vAlign w:val="bottom"/>
            <w:tcBorders>
              <w:bottom w:val="single" w:sz="8" w:color="0000FF"/>
            </w:tcBorders>
            <w:gridSpan w:val="2"/>
            <w:shd w:val="clear" w:color="auto" w:fill="CCEEFF"/>
          </w:tcPr>
          <w:p>
            <w:pPr>
              <w:jc w:val="right"/>
              <w:spacing w:after="0" w:line="75" w:lineRule="exact"/>
              <w:rPr>
                <w:rFonts w:ascii="Times New Roman" w:cs="Times New Roman" w:eastAsia="Times New Roman" w:hAnsi="Times New Roman"/>
                <w:sz w:val="8"/>
                <w:szCs w:val="8"/>
                <w:color w:val="0000FF"/>
              </w:rPr>
            </w:pPr>
            <w:hyperlink r:id="rId470">
              <w:r>
                <w:rPr>
                  <w:rFonts w:ascii="Times New Roman" w:cs="Times New Roman" w:eastAsia="Times New Roman" w:hAnsi="Times New Roman"/>
                  <w:sz w:val="8"/>
                  <w:szCs w:val="8"/>
                  <w:color w:val="0000FF"/>
                </w:rPr>
                <w:t>(5)</w:t>
              </w:r>
            </w:hyperlink>
          </w:p>
        </w:tc>
        <w:tc>
          <w:tcPr>
            <w:tcW w:w="8000" w:type="dxa"/>
            <w:vAlign w:val="bottom"/>
            <w:tcBorders>
              <w:bottom w:val="single" w:sz="8" w:color="CCEEFF"/>
            </w:tcBorders>
            <w:gridSpan w:val="9"/>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1900" w:type="dxa"/>
            <w:vAlign w:val="bottom"/>
            <w:tcBorders>
              <w:bottom w:val="single" w:sz="8" w:color="0000FF"/>
            </w:tcBorders>
            <w:gridSpan w:val="4"/>
            <w:vMerge w:val="continue"/>
            <w:shd w:val="clear" w:color="auto" w:fill="CCEEFF"/>
          </w:tcPr>
          <w:p>
            <w:pPr>
              <w:spacing w:after="0"/>
              <w:rPr>
                <w:sz w:val="7"/>
                <w:szCs w:val="7"/>
                <w:color w:val="auto"/>
              </w:rPr>
            </w:pPr>
          </w:p>
        </w:tc>
        <w:tc>
          <w:tcPr>
            <w:tcW w:w="140" w:type="dxa"/>
            <w:vAlign w:val="bottom"/>
            <w:tcBorders>
              <w:bottom w:val="single" w:sz="8" w:color="CCEEFF"/>
            </w:tcBorders>
            <w:gridSpan w:val="2"/>
            <w:shd w:val="clear" w:color="auto" w:fill="CCEEFF"/>
          </w:tcPr>
          <w:p>
            <w:pPr>
              <w:spacing w:after="0"/>
              <w:rPr>
                <w:sz w:val="7"/>
                <w:szCs w:val="7"/>
                <w:color w:val="auto"/>
              </w:rPr>
            </w:pPr>
          </w:p>
        </w:tc>
        <w:tc>
          <w:tcPr>
            <w:tcW w:w="8000" w:type="dxa"/>
            <w:vAlign w:val="bottom"/>
            <w:tcBorders>
              <w:bottom w:val="single" w:sz="8" w:color="CCEEFF"/>
            </w:tcBorders>
            <w:gridSpan w:val="9"/>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20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tcBorders>
              <w:top w:val="single" w:sz="8" w:color="CCEEFF"/>
              <w:bottom w:val="single" w:sz="8" w:color="CCEEFF"/>
            </w:tcBorders>
            <w:gridSpan w:val="2"/>
            <w:vMerge w:val="restart"/>
          </w:tcPr>
          <w:p>
            <w:pPr>
              <w:spacing w:after="0" w:line="176" w:lineRule="exact"/>
              <w:rPr>
                <w:rFonts w:ascii="Times New Roman" w:cs="Times New Roman" w:eastAsia="Times New Roman" w:hAnsi="Times New Roman"/>
                <w:sz w:val="18"/>
                <w:szCs w:val="18"/>
                <w:color w:val="0000FF"/>
                <w:w w:val="97"/>
              </w:rPr>
            </w:pPr>
            <w:hyperlink r:id="rId471">
              <w:r>
                <w:rPr>
                  <w:rFonts w:ascii="Times New Roman" w:cs="Times New Roman" w:eastAsia="Times New Roman" w:hAnsi="Times New Roman"/>
                  <w:sz w:val="18"/>
                  <w:szCs w:val="18"/>
                  <w:color w:val="0000FF"/>
                  <w:w w:val="97"/>
                </w:rPr>
                <w:t>Credit Agreement</w:t>
              </w:r>
            </w:hyperlink>
          </w:p>
        </w:tc>
        <w:tc>
          <w:tcPr>
            <w:tcW w:w="160" w:type="dxa"/>
            <w:vAlign w:val="bottom"/>
            <w:tcBorders>
              <w:top w:val="single" w:sz="8" w:color="CCEEFF"/>
              <w:bottom w:val="single" w:sz="8" w:color="0000FF"/>
            </w:tcBorders>
          </w:tcPr>
          <w:p>
            <w:pPr>
              <w:jc w:val="right"/>
              <w:spacing w:after="0" w:line="75" w:lineRule="exact"/>
              <w:rPr>
                <w:rFonts w:ascii="Times New Roman" w:cs="Times New Roman" w:eastAsia="Times New Roman" w:hAnsi="Times New Roman"/>
                <w:sz w:val="8"/>
                <w:szCs w:val="8"/>
                <w:color w:val="0000FF"/>
              </w:rPr>
            </w:pPr>
            <w:hyperlink r:id="rId471">
              <w:r>
                <w:rPr>
                  <w:rFonts w:ascii="Times New Roman" w:cs="Times New Roman" w:eastAsia="Times New Roman" w:hAnsi="Times New Roman"/>
                  <w:sz w:val="8"/>
                  <w:szCs w:val="8"/>
                  <w:color w:val="0000FF"/>
                </w:rPr>
                <w:t>(6)</w:t>
              </w:r>
            </w:hyperlink>
          </w:p>
        </w:tc>
        <w:tc>
          <w:tcPr>
            <w:tcW w:w="8600" w:type="dxa"/>
            <w:vAlign w:val="bottom"/>
            <w:tcBorders>
              <w:top w:val="single" w:sz="8" w:color="CCEEFF"/>
              <w:bottom w:val="single" w:sz="8" w:color="CCEEFF"/>
            </w:tcBorders>
            <w:gridSpan w:val="12"/>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200" w:type="dxa"/>
            <w:vAlign w:val="bottom"/>
            <w:gridSpan w:val="2"/>
            <w:vMerge w:val="continue"/>
          </w:tcPr>
          <w:p>
            <w:pPr>
              <w:spacing w:after="0"/>
              <w:rPr>
                <w:sz w:val="5"/>
                <w:szCs w:val="5"/>
                <w:color w:val="auto"/>
              </w:rPr>
            </w:pPr>
          </w:p>
        </w:tc>
        <w:tc>
          <w:tcPr>
            <w:tcW w:w="1280" w:type="dxa"/>
            <w:vAlign w:val="bottom"/>
            <w:tcBorders>
              <w:bottom w:val="single" w:sz="8" w:color="0000FF"/>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4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4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17"/>
        </w:trPr>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Oxley Act of 2002*</w:t>
            </w:r>
          </w:p>
        </w:tc>
        <w:tc>
          <w:tcPr>
            <w:tcW w:w="8600" w:type="dxa"/>
            <w:vAlign w:val="bottom"/>
            <w:tcBorders>
              <w:bottom w:val="single" w:sz="8" w:color="CCEEFF"/>
            </w:tcBorders>
            <w:gridSpan w:val="1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(this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8"/>
        </w:trPr>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040" w:firstLine="53"/>
        <w:spacing w:after="0" w:line="489" w:lineRule="auto"/>
        <w:tabs>
          <w:tab w:leader="none" w:pos="123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herewith.</w:t>
      </w:r>
    </w:p>
    <w:p>
      <w:pPr>
        <w:spacing w:after="0" w:line="1"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of the Company’s annual report on Form 10-K/A, filed on June 30, 2022.</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of the Company’s quarterly report on Form 10-Q filed on November 8, 2024.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of the Company’s annual report on Form 10-K/A, filed on June 30, 2022.</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of the Company’s current report on Form 8-K filed on February 18, 2025.</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10.3 of the Company’s current report on Form 8-K filed on February 18, 2025.</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Company’s current report on Form 8-K filed on February 18,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 on November 13, 2025.</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Peter Sack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Thomas Geoffroy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Sack, Chief Executive Officer of Chicago Atlantic BDC, Inc.,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BDC, Inc. (the “registrant”) for the quarter ended September 30, 2025;</w:t>
      </w:r>
    </w:p>
    <w:p>
      <w:pPr>
        <w:spacing w:after="0" w:line="225" w:lineRule="exact"/>
        <w:rPr>
          <w:rFonts w:ascii="Times New Roman" w:cs="Times New Roman" w:eastAsia="Times New Roman" w:hAnsi="Times New Roman"/>
          <w:sz w:val="18"/>
          <w:szCs w:val="18"/>
          <w:color w:val="auto"/>
        </w:rPr>
      </w:pPr>
    </w:p>
    <w:p>
      <w:pPr>
        <w:ind w:right="6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right="4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i w:val="1"/>
          <w:iCs w:val="1"/>
          <w:color w:val="auto"/>
        </w:rPr>
      </w:pPr>
    </w:p>
    <w:p>
      <w:pPr>
        <w:ind w:left="520" w:right="20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i w:val="1"/>
          <w:iCs w:val="1"/>
          <w:color w:val="auto"/>
        </w:rPr>
      </w:pPr>
    </w:p>
    <w:p>
      <w:pPr>
        <w:ind w:left="520" w:right="820" w:hanging="3"/>
        <w:spacing w:after="0" w:line="312" w:lineRule="auto"/>
        <w:tabs>
          <w:tab w:leader="none" w:pos="705" w:val="left"/>
        </w:tabs>
        <w:numPr>
          <w:ilvl w:val="1"/>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i w:val="1"/>
          <w:iCs w:val="1"/>
          <w:color w:val="auto"/>
        </w:rPr>
      </w:pPr>
    </w:p>
    <w:p>
      <w:pPr>
        <w:jc w:val="both"/>
        <w:ind w:left="520" w:right="240" w:hanging="3"/>
        <w:spacing w:after="0" w:line="266"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right="4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520" w:right="220" w:hanging="3"/>
        <w:spacing w:after="0" w:line="282"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i w:val="1"/>
          <w:iCs w:val="1"/>
          <w:color w:val="auto"/>
        </w:rPr>
      </w:pPr>
    </w:p>
    <w:p>
      <w:pPr>
        <w:ind w:left="520" w:right="180" w:hanging="3"/>
        <w:spacing w:after="0" w:line="282" w:lineRule="auto"/>
        <w:tabs>
          <w:tab w:leader="none" w:pos="715"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0" w:val="left"/>
          <w:tab w:leader="none" w:pos="810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Geoffroy, Interim Chief Financial Officer of Chicago Atlantic BDC, Inc.,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BDC, Inc. (the “registrant”) for the quarter ended September 30, 2025;</w:t>
      </w:r>
    </w:p>
    <w:p>
      <w:pPr>
        <w:spacing w:after="0" w:line="225"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right="20" w:hanging="3"/>
        <w:spacing w:after="0" w:line="266"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5" w:lineRule="exact"/>
        <w:rPr>
          <w:rFonts w:ascii="Times New Roman" w:cs="Times New Roman" w:eastAsia="Times New Roman" w:hAnsi="Times New Roman"/>
          <w:sz w:val="18"/>
          <w:szCs w:val="18"/>
          <w:i w:val="1"/>
          <w:iCs w:val="1"/>
          <w:color w:val="auto"/>
        </w:rPr>
      </w:pPr>
    </w:p>
    <w:p>
      <w:pPr>
        <w:ind w:left="520" w:right="180" w:hanging="3"/>
        <w:spacing w:after="0" w:line="266"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i w:val="1"/>
          <w:iCs w:val="1"/>
          <w:color w:val="auto"/>
        </w:rPr>
      </w:pPr>
    </w:p>
    <w:p>
      <w:pPr>
        <w:ind w:left="520" w:right="800" w:hanging="3"/>
        <w:spacing w:after="0" w:line="312" w:lineRule="auto"/>
        <w:tabs>
          <w:tab w:leader="none" w:pos="705"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i w:val="1"/>
          <w:iCs w:val="1"/>
          <w:color w:val="auto"/>
        </w:rPr>
      </w:pPr>
    </w:p>
    <w:p>
      <w:pPr>
        <w:jc w:val="both"/>
        <w:ind w:left="520" w:right="220" w:hanging="3"/>
        <w:spacing w:after="0" w:line="266"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right="44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59" w:lineRule="exact"/>
        <w:rPr>
          <w:rFonts w:ascii="Times New Roman" w:cs="Times New Roman" w:eastAsia="Times New Roman" w:hAnsi="Times New Roman"/>
          <w:sz w:val="18"/>
          <w:szCs w:val="18"/>
          <w:color w:val="auto"/>
        </w:rPr>
      </w:pPr>
    </w:p>
    <w:p>
      <w:pPr>
        <w:ind w:left="520" w:right="100" w:hanging="3"/>
        <w:spacing w:after="0" w:line="284"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i w:val="1"/>
          <w:iCs w:val="1"/>
          <w:color w:val="auto"/>
        </w:rPr>
      </w:pPr>
    </w:p>
    <w:p>
      <w:pPr>
        <w:ind w:left="520" w:right="80" w:hanging="3"/>
        <w:spacing w:after="0" w:line="284" w:lineRule="auto"/>
        <w:tabs>
          <w:tab w:leader="none" w:pos="71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Thomas Geoffroy</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Pursuant to Section 1350, Chapter 63 of Title 18, United States Code, as adopted pursuant to Section 906 of the Sarbanes-Oxley Act of 2002, the undersigned, as Chief Executive Officer of Chicago Atlantic BDC, Inc. (the “Company”), does hereby certify that to the undersigned’s knowledge:</w:t>
      </w:r>
    </w:p>
    <w:p>
      <w:pPr>
        <w:spacing w:after="0" w:line="140" w:lineRule="exact"/>
        <w:rPr>
          <w:sz w:val="20"/>
          <w:szCs w:val="20"/>
          <w:color w:val="auto"/>
        </w:rPr>
      </w:pPr>
    </w:p>
    <w:p>
      <w:pPr>
        <w:ind w:right="80" w:firstLine="8"/>
        <w:spacing w:after="0" w:line="282" w:lineRule="auto"/>
        <w:tabs>
          <w:tab w:leader="none" w:pos="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10-Q for the quarter ended September 30, 2025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10-Q for the quarter ended September 30, 2025 fairly presents, in all material respects, the financial condition and results of operations of the Company.</w:t>
      </w:r>
    </w:p>
    <w:p>
      <w:pPr>
        <w:spacing w:after="0" w:line="162" w:lineRule="exact"/>
        <w:rPr>
          <w:sz w:val="20"/>
          <w:szCs w:val="20"/>
          <w:color w:val="auto"/>
        </w:rPr>
      </w:pPr>
    </w:p>
    <w:p>
      <w:pPr>
        <w:spacing w:after="0"/>
        <w:tabs>
          <w:tab w:leader="none" w:pos="5600" w:val="left"/>
          <w:tab w:leader="none" w:pos="810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Interim Chief Financial Officer of Chicago Atlantic BDC, Inc. (the “Company”), does hereby certify that to the undersigned’s knowledge:</w:t>
      </w:r>
    </w:p>
    <w:p>
      <w:pPr>
        <w:spacing w:after="0" w:line="162" w:lineRule="exact"/>
        <w:rPr>
          <w:sz w:val="20"/>
          <w:szCs w:val="20"/>
          <w:color w:val="auto"/>
        </w:rPr>
      </w:pPr>
    </w:p>
    <w:p>
      <w:pPr>
        <w:ind w:right="80" w:firstLine="8"/>
        <w:spacing w:after="0" w:line="282" w:lineRule="auto"/>
        <w:tabs>
          <w:tab w:leader="none" w:pos="1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10-Q for the quarter ended September 30, 2025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10-Q for the quarter ended September 30, 2025 fairly presents, in all material respects, the financial condition and results of operations of the Company.</w:t>
      </w:r>
    </w:p>
    <w:p>
      <w:pPr>
        <w:spacing w:after="0" w:line="162"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Thomas Geoffroy</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lowerRoman"/>
      <w:start w:val="3"/>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66" Type="http://schemas.openxmlformats.org/officeDocument/2006/relationships/hyperlink" Target="https://www.sec.gov/Archives/edgar/data/1843162/000095010322011767/dp176400_ex0301.htm" TargetMode="External"/><Relationship Id="rId467" Type="http://schemas.openxmlformats.org/officeDocument/2006/relationships/hyperlink" Target="https://www.sec.gov/Archives/edgar/data/1843162/000114036124045703/ef20034548_ex3-2.htm" TargetMode="External"/><Relationship Id="rId468" Type="http://schemas.openxmlformats.org/officeDocument/2006/relationships/hyperlink" Target="https://www.sec.gov/Archives/edgar/data/1843162/000095010322011767/dp176400_ex0302.htm" TargetMode="External"/><Relationship Id="rId469" Type="http://schemas.openxmlformats.org/officeDocument/2006/relationships/hyperlink" Target="https://www.sec.gov/Archives/edgar/data/1843162/000095010325002119/dp225007_ex1002.htm" TargetMode="External"/><Relationship Id="rId470" Type="http://schemas.openxmlformats.org/officeDocument/2006/relationships/hyperlink" Target="https://www.sec.gov/Archives/edgar/data/1843162/000095010325002119/dp225007_ex1003.htm" TargetMode="External"/><Relationship Id="rId471" Type="http://schemas.openxmlformats.org/officeDocument/2006/relationships/hyperlink" Target="https://www.sec.gov/Archives/edgar/data/1843162/000095010325002119/dp22500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2025-11-13T06:13:32Z</dcterms:created>
  <dcterms:modified xsi:type="dcterms:W3CDTF">2025-11-13T06:13:32Z</dcterms:modified>
</cp:coreProperties>
</file>