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Chicago Atlantic BDC,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001-40564</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600 Madison Avenue, Suite 1800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New York, New York 10022</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LIEN</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508635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BDC, Inc., a Maryland corporation (“</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Chicago Atlantic Real Estate Finance, Inc., a Maryland corporation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Chicago Atlantic BDC Advisers, LLC, a Delaware limited liability company and the investment adviser to LIEN (the “</w:t>
      </w:r>
      <w:r>
        <w:rPr>
          <w:rFonts w:ascii="Times New Roman" w:cs="Times New Roman" w:eastAsia="Times New Roman" w:hAnsi="Times New Roman"/>
          <w:sz w:val="16"/>
          <w:szCs w:val="16"/>
          <w:u w:val="single" w:color="auto"/>
          <w:color w:val="auto"/>
        </w:rPr>
        <w:t>LIEN Adviser</w:t>
      </w:r>
      <w:r>
        <w:rPr>
          <w:rFonts w:ascii="Times New Roman" w:cs="Times New Roman" w:eastAsia="Times New Roman" w:hAnsi="Times New Roman"/>
          <w:sz w:val="16"/>
          <w:szCs w:val="16"/>
          <w:color w:val="auto"/>
        </w:rPr>
        <w:t>”), and Chicago Atlantic REIT Manager, LLC, a Delaware limited liability company and the external manager to REFI (the “</w:t>
      </w:r>
      <w:r>
        <w:rPr>
          <w:rFonts w:ascii="Times New Roman" w:cs="Times New Roman" w:eastAsia="Times New Roman" w:hAnsi="Times New Roman"/>
          <w:sz w:val="16"/>
          <w:szCs w:val="16"/>
          <w:u w:val="single" w:color="auto"/>
          <w:color w:val="auto"/>
        </w:rPr>
        <w:t>REFI Manager</w:t>
      </w:r>
      <w:r>
        <w:rPr>
          <w:rFonts w:ascii="Times New Roman" w:cs="Times New Roman" w:eastAsia="Times New Roman" w:hAnsi="Times New Roman"/>
          <w:sz w:val="16"/>
          <w:szCs w:val="16"/>
          <w:color w:val="auto"/>
        </w:rPr>
        <w:t>,” and together with LIEN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REFI will merge with and into LIEN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LIEN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REFI,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REFI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LIEN Adviser, which will remain in effect until the Merger Effective Time (defined herein). REFI’s management agreement with REFI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Board of Directors of LIEN (the “</w:t>
      </w:r>
      <w:r>
        <w:rPr>
          <w:rFonts w:ascii="Times New Roman" w:cs="Times New Roman" w:eastAsia="Times New Roman" w:hAnsi="Times New Roman"/>
          <w:sz w:val="16"/>
          <w:szCs w:val="16"/>
          <w:u w:val="single" w:color="auto"/>
          <w:color w:val="auto"/>
        </w:rPr>
        <w:t>LIEN Board</w:t>
      </w:r>
      <w:r>
        <w:rPr>
          <w:rFonts w:ascii="Times New Roman" w:cs="Times New Roman" w:eastAsia="Times New Roman" w:hAnsi="Times New Roman"/>
          <w:sz w:val="16"/>
          <w:szCs w:val="16"/>
          <w:color w:val="auto"/>
        </w:rPr>
        <w:t>”), upon the unanimous recommendation of a special committee comprised solely of independent directors of LIEN (the “</w:t>
      </w:r>
      <w:r>
        <w:rPr>
          <w:rFonts w:ascii="Times New Roman" w:cs="Times New Roman" w:eastAsia="Times New Roman" w:hAnsi="Times New Roman"/>
          <w:sz w:val="16"/>
          <w:szCs w:val="16"/>
          <w:u w:val="single" w:color="auto"/>
          <w:color w:val="auto"/>
        </w:rPr>
        <w:t>LIEN Special Committee</w:t>
      </w:r>
      <w:r>
        <w:rPr>
          <w:rFonts w:ascii="Times New Roman" w:cs="Times New Roman" w:eastAsia="Times New Roman" w:hAnsi="Times New Roman"/>
          <w:sz w:val="16"/>
          <w:szCs w:val="16"/>
          <w:color w:val="auto"/>
        </w:rPr>
        <w:t>”), unanimously (i) determined that the Merger Agreement, including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LIEN and its stockholders, and that LIEN’s existing stockholders will not suffer dilution as a result of the Transactions, (ii) approved and declared advisable the Merger Agreement and the other Transactions, (iii) directed that the matters relating to the Merger (the “</w:t>
      </w:r>
      <w:r>
        <w:rPr>
          <w:rFonts w:ascii="Times New Roman" w:cs="Times New Roman" w:eastAsia="Times New Roman" w:hAnsi="Times New Roman"/>
          <w:sz w:val="16"/>
          <w:szCs w:val="16"/>
          <w:u w:val="single" w:color="auto"/>
          <w:color w:val="auto"/>
        </w:rPr>
        <w:t>LIEN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be submitted to LIEN’s stockholders at a meeting of LIEN’s stockholders (the “</w:t>
      </w:r>
      <w:r>
        <w:rPr>
          <w:rFonts w:ascii="Times New Roman" w:cs="Times New Roman" w:eastAsia="Times New Roman" w:hAnsi="Times New Roman"/>
          <w:sz w:val="16"/>
          <w:szCs w:val="16"/>
          <w:u w:val="single" w:color="auto"/>
          <w:color w:val="auto"/>
        </w:rPr>
        <w:t>LIEN Stockholders Meeting</w:t>
      </w:r>
      <w:r>
        <w:rPr>
          <w:rFonts w:ascii="Times New Roman" w:cs="Times New Roman" w:eastAsia="Times New Roman" w:hAnsi="Times New Roman"/>
          <w:sz w:val="16"/>
          <w:szCs w:val="16"/>
          <w:color w:val="auto"/>
        </w:rPr>
        <w:t>”), and (iv) resolved to recommend that LIEN’s stockholders approve the LIEN Merger Matters at the LIEN Stockholders Meeting.</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LIEN Special Committee received the opinion of Keefe, Bruyette &amp; Woods, financial advisor to the LIEN Special Committee, to the effect that, as of the date of such opinion and based upon and subject to the various assumptions, limitations, qualifications and other matters set forth therein, the Exchange Ratio (defined herein) is fair, from a financial point of view, to LIEN’s stockholders (other than REFI Manager, REFI, the LIEN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REFI (“</w:t>
      </w:r>
      <w:r>
        <w:rPr>
          <w:rFonts w:ascii="Times New Roman" w:cs="Times New Roman" w:eastAsia="Times New Roman" w:hAnsi="Times New Roman"/>
          <w:sz w:val="16"/>
          <w:szCs w:val="16"/>
          <w:u w:val="single" w:color="auto"/>
          <w:color w:val="auto"/>
        </w:rPr>
        <w:t>REFI Common Stock</w:t>
      </w:r>
      <w:r>
        <w:rPr>
          <w:rFonts w:ascii="Times New Roman" w:cs="Times New Roman" w:eastAsia="Times New Roman" w:hAnsi="Times New Roman"/>
          <w:sz w:val="16"/>
          <w:szCs w:val="16"/>
          <w:color w:val="auto"/>
        </w:rPr>
        <w:t>”) issued and outstanding immediately prior to the Merger Effective Time (other than shares owned by LIEN or any of its consolidated subsidiaries, which will be cancelled for no consideration) will be converted into the right to receive a number of shares of common stock, par value $0.01 per share, of LIEN (“</w:t>
      </w:r>
      <w:r>
        <w:rPr>
          <w:rFonts w:ascii="Times New Roman" w:cs="Times New Roman" w:eastAsia="Times New Roman" w:hAnsi="Times New Roman"/>
          <w:sz w:val="16"/>
          <w:szCs w:val="16"/>
          <w:u w:val="single" w:color="auto"/>
          <w:color w:val="auto"/>
        </w:rPr>
        <w:t>LIEN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REFI Common Stock (the “</w:t>
      </w:r>
      <w:r>
        <w:rPr>
          <w:rFonts w:ascii="Times New Roman" w:cs="Times New Roman" w:eastAsia="Times New Roman" w:hAnsi="Times New Roman"/>
          <w:sz w:val="16"/>
          <w:szCs w:val="16"/>
          <w:u w:val="single" w:color="auto"/>
          <w:color w:val="auto"/>
        </w:rPr>
        <w:t>Closing REFI Net Asset Value</w:t>
      </w:r>
      <w:r>
        <w:rPr>
          <w:rFonts w:ascii="Times New Roman" w:cs="Times New Roman" w:eastAsia="Times New Roman" w:hAnsi="Times New Roman"/>
          <w:sz w:val="16"/>
          <w:szCs w:val="16"/>
          <w:color w:val="auto"/>
        </w:rPr>
        <w:t>”) to the net asset value per share of LIEN Common Stock (the “</w:t>
      </w:r>
      <w:r>
        <w:rPr>
          <w:rFonts w:ascii="Times New Roman" w:cs="Times New Roman" w:eastAsia="Times New Roman" w:hAnsi="Times New Roman"/>
          <w:sz w:val="16"/>
          <w:szCs w:val="16"/>
          <w:u w:val="single" w:color="auto"/>
          <w:color w:val="auto"/>
        </w:rPr>
        <w:t>Closing LIEN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REFI Common Stock that would otherwise be entitled to receive a fractional share of LIEN Common Stock will receive, in lieu thereof, cash (without interest) based on the volume-weighted average trading price of LIEN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REFI Common Stock present at a meeting at which more than 50% of the outstanding shares are present, or (B) more than 50% of the outstanding shares of REFI Common Stock, to approve the BDC Election and the New BDC Advisory Agreement (the “</w:t>
      </w:r>
      <w:r>
        <w:rPr>
          <w:rFonts w:ascii="Times New Roman" w:cs="Times New Roman" w:eastAsia="Times New Roman" w:hAnsi="Times New Roman"/>
          <w:sz w:val="16"/>
          <w:szCs w:val="16"/>
          <w:u w:val="single" w:color="auto"/>
          <w:color w:val="auto"/>
        </w:rPr>
        <w:t>REFI BDC Election Matters</w:t>
      </w:r>
      <w:r>
        <w:rPr>
          <w:rFonts w:ascii="Times New Roman" w:cs="Times New Roman" w:eastAsia="Times New Roman" w:hAnsi="Times New Roman"/>
          <w:sz w:val="16"/>
          <w:szCs w:val="16"/>
          <w:color w:val="auto"/>
        </w:rPr>
        <w:t>”); and (ii) with respect to the adoption of the Merger Agreement and to approve the Merger and other Transactions (the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Matters</w:t>
      </w:r>
      <w:r>
        <w:rPr>
          <w:rFonts w:ascii="Times New Roman" w:cs="Times New Roman" w:eastAsia="Times New Roman" w:hAnsi="Times New Roman"/>
          <w:sz w:val="16"/>
          <w:szCs w:val="16"/>
          <w:color w:val="auto"/>
        </w:rPr>
        <w:t>”), the affirmative vote of (A) a majority of the outstanding shares of REFI Common Stock and (B) a majority of the shares of REFI Common Stock voted at a meeting of REFI’s stockholders (the “</w:t>
      </w:r>
      <w:r>
        <w:rPr>
          <w:rFonts w:ascii="Times New Roman" w:cs="Times New Roman" w:eastAsia="Times New Roman" w:hAnsi="Times New Roman"/>
          <w:sz w:val="16"/>
          <w:szCs w:val="16"/>
          <w:u w:val="single" w:color="auto"/>
          <w:color w:val="auto"/>
        </w:rPr>
        <w:t>REFI Stockholders Meeting</w:t>
      </w:r>
      <w:r>
        <w:rPr>
          <w:rFonts w:ascii="Times New Roman" w:cs="Times New Roman" w:eastAsia="Times New Roman" w:hAnsi="Times New Roman"/>
          <w:sz w:val="16"/>
          <w:szCs w:val="16"/>
          <w:color w:val="auto"/>
        </w:rPr>
        <w:t>”) other than shares held by LIEN, the LIEN Adviser, REFI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REFI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LIEN Common Stock at the LIEN Stockholders Meeting to approve the issuance of LIEN Common Stock in connection with the Merger; and (ii) with respect to the adoption of the Merger Agreement and to approve the LIEN Merger Matters, (X) a majority of the outstanding shares of LIEN Common Stock and (Y) a majority of the shares of LIEN Common Stock voted at the LIEN Stockholders Meeting other than shares held by LIEN, the LIEN Adviser, REFI, REFI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LIEN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to the LIEN Requisite Vote and REFI Requisite Vote, consummation of the Merger requires the Board of Directors of REFI (the “</w:t>
      </w:r>
      <w:r>
        <w:rPr>
          <w:rFonts w:ascii="Times New Roman" w:cs="Times New Roman" w:eastAsia="Times New Roman" w:hAnsi="Times New Roman"/>
          <w:sz w:val="16"/>
          <w:szCs w:val="16"/>
          <w:u w:val="single" w:color="auto"/>
          <w:color w:val="auto"/>
        </w:rPr>
        <w:t>REFI Board</w:t>
      </w:r>
      <w:r>
        <w:rPr>
          <w:rFonts w:ascii="Times New Roman" w:cs="Times New Roman" w:eastAsia="Times New Roman" w:hAnsi="Times New Roman"/>
          <w:sz w:val="16"/>
          <w:szCs w:val="16"/>
          <w:color w:val="auto"/>
        </w:rPr>
        <w:t>”) (on the recommendation of a special committee comprised solely of independent directors of REFI (the “</w:t>
      </w:r>
      <w:r>
        <w:rPr>
          <w:rFonts w:ascii="Times New Roman" w:cs="Times New Roman" w:eastAsia="Times New Roman" w:hAnsi="Times New Roman"/>
          <w:sz w:val="16"/>
          <w:szCs w:val="16"/>
          <w:u w:val="single" w:color="auto"/>
          <w:color w:val="auto"/>
        </w:rPr>
        <w:t>REFI Special Committee</w:t>
      </w:r>
      <w:r>
        <w:rPr>
          <w:rFonts w:ascii="Times New Roman" w:cs="Times New Roman" w:eastAsia="Times New Roman" w:hAnsi="Times New Roman"/>
          <w:sz w:val="16"/>
          <w:szCs w:val="16"/>
          <w:color w:val="auto"/>
        </w:rPr>
        <w:t>”))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REFI’s obligation to submit the REFI Merger Matters to its stockholders at the REFI Stockholders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REFI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REFI Stockholders Meeting and the LIEN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LIEN Common Stock to be issued as Merger Consideration.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REFI, LIEN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REFI and LIEN,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REFI’s directors and officers; and to cooperate on tax matters, including actions intended to preserve the qualification of the Merger as a “reorganization” within the meaning of Section 368(a) of the Code, the qualification of the Surviving Company as a RIC, and REFI’s REIT qualification through the Merger Effective Time. Prior to the BDC Election Time, REFI is required to declare and pay one or more Tax Dividends in amounts sufficient to (i) eliminate REFI’s accumulated earnings and profits for U.S. federal income tax purposes and (ii) reduce its REIT taxable income and net capital gain to zero for its final REIT taxable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REFI and LIEN,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Each of REFI and LIEN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or an Acquiror Superior Proposal (each as defined in the Merger Agreement), as applicable, subject in each case to notice and other procedural requirements set forth in the Merger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REFI Board or the LIEN Board,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REFI and LIEN may each terminate the Merger Agreement to enter into a definitive agreement with respect to a superior proposal.</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5"/>
          <w:szCs w:val="15"/>
          <w:color w:val="auto"/>
        </w:rPr>
        <w:t>Consummation of the Merger is subject to the satisfaction or waiver of a number of closing conditions, including: (i) receipt of the LIEN Requisite Vote, and the REFI Requisite Vote, and the Post-BDC Election Approvals; (ii) Nasdaq listing authorization for the shares of LIEN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LIEN Net Asset Value and Closing REFI Net Asset Value determinations; (vii) filing of the BDC Election with the SEC; (viii) satisfaction of specified conditions relating to the parties’ existing credit facilities and the Company Notes (as defined in the Merger Agreement);</w:t>
      </w:r>
    </w:p>
    <w:p>
      <w:pPr>
        <w:spacing w:after="0" w:line="2" w:lineRule="exact"/>
        <w:rPr>
          <w:sz w:val="20"/>
          <w:szCs w:val="20"/>
          <w:color w:val="auto"/>
        </w:rPr>
      </w:pPr>
    </w:p>
    <w:p>
      <w:pPr>
        <w:jc w:val="both"/>
        <w:ind w:left="4" w:hanging="4"/>
        <w:spacing w:after="0" w:line="252" w:lineRule="auto"/>
        <w:tabs>
          <w:tab w:leader="none" w:pos="2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LIEN’s obligation further conditioned on delivery by REFI of a FIRPTA certificate.</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LIEN stockholders fail to approve the matters submitted for their approval; or (iv) the REFI Board fails to approve the Post-BDC Election Approvals or REFI stockholders fail to approve the REFI BDC Election Matters or REFI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REFI may terminate the Merger Agreement upon: (i) a breach by LIEN of its representations, warranties, or covenants that would result in the failure of specified closing conditions, subject to a 30-day cure period; (ii) the occurrence of specified events relating to LIEN’s recommendation or non-solicitation obligations; or (iii) REFI Board’s authorization, on the recommendation of the REFI Special Committee, to enter into a definitive agreement with respect to a Company Superior Proposal.</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LIEN may terminate the Merger Agreement upon: (i) a breach by REFI of its representations, warranties, or covenants that would result in the failure of specified closing conditions, subject to a 30-day cure period; (ii) the occurrence of specified events relating to REFI’s recommendation or non-solicitation obligations; or (iii) the LIEN Board’s authorization to enter into a definitive agreement with respect to an Acquiror Superior Proposal.</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 w:name="page6"/>
    <w:bookmarkEnd w:id="5"/>
    <w:p>
      <w:pPr>
        <w:ind w:left="4" w:right="20"/>
        <w:spacing w:after="0" w:line="277" w:lineRule="auto"/>
        <w:rPr>
          <w:sz w:val="20"/>
          <w:szCs w:val="20"/>
          <w:color w:val="auto"/>
        </w:rPr>
      </w:pPr>
      <w:r>
        <w:rPr>
          <w:rFonts w:ascii="Times New Roman" w:cs="Times New Roman" w:eastAsia="Times New Roman" w:hAnsi="Times New Roman"/>
          <w:sz w:val="15"/>
          <w:szCs w:val="15"/>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LIEN and</w:t>
      </w:r>
    </w:p>
    <w:p>
      <w:pPr>
        <w:spacing w:after="0" w:line="1" w:lineRule="exact"/>
        <w:rPr>
          <w:sz w:val="20"/>
          <w:szCs w:val="20"/>
          <w:color w:val="auto"/>
        </w:rPr>
      </w:pPr>
    </w:p>
    <w:p>
      <w:pPr>
        <w:jc w:val="both"/>
        <w:ind w:left="4" w:right="20" w:hanging="4"/>
        <w:spacing w:after="0" w:line="251" w:lineRule="auto"/>
        <w:tabs>
          <w:tab w:leader="none" w:pos="24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one-half (1/2) of such fees shall be borne by REFI, provided, however, that REFI Manager shall pay $2,000,000 of the fees and expenses for which REFI is responsible on behalf of REFI. With respect to the payment of the costs and expenses of printing and mailing the Registration Statement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LIEN Board will consider in good faith the adoption of a share repurchase program of up to $25 million to be implemented following the closing, on such terms and subject to such conditions as the LIEN Board may determine to be advisable, taking into account then current market conditions and other matters the LIEN Board determines to be relevant.</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LIEN Adviser, John Mazarakis, Scott Gordon, and Anthony Cappell, in his or its capacity as a stockholder of LIEN, and (ii) each of John Mazarakis, Anthony Cappell, David Kite, Peter Sack, and Phil Silverman, in his capacity as a stockholder of REFI, entered into a support agreement with REFI and LIEN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LIEN Common Stock and REFI Common Stock in favor of the LIEN Merger Matters and the REFI BDC Election Matters and REFI Merger Matters, as applicable. The Support Agreements cover approximately 4.8% of the outstanding REFI Common Stock and approximately 12.9% of the outstanding LIEN Common Stock. The closing of the Merger is subject to the condition that the Support Agreements remain in full force and effect.</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LIEN will indemnify and hold harmless present and former directors and officers of REFI against costs and liabilities incurred in connection with proceedings arising out of actions or omissions occurring at or prior to the Merger Effective Time. REFI or the Surviving Company will obtain a seven-year “tail” directors’ and officers’ insurance policy with coverage not less than REFI’s existing policy, subject to a customary cost cap.</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LIEN in effect immediately prior to the Merger Effective Time. The Surviving Company’s board of directors as of the Merger Effective Time will include three independent directors continuing from REFI’s existing board and two independent directors continuing from LIEN’s existing board, in addition to such other directors as may be designated in accordance with the Merger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June 18, 2026, REFI and LIEN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On June 18, 2026, REFI and LIEN will host a joint investor conference call at 9:00 a.m. Eastern Time to discuss the Merger. In connection with the conference call, REFI and LIEN have prepared an investor presentation, a copy of which is furnished as Exhibit 99.2 to this Current Report on Form 8-K and is incorporated herein by reference. The investor presentation will also be made available on the investor relations sections of REFI’s and LIEN’s respective websites.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REFI’s and LIEN’s respective websites following the conclusion of the call.</w:t>
      </w:r>
    </w:p>
    <w:p>
      <w:pPr>
        <w:spacing w:after="0" w:line="198"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Exhibit No.</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0000EE"/>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Form of Support Agreement (REFI Stockholders), dated as of June 17, 2026, by and among Chicago Atlantic Real Estate Finance, Inc., and the stockholders</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(LIEN Stockholders), dated as of June 17, 2026, by and among Chicago Atlantic BDC, Inc., and the LIEN stockholders party</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58" w:lineRule="exact"/>
        <w:rPr>
          <w:sz w:val="20"/>
          <w:szCs w:val="20"/>
          <w:color w:val="auto"/>
        </w:rPr>
      </w:pPr>
    </w:p>
    <w:p>
      <w:pPr>
        <w:ind w:left="284" w:right="20" w:hanging="284"/>
        <w:spacing w:after="0" w:line="280" w:lineRule="auto"/>
        <w:tabs>
          <w:tab w:leader="none" w:pos="2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LIEN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LIEN, REFI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LIEN and REFI may be more difficult, time-consuming or costly than expected, and the risk of unanticipated transaction costs, loss of key personnel, or adverse effects on existing business relationships;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LIEN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Code; (xi) the risk that the Surviving Company may not qualify or maintain its qualification as a RIC for U.S. federal income tax purposes; (xii) the risk that REFI may fail to maintain its qualification as a REIT through the effective time of the Merger; (xiii) the risk that REFI may be unable to complete the BDC Election on the contemplated timeline or at all; (xiv) the risk that the Exchange Ratio, which will be determined based on the Closing LIEN Net Asset Value and Closing REFI Net Asset Value,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RIC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has agreed to consider in good faith following the closing of the Merger may not be adopted,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the Registration Statement, which will include the Joint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5"/>
          <w:szCs w:val="15"/>
          <w:b w:val="1"/>
          <w:bCs w:val="1"/>
          <w:color w:val="auto"/>
        </w:rPr>
        <w:t>www.sec.gov</w:t>
      </w:r>
      <w:r>
        <w:rPr>
          <w:rFonts w:ascii="Times New Roman" w:cs="Times New Roman" w:eastAsia="Times New Roman" w:hAnsi="Times New Roman"/>
          <w:sz w:val="15"/>
          <w:szCs w:val="15"/>
          <w:color w:val="auto"/>
        </w:rPr>
        <w:t>, or from each company’s investor relations website at www.investors.chicagoatlanticbdc.com (LIEN) and www.investors.refi.reit (REFI), or by directing a request to LIEN@chicagoatlantic.com (LIEN) or IR@REFI.reit (REFI).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REFI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Joint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tc>
        <w:tc>
          <w:tcPr>
            <w:tcW w:w="0" w:type="dxa"/>
            <w:vAlign w:val="bottom"/>
          </w:tcPr>
          <w:p>
            <w:pPr>
              <w:spacing w:after="0"/>
              <w:rPr>
                <w:sz w:val="1"/>
                <w:szCs w:val="1"/>
                <w:color w:val="auto"/>
              </w:rPr>
            </w:pPr>
          </w:p>
        </w:tc>
      </w:tr>
      <w:tr>
        <w:trPr>
          <w:trHeight w:val="386"/>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June 18, 2026</w:t>
            </w: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color w:val="auto"/>
              </w:rPr>
              <w:t>By:  /s/ Thomas Geoffroy</w:t>
            </w:r>
          </w:p>
        </w:tc>
        <w:tc>
          <w:tcPr>
            <w:tcW w:w="0" w:type="dxa"/>
            <w:vAlign w:val="bottom"/>
          </w:tcPr>
          <w:p>
            <w:pPr>
              <w:spacing w:after="0"/>
              <w:rPr>
                <w:sz w:val="1"/>
                <w:szCs w:val="1"/>
                <w:color w:val="auto"/>
              </w:rPr>
            </w:pPr>
          </w:p>
        </w:tc>
      </w:tr>
      <w:tr>
        <w:trPr>
          <w:trHeight w:val="175"/>
        </w:trPr>
        <w:tc>
          <w:tcPr>
            <w:tcW w:w="34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41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Thomas Geoffroy,</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Financial Officer</w:t>
            </w:r>
          </w:p>
        </w:tc>
        <w:tc>
          <w:tcPr>
            <w:tcW w:w="0" w:type="dxa"/>
            <w:vAlign w:val="bottom"/>
          </w:tcPr>
          <w:p>
            <w:pPr>
              <w:spacing w:after="0"/>
              <w:rPr>
                <w:sz w:val="1"/>
                <w:szCs w:val="1"/>
                <w:color w:val="auto"/>
              </w:rPr>
            </w:pPr>
          </w:p>
        </w:tc>
      </w:tr>
      <w:tr>
        <w:trPr>
          <w:trHeight w:val="577"/>
        </w:trPr>
        <w:tc>
          <w:tcPr>
            <w:tcW w:w="3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9</w:t>
            </w: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6" w:name="page17"/>
    <w:bookmarkEnd w:id="16"/>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ind w:left="560" w:firstLine="583"/>
        <w:spacing w:after="0" w:line="280" w:lineRule="auto"/>
        <w:tabs>
          <w:tab w:leader="none" w:pos="13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 w:name="page27"/>
    <w:bookmarkEnd w:id="26"/>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7" w:name="page28"/>
    <w:bookmarkEnd w:id="27"/>
    <w:p>
      <w:pPr>
        <w:jc w:val="both"/>
        <w:ind w:firstLine="1143"/>
        <w:spacing w:after="0" w:line="265" w:lineRule="auto"/>
        <w:tabs>
          <w:tab w:leader="none" w:pos="13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firstLine="1143"/>
        <w:spacing w:after="0" w:line="253" w:lineRule="auto"/>
        <w:tabs>
          <w:tab w:leader="none" w:pos="1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left="560" w:firstLine="1156"/>
        <w:spacing w:after="0" w:line="252" w:lineRule="auto"/>
        <w:tabs>
          <w:tab w:leader="none" w:pos="1977"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53" w:lineRule="auto"/>
        <w:tabs>
          <w:tab w:leader="none" w:pos="136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7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firstLine="1143"/>
        <w:spacing w:after="0" w:line="265"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right="20" w:firstLine="1143"/>
        <w:spacing w:after="0" w:line="265"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ind w:left="560" w:firstLine="1156"/>
        <w:spacing w:after="0" w:line="280" w:lineRule="auto"/>
        <w:tabs>
          <w:tab w:leader="none" w:pos="197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right="20" w:firstLine="1143"/>
        <w:spacing w:after="0" w:line="280" w:lineRule="auto"/>
        <w:tabs>
          <w:tab w:leader="none" w:pos="138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firstLine="1143"/>
        <w:spacing w:after="0" w:line="254" w:lineRule="auto"/>
        <w:tabs>
          <w:tab w:leader="none" w:pos="13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right="20" w:firstLine="1143"/>
        <w:spacing w:after="0" w:line="255" w:lineRule="auto"/>
        <w:tabs>
          <w:tab w:leader="none" w:pos="137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firstLine="1143"/>
        <w:spacing w:after="0" w:line="265" w:lineRule="auto"/>
        <w:tabs>
          <w:tab w:leader="none" w:pos="13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jc w:val="both"/>
        <w:ind w:left="564" w:right="20" w:firstLine="1156"/>
        <w:spacing w:after="0" w:line="265" w:lineRule="auto"/>
        <w:tabs>
          <w:tab w:leader="none" w:pos="2000"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6" w:name="page47"/>
    <w:bookmarkEnd w:id="46"/>
    <w:p>
      <w:pPr>
        <w:jc w:val="both"/>
        <w:ind w:firstLine="1143"/>
        <w:spacing w:after="0" w:line="253"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1143"/>
        <w:spacing w:after="0" w:line="259"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right="20" w:firstLine="1143"/>
        <w:spacing w:after="0" w:line="265" w:lineRule="auto"/>
        <w:tabs>
          <w:tab w:leader="none" w:pos="136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firstLine="1143"/>
        <w:spacing w:after="0" w:line="254" w:lineRule="auto"/>
        <w:tabs>
          <w:tab w:leader="none" w:pos="136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left="560" w:firstLine="1156"/>
        <w:spacing w:after="0" w:line="259" w:lineRule="auto"/>
        <w:tabs>
          <w:tab w:leader="none" w:pos="199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1143"/>
        <w:spacing w:after="0" w:line="259" w:lineRule="auto"/>
        <w:tabs>
          <w:tab w:leader="none" w:pos="139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firstLine="1143"/>
        <w:spacing w:after="0" w:line="252" w:lineRule="auto"/>
        <w:tabs>
          <w:tab w:leader="none" w:pos="13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0" w:name="page61"/>
    <w:bookmarkEnd w:id="60"/>
    <w:p>
      <w:pPr>
        <w:jc w:val="both"/>
        <w:ind w:left="-560" w:firstLine="583"/>
        <w:spacing w:after="0" w:line="265" w:lineRule="auto"/>
        <w:tabs>
          <w:tab w:leader="none" w:pos="26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ind w:left="-560" w:firstLine="583"/>
        <w:spacing w:after="0" w:line="280" w:lineRule="auto"/>
        <w:tabs>
          <w:tab w:leader="none" w:pos="20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firstLine="1143"/>
        <w:spacing w:after="0" w:line="251" w:lineRule="auto"/>
        <w:tabs>
          <w:tab w:leader="none" w:pos="140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right="20" w:firstLine="1143"/>
        <w:spacing w:after="0" w:line="252" w:lineRule="auto"/>
        <w:tabs>
          <w:tab w:leader="none" w:pos="139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3" w:lineRule="auto"/>
        <w:tabs>
          <w:tab w:leader="none" w:pos="137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1143"/>
        <w:spacing w:after="0" w:line="252" w:lineRule="auto"/>
        <w:tabs>
          <w:tab w:leader="none" w:pos="13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1143"/>
        <w:spacing w:after="0" w:line="255" w:lineRule="auto"/>
        <w:tabs>
          <w:tab w:leader="none" w:pos="134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jc w:val="both"/>
        <w:ind w:firstLine="1143"/>
        <w:spacing w:after="0" w:line="252" w:lineRule="auto"/>
        <w:tabs>
          <w:tab w:leader="none" w:pos="13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xml:space="preserve"> .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1143"/>
        <w:spacing w:after="0" w:line="255"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xml:space="preserve"> .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xml:space="preserve"> .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xml:space="preserve"> .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left="4" w:firstLine="1143"/>
        <w:spacing w:after="0" w:line="265"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xml:space="preserve"> .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6" w:name="page77"/>
    <w:bookmarkEnd w:id="76"/>
    <w:p>
      <w:pPr>
        <w:jc w:val="both"/>
        <w:ind w:firstLine="1143"/>
        <w:spacing w:after="0" w:line="253" w:lineRule="auto"/>
        <w:tabs>
          <w:tab w:leader="none" w:pos="137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8" w:name="page79"/>
    <w:bookmarkEnd w:id="78"/>
    <w:p>
      <w:pPr>
        <w:ind w:left="1960" w:hanging="244"/>
        <w:spacing w:after="0"/>
        <w:tabs>
          <w:tab w:leader="none" w:pos="1960"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xml:space="preserve"> .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xml:space="preserve"> .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1" w:name="page92"/>
    <w:bookmarkEnd w:id="91"/>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xml:space="preserve"> .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xml:space="preserve"> .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xml:space="preserve"> .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11.9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 Before entry into this Agreement, the Company, Acquiror, the Company Manager and the Acquiror Adviser each delivered to the other party a schedule (the “</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Acquiror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Company Manager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Acquiror Adviser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respectively, each, a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as applicable, or to one or more covenants contained 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w:t>
      </w:r>
    </w:p>
    <w:p>
      <w:pPr>
        <w:spacing w:after="0" w:line="4" w:lineRule="exact"/>
        <w:rPr>
          <w:sz w:val="20"/>
          <w:szCs w:val="20"/>
          <w:color w:val="auto"/>
        </w:rPr>
      </w:pPr>
    </w:p>
    <w:p>
      <w:pPr>
        <w:ind w:left="4" w:right="20" w:hanging="4"/>
        <w:spacing w:after="0" w:line="258" w:lineRule="auto"/>
        <w:tabs>
          <w:tab w:leader="none" w:pos="3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sections or subsections of this Agreement to the extent it is reasonably apparent from a reading of the disclosure that such disclosure is applicable to such other sections or subsections.</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3" w:name="page94"/>
    <w:bookmarkEnd w:id="93"/>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firstLine="569"/>
        <w:spacing w:after="0" w:line="251"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8" w:name="page99"/>
    <w:bookmarkEnd w:id="98"/>
    <w:p>
      <w:pPr>
        <w:ind w:left="724" w:hanging="151"/>
        <w:spacing w:after="0"/>
        <w:tabs>
          <w:tab w:leader="none" w:pos="724" w:val="left"/>
        </w:tabs>
        <w:numPr>
          <w:ilvl w:val="1"/>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99" w:name="page100"/>
    <w:bookmarkEnd w:id="99"/>
    <w:p>
      <w:pPr>
        <w:ind w:left="151" w:hanging="151"/>
        <w:spacing w:after="0"/>
        <w:tabs>
          <w:tab w:leader="none" w:pos="151"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00" w:name="page101"/>
    <w:bookmarkEnd w:id="10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right="20" w:firstLine="583"/>
        <w:spacing w:after="0" w:line="274" w:lineRule="auto"/>
        <w:tabs>
          <w:tab w:leader="none" w:pos="724"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right="20" w:firstLine="583"/>
        <w:spacing w:after="0" w:line="253" w:lineRule="auto"/>
        <w:tabs>
          <w:tab w:leader="none" w:pos="733"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1" w:name="page102"/>
    <w:bookmarkEnd w:id="101"/>
    <w:p>
      <w:pPr>
        <w:ind w:right="20" w:firstLine="569"/>
        <w:spacing w:after="0" w:line="283"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jc w:val="both"/>
        <w:ind w:firstLine="569"/>
        <w:spacing w:after="0" w:line="254"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4" w:name="page105"/>
    <w:bookmarkEnd w:id="104"/>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8" w:name="page109"/>
    <w:bookmarkEnd w:id="108"/>
    <w:p>
      <w:pPr>
        <w:ind w:left="724" w:hanging="151"/>
        <w:spacing w:after="0"/>
        <w:tabs>
          <w:tab w:leader="none" w:pos="724" w:val="left"/>
        </w:tabs>
        <w:numPr>
          <w:ilvl w:val="1"/>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9" w:name="page110"/>
    <w:bookmarkEnd w:id="109"/>
    <w:p>
      <w:pPr>
        <w:ind w:left="151" w:hanging="151"/>
        <w:spacing w:after="0"/>
        <w:tabs>
          <w:tab w:leader="none" w:pos="151"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firstLine="583"/>
        <w:spacing w:after="0" w:line="257"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10" w:name="page111"/>
    <w:bookmarkEnd w:id="11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11" w:name="page112"/>
    <w:bookmarkEnd w:id="111"/>
    <w:p>
      <w:pPr>
        <w:ind w:right="20" w:firstLine="569"/>
        <w:spacing w:after="0" w:line="283"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2" w:name="page113"/>
    <w:bookmarkEnd w:id="112"/>
    <w:p>
      <w:pPr>
        <w:jc w:val="both"/>
        <w:ind w:firstLine="569"/>
        <w:spacing w:after="0" w:line="254"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4" w:name="page115"/>
    <w:bookmarkEnd w:id="114"/>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1005" w:right="1440"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137795</wp:posOffset>
            </wp:positionV>
            <wp:extent cx="1335405" cy="1039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4" w:lineRule="exact"/>
        <w:rPr>
          <w:sz w:val="20"/>
          <w:szCs w:val="20"/>
          <w:color w:val="auto"/>
        </w:rPr>
      </w:pPr>
    </w:p>
    <w:p>
      <w:pPr>
        <w:ind w:left="564" w:right="20" w:hanging="278"/>
        <w:spacing w:after="0" w:line="187" w:lineRule="auto"/>
        <w:tabs>
          <w:tab w:leader="none" w:pos="564" w:val="left"/>
        </w:tabs>
        <w:numPr>
          <w:ilvl w:val="0"/>
          <w:numId w:val="1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197" w:lineRule="exact"/>
        <w:rPr>
          <w:rFonts w:ascii="Times New Roman" w:cs="Times New Roman" w:eastAsia="Times New Roman" w:hAnsi="Times New Roman"/>
          <w:sz w:val="32"/>
          <w:szCs w:val="32"/>
          <w:color w:val="auto"/>
          <w:vertAlign w:val="superscript"/>
        </w:rPr>
      </w:pPr>
    </w:p>
    <w:p>
      <w:pPr>
        <w:ind w:left="564" w:right="20" w:hanging="278"/>
        <w:spacing w:after="0" w:line="283"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9070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9" w:lineRule="exact"/>
        <w:rPr>
          <w:sz w:val="20"/>
          <w:szCs w:val="20"/>
          <w:color w:val="auto"/>
        </w:rPr>
      </w:pPr>
    </w:p>
    <w:p>
      <w:pPr>
        <w:ind w:left="284" w:hanging="284"/>
        <w:spacing w:after="0"/>
        <w:tabs>
          <w:tab w:leader="none" w:pos="28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18" w:name="page119"/>
    <w:bookmarkEnd w:id="118"/>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Potential for Earnings Accretion–</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categories and may support increased earnings capacity over time through prudent use of leverage.</w:t>
      </w:r>
    </w:p>
    <w:p>
      <w:pPr>
        <w:spacing w:after="0" w:line="163" w:lineRule="exact"/>
        <w:rPr>
          <w:rFonts w:ascii="Times New Roman" w:cs="Times New Roman" w:eastAsia="Times New Roman" w:hAnsi="Times New Roman"/>
          <w:sz w:val="16"/>
          <w:szCs w:val="16"/>
          <w:color w:val="auto"/>
        </w:rPr>
      </w:pPr>
    </w:p>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2" w:name="page123"/>
    <w:bookmarkEnd w:id="12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lowerRoman"/>
      <w:start w:val="9"/>
    </w:lvl>
  </w:abstractNum>
  <w:abstractNum w:abstractNumId="3">
    <w:nsid w:val="D34B6A8"/>
    <w:multiLevelType w:val="hybridMultilevel"/>
    <w:lvl w:ilvl="0">
      <w:lvlJc w:val="left"/>
      <w:lvlText w:val="(%1)"/>
      <w:numFmt w:val="lowerRoman"/>
      <w:start w:val="2"/>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lowerLetter"/>
      <w:start w:val="1"/>
    </w:lvl>
  </w:abstractNum>
  <w:abstractNum w:abstractNumId="7">
    <w:nsid w:val="7E0C57B1"/>
    <w:multiLevelType w:val="hybridMultilevel"/>
    <w:lvl w:ilvl="0">
      <w:lvlJc w:val="left"/>
      <w:lvlText w:val="(%1)"/>
      <w:numFmt w:val="lowerLetter"/>
      <w:start w:val="6"/>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Roman"/>
      <w:start w:val="6"/>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3"/>
    </w:lvl>
  </w:abstractNum>
  <w:abstractNum w:abstractNumId="16">
    <w:nsid w:val="1F48EAA1"/>
    <w:multiLevelType w:val="hybridMultilevel"/>
    <w:lvl w:ilvl="0">
      <w:lvlJc w:val="left"/>
      <w:lvlText w:val="(%1)"/>
      <w:numFmt w:val="lowerLetter"/>
      <w:start w:val="1"/>
    </w:lvl>
  </w:abstractNum>
  <w:abstractNum w:abstractNumId="17">
    <w:nsid w:val="1381823A"/>
    <w:multiLevelType w:val="hybridMultilevel"/>
    <w:lvl w:ilvl="0">
      <w:lvlJc w:val="left"/>
      <w:lvlText w:val="(%1)"/>
      <w:numFmt w:val="lowerLetter"/>
      <w:start w:val="4"/>
    </w:lvl>
    <w:lvl w:ilvl="1">
      <w:lvlJc w:val="left"/>
      <w:lvlText w:val="(%2)"/>
      <w:numFmt w:val="lowerLetter"/>
      <w:start w:val="9"/>
    </w:lvl>
  </w:abstractNum>
  <w:abstractNum w:abstractNumId="18">
    <w:nsid w:val="5DB70AE5"/>
    <w:multiLevelType w:val="hybridMultilevel"/>
    <w:lvl w:ilvl="0">
      <w:lvlJc w:val="left"/>
      <w:lvlText w:val="%1"/>
      <w:numFmt w:val="lowerLetter"/>
      <w:start w:val="1"/>
    </w:lvl>
    <w:lvl w:ilvl="1">
      <w:lvlJc w:val="left"/>
      <w:lvlText w:val="(%2)"/>
      <w:numFmt w:val="lowerRoman"/>
      <w:start w:val="2"/>
    </w:lvl>
  </w:abstractNum>
  <w:abstractNum w:abstractNumId="19">
    <w:nsid w:val="100F8FCA"/>
    <w:multiLevelType w:val="hybridMultilevel"/>
    <w:lvl w:ilvl="0">
      <w:lvlJc w:val="left"/>
      <w:lvlText w:val="(%1)"/>
      <w:numFmt w:val="lowerLetter"/>
      <w:start w:val="8"/>
    </w:lvl>
    <w:lvl w:ilvl="1">
      <w:lvlJc w:val="left"/>
      <w:lvlText w:val="%2"/>
      <w:numFmt w:val="lowerRoman"/>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3"/>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lowerLetter"/>
      <w:start w:val="2"/>
    </w:lvl>
  </w:abstractNum>
  <w:abstractNum w:abstractNumId="24">
    <w:nsid w:val="799D0247"/>
    <w:multiLevelType w:val="hybridMultilevel"/>
    <w:lvl w:ilvl="0">
      <w:lvlJc w:val="left"/>
      <w:lvlText w:val="(%1)"/>
      <w:numFmt w:val="lowerLetter"/>
      <w:start w:val="8"/>
    </w:lvl>
  </w:abstractNum>
  <w:abstractNum w:abstractNumId="25">
    <w:nsid w:val="6B94764"/>
    <w:multiLevelType w:val="hybridMultilevel"/>
    <w:lvl w:ilvl="0">
      <w:lvlJc w:val="left"/>
      <w:lvlText w:val="(%1)"/>
      <w:numFmt w:val="lowerLetter"/>
      <w:start w:val="14"/>
    </w:lvl>
  </w:abstractNum>
  <w:abstractNum w:abstractNumId="26">
    <w:nsid w:val="42C296BD"/>
    <w:multiLevelType w:val="hybridMultilevel"/>
    <w:lvl w:ilvl="0">
      <w:lvlJc w:val="left"/>
      <w:lvlText w:val="(%1)"/>
      <w:numFmt w:val="lowerLetter"/>
      <w:start w:val="1"/>
    </w:lvl>
    <w:lvl w:ilvl="1">
      <w:lvlJc w:val="left"/>
      <w:lvlText w:val="(%2)"/>
      <w:numFmt w:val="lowerRoman"/>
      <w:start w:val="1"/>
    </w:lvl>
  </w:abstractNum>
  <w:abstractNum w:abstractNumId="27">
    <w:nsid w:val="168E121F"/>
    <w:multiLevelType w:val="hybridMultilevel"/>
    <w:lvl w:ilvl="0">
      <w:lvlJc w:val="left"/>
      <w:lvlText w:val="%1"/>
      <w:numFmt w:val="lowerLetter"/>
      <w:start w:val="1"/>
    </w:lvl>
    <w:lvl w:ilvl="1">
      <w:lvlJc w:val="left"/>
      <w:lvlText w:val="(%2)"/>
      <w:numFmt w:val="lowerRoman"/>
      <w:start w:val="4"/>
    </w:lvl>
  </w:abstractNum>
  <w:abstractNum w:abstractNumId="28">
    <w:nsid w:val="1EBA5D23"/>
    <w:multiLevelType w:val="hybridMultilevel"/>
    <w:lvl w:ilvl="0">
      <w:lvlJc w:val="left"/>
      <w:lvlText w:val="(%1)"/>
      <w:numFmt w:val="lowerLetter"/>
      <w:start w:val="2"/>
    </w:lvl>
    <w:lvl w:ilvl="1">
      <w:lvlJc w:val="left"/>
      <w:lvlText w:val="%2"/>
      <w:numFmt w:val="lowerRoman"/>
      <w:start w:val="1"/>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lowerLetter"/>
      <w:start w:val="2"/>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1"/>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lowerLetter"/>
      <w:start w:val="2"/>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lowerLetter"/>
      <w:start w:val="2"/>
    </w:lvl>
  </w:abstractNum>
  <w:abstractNum w:abstractNumId="37">
    <w:nsid w:val="42963E5A"/>
    <w:multiLevelType w:val="hybridMultilevel"/>
    <w:lvl w:ilvl="0">
      <w:lvlJc w:val="left"/>
      <w:lvlText w:val="(%1)"/>
      <w:numFmt w:val="lowerLetter"/>
      <w:start w:val="6"/>
    </w:lvl>
    <w:lvl w:ilvl="1">
      <w:lvlJc w:val="left"/>
      <w:lvlText w:val="(%2)"/>
      <w:numFmt w:val="lowerRoman"/>
      <w:start w:val="1"/>
    </w:lvl>
  </w:abstractNum>
  <w:abstractNum w:abstractNumId="38">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9">
    <w:nsid w:val="8F2B15E"/>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40">
    <w:nsid w:val="1A32234B"/>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3"/>
    </w:lvl>
  </w:abstractNum>
  <w:abstractNum w:abstractNumId="43">
    <w:nsid w:val="4962813B"/>
    <w:multiLevelType w:val="hybridMultilevel"/>
    <w:lvl w:ilvl="0">
      <w:lvlJc w:val="left"/>
      <w:lvlText w:val="(%1)"/>
      <w:numFmt w:val="lowerLetter"/>
      <w:start w:val="7"/>
    </w:lvl>
  </w:abstractNum>
  <w:abstractNum w:abstractNumId="44">
    <w:nsid w:val="60B6DF70"/>
    <w:multiLevelType w:val="hybridMultilevel"/>
    <w:lvl w:ilvl="0">
      <w:lvlJc w:val="left"/>
      <w:lvlText w:val="(%1)"/>
      <w:numFmt w:val="lowerLetter"/>
      <w:start w:val="1"/>
    </w:lvl>
  </w:abstractNum>
  <w:abstractNum w:abstractNumId="45">
    <w:nsid w:val="6A5EE64"/>
    <w:multiLevelType w:val="hybridMultilevel"/>
    <w:lvl w:ilvl="0">
      <w:lvlJc w:val="left"/>
      <w:lvlText w:val="(%1)"/>
      <w:numFmt w:val="lowerLetter"/>
      <w:start w:val="5"/>
    </w:lvl>
  </w:abstractNum>
  <w:abstractNum w:abstractNumId="46">
    <w:nsid w:val="14330624"/>
    <w:multiLevelType w:val="hybridMultilevel"/>
    <w:lvl w:ilvl="0">
      <w:lvlJc w:val="left"/>
      <w:lvlText w:val="(%1)"/>
      <w:numFmt w:val="lowerLetter"/>
      <w:start w:val="10"/>
    </w:lvl>
  </w:abstractNum>
  <w:abstractNum w:abstractNumId="47">
    <w:nsid w:val="7FFFCA11"/>
    <w:multiLevelType w:val="hybridMultilevel"/>
    <w:lvl w:ilvl="0">
      <w:lvlJc w:val="left"/>
      <w:lvlText w:val="(%1)"/>
      <w:numFmt w:val="lowerLetter"/>
      <w:start w:val="19"/>
    </w:lvl>
  </w:abstractNum>
  <w:abstractNum w:abstractNumId="48">
    <w:nsid w:val="1A27709E"/>
    <w:multiLevelType w:val="hybridMultilevel"/>
    <w:lvl w:ilvl="0">
      <w:lvlJc w:val="left"/>
      <w:lvlText w:val="(%1)"/>
      <w:numFmt w:val="lowerLetter"/>
      <w:start w:val="1"/>
    </w:lvl>
    <w:lvl w:ilvl="1">
      <w:lvlJc w:val="left"/>
      <w:lvlText w:val="(%2)"/>
      <w:numFmt w:val="lowerRoman"/>
      <w:start w:val="1"/>
    </w:lvl>
  </w:abstractNum>
  <w:abstractNum w:abstractNumId="49">
    <w:nsid w:val="71EA1109"/>
    <w:multiLevelType w:val="hybridMultilevel"/>
    <w:lvl w:ilvl="0">
      <w:lvlJc w:val="left"/>
      <w:lvlText w:val="%1"/>
      <w:numFmt w:val="lowerLetter"/>
      <w:start w:val="1"/>
    </w:lvl>
    <w:lvl w:ilvl="1">
      <w:lvlJc w:val="left"/>
      <w:lvlText w:val="(%2)"/>
      <w:numFmt w:val="lowerRoman"/>
      <w:start w:val="3"/>
    </w:lvl>
  </w:abstractNum>
  <w:abstractNum w:abstractNumId="50">
    <w:nsid w:val="100F59DC"/>
    <w:multiLevelType w:val="hybridMultilevel"/>
    <w:lvl w:ilvl="0">
      <w:lvlJc w:val="left"/>
      <w:lvlText w:val="(%1)"/>
      <w:numFmt w:val="lowerLetter"/>
      <w:start w:val="2"/>
    </w:lvl>
    <w:lvl w:ilvl="1">
      <w:lvlJc w:val="left"/>
      <w:lvlText w:val="%2"/>
      <w:numFmt w:val="lowerRoman"/>
      <w:start w:val="1"/>
    </w:lvl>
  </w:abstractNum>
  <w:abstractNum w:abstractNumId="51">
    <w:nsid w:val="7FB7E0AA"/>
    <w:multiLevelType w:val="hybridMultilevel"/>
    <w:lvl w:ilvl="0">
      <w:lvlJc w:val="left"/>
      <w:lvlText w:val="(%1)"/>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3"/>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Letter"/>
      <w:start w:val="3"/>
    </w:lvl>
  </w:abstractNum>
  <w:abstractNum w:abstractNumId="56">
    <w:nsid w:val="76272110"/>
    <w:multiLevelType w:val="hybridMultilevel"/>
    <w:lvl w:ilvl="0">
      <w:lvlJc w:val="left"/>
      <w:lvlText w:val="%1"/>
      <w:numFmt w:val="upperLetter"/>
      <w:start w:val="1"/>
    </w:lvl>
    <w:lvl w:ilvl="1">
      <w:lvlJc w:val="left"/>
      <w:lvlText w:val="(%2)"/>
      <w:numFmt w:val="lowerLetter"/>
      <w:start w:val="1"/>
    </w:lvl>
  </w:abstractNum>
  <w:abstractNum w:abstractNumId="57">
    <w:nsid w:val="4C04A8AF"/>
    <w:multiLevelType w:val="hybridMultilevel"/>
    <w:lvl w:ilvl="0">
      <w:lvlJc w:val="left"/>
      <w:lvlText w:val="(%1)"/>
      <w:numFmt w:val="upperLetter"/>
      <w:start w:val="1"/>
    </w:lvl>
    <w:lvl w:ilvl="1">
      <w:lvlJc w:val="left"/>
      <w:lvlText w:val="%2"/>
      <w:numFmt w:val="lowerLetter"/>
      <w:start w:val="1"/>
    </w:lvl>
  </w:abstractNum>
  <w:abstractNum w:abstractNumId="58">
    <w:nsid w:val="1716703B"/>
    <w:multiLevelType w:val="hybridMultilevel"/>
    <w:lvl w:ilvl="0">
      <w:lvlJc w:val="left"/>
      <w:lvlText w:val="(%1)"/>
      <w:numFmt w:val="lowerLetter"/>
      <w:start w:val="3"/>
    </w:lvl>
  </w:abstractNum>
  <w:abstractNum w:abstractNumId="59">
    <w:nsid w:val="14E17E33"/>
    <w:multiLevelType w:val="hybridMultilevel"/>
    <w:lvl w:ilvl="0">
      <w:lvlJc w:val="left"/>
      <w:lvlText w:val="(%1)"/>
      <w:numFmt w:val="lowerLetter"/>
      <w:start w:val="12"/>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2"/>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2"/>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2"/>
    </w:lvl>
  </w:abstractNum>
  <w:abstractNum w:abstractNumId="68">
    <w:nsid w:val="CC1016F"/>
    <w:multiLevelType w:val="hybridMultilevel"/>
    <w:lvl w:ilvl="0">
      <w:lvlJc w:val="left"/>
      <w:lvlText w:val="(%1)"/>
      <w:numFmt w:val="lowerLetter"/>
      <w:start w:val="1"/>
    </w:lvl>
    <w:lvl w:ilvl="1">
      <w:lvlJc w:val="left"/>
      <w:lvlText w:val="(%2)"/>
      <w:numFmt w:val="lowerRoman"/>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lowerLetter"/>
      <w:start w:val="6"/>
    </w:lvl>
  </w:abstractNum>
  <w:abstractNum w:abstractNumId="71">
    <w:nsid w:val="26F324BA"/>
    <w:multiLevelType w:val="hybridMultilevel"/>
    <w:lvl w:ilvl="0">
      <w:lvlJc w:val="left"/>
      <w:lvlText w:val="(%1)"/>
      <w:numFmt w:val="lowerLetter"/>
      <w:start w:val="1"/>
    </w:lvl>
    <w:lvl w:ilvl="1">
      <w:lvlJc w:val="left"/>
      <w:lvlText w:val="(%2)"/>
      <w:numFmt w:val="lowerRoman"/>
      <w:start w:val="1"/>
    </w:lvl>
  </w:abstractNum>
  <w:abstractNum w:abstractNumId="72">
    <w:nsid w:val="7F01579B"/>
    <w:multiLevelType w:val="hybridMultilevel"/>
    <w:lvl w:ilvl="0">
      <w:lvlJc w:val="left"/>
      <w:lvlText w:val="(%1)"/>
      <w:numFmt w:val="lowerLetter"/>
      <w:start w:val="2"/>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2"/>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3"/>
    </w:lvl>
  </w:abstractNum>
  <w:abstractNum w:abstractNumId="80">
    <w:nsid w:val="7672BD23"/>
    <w:multiLevelType w:val="hybridMultilevel"/>
    <w:lvl w:ilvl="0">
      <w:lvlJc w:val="left"/>
      <w:lvlText w:val="%1"/>
      <w:numFmt w:val="lowerLetter"/>
      <w:start w:val="1"/>
    </w:lvl>
    <w:lvl w:ilvl="1">
      <w:lvlJc w:val="left"/>
      <w:lvlText w:val="(%2)"/>
      <w:numFmt w:val="lowerLetter"/>
      <w:start w:val="1"/>
    </w:lvl>
  </w:abstractNum>
  <w:abstractNum w:abstractNumId="81">
    <w:nsid w:val="6FC75AF8"/>
    <w:multiLevelType w:val="hybridMultilevel"/>
    <w:lvl w:ilvl="0">
      <w:lvlJc w:val="left"/>
      <w:lvlText w:val="(%1)"/>
      <w:numFmt w:val="lowerLetter"/>
      <w:start w:val="35"/>
    </w:lvl>
    <w:lvl w:ilvl="1">
      <w:lvlJc w:val="left"/>
      <w:lvlText w:val="%2"/>
      <w:numFmt w:val="lowerLetter"/>
      <w:start w:val="1"/>
    </w:lvl>
  </w:abstractNum>
  <w:abstractNum w:abstractNumId="82">
    <w:nsid w:val="6A5F7029"/>
    <w:multiLevelType w:val="hybridMultilevel"/>
    <w:lvl w:ilvl="0">
      <w:lvlJc w:val="left"/>
      <w:lvlText w:val="(%1)"/>
      <w:numFmt w:val="lowerLetter"/>
      <w:start w:val="2"/>
    </w:lvl>
  </w:abstractNum>
  <w:abstractNum w:abstractNumId="83">
    <w:nsid w:val="7D5E18F8"/>
    <w:multiLevelType w:val="hybridMultilevel"/>
    <w:lvl w:ilvl="0">
      <w:lvlJc w:val="left"/>
      <w:lvlText w:val="(%1)"/>
      <w:numFmt w:val="lowerLetter"/>
      <w:start w:val="1"/>
    </w:lvl>
    <w:lvl w:ilvl="1">
      <w:lvlJc w:val="left"/>
      <w:lvlText w:val="(%2)"/>
      <w:numFmt w:val="lowerRoman"/>
      <w:start w:val="1"/>
    </w:lvl>
  </w:abstractNum>
  <w:abstractNum w:abstractNumId="84">
    <w:nsid w:val="5F3534A4"/>
    <w:multiLevelType w:val="hybridMultilevel"/>
    <w:lvl w:ilvl="0">
      <w:lvlJc w:val="left"/>
      <w:lvlText w:val="(%1)"/>
      <w:numFmt w:val="lowerLetter"/>
      <w:start w:val="3"/>
    </w:lvl>
    <w:lvl w:ilvl="1">
      <w:lvlJc w:val="left"/>
      <w:lvlText w:val="(%2)"/>
      <w:numFmt w:val="lowerLetter"/>
      <w:start w:val="9"/>
    </w:lvl>
  </w:abstractNum>
  <w:abstractNum w:abstractNumId="85">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6">
    <w:nsid w:val="7DE6771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7">
    <w:nsid w:val="555C55B5"/>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8">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14FCE74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Roman"/>
      <w:start w:val="3"/>
    </w:lvl>
  </w:abstractNum>
  <w:abstractNum w:abstractNumId="92">
    <w:nsid w:val="9DAF632"/>
    <w:multiLevelType w:val="hybridMultilevel"/>
    <w:lvl w:ilvl="0">
      <w:lvlJc w:val="left"/>
      <w:lvlText w:val="%1."/>
      <w:numFmt w:val="decimal"/>
      <w:start w:val="1"/>
    </w:lvl>
    <w:lvl w:ilvl="1">
      <w:lvlJc w:val="left"/>
      <w:lvlText w:val="%2."/>
      <w:numFmt w:val="lowerLetter"/>
      <w:start w:val="1"/>
    </w:lvl>
  </w:abstractNum>
  <w:abstractNum w:abstractNumId="93">
    <w:nsid w:val="53299938"/>
    <w:multiLevelType w:val="hybridMultilevel"/>
    <w:lvl w:ilvl="0">
      <w:lvlJc w:val="left"/>
      <w:lvlText w:val="%1."/>
      <w:numFmt w:val="decimal"/>
      <w:start w:val="1"/>
    </w:lvl>
    <w:lvl w:ilvl="1">
      <w:lvlJc w:val="left"/>
      <w:lvlText w:val="%2."/>
      <w:numFmt w:val="lowerLetter"/>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6">
    <w:nsid w:val="1D545C4D"/>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97">
    <w:nsid w:val="59ADEA3D"/>
    <w:multiLevelType w:val="hybridMultilevel"/>
    <w:lvl w:ilvl="0">
      <w:lvlJc w:val="left"/>
      <w:lvlText w:val="%1."/>
      <w:numFmt w:val="decimal"/>
      <w:start w:val="4"/>
    </w:lvl>
    <w:lvl w:ilvl="1">
      <w:lvlJc w:val="left"/>
      <w:lvlText w:val="%2."/>
      <w:numFmt w:val="lowerLetter"/>
      <w:start w:val="1"/>
    </w:lvl>
  </w:abstractNum>
  <w:abstractNum w:abstractNumId="98">
    <w:nsid w:val="288F1A34"/>
    <w:multiLevelType w:val="hybridMultilevel"/>
    <w:lvl w:ilvl="0">
      <w:lvlJc w:val="left"/>
      <w:lvlText w:val="%1."/>
      <w:numFmt w:val="decimal"/>
      <w:start w:val="5"/>
    </w:lvl>
    <w:lvl w:ilvl="1">
      <w:lvlJc w:val="left"/>
      <w:lvlText w:val="%2."/>
      <w:numFmt w:val="lowerLetter"/>
      <w:start w:val="1"/>
    </w:lvl>
  </w:abstractNum>
  <w:abstractNum w:abstractNumId="99">
    <w:nsid w:val="2A155DBC"/>
    <w:multiLevelType w:val="hybridMultilevel"/>
    <w:lvl w:ilvl="0">
      <w:lvlJc w:val="left"/>
      <w:lvlText w:val="%1."/>
      <w:numFmt w:val="decimal"/>
      <w:start w:val="6"/>
    </w:lvl>
  </w:abstractNum>
  <w:abstractNum w:abstractNumId="100">
    <w:nsid w:val="1D9F6E5F"/>
    <w:multiLevelType w:val="hybridMultilevel"/>
    <w:lvl w:ilvl="0">
      <w:lvlJc w:val="left"/>
      <w:lvlText w:val="%1."/>
      <w:numFmt w:val="decimal"/>
      <w:start w:val="10"/>
    </w:lvl>
  </w:abstractNum>
  <w:abstractNum w:abstractNumId="101">
    <w:nsid w:val="97E1B4E"/>
    <w:multiLevelType w:val="hybridMultilevel"/>
    <w:lvl w:ilvl="0">
      <w:lvlJc w:val="left"/>
      <w:lvlText w:val="%1."/>
      <w:numFmt w:val="decimal"/>
      <w:start w:val="14"/>
    </w:lvl>
  </w:abstractNum>
  <w:abstractNum w:abstractNumId="102">
    <w:nsid w:val="51088277"/>
    <w:multiLevelType w:val="hybridMultilevel"/>
    <w:lvl w:ilvl="0">
      <w:lvlJc w:val="left"/>
      <w:lvlText w:val="%1."/>
      <w:numFmt w:val="decimal"/>
      <w:start w:val="17"/>
    </w:lvl>
  </w:abstractNum>
  <w:abstractNum w:abstractNumId="103">
    <w:nsid w:val="1CA0C5FA"/>
    <w:multiLevelType w:val="hybridMultilevel"/>
    <w:lvl w:ilvl="0">
      <w:lvlJc w:val="left"/>
      <w:lvlText w:val="(%1)"/>
      <w:numFmt w:val="lowerRoman"/>
      <w:start w:val="2"/>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6">
    <w:nsid w:val="7C58FD05"/>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7">
    <w:nsid w:val="23D86AAC"/>
    <w:multiLevelType w:val="hybridMultilevel"/>
    <w:lvl w:ilvl="0">
      <w:lvlJc w:val="left"/>
      <w:lvlText w:val="%1."/>
      <w:numFmt w:val="decimal"/>
      <w:start w:val="4"/>
    </w:lvl>
    <w:lvl w:ilvl="1">
      <w:lvlJc w:val="left"/>
      <w:lvlText w:val="%2."/>
      <w:numFmt w:val="lowerLetter"/>
      <w:start w:val="1"/>
    </w:lvl>
  </w:abstractNum>
  <w:abstractNum w:abstractNumId="108">
    <w:nsid w:val="45E6D486"/>
    <w:multiLevelType w:val="hybridMultilevel"/>
    <w:lvl w:ilvl="0">
      <w:lvlJc w:val="left"/>
      <w:lvlText w:val="%1."/>
      <w:numFmt w:val="decimal"/>
      <w:start w:val="5"/>
    </w:lvl>
    <w:lvl w:ilvl="1">
      <w:lvlJc w:val="left"/>
      <w:lvlText w:val="%2."/>
      <w:numFmt w:val="lowerLetter"/>
      <w:start w:val="1"/>
    </w:lvl>
  </w:abstractNum>
  <w:abstractNum w:abstractNumId="109">
    <w:nsid w:val="5C10FE21"/>
    <w:multiLevelType w:val="hybridMultilevel"/>
    <w:lvl w:ilvl="0">
      <w:lvlJc w:val="left"/>
      <w:lvlText w:val="%1."/>
      <w:numFmt w:val="decimal"/>
      <w:start w:val="6"/>
    </w:lvl>
  </w:abstractNum>
  <w:abstractNum w:abstractNumId="110">
    <w:nsid w:val="E7FFA2B"/>
    <w:multiLevelType w:val="hybridMultilevel"/>
    <w:lvl w:ilvl="0">
      <w:lvlJc w:val="left"/>
      <w:lvlText w:val="%1."/>
      <w:numFmt w:val="decimal"/>
      <w:start w:val="10"/>
    </w:lvl>
  </w:abstractNum>
  <w:abstractNum w:abstractNumId="111">
    <w:nsid w:val="3C5991AA"/>
    <w:multiLevelType w:val="hybridMultilevel"/>
    <w:lvl w:ilvl="0">
      <w:lvlJc w:val="left"/>
      <w:lvlText w:val="%1."/>
      <w:numFmt w:val="decimal"/>
      <w:start w:val="14"/>
    </w:lvl>
  </w:abstractNum>
  <w:abstractNum w:abstractNumId="112">
    <w:nsid w:val="4BD8591A"/>
    <w:multiLevelType w:val="hybridMultilevel"/>
    <w:lvl w:ilvl="0">
      <w:lvlJc w:val="left"/>
      <w:lvlText w:val="%1."/>
      <w:numFmt w:val="decimal"/>
      <w:start w:val="17"/>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bullet"/>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2026-06-18T06:05:46Z</dcterms:created>
  <dcterms:modified xsi:type="dcterms:W3CDTF">2026-06-18T06:05:46Z</dcterms:modified>
</cp:coreProperties>
</file>