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900" w:right="1080" w:hanging="2814"/>
        <w:spacing w:after="0" w:line="328" w:lineRule="auto"/>
        <w:tabs>
          <w:tab w:leader="none" w:pos="1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7" w:lineRule="exact"/>
        <w:rPr>
          <w:sz w:val="24"/>
          <w:szCs w:val="24"/>
          <w:color w:val="auto"/>
        </w:rPr>
      </w:pPr>
    </w:p>
    <w:p>
      <w:pPr>
        <w:ind w:left="4300" w:right="1080" w:hanging="3206"/>
        <w:spacing w:after="0" w:line="360" w:lineRule="auto"/>
        <w:tabs>
          <w:tab w:leader="none" w:pos="14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BDC,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86-2872887</w:t>
            </w:r>
          </w:p>
        </w:tc>
      </w:tr>
      <w:tr>
        <w:trPr>
          <w:trHeight w:val="216"/>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980" w:type="dxa"/>
            <w:vAlign w:val="bottom"/>
          </w:tcPr>
          <w:p>
            <w:pPr>
              <w:spacing w:after="0"/>
              <w:rPr>
                <w:sz w:val="18"/>
                <w:szCs w:val="18"/>
                <w:color w:val="auto"/>
              </w:rPr>
            </w:pPr>
          </w:p>
        </w:tc>
      </w:tr>
      <w:tr>
        <w:trPr>
          <w:trHeight w:val="234"/>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9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10"/>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600 Madison Avenue, Suite 1800</w:t>
            </w:r>
          </w:p>
        </w:tc>
        <w:tc>
          <w:tcPr>
            <w:tcW w:w="3980" w:type="dxa"/>
            <w:vAlign w:val="bottom"/>
          </w:tcPr>
          <w:p>
            <w:pPr>
              <w:spacing w:after="0"/>
              <w:rPr>
                <w:sz w:val="24"/>
                <w:szCs w:val="24"/>
                <w:color w:val="auto"/>
              </w:rPr>
            </w:pPr>
          </w:p>
        </w:tc>
      </w:tr>
      <w:tr>
        <w:trPr>
          <w:trHeight w:val="220"/>
        </w:trPr>
        <w:tc>
          <w:tcPr>
            <w:tcW w:w="438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9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438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625-9295</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97"/>
        </w:trPr>
        <w:tc>
          <w:tcPr>
            <w:tcW w:w="466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LIEN</w:t>
            </w:r>
          </w:p>
        </w:tc>
        <w:tc>
          <w:tcPr>
            <w:tcW w:w="16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44"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76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13, 2026, the registrant had 22,820,590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4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CHICAGO ATLANTIC BDC, INC.</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4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6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140" w:type="dxa"/>
            <w:vAlign w:val="bottom"/>
            <w:gridSpan w:val="18"/>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2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140" w:type="dxa"/>
            <w:vAlign w:val="bottom"/>
            <w:gridSpan w:val="18"/>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Assets and Liabilities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Operations</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Changes in Net Assets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Cash Flows</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Schedule of Investments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7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40" w:type="dxa"/>
            <w:vAlign w:val="bottom"/>
            <w:gridSpan w:val="18"/>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140" w:type="dxa"/>
            <w:vAlign w:val="bottom"/>
            <w:gridSpan w:val="18"/>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2260" w:type="dxa"/>
            <w:vAlign w:val="bottom"/>
            <w:shd w:val="clear" w:color="auto" w:fill="CCEEFF"/>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1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1195"/>
        </w:trPr>
        <w:tc>
          <w:tcPr>
            <w:tcW w:w="8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4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7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10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CFF0FC"/>
              <w:bottom w:val="single" w:sz="8" w:color="9A9A9A"/>
            </w:tcBorders>
          </w:tcPr>
          <w:p>
            <w:pPr>
              <w:spacing w:after="0"/>
              <w:rPr>
                <w:sz w:val="24"/>
                <w:szCs w:val="24"/>
                <w:color w:val="auto"/>
              </w:rPr>
            </w:pPr>
          </w:p>
        </w:tc>
        <w:tc>
          <w:tcPr>
            <w:tcW w:w="226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suggests otherwise, the terms “we,” “us,” “our,” “the Company,” and “LIEN” refer to Chicago Atlantic BDC, Inc. In addition, the terms “Adviser,” “investment adviser” and “administrator” refer to Chicago Atlantic BDC Advisers, LLC, our external investment adviser and administrator.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spacing w:after="0" w:line="108"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potential impact of tariff enactment and tax reductions, and the risk of recession or a shutdown of government services, which could impact our business prospects and the prospects of our portfolio companies;</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distribution projections;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attract and retain highly talented professionals;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our portfolio companies;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we expect to make;</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the timing of our investments in our initial portfolio;</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impacting the cannabis industry;</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annual report on Form 10-K for the fiscal year ended December 31, 2025 and elsewhere in this quarterly report on Form 10-Q. Other factors that could cause actual results to differ materially include:</w:t>
      </w:r>
    </w:p>
    <w:p>
      <w:pPr>
        <w:spacing w:after="0" w:line="12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potential disruptions in our operations, the economy, financial markets or political environment;</w:t>
      </w:r>
    </w:p>
    <w:p>
      <w:pPr>
        <w:spacing w:after="0" w:line="1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our operations or the economy generally due to terrorism, natural disasters, the conflicts between Russia and Ukraine and in the Middle East, and the potential for volatility in energy prices and other commodities and their impact on the industries in which we invest;</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and cybersecurity attacks;</w:t>
      </w:r>
    </w:p>
    <w:p>
      <w:pPr>
        <w:spacing w:after="0" w:line="10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laws or regulations (including the interpretation of these laws and regulations by regulatory authorities) and conditions in our operating areas, particularly with respect to business development companies or regulated investment companies; and</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considerations that may be disclosed from time to time in our publicly disseminated documents and filings.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346,596,232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Non-controlled affiliate investments</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17,370,481</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9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investments at fair value (amortized cost of $364,290,996 and $332,209,170, respectively)</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4,358,743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3,175,591</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3,346,316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2,934,752</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1,305,750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770,292</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from affiliates</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152,958</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1,804,032</w:t>
            </w:r>
          </w:p>
        </w:tc>
        <w:tc>
          <w:tcPr>
            <w:tcW w:w="120" w:type="dxa"/>
            <w:vAlign w:val="bottom"/>
            <w:shd w:val="clear" w:color="auto" w:fill="CFF0FC"/>
          </w:tcPr>
          <w:p>
            <w:pPr>
              <w:spacing w:after="0"/>
              <w:rPr>
                <w:sz w:val="17"/>
                <w:szCs w:val="17"/>
                <w:color w:val="auto"/>
              </w:rPr>
            </w:pPr>
          </w:p>
        </w:tc>
      </w:tr>
      <w:tr>
        <w:trPr>
          <w:trHeight w:val="196"/>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373,130,480</w:t>
            </w:r>
          </w:p>
        </w:tc>
        <w:tc>
          <w:tcPr>
            <w:tcW w:w="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341,996,454</w:t>
            </w:r>
          </w:p>
        </w:tc>
        <w:tc>
          <w:tcPr>
            <w:tcW w:w="120" w:type="dxa"/>
            <w:vAlign w:val="bottom"/>
          </w:tcPr>
          <w:p>
            <w:pPr>
              <w:spacing w:after="0"/>
              <w:rPr>
                <w:sz w:val="17"/>
                <w:szCs w:val="17"/>
                <w:color w:val="auto"/>
              </w:rPr>
            </w:pPr>
          </w:p>
        </w:tc>
      </w:tr>
      <w:tr>
        <w:trPr>
          <w:trHeight w:val="196"/>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Revolving line of credit</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payable</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2,457,290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2,073,319</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fee payable</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1,529,360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1,446,470</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1,359,256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1,311,604</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876,266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284,774</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 payable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464,846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456,616</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163,473</w:t>
            </w:r>
          </w:p>
        </w:tc>
        <w:tc>
          <w:tcPr>
            <w:tcW w:w="120" w:type="dxa"/>
            <w:vAlign w:val="bottom"/>
            <w:shd w:val="clear" w:color="auto" w:fill="CFF0FC"/>
          </w:tcPr>
          <w:p>
            <w:pPr>
              <w:spacing w:after="0"/>
              <w:rPr>
                <w:sz w:val="17"/>
                <w:szCs w:val="17"/>
                <w:color w:val="auto"/>
              </w:rPr>
            </w:pPr>
          </w:p>
        </w:tc>
      </w:tr>
      <w:tr>
        <w:trPr>
          <w:trHeight w:val="202"/>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Excise tax payable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69,609</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Unearned interest income</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23,514</w:t>
            </w:r>
          </w:p>
        </w:tc>
        <w:tc>
          <w:tcPr>
            <w:tcW w:w="120" w:type="dxa"/>
            <w:vAlign w:val="bottom"/>
            <w:shd w:val="clear" w:color="auto" w:fill="CFF0FC"/>
          </w:tcPr>
          <w:p>
            <w:pPr>
              <w:spacing w:after="0"/>
              <w:rPr>
                <w:sz w:val="17"/>
                <w:szCs w:val="17"/>
                <w:color w:val="auto"/>
              </w:rPr>
            </w:pPr>
          </w:p>
        </w:tc>
      </w:tr>
      <w:tr>
        <w:trPr>
          <w:trHeight w:val="196"/>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68,946,019</w:t>
            </w:r>
          </w:p>
        </w:tc>
        <w:tc>
          <w:tcPr>
            <w:tcW w:w="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38,588,380</w:t>
            </w:r>
          </w:p>
        </w:tc>
        <w:tc>
          <w:tcPr>
            <w:tcW w:w="120" w:type="dxa"/>
            <w:vAlign w:val="bottom"/>
          </w:tcPr>
          <w:p>
            <w:pPr>
              <w:spacing w:after="0"/>
              <w:rPr>
                <w:sz w:val="17"/>
                <w:szCs w:val="17"/>
                <w:color w:val="auto"/>
              </w:rPr>
            </w:pPr>
          </w:p>
        </w:tc>
      </w:tr>
      <w:tr>
        <w:trPr>
          <w:trHeight w:val="196"/>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402"/>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$0.01 par value, 100,000,000 shares authorized, 22,820,590 and 22,820,590 shares issued and</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respectively</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228,206</w:t>
            </w:r>
          </w:p>
        </w:tc>
        <w:tc>
          <w:tcPr>
            <w:tcW w:w="120" w:type="dxa"/>
            <w:vAlign w:val="bottom"/>
            <w:shd w:val="clear" w:color="auto" w:fill="CFF0FC"/>
          </w:tcPr>
          <w:p>
            <w:pPr>
              <w:spacing w:after="0"/>
              <w:rPr>
                <w:sz w:val="18"/>
                <w:szCs w:val="18"/>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303,079,082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303,154,218</w:t>
            </w:r>
          </w:p>
        </w:tc>
        <w:tc>
          <w:tcPr>
            <w:tcW w:w="120" w:type="dxa"/>
            <w:vAlign w:val="bottom"/>
          </w:tcPr>
          <w:p>
            <w:pPr>
              <w:spacing w:after="0"/>
              <w:rPr>
                <w:sz w:val="17"/>
                <w:szCs w:val="17"/>
                <w:color w:val="auto"/>
              </w:rPr>
            </w:pPr>
          </w:p>
        </w:tc>
      </w:tr>
      <w:tr>
        <w:trPr>
          <w:trHeight w:val="203"/>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Distributable earnings</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877,173</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25,650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304,184,461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303,408,074</w:t>
            </w:r>
          </w:p>
        </w:tc>
        <w:tc>
          <w:tcPr>
            <w:tcW w:w="12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shd w:val="clear" w:color="auto" w:fill="CFF0FC"/>
          </w:tcPr>
          <w:p>
            <w:pPr>
              <w:spacing w:after="0"/>
              <w:rPr>
                <w:sz w:val="18"/>
                <w:szCs w:val="18"/>
                <w:color w:val="auto"/>
              </w:rPr>
            </w:pP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-3175000</wp:posOffset>
            </wp:positionV>
            <wp:extent cx="93980" cy="170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-3175000</wp:posOffset>
            </wp:positionV>
            <wp:extent cx="102870" cy="170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-1486535</wp:posOffset>
            </wp:positionV>
            <wp:extent cx="939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-1486535</wp:posOffset>
            </wp:positionV>
            <wp:extent cx="1028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196"/>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Non-controlled/non-affiliate investment income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13,780,772</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11,279,456</w:t>
            </w: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Fee income</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2,096,857</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643,546</w:t>
            </w:r>
          </w:p>
        </w:tc>
      </w:tr>
      <w:tr>
        <w:trPr>
          <w:trHeight w:val="196"/>
        </w:trPr>
        <w:tc>
          <w:tcPr>
            <w:tcW w:w="7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investment income from non-controlled/non-affiliate investments</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15,877,629</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11,923,002</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Non-controlled affiliate investment income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802,644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Fee income</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22,500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4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investment income from non-controlled affiliate investments</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825,144</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16,702,773</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11,923,002</w:t>
            </w:r>
          </w:p>
        </w:tc>
      </w:tr>
      <w:tr>
        <w:trPr>
          <w:trHeight w:val="196"/>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2,457,289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1,916,277</w:t>
            </w:r>
          </w:p>
        </w:tc>
      </w:tr>
      <w:tr>
        <w:trPr>
          <w:trHeight w:val="203"/>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Management fee</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1,529,359</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1,260,875</w:t>
            </w: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1,212,784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974,477</w:t>
            </w:r>
          </w:p>
        </w:tc>
      </w:tr>
      <w:tr>
        <w:trPr>
          <w:trHeight w:val="203"/>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1,024,542</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145,381</w:t>
            </w: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198,238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215,726</w:t>
            </w:r>
          </w:p>
        </w:tc>
      </w:tr>
      <w:tr>
        <w:trPr>
          <w:trHeight w:val="203"/>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Audit expense</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153,750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190,002</w:t>
            </w: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146,106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144,422</w:t>
            </w:r>
          </w:p>
        </w:tc>
      </w:tr>
      <w:tr>
        <w:trPr>
          <w:trHeight w:val="203"/>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Sub-administrator fees</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133,410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157,785</w:t>
            </w:r>
          </w:p>
        </w:tc>
      </w:tr>
      <w:tr>
        <w:trPr>
          <w:trHeight w:val="202"/>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Legal expenses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250,926</w:t>
            </w:r>
          </w:p>
        </w:tc>
      </w:tr>
      <w:tr>
        <w:trPr>
          <w:trHeight w:val="203"/>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Excise tax expense</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2,730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2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(163,473)</w:t>
            </w:r>
          </w:p>
        </w:tc>
        <w:tc>
          <w:tcPr>
            <w:tcW w:w="1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w:t>
            </w:r>
          </w:p>
        </w:tc>
      </w:tr>
      <w:tr>
        <w:trPr>
          <w:trHeight w:val="19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6,740,485</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5,249,058</w:t>
            </w:r>
          </w:p>
        </w:tc>
      </w:tr>
      <w:tr>
        <w:trPr>
          <w:trHeight w:val="196"/>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Waiver of general and administrative expense (Note 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(658,477)</w:t>
            </w:r>
          </w:p>
        </w:tc>
      </w:tr>
      <w:tr>
        <w:trPr>
          <w:trHeight w:val="203"/>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Expense limitation agreement (Note 6)</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(316,000)</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6,740,485</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4,274,581</w:t>
            </w:r>
          </w:p>
        </w:tc>
      </w:tr>
      <w:tr>
        <w:trPr>
          <w:trHeight w:val="19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9,962,288</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7,648,421</w:t>
            </w:r>
          </w:p>
        </w:tc>
      </w:tr>
      <w:tr>
        <w:trPr>
          <w:trHeight w:val="395"/>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GAIN (LOSS) FROM INVESTMENTS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5"/>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Non-controlled affiliate investments</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realized gain (loss) from investments</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95"/>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 (DEPRECIATION) ON INVESTMENTS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5"/>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Non-controlled non-affiliate investments</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(2,487,070)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(34,064)</w:t>
            </w: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Non-controlled affiliate investments</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1,060,170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 (depreciation) on investments</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(1,426,900)</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(34,064)</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and unrealized gains (losses)</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(1,426,900)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(34,064)</w:t>
            </w:r>
          </w:p>
        </w:tc>
      </w:tr>
      <w:tr>
        <w:trPr>
          <w:trHeight w:val="196"/>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2"/>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8,535,388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7,614,357</w:t>
            </w: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r>
        <w:trPr>
          <w:trHeight w:val="383"/>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 PER SHARE - BASIC AND DILUTED</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0.34</w:t>
            </w:r>
          </w:p>
        </w:tc>
      </w:tr>
      <w:tr>
        <w:trPr>
          <w:trHeight w:val="19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 PER SHARE -</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218"/>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BASIC AND DILUTED</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0.33</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 BASIC AND DILUTED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22,820,590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22,820,386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-4892040</wp:posOffset>
            </wp:positionV>
            <wp:extent cx="111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-3087370</wp:posOffset>
            </wp:positionV>
            <wp:extent cx="1365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65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-2671445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-2397125</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-1737360</wp:posOffset>
            </wp:positionV>
            <wp:extent cx="111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-1076960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-674370</wp:posOffset>
            </wp:positionV>
            <wp:extent cx="111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-657225</wp:posOffset>
            </wp:positionV>
            <wp:extent cx="111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Distributable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Loss)</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22,820,590</w:t>
            </w:r>
          </w:p>
        </w:tc>
        <w:tc>
          <w:tcPr>
            <w:tcW w:w="420" w:type="dxa"/>
            <w:vAlign w:val="bottom"/>
            <w:tcBorders>
              <w:left w:val="single" w:sz="8" w:color="CFF0FC"/>
            </w:tcBorders>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228,206</w:t>
            </w:r>
          </w:p>
        </w:tc>
        <w:tc>
          <w:tcPr>
            <w:tcW w:w="3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303,154,218</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25,650</w:t>
            </w:r>
          </w:p>
        </w:tc>
        <w:tc>
          <w:tcPr>
            <w:tcW w:w="1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303,408,074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9,962,288</w:t>
            </w:r>
          </w:p>
        </w:tc>
        <w:tc>
          <w:tcPr>
            <w:tcW w:w="1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9,962,288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FF0FC"/>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(1,426,900)</w:t>
            </w:r>
          </w:p>
        </w:tc>
        <w:tc>
          <w:tcPr>
            <w:tcW w:w="1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(1,426,900)</w:t>
            </w: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220" w:type="dxa"/>
            <w:vAlign w:val="bottom"/>
            <w:vMerge w:val="continue"/>
            <w:shd w:val="clear" w:color="auto" w:fill="CFF0FC"/>
          </w:tcPr>
          <w:p>
            <w:pPr>
              <w:spacing w:after="0"/>
              <w:rPr>
                <w:sz w:val="17"/>
                <w:szCs w:val="17"/>
                <w:color w:val="auto"/>
              </w:rPr>
            </w:pP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80" w:type="dxa"/>
            <w:vAlign w:val="bottom"/>
            <w:tcBorders>
              <w:top w:val="single" w:sz="8" w:color="CFF0FC"/>
            </w:tcBorders>
            <w:gridSpan w:val="2"/>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resulting from</w:t>
            </w:r>
          </w:p>
        </w:tc>
        <w:tc>
          <w:tcPr>
            <w:tcW w:w="12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operations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1220" w:type="dxa"/>
            <w:vAlign w:val="bottom"/>
            <w:shd w:val="clear" w:color="auto" w:fill="CFF0FC"/>
          </w:tcPr>
          <w:p>
            <w:pPr>
              <w:spacing w:after="0"/>
              <w:rPr>
                <w:sz w:val="17"/>
                <w:szCs w:val="17"/>
                <w:color w:val="auto"/>
              </w:rPr>
            </w:pP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Investment income-net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(7,759,001)</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776,387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776,387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permanent adjustments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(75,136)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March 31, 2026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22,820,590</w:t>
            </w:r>
          </w:p>
        </w:tc>
        <w:tc>
          <w:tcPr>
            <w:tcW w:w="420" w:type="dxa"/>
            <w:vAlign w:val="bottom"/>
            <w:tcBorders>
              <w:left w:val="single" w:sz="8" w:color="CFF0FC"/>
            </w:tcBorders>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228,206</w:t>
            </w:r>
          </w:p>
        </w:tc>
        <w:tc>
          <w:tcPr>
            <w:tcW w:w="3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303,079,082</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877,173</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304,184,461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Distributable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22,820,386</w:t>
            </w:r>
          </w:p>
        </w:tc>
        <w:tc>
          <w:tcPr>
            <w:tcW w:w="280" w:type="dxa"/>
            <w:vAlign w:val="bottom"/>
          </w:tcPr>
          <w:p>
            <w:pPr>
              <w:spacing w:after="0"/>
              <w:rPr>
                <w:sz w:val="17"/>
                <w:szCs w:val="17"/>
                <w:color w:val="auto"/>
              </w:rPr>
            </w:pPr>
          </w:p>
        </w:tc>
        <w:tc>
          <w:tcPr>
            <w:tcW w:w="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228,204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303,272,034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(2,337,660)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301,162,578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w:t>
            </w:r>
          </w:p>
        </w:tc>
        <w:tc>
          <w:tcPr>
            <w:tcW w:w="1220" w:type="dxa"/>
            <w:vAlign w:val="bottom"/>
            <w:shd w:val="clear" w:color="auto" w:fill="CFF0FC"/>
          </w:tcPr>
          <w:p>
            <w:pPr>
              <w:spacing w:after="0"/>
              <w:rPr>
                <w:sz w:val="16"/>
                <w:szCs w:val="16"/>
                <w:color w:val="auto"/>
              </w:rPr>
            </w:pPr>
          </w:p>
        </w:tc>
        <w:tc>
          <w:tcPr>
            <w:tcW w:w="280" w:type="dxa"/>
            <w:vAlign w:val="bottom"/>
            <w:tcBorders>
              <w:left w:val="single" w:sz="8" w:color="CFF0FC"/>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operations</w:t>
            </w:r>
          </w:p>
        </w:tc>
        <w:tc>
          <w:tcPr>
            <w:tcW w:w="122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7,648,421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7,648,421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FF0FC"/>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(34,064)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(34,064)</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3"/>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60" w:type="dxa"/>
            <w:vAlign w:val="bottom"/>
            <w:tcBorders>
              <w:top w:val="single" w:sz="8" w:color="CFF0FC"/>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resulting from</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operations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7,614,357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7,614,357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1220" w:type="dxa"/>
            <w:vAlign w:val="bottom"/>
            <w:shd w:val="clear" w:color="auto" w:fill="CFF0FC"/>
          </w:tcPr>
          <w:p>
            <w:pPr>
              <w:spacing w:after="0"/>
              <w:rPr>
                <w:sz w:val="17"/>
                <w:szCs w:val="17"/>
                <w:color w:val="auto"/>
              </w:rPr>
            </w:pP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income-net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(7,758,931)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(7,758,931)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(144,574)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(144,574)</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Effect of permanent adjustments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(120,003)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22,820,386</w:t>
            </w:r>
          </w:p>
        </w:tc>
        <w:tc>
          <w:tcPr>
            <w:tcW w:w="420" w:type="dxa"/>
            <w:vAlign w:val="bottom"/>
            <w:tcBorders>
              <w:left w:val="single" w:sz="8" w:color="CFF0FC"/>
            </w:tcBorders>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228,204</w:t>
            </w:r>
          </w:p>
        </w:tc>
        <w:tc>
          <w:tcPr>
            <w:tcW w:w="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303,152,031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(2,362,231)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301,018,004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-3479800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-3479800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-3479800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-3479800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-2819400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-2819400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-2819400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-2819400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-2545080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-2527935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-2545080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-2527935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-2545080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-2527935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-2545080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-2527935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-959485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-959485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-959485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-959485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-299720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-299720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-299720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-299720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2"/>
        </w:trPr>
        <w:tc>
          <w:tcPr>
            <w:tcW w:w="6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7"/>
                <w:szCs w:val="17"/>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8,535,388</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7,614,357</w:t>
            </w:r>
          </w:p>
        </w:tc>
        <w:tc>
          <w:tcPr>
            <w:tcW w:w="120" w:type="dxa"/>
            <w:vAlign w:val="bottom"/>
          </w:tcPr>
          <w:p>
            <w:pPr>
              <w:spacing w:after="0"/>
              <w:rPr>
                <w:sz w:val="17"/>
                <w:szCs w:val="17"/>
                <w:color w:val="auto"/>
              </w:rPr>
            </w:pPr>
          </w:p>
        </w:tc>
      </w:tr>
      <w:tr>
        <w:trPr>
          <w:trHeight w:val="189"/>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increase (decrease) in net assets resulting from</w:t>
            </w: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operations to net cash provided by (used in) operating activities:</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 investments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1,426,900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34,064</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(accretion of discounts) and amortization of premiums</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(1,393,660)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(522,907)</w:t>
            </w: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of investments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(92,690,828)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(20,601,132)</w:t>
            </w: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PIK interest capitalized</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(1,379,114)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(573,375)</w:t>
            </w: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sales of investments and principal repayments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63,381,776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7,642,007</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174,718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145,381</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(Increase) Decrease in operating assets: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Interest receivable</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(1,183,152)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520,774</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Due from affiliates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1,651,074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(2,841,259)</w:t>
            </w: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(210,176)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(251,015)</w:t>
            </w: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 for investment sold</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4,122,500</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Increase (Decrease) in operating liabilities:</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123,920</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Management fee payable</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82,890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580,888</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(163,473)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(6,813)</w:t>
            </w: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Professional fees payable</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297,793</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Transaction fees payable related to the Loan Portfolio Acquisition</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(2,945,125)</w:t>
            </w: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payables</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591,492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16,597</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Due to affiliates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(707,785)</w:t>
            </w: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Excise tax payable</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(69,609)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(88,709)</w:t>
            </w: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Unearned interest income</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175,517</w:t>
            </w:r>
          </w:p>
        </w:tc>
        <w:tc>
          <w:tcPr>
            <w:tcW w:w="12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(20,829,435)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(7,264,322)</w:t>
            </w:r>
          </w:p>
        </w:tc>
      </w:tr>
      <w:tr>
        <w:trPr>
          <w:trHeight w:val="396"/>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05"/>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Offering costs paid</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(989,645)</w:t>
            </w: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paid</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Financing costs paid</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(756,700)</w:t>
            </w: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borrowings on revolving line of credit</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Principal payments under revolving line of credit</w:t>
            </w: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(15,500,000)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
        </w:trPr>
        <w:tc>
          <w:tcPr>
            <w:tcW w:w="63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21,240,999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(1,746,345)</w:t>
            </w:r>
          </w:p>
        </w:tc>
      </w:tr>
      <w:tr>
        <w:trPr>
          <w:trHeight w:val="20"/>
        </w:trPr>
        <w:tc>
          <w:tcPr>
            <w:tcW w:w="6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-1053465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-144780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-144780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411,564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(9,010,667)</w:t>
            </w:r>
          </w:p>
        </w:tc>
      </w:tr>
      <w:tr>
        <w:trPr>
          <w:trHeight w:val="210"/>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2,934,752</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23,932,406</w:t>
            </w:r>
          </w:p>
        </w:tc>
        <w:tc>
          <w:tcPr>
            <w:tcW w:w="60" w:type="dxa"/>
            <w:vAlign w:val="bottom"/>
          </w:tcPr>
          <w:p>
            <w:pPr>
              <w:spacing w:after="0"/>
              <w:rPr>
                <w:sz w:val="18"/>
                <w:szCs w:val="18"/>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3,346,316</w:t>
            </w:r>
          </w:p>
        </w:tc>
        <w:tc>
          <w:tcPr>
            <w:tcW w:w="260" w:type="dxa"/>
            <w:vAlign w:val="bottom"/>
          </w:tcPr>
          <w:p>
            <w:pPr>
              <w:spacing w:after="0"/>
              <w:rPr>
                <w:sz w:val="17"/>
                <w:szCs w:val="17"/>
                <w:color w:val="auto"/>
              </w:rPr>
            </w:pP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14,921,739</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-419735</wp:posOffset>
            </wp:positionV>
            <wp:extent cx="71323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-153670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6920" w:space="720"/>
            <w:col w:w="36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5"/>
        </w:trPr>
        <w:tc>
          <w:tcPr>
            <w:tcW w:w="5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Excise taxes paid</w:t>
            </w:r>
          </w:p>
        </w:tc>
        <w:tc>
          <w:tcPr>
            <w:tcW w:w="2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72,339</w:t>
            </w:r>
          </w:p>
        </w:tc>
        <w:tc>
          <w:tcPr>
            <w:tcW w:w="7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115,357</w:t>
            </w:r>
          </w:p>
        </w:tc>
      </w:tr>
      <w:tr>
        <w:trPr>
          <w:trHeight w:val="203"/>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 paid</w:t>
            </w:r>
          </w:p>
        </w:tc>
        <w:tc>
          <w:tcPr>
            <w:tcW w:w="2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142,235</w:t>
            </w:r>
          </w:p>
        </w:tc>
        <w:tc>
          <w:tcPr>
            <w:tcW w:w="7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Non-cash operating, financing and investing activity</w:t>
            </w:r>
          </w:p>
        </w:tc>
        <w:tc>
          <w:tcPr>
            <w:tcW w:w="25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0"/>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Accrual for deferred financing costs (Note 2)</w:t>
            </w:r>
          </w:p>
        </w:tc>
        <w:tc>
          <w:tcPr>
            <w:tcW w:w="2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500,000</w:t>
            </w:r>
          </w:p>
        </w:tc>
        <w:tc>
          <w:tcPr>
            <w:tcW w:w="7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725,867</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15"/>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9"/>
                <w:szCs w:val="9"/>
                <w:color w:val="auto"/>
              </w:rPr>
            </w:pPr>
          </w:p>
        </w:tc>
        <w:tc>
          <w:tcPr>
            <w:tcW w:w="800" w:type="dxa"/>
            <w:vAlign w:val="bottom"/>
            <w:gridSpan w:val="2"/>
          </w:tcPr>
          <w:p>
            <w:pPr>
              <w:jc w:val="right"/>
              <w:ind w:right="420"/>
              <w:spacing w:after="0" w:line="111" w:lineRule="exact"/>
              <w:rPr>
                <w:sz w:val="20"/>
                <w:szCs w:val="20"/>
                <w:color w:val="auto"/>
              </w:rPr>
            </w:pPr>
            <w:r>
              <w:rPr>
                <w:rFonts w:ascii="Times New Roman" w:cs="Times New Roman" w:eastAsia="Times New Roman" w:hAnsi="Times New Roman"/>
                <w:sz w:val="11"/>
                <w:szCs w:val="11"/>
                <w:b w:val="1"/>
                <w:bCs w:val="1"/>
                <w:color w:val="auto"/>
              </w:rPr>
              <w:t>All in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xml:space="preserve">Benchmark </w:t>
            </w:r>
            <w:r>
              <w:rPr>
                <w:rFonts w:ascii="Times New Roman" w:cs="Times New Roman" w:eastAsia="Times New Roman" w:hAnsi="Times New Roman"/>
                <w:sz w:val="14"/>
                <w:szCs w:val="14"/>
                <w:b w:val="1"/>
                <w:bCs w:val="1"/>
                <w:color w:val="auto"/>
                <w:w w:val="96"/>
                <w:vertAlign w:val="superscript"/>
              </w:rPr>
              <w:t>(3)</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 xml:space="preserve">Par </w:t>
            </w:r>
            <w:r>
              <w:rPr>
                <w:rFonts w:ascii="Times New Roman" w:cs="Times New Roman" w:eastAsia="Times New Roman" w:hAnsi="Times New Roman"/>
                <w:sz w:val="14"/>
                <w:szCs w:val="14"/>
                <w:b w:val="1"/>
                <w:bCs w:val="1"/>
                <w:color w:val="auto"/>
                <w:w w:val="97"/>
                <w:vertAlign w:val="superscript"/>
              </w:rPr>
              <w:t>(2)</w:t>
            </w:r>
          </w:p>
        </w:tc>
        <w:tc>
          <w:tcPr>
            <w:tcW w:w="22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5"/>
              </w:rPr>
              <w:t>Amortize</w:t>
            </w:r>
          </w:p>
        </w:tc>
        <w:tc>
          <w:tcPr>
            <w:tcW w:w="220" w:type="dxa"/>
            <w:vAlign w:val="bottom"/>
          </w:tcPr>
          <w:p>
            <w:pPr>
              <w:spacing w:after="0"/>
              <w:rPr>
                <w:sz w:val="9"/>
                <w:szCs w:val="9"/>
                <w:color w:val="auto"/>
              </w:rPr>
            </w:pPr>
          </w:p>
        </w:tc>
        <w:tc>
          <w:tcPr>
            <w:tcW w:w="540" w:type="dxa"/>
            <w:vAlign w:val="bottom"/>
          </w:tcPr>
          <w:p>
            <w:pPr>
              <w:jc w:val="right"/>
              <w:ind w:right="12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00" w:type="dxa"/>
            <w:vAlign w:val="bottom"/>
          </w:tcPr>
          <w:p>
            <w:pPr>
              <w:spacing w:after="0"/>
              <w:rPr>
                <w:sz w:val="9"/>
                <w:szCs w:val="9"/>
                <w:color w:val="auto"/>
              </w:rPr>
            </w:pP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14"/>
          </w:tcPr>
          <w:p>
            <w:pPr>
              <w:ind w:left="10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Pr>
          <w:p>
            <w:pPr>
              <w:spacing w:after="0"/>
              <w:rPr>
                <w:sz w:val="12"/>
                <w:szCs w:val="12"/>
                <w:color w:val="auto"/>
              </w:rPr>
            </w:pPr>
          </w:p>
        </w:tc>
        <w:tc>
          <w:tcPr>
            <w:tcW w:w="11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Type</w:t>
            </w:r>
          </w:p>
        </w:tc>
        <w:tc>
          <w:tcPr>
            <w:tcW w:w="140" w:type="dxa"/>
            <w:vAlign w:val="bottom"/>
          </w:tcPr>
          <w:p>
            <w:pPr>
              <w:spacing w:after="0"/>
              <w:rPr>
                <w:sz w:val="12"/>
                <w:szCs w:val="12"/>
                <w:color w:val="auto"/>
              </w:rPr>
            </w:pPr>
          </w:p>
        </w:tc>
        <w:tc>
          <w:tcPr>
            <w:tcW w:w="5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Rate</w:t>
            </w:r>
          </w:p>
        </w:tc>
        <w:tc>
          <w:tcPr>
            <w:tcW w:w="24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260" w:type="dxa"/>
            <w:vAlign w:val="bottom"/>
          </w:tcPr>
          <w:p>
            <w:pPr>
              <w:spacing w:after="0"/>
              <w:rPr>
                <w:sz w:val="12"/>
                <w:szCs w:val="12"/>
                <w:color w:val="auto"/>
              </w:rPr>
            </w:pPr>
          </w:p>
        </w:tc>
        <w:tc>
          <w:tcPr>
            <w:tcW w:w="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PIK</w:t>
            </w:r>
          </w:p>
        </w:tc>
        <w:tc>
          <w:tcPr>
            <w:tcW w:w="220" w:type="dxa"/>
            <w:vAlign w:val="bottom"/>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Floor</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2"/>
                <w:szCs w:val="12"/>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1"/>
                <w:szCs w:val="11"/>
                <w:b w:val="1"/>
                <w:bCs w:val="1"/>
                <w:color w:val="auto"/>
                <w:w w:val="87"/>
              </w:rPr>
              <w:t>d Cost</w:t>
            </w:r>
            <w:r>
              <w:rPr>
                <w:rFonts w:ascii="Times New Roman" w:cs="Times New Roman" w:eastAsia="Times New Roman" w:hAnsi="Times New Roman"/>
                <w:sz w:val="14"/>
                <w:szCs w:val="14"/>
                <w:b w:val="1"/>
                <w:bCs w:val="1"/>
                <w:color w:val="auto"/>
                <w:w w:val="87"/>
                <w:vertAlign w:val="superscript"/>
              </w:rPr>
              <w:t>(15)</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ind w:right="46"/>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1"/>
        </w:trPr>
        <w:tc>
          <w:tcPr>
            <w:tcW w:w="1540" w:type="dxa"/>
            <w:vAlign w:val="bottom"/>
            <w:gridSpan w:val="15"/>
            <w:vMerge w:val="restart"/>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Investments at Fair Value</w:t>
            </w: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left="46"/>
              <w:spacing w:after="0" w:line="102" w:lineRule="exact"/>
              <w:rPr>
                <w:sz w:val="20"/>
                <w:szCs w:val="20"/>
                <w:color w:val="auto"/>
              </w:rPr>
            </w:pPr>
            <w:r>
              <w:rPr>
                <w:rFonts w:ascii="Times New Roman" w:cs="Times New Roman" w:eastAsia="Times New Roman" w:hAnsi="Times New Roman"/>
                <w:sz w:val="11"/>
                <w:szCs w:val="11"/>
                <w:color w:val="auto"/>
                <w:w w:val="99"/>
              </w:rPr>
              <w:t>(1)(5)(16)</w:t>
            </w:r>
          </w:p>
        </w:tc>
        <w:tc>
          <w:tcPr>
            <w:tcW w:w="0" w:type="dxa"/>
            <w:vAlign w:val="bottom"/>
          </w:tcPr>
          <w:p>
            <w:pPr>
              <w:spacing w:after="0"/>
              <w:rPr>
                <w:sz w:val="1"/>
                <w:szCs w:val="1"/>
                <w:color w:val="auto"/>
              </w:rPr>
            </w:pPr>
          </w:p>
        </w:tc>
      </w:tr>
      <w:tr>
        <w:trPr>
          <w:trHeight w:val="122"/>
        </w:trPr>
        <w:tc>
          <w:tcPr>
            <w:tcW w:w="1540" w:type="dxa"/>
            <w:vAlign w:val="bottom"/>
            <w:gridSpan w:val="15"/>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(17)</w:t>
            </w:r>
          </w:p>
        </w:tc>
        <w:tc>
          <w:tcPr>
            <w:tcW w:w="0" w:type="dxa"/>
            <w:vAlign w:val="bottom"/>
          </w:tcPr>
          <w:p>
            <w:pPr>
              <w:spacing w:after="0"/>
              <w:rPr>
                <w:sz w:val="1"/>
                <w:szCs w:val="1"/>
                <w:color w:val="auto"/>
              </w:rPr>
            </w:pPr>
          </w:p>
        </w:tc>
      </w:tr>
      <w:tr>
        <w:trPr>
          <w:trHeight w:val="102"/>
        </w:trPr>
        <w:tc>
          <w:tcPr>
            <w:tcW w:w="920" w:type="dxa"/>
            <w:vAlign w:val="bottom"/>
            <w:tcBorders>
              <w:top w:val="single" w:sz="8" w:color="auto"/>
              <w:bottom w:val="single" w:sz="8" w:color="auto"/>
            </w:tcBorders>
            <w:gridSpan w:val="6"/>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8"/>
              </w:rPr>
              <w:t>US Corporate Debt</w:t>
            </w:r>
          </w:p>
        </w:tc>
        <w:tc>
          <w:tcPr>
            <w:tcW w:w="280" w:type="dxa"/>
            <w:vAlign w:val="bottom"/>
            <w:tcBorders>
              <w:top w:val="single" w:sz="8" w:color="auto"/>
            </w:tcBorders>
            <w:gridSpan w:val="6"/>
          </w:tcPr>
          <w:p>
            <w:pPr>
              <w:spacing w:after="0"/>
              <w:rPr>
                <w:sz w:val="8"/>
                <w:szCs w:val="8"/>
                <w:color w:val="auto"/>
              </w:rPr>
            </w:pPr>
          </w:p>
        </w:tc>
        <w:tc>
          <w:tcPr>
            <w:tcW w:w="340" w:type="dxa"/>
            <w:vAlign w:val="bottom"/>
            <w:tcBorders>
              <w:top w:val="single" w:sz="8" w:color="CFF0FC"/>
            </w:tcBorders>
            <w:gridSpan w:val="3"/>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54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First Lien Senior Secured U.S.</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440" w:type="dxa"/>
            <w:vAlign w:val="bottom"/>
            <w:tcBorders>
              <w:top w:val="single" w:sz="8" w:color="auto"/>
            </w:tcBorders>
            <w:gridSpan w:val="1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Debt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40" w:type="dxa"/>
            <w:vAlign w:val="bottom"/>
            <w:gridSpan w:val="15"/>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9"/>
              </w:rPr>
              <w:t>Administrative and Support and</w:t>
            </w: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520" w:type="dxa"/>
            <w:vAlign w:val="bottom"/>
            <w:tcBorders>
              <w:top w:val="single" w:sz="8" w:color="auto"/>
            </w:tcBorders>
            <w:gridSpan w:val="14"/>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Waste Management and</w:t>
            </w:r>
          </w:p>
        </w:tc>
        <w:tc>
          <w:tcPr>
            <w:tcW w:w="2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1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Borders>
              <w:top w:val="single" w:sz="8" w:color="auto"/>
            </w:tcBorders>
            <w:gridSpan w:val="11"/>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Remediation Services</w:t>
            </w:r>
          </w:p>
        </w:tc>
        <w:tc>
          <w:tcPr>
            <w:tcW w:w="380" w:type="dxa"/>
            <w:vAlign w:val="bottom"/>
            <w:tcBorders>
              <w:top w:val="single" w:sz="8" w:color="CFF0FC"/>
            </w:tcBorders>
            <w:gridSpan w:val="4"/>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1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3.2</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680" w:type="dxa"/>
            <w:vAlign w:val="bottom"/>
            <w:tcBorders>
              <w:top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2,938</w:t>
            </w:r>
          </w:p>
        </w:tc>
        <w:tc>
          <w:tcPr>
            <w:tcW w:w="760" w:type="dxa"/>
            <w:vAlign w:val="bottom"/>
            <w:tcBorders>
              <w:top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2,923</w:t>
            </w:r>
          </w:p>
        </w:tc>
        <w:tc>
          <w:tcPr>
            <w:tcW w:w="940" w:type="dxa"/>
            <w:vAlign w:val="bottom"/>
            <w:tcBorders>
              <w:top w:val="single" w:sz="8" w:color="CFF0FC"/>
            </w:tcBorders>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1.0%</w:t>
            </w: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gridSpan w:val="15"/>
          </w:tcPr>
          <w:p>
            <w:pPr>
              <w:spacing w:after="0" w:line="122" w:lineRule="exact"/>
              <w:rPr>
                <w:sz w:val="20"/>
                <w:szCs w:val="20"/>
                <w:color w:val="auto"/>
              </w:rPr>
            </w:pPr>
            <w:r>
              <w:rPr>
                <w:rFonts w:ascii="Times New Roman" w:cs="Times New Roman" w:eastAsia="Times New Roman" w:hAnsi="Times New Roman"/>
                <w:sz w:val="11"/>
                <w:szCs w:val="11"/>
                <w:color w:val="auto"/>
              </w:rPr>
              <w:t>Hugo Technologies, Inc.</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11.67%</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12/10/2025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12/10/2030</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2,938</w:t>
            </w:r>
          </w:p>
        </w:tc>
        <w:tc>
          <w:tcPr>
            <w:tcW w:w="6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540" w:type="dxa"/>
            <w:vAlign w:val="bottom"/>
            <w:gridSpan w:val="15"/>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Administrative and</w:t>
            </w: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Support and Waste</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Management and Remediation</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Services</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2,938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2,923</w:t>
            </w:r>
          </w:p>
        </w:tc>
        <w:tc>
          <w:tcPr>
            <w:tcW w:w="94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40" w:type="dxa"/>
            <w:vAlign w:val="bottom"/>
            <w:gridSpan w:val="15"/>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2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7.0</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Aeriz Holdings Corp</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5.75%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6/30/2028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9,302</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3.1%</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13,47</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BeLeaf Medical,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8/20/2025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8/20/2028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13,471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13,403</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4.4%</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20.0</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16,31</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CO Acquisition Vehicle LLC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20.00%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9/30/2025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12/31/2029</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16,310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17,370</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5.7%</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6"/>
              </w:rPr>
              <w:t>(9)(20)</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Cresco Labs,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12.50%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8/13/2025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8/13/2030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7,050</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2.3%</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31,74</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Dreamfields Brands,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16.25%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8.75%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5/3/2023</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9/30/2028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31,716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31,429</w:t>
            </w:r>
          </w:p>
        </w:tc>
        <w:tc>
          <w:tcPr>
            <w:tcW w:w="94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color w:val="auto"/>
                <w:w w:val="98"/>
              </w:rPr>
              <w:t>10.3%</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Elevation Cannabis,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16.25%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7.75%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7,149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7,074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7,149</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2.4%</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13,87</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Flowery - Bill's Nursery,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5.00%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13,856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13,734</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4.5%</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Fluent Corp.</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11/24/2028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8,503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8,404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8,418</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2.8%</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13.0</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Fluent Corp.</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3/17/2026</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0.3%</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HA-MD,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6/6/2026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2,765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2,765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2,765</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0.9%</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14,82</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Illicit - S1 Enterprises,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13.96%</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10.24%</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12/31/2025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14,466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14,375</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4.7%</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Kaleafa,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17.00%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12/3/2027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2,669</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0.9%</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1540" w:type="dxa"/>
            <w:vAlign w:val="bottom"/>
            <w:gridSpan w:val="15"/>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Kapple Holdings LLC (Cannabis</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&amp; Glass)</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14.25%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10.25%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3/28/2025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7/28/2028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5,950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5,970</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2.0%</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13,89</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Nova Farms,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3/28/2027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13,469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13,475</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4.4%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Oasis - AZ GOAT AZ LLC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3/31/2027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4,193</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4,183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4,088</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1.3%</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11,04</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Shangri-La Columbia,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6/30/2028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10,874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10,874</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3.6%</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(10)(18)</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7.7</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Silver Therapeutics,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7.25%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3/26/2025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3/24/2028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6,171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6,171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6,047</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2.0%</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Subsero Holdings - Illinois,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7/29/2026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2,644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2,763</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0.9%</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TerrAscend Corporation</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7/15/2025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rPr>
              <w:t>8/1/2028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2,967</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2,853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2,878</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0.9%</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TheraTrue,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3/18/2025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3/13/2027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3,001</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1.0%</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38,32</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11.66%</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7.66%</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3/11/2026</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3/11/2029</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38,325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38,325</w:t>
            </w:r>
          </w:p>
        </w:tc>
        <w:tc>
          <w:tcPr>
            <w:tcW w:w="94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color w:val="auto"/>
                <w:w w:val="98"/>
              </w:rPr>
              <w:t>12.6%</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26,66</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Revolver</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12.33%</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8.33%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9/30/2025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2/28/2029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26,667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26,533</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8.7%</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Wellgreens</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7/24/2025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7/31/2029</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4,391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4,303</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1.4%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(11)(19)</w:t>
            </w:r>
          </w:p>
        </w:tc>
        <w:tc>
          <w:tcPr>
            <w:tcW w:w="0" w:type="dxa"/>
            <w:vAlign w:val="bottom"/>
          </w:tcPr>
          <w:p>
            <w:pPr>
              <w:spacing w:after="0"/>
              <w:rPr>
                <w:sz w:val="1"/>
                <w:szCs w:val="1"/>
                <w:color w:val="auto"/>
              </w:rPr>
            </w:pPr>
          </w:p>
        </w:tc>
      </w:tr>
      <w:tr>
        <w:trPr>
          <w:trHeight w:val="108"/>
        </w:trPr>
        <w:tc>
          <w:tcPr>
            <w:tcW w:w="1540" w:type="dxa"/>
            <w:vAlign w:val="bottom"/>
            <w:gridSpan w:val="15"/>
          </w:tcPr>
          <w:p>
            <w:pPr>
              <w:spacing w:after="0" w:line="108" w:lineRule="exact"/>
              <w:rPr>
                <w:sz w:val="20"/>
                <w:szCs w:val="20"/>
                <w:color w:val="auto"/>
              </w:rPr>
            </w:pPr>
            <w:r>
              <w:rPr>
                <w:rFonts w:ascii="Times New Roman" w:cs="Times New Roman" w:eastAsia="Times New Roman" w:hAnsi="Times New Roman"/>
                <w:sz w:val="11"/>
                <w:szCs w:val="11"/>
                <w:color w:val="auto"/>
              </w:rPr>
              <w:t>Wyld - Northwest</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6.7</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11,75</w:t>
            </w:r>
          </w:p>
        </w:tc>
        <w:tc>
          <w:tcPr>
            <w:tcW w:w="220" w:type="dxa"/>
            <w:vAlign w:val="bottom"/>
            <w:vMerge w:val="restart"/>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11,750</w:t>
            </w:r>
          </w:p>
        </w:tc>
        <w:tc>
          <w:tcPr>
            <w:tcW w:w="220" w:type="dxa"/>
            <w:vAlign w:val="bottom"/>
            <w:vMerge w:val="restart"/>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11,750</w:t>
            </w:r>
          </w:p>
        </w:tc>
        <w:tc>
          <w:tcPr>
            <w:tcW w:w="200" w:type="dxa"/>
            <w:vAlign w:val="bottom"/>
            <w:vMerge w:val="restart"/>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3.9%</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40" w:type="dxa"/>
            <w:vAlign w:val="bottom"/>
            <w:gridSpan w:val="15"/>
          </w:tcPr>
          <w:p>
            <w:pPr>
              <w:spacing w:after="0" w:line="122" w:lineRule="exact"/>
              <w:rPr>
                <w:sz w:val="20"/>
                <w:szCs w:val="20"/>
                <w:color w:val="auto"/>
              </w:rPr>
            </w:pPr>
            <w:r>
              <w:rPr>
                <w:rFonts w:ascii="Times New Roman" w:cs="Times New Roman" w:eastAsia="Times New Roman" w:hAnsi="Times New Roman"/>
                <w:sz w:val="11"/>
                <w:szCs w:val="11"/>
                <w:color w:val="auto"/>
              </w:rPr>
              <w:t>Commonwealth, LLC</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16.67%</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8.42%</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1/30/2026</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1/30/2029</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99"/>
        </w:trPr>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68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258,69</w:t>
            </w: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Cannabis</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258,510</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85.0%</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gridSpan w:val="7"/>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Educational Services</w:t>
            </w:r>
          </w:p>
        </w:tc>
        <w:tc>
          <w:tcPr>
            <w:tcW w:w="560" w:type="dxa"/>
            <w:vAlign w:val="bottom"/>
            <w:gridSpan w:val="8"/>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540" w:type="dxa"/>
            <w:vAlign w:val="bottom"/>
            <w:gridSpan w:val="15"/>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Energize Holdings, Inc. (d/b/a</w:t>
            </w: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3.9</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4,968</w:t>
            </w:r>
          </w:p>
        </w:tc>
        <w:tc>
          <w:tcPr>
            <w:tcW w:w="220" w:type="dxa"/>
            <w:vAlign w:val="bottom"/>
            <w:vMerge w:val="restart"/>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1.6%</w:t>
            </w: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Exos)</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11.99%</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10/24/2025</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10/24/2029</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15"/>
        </w:trPr>
        <w:tc>
          <w:tcPr>
            <w:tcW w:w="154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Educational Services</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4,968</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4,925</w:t>
            </w:r>
          </w:p>
        </w:tc>
        <w:tc>
          <w:tcPr>
            <w:tcW w:w="9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1.6%</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gridSpan w:val="15"/>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Engage3 Holdings,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2.50%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7/22/2025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7/22/2030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1.9%</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1540" w:type="dxa"/>
            <w:vAlign w:val="bottom"/>
            <w:gridSpan w:val="15"/>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Protect Animals With Satellites</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6.7</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LLC (Halo Collar)</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3.25%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2.00%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3/30/2031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3,573</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3,499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3,573</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1.2%</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1540" w:type="dxa"/>
            <w:vAlign w:val="bottom"/>
            <w:gridSpan w:val="15"/>
          </w:tcPr>
          <w:p>
            <w:pPr>
              <w:spacing w:after="0" w:line="108" w:lineRule="exact"/>
              <w:rPr>
                <w:sz w:val="20"/>
                <w:szCs w:val="20"/>
                <w:color w:val="auto"/>
              </w:rPr>
            </w:pPr>
            <w:r>
              <w:rPr>
                <w:rFonts w:ascii="Times New Roman" w:cs="Times New Roman" w:eastAsia="Times New Roman" w:hAnsi="Times New Roman"/>
                <w:sz w:val="11"/>
                <w:szCs w:val="11"/>
                <w:color w:val="auto"/>
              </w:rPr>
              <w:t>Protect Animals With Satellites</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6.7</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1,801</w:t>
            </w:r>
          </w:p>
        </w:tc>
        <w:tc>
          <w:tcPr>
            <w:tcW w:w="220" w:type="dxa"/>
            <w:vAlign w:val="bottom"/>
            <w:vMerge w:val="restart"/>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1,839</w:t>
            </w:r>
          </w:p>
        </w:tc>
        <w:tc>
          <w:tcPr>
            <w:tcW w:w="200" w:type="dxa"/>
            <w:vAlign w:val="bottom"/>
            <w:vMerge w:val="restart"/>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0.6%</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40" w:type="dxa"/>
            <w:vAlign w:val="bottom"/>
            <w:gridSpan w:val="15"/>
          </w:tcPr>
          <w:p>
            <w:pPr>
              <w:spacing w:after="0" w:line="122" w:lineRule="exact"/>
              <w:rPr>
                <w:sz w:val="20"/>
                <w:szCs w:val="20"/>
                <w:color w:val="auto"/>
              </w:rPr>
            </w:pPr>
            <w:r>
              <w:rPr>
                <w:rFonts w:ascii="Times New Roman" w:cs="Times New Roman" w:eastAsia="Times New Roman" w:hAnsi="Times New Roman"/>
                <w:sz w:val="11"/>
                <w:szCs w:val="11"/>
                <w:color w:val="auto"/>
              </w:rPr>
              <w:t>LLC (Halo Collar)</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Incremental 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3.25%</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3/30/2031</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1,839</w:t>
            </w: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15"/>
        </w:trPr>
        <w:tc>
          <w:tcPr>
            <w:tcW w:w="1540" w:type="dxa"/>
            <w:vAlign w:val="bottom"/>
            <w:gridSpan w:val="15"/>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11,155</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11,223</w:t>
            </w:r>
          </w:p>
        </w:tc>
        <w:tc>
          <w:tcPr>
            <w:tcW w:w="94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3.7%</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gridSpan w:val="15"/>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Manufacturing</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2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color w:val="auto"/>
              </w:rPr>
              <w:t>Action Target,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1.50%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8/29/2025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7/19/2027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2,412</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2,412</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0.8%</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6.7</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Ocular Science,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5.25%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12/17/2025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6/17/2029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5,010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4,872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4,760</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1.6%</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6.7</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7,250</w:t>
            </w:r>
          </w:p>
        </w:tc>
        <w:tc>
          <w:tcPr>
            <w:tcW w:w="220" w:type="dxa"/>
            <w:vAlign w:val="bottom"/>
            <w:vMerge w:val="restart"/>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7,250</w:t>
            </w:r>
          </w:p>
        </w:tc>
        <w:tc>
          <w:tcPr>
            <w:tcW w:w="200" w:type="dxa"/>
            <w:vAlign w:val="bottom"/>
            <w:vMerge w:val="restart"/>
            <w:shd w:val="clear" w:color="auto" w:fill="CFF0FC"/>
          </w:tcPr>
          <w:p>
            <w:pPr>
              <w:spacing w:after="0"/>
              <w:rPr>
                <w:sz w:val="9"/>
                <w:szCs w:val="9"/>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2.4%</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Round 2 Holdings, LLC</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13.00%</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5.25%</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3/2/2026</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3/2/2030</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7,500</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15"/>
        </w:trPr>
        <w:tc>
          <w:tcPr>
            <w:tcW w:w="154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Manufacturing</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14,534</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14,422</w:t>
            </w:r>
          </w:p>
        </w:tc>
        <w:tc>
          <w:tcPr>
            <w:tcW w:w="9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4.8%</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bottom w:val="single" w:sz="8" w:color="auto"/>
            </w:tcBorders>
            <w:gridSpan w:val="9"/>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Public Administration</w:t>
            </w:r>
          </w:p>
        </w:tc>
        <w:tc>
          <w:tcPr>
            <w:tcW w:w="500" w:type="dxa"/>
            <w:vAlign w:val="bottom"/>
            <w:tcBorders>
              <w:bottom w:val="single" w:sz="8" w:color="CFF0FC"/>
            </w:tcBorders>
            <w:gridSpan w:val="6"/>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46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54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color w:val="auto"/>
              </w:rPr>
              <w:t>Youth Opportunity Investments,</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11,29</w:t>
            </w:r>
          </w:p>
        </w:tc>
        <w:tc>
          <w:tcPr>
            <w:tcW w:w="22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11,267</w:t>
            </w:r>
          </w:p>
        </w:tc>
        <w:tc>
          <w:tcPr>
            <w:tcW w:w="220" w:type="dxa"/>
            <w:vAlign w:val="bottom"/>
            <w:vMerge w:val="restart"/>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11,349</w:t>
            </w:r>
          </w:p>
        </w:tc>
        <w:tc>
          <w:tcPr>
            <w:tcW w:w="200" w:type="dxa"/>
            <w:vAlign w:val="bottom"/>
            <w:vMerge w:val="restart"/>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3.7%</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540" w:type="dxa"/>
            <w:vAlign w:val="bottom"/>
            <w:gridSpan w:val="15"/>
          </w:tcPr>
          <w:p>
            <w:pPr>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11.75%</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9/18/2026</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15"/>
        </w:trPr>
        <w:tc>
          <w:tcPr>
            <w:tcW w:w="1540" w:type="dxa"/>
            <w:vAlign w:val="bottom"/>
            <w:gridSpan w:val="15"/>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Public Administration</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11,267</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11,349</w:t>
            </w:r>
          </w:p>
        </w:tc>
        <w:tc>
          <w:tcPr>
            <w:tcW w:w="94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3.7%</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gridSpan w:val="15"/>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Real Estate and Rental</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60" w:type="dxa"/>
            <w:vAlign w:val="bottom"/>
            <w:tcBorders>
              <w:top w:val="single" w:sz="8" w:color="auto"/>
            </w:tcBorders>
            <w:gridSpan w:val="10"/>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and Leasing</w:t>
            </w:r>
          </w:p>
        </w:tc>
        <w:tc>
          <w:tcPr>
            <w:tcW w:w="480" w:type="dxa"/>
            <w:vAlign w:val="bottom"/>
            <w:gridSpan w:val="5"/>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940" w:type="dxa"/>
            <w:vAlign w:val="bottom"/>
            <w:gridSpan w:val="2"/>
            <w:vMerge w:val="restart"/>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0.7%</w:t>
            </w: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Workbox Holdings Inc.</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74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5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5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70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5/31/2029</w:t>
            </w:r>
          </w:p>
        </w:tc>
        <w:tc>
          <w:tcPr>
            <w:tcW w:w="4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2,267</w:t>
            </w:r>
          </w:p>
        </w:tc>
        <w:tc>
          <w:tcPr>
            <w:tcW w:w="680" w:type="dxa"/>
            <w:vAlign w:val="bottom"/>
            <w:gridSpan w:val="2"/>
            <w:vMerge w:val="continue"/>
            <w:shd w:val="clear" w:color="auto" w:fill="CFF0FC"/>
          </w:tcPr>
          <w:p>
            <w:pPr>
              <w:spacing w:after="0"/>
              <w:rPr>
                <w:sz w:val="10"/>
                <w:szCs w:val="10"/>
                <w:color w:val="auto"/>
              </w:rPr>
            </w:pPr>
          </w:p>
        </w:tc>
        <w:tc>
          <w:tcPr>
            <w:tcW w:w="7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70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540" w:type="dxa"/>
            <w:vAlign w:val="bottom"/>
            <w:tcBorders>
              <w:top w:val="single" w:sz="8" w:color="CFF0FC"/>
            </w:tcBorders>
            <w:gridSpan w:val="15"/>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Real Estate and Rental</w:t>
            </w: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40" w:type="dxa"/>
            <w:vAlign w:val="bottom"/>
            <w:gridSpan w:val="15"/>
          </w:tcPr>
          <w:p>
            <w:pPr>
              <w:spacing w:after="0"/>
              <w:rPr>
                <w:sz w:val="20"/>
                <w:szCs w:val="20"/>
                <w:color w:val="auto"/>
              </w:rPr>
            </w:pPr>
            <w:r>
              <w:rPr>
                <w:rFonts w:ascii="Times New Roman" w:cs="Times New Roman" w:eastAsia="Times New Roman" w:hAnsi="Times New Roman"/>
                <w:sz w:val="11"/>
                <w:szCs w:val="11"/>
                <w:b w:val="1"/>
                <w:bCs w:val="1"/>
                <w:color w:val="auto"/>
              </w:rPr>
              <w:t>and Leasing</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2,041</w:t>
            </w:r>
          </w:p>
        </w:tc>
        <w:tc>
          <w:tcPr>
            <w:tcW w:w="9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0.7%</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-2094230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-2094230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-2094230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-859790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-859790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-859790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-165735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-165735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-165735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15"/>
        </w:trPr>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9"/>
                <w:szCs w:val="9"/>
                <w:color w:val="auto"/>
              </w:rPr>
            </w:pPr>
          </w:p>
        </w:tc>
        <w:tc>
          <w:tcPr>
            <w:tcW w:w="800" w:type="dxa"/>
            <w:vAlign w:val="bottom"/>
            <w:gridSpan w:val="2"/>
          </w:tcPr>
          <w:p>
            <w:pPr>
              <w:jc w:val="right"/>
              <w:ind w:right="420"/>
              <w:spacing w:after="0" w:line="111" w:lineRule="exact"/>
              <w:rPr>
                <w:sz w:val="20"/>
                <w:szCs w:val="20"/>
                <w:color w:val="auto"/>
              </w:rPr>
            </w:pPr>
            <w:r>
              <w:rPr>
                <w:rFonts w:ascii="Times New Roman" w:cs="Times New Roman" w:eastAsia="Times New Roman" w:hAnsi="Times New Roman"/>
                <w:sz w:val="11"/>
                <w:szCs w:val="11"/>
                <w:b w:val="1"/>
                <w:bCs w:val="1"/>
                <w:color w:val="auto"/>
              </w:rPr>
              <w:t>All in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xml:space="preserve">Benchmark </w:t>
            </w:r>
            <w:r>
              <w:rPr>
                <w:rFonts w:ascii="Times New Roman" w:cs="Times New Roman" w:eastAsia="Times New Roman" w:hAnsi="Times New Roman"/>
                <w:sz w:val="14"/>
                <w:szCs w:val="14"/>
                <w:b w:val="1"/>
                <w:bCs w:val="1"/>
                <w:color w:val="auto"/>
                <w:w w:val="96"/>
                <w:vertAlign w:val="superscript"/>
              </w:rPr>
              <w:t>(3)</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 xml:space="preserve">Par </w:t>
            </w:r>
            <w:r>
              <w:rPr>
                <w:rFonts w:ascii="Times New Roman" w:cs="Times New Roman" w:eastAsia="Times New Roman" w:hAnsi="Times New Roman"/>
                <w:sz w:val="14"/>
                <w:szCs w:val="14"/>
                <w:b w:val="1"/>
                <w:bCs w:val="1"/>
                <w:color w:val="auto"/>
                <w:w w:val="97"/>
                <w:vertAlign w:val="superscript"/>
              </w:rPr>
              <w:t>(2)</w:t>
            </w:r>
          </w:p>
        </w:tc>
        <w:tc>
          <w:tcPr>
            <w:tcW w:w="22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5"/>
              </w:rPr>
              <w:t>Amortize</w:t>
            </w:r>
          </w:p>
        </w:tc>
        <w:tc>
          <w:tcPr>
            <w:tcW w:w="220" w:type="dxa"/>
            <w:vAlign w:val="bottom"/>
          </w:tcPr>
          <w:p>
            <w:pPr>
              <w:spacing w:after="0"/>
              <w:rPr>
                <w:sz w:val="9"/>
                <w:szCs w:val="9"/>
                <w:color w:val="auto"/>
              </w:rPr>
            </w:pPr>
          </w:p>
        </w:tc>
        <w:tc>
          <w:tcPr>
            <w:tcW w:w="540" w:type="dxa"/>
            <w:vAlign w:val="bottom"/>
          </w:tcPr>
          <w:p>
            <w:pPr>
              <w:jc w:val="right"/>
              <w:ind w:right="12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00" w:type="dxa"/>
            <w:vAlign w:val="bottom"/>
          </w:tcPr>
          <w:p>
            <w:pPr>
              <w:spacing w:after="0"/>
              <w:rPr>
                <w:sz w:val="9"/>
                <w:szCs w:val="9"/>
                <w:color w:val="auto"/>
              </w:rPr>
            </w:pP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40" w:type="dxa"/>
            <w:vAlign w:val="bottom"/>
            <w:gridSpan w:val="10"/>
          </w:tcPr>
          <w:p>
            <w:pPr>
              <w:ind w:left="3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Pr>
          <w:p>
            <w:pPr>
              <w:spacing w:after="0"/>
              <w:rPr>
                <w:sz w:val="12"/>
                <w:szCs w:val="12"/>
                <w:color w:val="auto"/>
              </w:rPr>
            </w:pP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Type</w:t>
            </w:r>
          </w:p>
        </w:tc>
        <w:tc>
          <w:tcPr>
            <w:tcW w:w="140" w:type="dxa"/>
            <w:vAlign w:val="bottom"/>
          </w:tcPr>
          <w:p>
            <w:pPr>
              <w:spacing w:after="0"/>
              <w:rPr>
                <w:sz w:val="12"/>
                <w:szCs w:val="12"/>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PIK</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1"/>
                <w:szCs w:val="11"/>
                <w:b w:val="1"/>
                <w:bCs w:val="1"/>
                <w:color w:val="auto"/>
                <w:w w:val="87"/>
              </w:rPr>
              <w:t>d Cost</w:t>
            </w:r>
            <w:r>
              <w:rPr>
                <w:rFonts w:ascii="Times New Roman" w:cs="Times New Roman" w:eastAsia="Times New Roman" w:hAnsi="Times New Roman"/>
                <w:sz w:val="14"/>
                <w:szCs w:val="14"/>
                <w:b w:val="1"/>
                <w:bCs w:val="1"/>
                <w:color w:val="auto"/>
                <w:w w:val="87"/>
                <w:vertAlign w:val="superscript"/>
              </w:rPr>
              <w:t>(15)</w:t>
            </w:r>
          </w:p>
        </w:tc>
        <w:tc>
          <w:tcPr>
            <w:tcW w:w="220" w:type="dxa"/>
            <w:vAlign w:val="bottom"/>
          </w:tcPr>
          <w:p>
            <w:pPr>
              <w:spacing w:after="0"/>
              <w:rPr>
                <w:sz w:val="12"/>
                <w:szCs w:val="12"/>
                <w:color w:val="auto"/>
              </w:rPr>
            </w:pPr>
          </w:p>
        </w:tc>
        <w:tc>
          <w:tcPr>
            <w:tcW w:w="540" w:type="dxa"/>
            <w:vAlign w:val="bottom"/>
          </w:tcPr>
          <w:p>
            <w:pPr>
              <w:jc w:val="right"/>
              <w:ind w:right="46"/>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1"/>
        </w:trPr>
        <w:tc>
          <w:tcPr>
            <w:tcW w:w="1540" w:type="dxa"/>
            <w:vAlign w:val="bottom"/>
            <w:tcBorders>
              <w:top w:val="single" w:sz="8" w:color="auto"/>
            </w:tcBorders>
            <w:gridSpan w:val="10"/>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Retail Trade</w:t>
            </w:r>
          </w:p>
        </w:tc>
        <w:tc>
          <w:tcPr>
            <w:tcW w:w="120" w:type="dxa"/>
            <w:vAlign w:val="bottom"/>
            <w:shd w:val="clear" w:color="auto" w:fill="CFF0FC"/>
          </w:tcPr>
          <w:p>
            <w:pPr>
              <w:spacing w:after="0"/>
              <w:rPr>
                <w:sz w:val="8"/>
                <w:szCs w:val="8"/>
                <w:color w:val="auto"/>
              </w:rPr>
            </w:pPr>
          </w:p>
        </w:tc>
        <w:tc>
          <w:tcPr>
            <w:tcW w:w="116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3.7</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Aura Home,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10.34%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9/22/2026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1.1%</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10"/>
            <w:shd w:val="clear" w:color="auto" w:fill="CFF0FC"/>
          </w:tcPr>
          <w:p>
            <w:pPr>
              <w:spacing w:after="0"/>
              <w:rPr>
                <w:sz w:val="20"/>
                <w:szCs w:val="20"/>
                <w:color w:val="auto"/>
              </w:rPr>
            </w:pPr>
            <w:r>
              <w:rPr>
                <w:rFonts w:ascii="Times New Roman" w:cs="Times New Roman" w:eastAsia="Times New Roman" w:hAnsi="Times New Roman"/>
                <w:sz w:val="11"/>
                <w:szCs w:val="11"/>
                <w:color w:val="auto"/>
              </w:rPr>
              <w:t>Aura Home,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10.34%</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4/11/2025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9/22/2026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0.2%</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1540" w:type="dxa"/>
            <w:vAlign w:val="bottom"/>
            <w:gridSpan w:val="10"/>
          </w:tcPr>
          <w:p>
            <w:pPr>
              <w:spacing w:after="0" w:line="108" w:lineRule="exact"/>
              <w:rPr>
                <w:sz w:val="20"/>
                <w:szCs w:val="20"/>
                <w:color w:val="auto"/>
              </w:rPr>
            </w:pPr>
            <w:r>
              <w:rPr>
                <w:rFonts w:ascii="Times New Roman" w:cs="Times New Roman" w:eastAsia="Times New Roman" w:hAnsi="Times New Roman"/>
                <w:sz w:val="11"/>
                <w:szCs w:val="11"/>
                <w:color w:val="auto"/>
              </w:rPr>
              <w:t>Portofino Labs, Inc. (d/b/a</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4.2</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5,028</w:t>
            </w:r>
          </w:p>
        </w:tc>
        <w:tc>
          <w:tcPr>
            <w:tcW w:w="220" w:type="dxa"/>
            <w:vAlign w:val="bottom"/>
            <w:vMerge w:val="restart"/>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5,064</w:t>
            </w:r>
          </w:p>
        </w:tc>
        <w:tc>
          <w:tcPr>
            <w:tcW w:w="200" w:type="dxa"/>
            <w:vAlign w:val="bottom"/>
            <w:vMerge w:val="restart"/>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1.7%</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4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color w:val="auto"/>
              </w:rPr>
              <w:t>Because Market)</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4/30/2025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4/30/2029</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5,064</w:t>
            </w: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Borders>
              <w:bottom w:val="single" w:sz="8" w:color="CFF0FC"/>
            </w:tcBorders>
            <w:gridSpan w:val="10"/>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Retail Trade</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8,872</w:t>
            </w:r>
          </w:p>
        </w:tc>
        <w:tc>
          <w:tcPr>
            <w:tcW w:w="2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8,908</w:t>
            </w:r>
          </w:p>
        </w:tc>
        <w:tc>
          <w:tcPr>
            <w:tcW w:w="2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3.0%</w:t>
            </w: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40" w:type="dxa"/>
            <w:vAlign w:val="bottom"/>
            <w:gridSpan w:val="10"/>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 Secured</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314,47</w:t>
            </w: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40" w:type="dxa"/>
            <w:vAlign w:val="bottom"/>
            <w:gridSpan w:val="10"/>
          </w:tcPr>
          <w:p>
            <w:pPr>
              <w:spacing w:after="0"/>
              <w:rPr>
                <w:sz w:val="20"/>
                <w:szCs w:val="20"/>
                <w:color w:val="auto"/>
              </w:rPr>
            </w:pPr>
            <w:r>
              <w:rPr>
                <w:rFonts w:ascii="Times New Roman" w:cs="Times New Roman" w:eastAsia="Times New Roman" w:hAnsi="Times New Roman"/>
                <w:sz w:val="11"/>
                <w:szCs w:val="11"/>
                <w:b w:val="1"/>
                <w:bCs w:val="1"/>
                <w:color w:val="auto"/>
              </w:rPr>
              <w:t>U.S. Debt</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314,301</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4"/>
              </w:rPr>
              <w:t>103.5%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40" w:type="dxa"/>
            <w:vAlign w:val="bottom"/>
            <w:gridSpan w:val="10"/>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Senior Secured</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0" w:type="dxa"/>
            <w:vAlign w:val="bottom"/>
            <w:tcBorders>
              <w:top w:val="single" w:sz="8" w:color="auto"/>
            </w:tcBorders>
            <w:gridSpan w:val="5"/>
            <w:shd w:val="clear" w:color="auto" w:fill="CFF0FC"/>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U.S. Notes</w:t>
            </w:r>
          </w:p>
        </w:tc>
        <w:tc>
          <w:tcPr>
            <w:tcW w:w="40" w:type="dxa"/>
            <w:vAlign w:val="bottom"/>
            <w:tcBorders>
              <w:top w:val="single" w:sz="8" w:color="CFF0FC"/>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1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tcBorders>
              <w:top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980" w:type="dxa"/>
            <w:vAlign w:val="bottom"/>
            <w:tcBorders>
              <w:top w:val="single" w:sz="8" w:color="CFF0FC"/>
            </w:tcBorders>
            <w:gridSpan w:val="8"/>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3,379</w:t>
            </w:r>
          </w:p>
        </w:tc>
        <w:tc>
          <w:tcPr>
            <w:tcW w:w="220" w:type="dxa"/>
            <w:vAlign w:val="bottom"/>
            <w:vMerge w:val="restart"/>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3,431</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1.1%</w:t>
            </w: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10"/>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Ascend Wellness Holdings Inc.</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Senior Secured Note</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7/16/2024</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7/16/2029</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3,500</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15"/>
        </w:trPr>
        <w:tc>
          <w:tcPr>
            <w:tcW w:w="1540" w:type="dxa"/>
            <w:vAlign w:val="bottom"/>
            <w:gridSpan w:val="10"/>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3,379</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3,431</w:t>
            </w:r>
          </w:p>
        </w:tc>
        <w:tc>
          <w:tcPr>
            <w:tcW w:w="9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1.1%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gridSpan w:val="10"/>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Finance and Insurance</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480" w:type="dxa"/>
            <w:vAlign w:val="bottom"/>
            <w:tcBorders>
              <w:top w:val="single" w:sz="8" w:color="CFF0FC"/>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22,00</w:t>
            </w: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RTCP,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Senior Secured Note</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10/2/2028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21,983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7.2%</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08"/>
        </w:trPr>
        <w:tc>
          <w:tcPr>
            <w:tcW w:w="1540" w:type="dxa"/>
            <w:vAlign w:val="bottom"/>
            <w:gridSpan w:val="10"/>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West Creek Financial Holdings,</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2,748</w:t>
            </w:r>
          </w:p>
        </w:tc>
        <w:tc>
          <w:tcPr>
            <w:tcW w:w="220" w:type="dxa"/>
            <w:vAlign w:val="bottom"/>
            <w:vMerge w:val="restart"/>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200" w:type="dxa"/>
            <w:vAlign w:val="bottom"/>
            <w:vMerge w:val="restart"/>
            <w:shd w:val="clear" w:color="auto" w:fill="CFF0FC"/>
          </w:tcPr>
          <w:p>
            <w:pPr>
              <w:spacing w:after="0"/>
              <w:rPr>
                <w:sz w:val="9"/>
                <w:szCs w:val="9"/>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0.9%</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10"/>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Inc. (d/b/a Koalafi)</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Series A Senior Note</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18.80%</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13.80%</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11/29/2027</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2,757</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15"/>
        </w:trPr>
        <w:tc>
          <w:tcPr>
            <w:tcW w:w="1540" w:type="dxa"/>
            <w:vAlign w:val="bottom"/>
            <w:gridSpan w:val="10"/>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Finance and Insurance</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24,731</w:t>
            </w:r>
          </w:p>
        </w:tc>
        <w:tc>
          <w:tcPr>
            <w:tcW w:w="22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24,757</w:t>
            </w:r>
          </w:p>
        </w:tc>
        <w:tc>
          <w:tcPr>
            <w:tcW w:w="200" w:type="dxa"/>
            <w:vAlign w:val="bottom"/>
          </w:tcPr>
          <w:p>
            <w:pPr>
              <w:spacing w:after="0"/>
              <w:rPr>
                <w:sz w:val="10"/>
                <w:szCs w:val="10"/>
                <w:color w:val="auto"/>
              </w:rPr>
            </w:pPr>
          </w:p>
        </w:tc>
        <w:tc>
          <w:tcPr>
            <w:tcW w:w="7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8.1%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gridSpan w:val="10"/>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Senior Secured U.S. Notes</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28,110</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28,188</w:t>
            </w:r>
          </w:p>
        </w:tc>
        <w:tc>
          <w:tcPr>
            <w:tcW w:w="94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9.2%</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gridSpan w:val="10"/>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Second Lien Senior Secured</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20" w:type="dxa"/>
            <w:vAlign w:val="bottom"/>
            <w:tcBorders>
              <w:top w:val="single" w:sz="8" w:color="auto"/>
            </w:tcBorders>
            <w:gridSpan w:val="9"/>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540" w:type="dxa"/>
            <w:vAlign w:val="bottom"/>
            <w:gridSpan w:val="10"/>
          </w:tcPr>
          <w:p>
            <w:pPr>
              <w:spacing w:after="0" w:line="102" w:lineRule="exact"/>
              <w:rPr>
                <w:sz w:val="20"/>
                <w:szCs w:val="20"/>
                <w:color w:val="auto"/>
              </w:rPr>
            </w:pPr>
            <w:r>
              <w:rPr>
                <w:rFonts w:ascii="Times New Roman" w:cs="Times New Roman" w:eastAsia="Times New Roman" w:hAnsi="Times New Roman"/>
                <w:sz w:val="11"/>
                <w:szCs w:val="11"/>
                <w:color w:val="auto"/>
              </w:rPr>
              <w:t>Remedy - Maryland Wellness,</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7.7</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1,385</w:t>
            </w:r>
          </w:p>
        </w:tc>
        <w:tc>
          <w:tcPr>
            <w:tcW w:w="220" w:type="dxa"/>
            <w:vAlign w:val="bottom"/>
            <w:vMerge w:val="restart"/>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200" w:type="dxa"/>
            <w:vAlign w:val="bottom"/>
            <w:vMerge w:val="restart"/>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0.5%</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54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20.25%</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3.50%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8/1/2028</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1,385</w:t>
            </w: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15"/>
        </w:trPr>
        <w:tc>
          <w:tcPr>
            <w:tcW w:w="1540" w:type="dxa"/>
            <w:vAlign w:val="bottom"/>
            <w:tcBorders>
              <w:bottom w:val="single" w:sz="8" w:color="CFF0FC"/>
            </w:tcBorders>
            <w:gridSpan w:val="10"/>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1,385</w:t>
            </w:r>
          </w:p>
        </w:tc>
        <w:tc>
          <w:tcPr>
            <w:tcW w:w="2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1,406</w:t>
            </w:r>
          </w:p>
        </w:tc>
        <w:tc>
          <w:tcPr>
            <w:tcW w:w="2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0.5%</w:t>
            </w: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40" w:type="dxa"/>
            <w:vAlign w:val="bottom"/>
            <w:gridSpan w:val="10"/>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Second Lien Senior</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1,385</w:t>
            </w:r>
          </w:p>
        </w:tc>
        <w:tc>
          <w:tcPr>
            <w:tcW w:w="220" w:type="dxa"/>
            <w:vAlign w:val="bottom"/>
            <w:vMerge w:val="restart"/>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1,406</w:t>
            </w:r>
          </w:p>
        </w:tc>
        <w:tc>
          <w:tcPr>
            <w:tcW w:w="200" w:type="dxa"/>
            <w:vAlign w:val="bottom"/>
            <w:vMerge w:val="restart"/>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0.5%</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54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Secured U.S. Debt</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68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343,96</w:t>
            </w: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40" w:type="dxa"/>
            <w:vAlign w:val="bottom"/>
            <w:gridSpan w:val="10"/>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U.S. Corporate Debt</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343,895</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4"/>
              </w:rPr>
              <w:t>113.2%</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40" w:type="dxa"/>
            <w:vAlign w:val="bottom"/>
            <w:gridSpan w:val="10"/>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0" w:type="dxa"/>
            <w:vAlign w:val="bottom"/>
            <w:tcBorders>
              <w:top w:val="single" w:sz="8" w:color="auto"/>
            </w:tcBorders>
            <w:gridSpan w:val="8"/>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3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780" w:type="dxa"/>
            <w:vAlign w:val="bottom"/>
            <w:tcBorders>
              <w:top w:val="single" w:sz="8" w:color="auto"/>
            </w:tcBorders>
            <w:gridSpan w:val="6"/>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760" w:type="dxa"/>
            <w:vAlign w:val="bottom"/>
            <w:gridSpan w:val="4"/>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3.2</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480" w:type="dxa"/>
            <w:vAlign w:val="bottom"/>
            <w:tcBorders>
              <w:top w:val="single" w:sz="8" w:color="CFF0FC"/>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16,21</w:t>
            </w:r>
          </w:p>
        </w:tc>
        <w:tc>
          <w:tcPr>
            <w:tcW w:w="220" w:type="dxa"/>
            <w:vAlign w:val="bottom"/>
            <w:tcBorders>
              <w:top w:val="single" w:sz="8" w:color="CFF0FC"/>
            </w:tcBorders>
            <w:vMerge w:val="restart"/>
          </w:tcPr>
          <w:p>
            <w:pPr>
              <w:spacing w:after="0"/>
              <w:rPr>
                <w:sz w:val="8"/>
                <w:szCs w:val="8"/>
                <w:color w:val="auto"/>
              </w:rPr>
            </w:pPr>
          </w:p>
        </w:tc>
        <w:tc>
          <w:tcPr>
            <w:tcW w:w="460" w:type="dxa"/>
            <w:vAlign w:val="bottom"/>
            <w:tcBorders>
              <w:top w:val="single" w:sz="8" w:color="CFF0FC"/>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13,786</w:t>
            </w:r>
          </w:p>
        </w:tc>
        <w:tc>
          <w:tcPr>
            <w:tcW w:w="220" w:type="dxa"/>
            <w:vAlign w:val="bottom"/>
            <w:tcBorders>
              <w:top w:val="single" w:sz="8" w:color="CFF0FC"/>
            </w:tcBorders>
            <w:vMerge w:val="restart"/>
          </w:tcPr>
          <w:p>
            <w:pPr>
              <w:spacing w:after="0"/>
              <w:rPr>
                <w:sz w:val="8"/>
                <w:szCs w:val="8"/>
                <w:color w:val="auto"/>
              </w:rPr>
            </w:pPr>
          </w:p>
        </w:tc>
        <w:tc>
          <w:tcPr>
            <w:tcW w:w="540" w:type="dxa"/>
            <w:vAlign w:val="bottom"/>
            <w:tcBorders>
              <w:top w:val="single" w:sz="8" w:color="CFF0FC"/>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13,786</w:t>
            </w:r>
          </w:p>
        </w:tc>
        <w:tc>
          <w:tcPr>
            <w:tcW w:w="200" w:type="dxa"/>
            <w:vAlign w:val="bottom"/>
            <w:tcBorders>
              <w:top w:val="single" w:sz="8" w:color="CFF0FC"/>
            </w:tcBorders>
            <w:vMerge w:val="restart"/>
          </w:tcPr>
          <w:p>
            <w:pPr>
              <w:spacing w:after="0"/>
              <w:rPr>
                <w:sz w:val="8"/>
                <w:szCs w:val="8"/>
                <w:color w:val="auto"/>
              </w:rPr>
            </w:pPr>
          </w:p>
        </w:tc>
        <w:tc>
          <w:tcPr>
            <w:tcW w:w="740" w:type="dxa"/>
            <w:vAlign w:val="bottom"/>
            <w:tcBorders>
              <w:top w:val="single" w:sz="8" w:color="CFF0FC"/>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4.5%</w:t>
            </w: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54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color w:val="auto"/>
              </w:rPr>
              <w:t>Canopy Growth Corporation</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9.91%</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1/8/2026</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1/31/2031</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15"/>
        </w:trPr>
        <w:tc>
          <w:tcPr>
            <w:tcW w:w="1540" w:type="dxa"/>
            <w:vAlign w:val="bottom"/>
            <w:gridSpan w:val="10"/>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13,786</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13,786</w:t>
            </w:r>
          </w:p>
        </w:tc>
        <w:tc>
          <w:tcPr>
            <w:tcW w:w="94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4.5%</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gridSpan w:val="10"/>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4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3,123</w:t>
            </w:r>
          </w:p>
        </w:tc>
        <w:tc>
          <w:tcPr>
            <w:tcW w:w="220" w:type="dxa"/>
            <w:vAlign w:val="bottom"/>
            <w:vMerge w:val="restart"/>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3,092</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w:t>
            </w: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10"/>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Tulip.io Inc.</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16.50%</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11/4/2024</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11/4/2028</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3,123</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15"/>
        </w:trPr>
        <w:tc>
          <w:tcPr>
            <w:tcW w:w="1540" w:type="dxa"/>
            <w:vAlign w:val="bottom"/>
            <w:gridSpan w:val="10"/>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3,123</w:t>
            </w:r>
          </w:p>
        </w:tc>
        <w:tc>
          <w:tcPr>
            <w:tcW w:w="22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3,092</w:t>
            </w:r>
          </w:p>
        </w:tc>
        <w:tc>
          <w:tcPr>
            <w:tcW w:w="200" w:type="dxa"/>
            <w:vAlign w:val="bottom"/>
          </w:tcPr>
          <w:p>
            <w:pPr>
              <w:spacing w:after="0"/>
              <w:rPr>
                <w:sz w:val="10"/>
                <w:szCs w:val="10"/>
                <w:color w:val="auto"/>
              </w:rPr>
            </w:pPr>
          </w:p>
        </w:tc>
        <w:tc>
          <w:tcPr>
            <w:tcW w:w="7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40" w:type="dxa"/>
            <w:vAlign w:val="bottom"/>
            <w:gridSpan w:val="10"/>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 Secured</w:t>
            </w: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16,909</w:t>
            </w:r>
          </w:p>
        </w:tc>
        <w:tc>
          <w:tcPr>
            <w:tcW w:w="220" w:type="dxa"/>
            <w:vAlign w:val="bottom"/>
            <w:vMerge w:val="restart"/>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16,878</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5.5%</w:t>
            </w: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540" w:type="dxa"/>
            <w:vAlign w:val="bottom"/>
            <w:tcBorders>
              <w:bottom w:val="single" w:sz="8" w:color="CFF0FC"/>
            </w:tcBorders>
            <w:gridSpan w:val="10"/>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gridSpan w:val="10"/>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Canadian Corporate Debt</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16,909</w:t>
            </w:r>
          </w:p>
        </w:tc>
        <w:tc>
          <w:tcPr>
            <w:tcW w:w="22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16,878</w:t>
            </w:r>
          </w:p>
        </w:tc>
        <w:tc>
          <w:tcPr>
            <w:tcW w:w="200" w:type="dxa"/>
            <w:vAlign w:val="bottom"/>
          </w:tcPr>
          <w:p>
            <w:pPr>
              <w:spacing w:after="0"/>
              <w:rPr>
                <w:sz w:val="10"/>
                <w:szCs w:val="10"/>
                <w:color w:val="auto"/>
              </w:rPr>
            </w:pPr>
          </w:p>
        </w:tc>
        <w:tc>
          <w:tcPr>
            <w:tcW w:w="7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5.5%</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68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360,87</w:t>
            </w: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40" w:type="dxa"/>
            <w:vAlign w:val="bottom"/>
            <w:gridSpan w:val="10"/>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360,773</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4"/>
              </w:rPr>
              <w:t>118.7%</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-3051175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-3051175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-3051175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-2510790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-2510790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-2510790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-2048510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-2048510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-2048510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-1490980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-1490980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-1490980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-488315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-488315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-488315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-248285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-248285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-248285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15"/>
        </w:trPr>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Fair</w:t>
            </w:r>
          </w:p>
        </w:tc>
        <w:tc>
          <w:tcPr>
            <w:tcW w:w="240" w:type="dxa"/>
            <w:vAlign w:val="bottom"/>
          </w:tcPr>
          <w:p>
            <w:pPr>
              <w:spacing w:after="0"/>
              <w:rPr>
                <w:sz w:val="10"/>
                <w:szCs w:val="10"/>
                <w:color w:val="auto"/>
              </w:rPr>
            </w:pPr>
          </w:p>
        </w:tc>
        <w:tc>
          <w:tcPr>
            <w:tcW w:w="64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2600" w:type="dxa"/>
            <w:vAlign w:val="bottom"/>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Class Series</w:t>
            </w:r>
          </w:p>
        </w:tc>
        <w:tc>
          <w:tcPr>
            <w:tcW w:w="180" w:type="dxa"/>
            <w:vAlign w:val="bottom"/>
          </w:tcPr>
          <w:p>
            <w:pPr>
              <w:spacing w:after="0"/>
              <w:rPr>
                <w:sz w:val="11"/>
                <w:szCs w:val="1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11"/>
                <w:szCs w:val="11"/>
                <w:color w:val="auto"/>
              </w:rPr>
            </w:pPr>
          </w:p>
        </w:tc>
        <w:tc>
          <w:tcPr>
            <w:tcW w:w="5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1"/>
                <w:szCs w:val="11"/>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1"/>
        </w:trPr>
        <w:tc>
          <w:tcPr>
            <w:tcW w:w="1620" w:type="dxa"/>
            <w:vAlign w:val="bottom"/>
            <w:gridSpan w:val="8"/>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U.S. Preferred Stock</w:t>
            </w:r>
          </w:p>
        </w:tc>
        <w:tc>
          <w:tcPr>
            <w:tcW w:w="26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center"/>
              <w:ind w:left="26"/>
              <w:spacing w:after="0" w:line="102"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0" w:type="dxa"/>
            <w:vAlign w:val="bottom"/>
          </w:tcPr>
          <w:p>
            <w:pPr>
              <w:spacing w:after="0"/>
              <w:rPr>
                <w:sz w:val="8"/>
                <w:szCs w:val="8"/>
                <w:color w:val="auto"/>
              </w:rPr>
            </w:pPr>
          </w:p>
        </w:tc>
        <w:tc>
          <w:tcPr>
            <w:tcW w:w="1580" w:type="dxa"/>
            <w:vAlign w:val="bottom"/>
            <w:gridSpan w:val="7"/>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Real Estate and Rental and</w:t>
            </w:r>
          </w:p>
        </w:tc>
        <w:tc>
          <w:tcPr>
            <w:tcW w:w="2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300" w:type="dxa"/>
            <w:vAlign w:val="bottom"/>
            <w:tcBorders>
              <w:top w:val="single" w:sz="8" w:color="auto"/>
            </w:tcBorders>
            <w:gridSpan w:val="6"/>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Leasing</w:t>
            </w:r>
          </w:p>
        </w:tc>
        <w:tc>
          <w:tcPr>
            <w:tcW w:w="2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tcBorders>
              <w:bottom w:val="single" w:sz="8" w:color="CFF0FC"/>
            </w:tcBorders>
            <w:gridSpan w:val="8"/>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260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A-1 Preferred</w:t>
            </w:r>
          </w:p>
        </w:tc>
        <w:tc>
          <w:tcPr>
            <w:tcW w:w="1840" w:type="dxa"/>
            <w:vAlign w:val="bottom"/>
            <w:tcBorders>
              <w:bottom w:val="single" w:sz="8" w:color="CFF0FC"/>
            </w:tcBorders>
            <w:gridSpan w:val="2"/>
            <w:shd w:val="clear" w:color="auto" w:fill="CFF0FC"/>
          </w:tcPr>
          <w:p>
            <w:pPr>
              <w:jc w:val="center"/>
              <w:ind w:left="106"/>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72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1,435,801</w:t>
            </w:r>
          </w:p>
        </w:tc>
        <w:tc>
          <w:tcPr>
            <w:tcW w:w="26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2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0.2%</w:t>
            </w:r>
          </w:p>
        </w:tc>
        <w:tc>
          <w:tcPr>
            <w:tcW w:w="640" w:type="dxa"/>
            <w:vAlign w:val="bottom"/>
            <w:tcBorders>
              <w:bottom w:val="single" w:sz="8" w:color="CFF0FC"/>
            </w:tcBorders>
            <w:gridSpan w:val="2"/>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620" w:type="dxa"/>
            <w:vAlign w:val="bottom"/>
            <w:gridSpan w:val="8"/>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Total Real Estate and Rental and</w:t>
            </w:r>
          </w:p>
        </w:tc>
        <w:tc>
          <w:tcPr>
            <w:tcW w:w="2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500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500</w:t>
            </w:r>
          </w:p>
        </w:tc>
        <w:tc>
          <w:tcPr>
            <w:tcW w:w="880" w:type="dxa"/>
            <w:vAlign w:val="bottom"/>
            <w:gridSpan w:val="2"/>
            <w:vMerge w:val="restart"/>
          </w:tcPr>
          <w:p>
            <w:pPr>
              <w:jc w:val="center"/>
              <w:ind w:left="166"/>
              <w:spacing w:after="0"/>
              <w:rPr>
                <w:sz w:val="20"/>
                <w:szCs w:val="20"/>
                <w:color w:val="auto"/>
              </w:rPr>
            </w:pPr>
            <w:r>
              <w:rPr>
                <w:rFonts w:ascii="Times New Roman" w:cs="Times New Roman" w:eastAsia="Times New Roman" w:hAnsi="Times New Roman"/>
                <w:sz w:val="11"/>
                <w:szCs w:val="11"/>
                <w:color w:val="auto"/>
                <w:w w:val="95"/>
              </w:rPr>
              <w:t>0.2%</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20" w:type="dxa"/>
            <w:vAlign w:val="bottom"/>
            <w:gridSpan w:val="8"/>
            <w:vMerge w:val="restart"/>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Leasing</w:t>
            </w:r>
          </w:p>
        </w:tc>
        <w:tc>
          <w:tcPr>
            <w:tcW w:w="26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620" w:type="dxa"/>
            <w:vAlign w:val="bottom"/>
            <w:gridSpan w:val="8"/>
            <w:vMerge w:val="continue"/>
          </w:tcPr>
          <w:p>
            <w:pPr>
              <w:spacing w:after="0"/>
              <w:rPr>
                <w:sz w:val="4"/>
                <w:szCs w:val="4"/>
                <w:color w:val="auto"/>
              </w:rPr>
            </w:pPr>
          </w:p>
        </w:tc>
        <w:tc>
          <w:tcPr>
            <w:tcW w:w="26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620" w:type="dxa"/>
            <w:vAlign w:val="bottom"/>
            <w:gridSpan w:val="8"/>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U.S. Preferred Stock</w:t>
            </w:r>
          </w:p>
        </w:tc>
        <w:tc>
          <w:tcPr>
            <w:tcW w:w="26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88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gridSpan w:val="8"/>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U .S. Warrants</w:t>
            </w:r>
          </w:p>
        </w:tc>
        <w:tc>
          <w:tcPr>
            <w:tcW w:w="26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gridSpan w:val="2"/>
          </w:tcPr>
          <w:p>
            <w:pPr>
              <w:jc w:val="center"/>
              <w:ind w:left="26"/>
              <w:spacing w:after="0" w:line="108"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0" w:type="dxa"/>
            <w:vAlign w:val="bottom"/>
            <w:shd w:val="clear" w:color="auto" w:fill="CFF0FC"/>
          </w:tcPr>
          <w:p>
            <w:pPr>
              <w:spacing w:after="0"/>
              <w:rPr>
                <w:sz w:val="8"/>
                <w:szCs w:val="8"/>
                <w:color w:val="auto"/>
              </w:rPr>
            </w:pPr>
          </w:p>
        </w:tc>
        <w:tc>
          <w:tcPr>
            <w:tcW w:w="1580" w:type="dxa"/>
            <w:vAlign w:val="bottom"/>
            <w:gridSpan w:val="7"/>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Educational Services</w:t>
            </w:r>
          </w:p>
        </w:tc>
        <w:tc>
          <w:tcPr>
            <w:tcW w:w="26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8"/>
          </w:tcPr>
          <w:p>
            <w:pPr>
              <w:spacing w:after="0" w:line="115" w:lineRule="exact"/>
              <w:rPr>
                <w:sz w:val="20"/>
                <w:szCs w:val="20"/>
                <w:color w:val="auto"/>
              </w:rPr>
            </w:pPr>
            <w:r>
              <w:rPr>
                <w:rFonts w:ascii="Times New Roman" w:cs="Times New Roman" w:eastAsia="Times New Roman" w:hAnsi="Times New Roman"/>
                <w:sz w:val="11"/>
                <w:szCs w:val="11"/>
                <w:color w:val="auto"/>
                <w:w w:val="99"/>
              </w:rPr>
              <w:t>Energize Holdings, Inc. (d/b/a Exos)</w:t>
            </w:r>
          </w:p>
        </w:tc>
        <w:tc>
          <w:tcPr>
            <w:tcW w:w="2600" w:type="dxa"/>
            <w:vAlign w:val="bottom"/>
          </w:tcPr>
          <w:p>
            <w:pPr>
              <w:spacing w:after="0"/>
              <w:rPr>
                <w:sz w:val="10"/>
                <w:szCs w:val="10"/>
                <w:color w:val="auto"/>
              </w:rPr>
            </w:pPr>
          </w:p>
        </w:tc>
        <w:tc>
          <w:tcPr>
            <w:tcW w:w="1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Warrants</w:t>
            </w:r>
          </w:p>
        </w:tc>
        <w:tc>
          <w:tcPr>
            <w:tcW w:w="18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color w:val="auto"/>
                <w:w w:val="99"/>
              </w:rPr>
              <w:t>10/24/2025</w:t>
            </w:r>
          </w:p>
        </w:tc>
        <w:tc>
          <w:tcPr>
            <w:tcW w:w="7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152,880</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w:t>
            </w:r>
          </w:p>
        </w:tc>
        <w:tc>
          <w:tcPr>
            <w:tcW w:w="2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40" w:type="dxa"/>
            <w:vAlign w:val="bottom"/>
            <w:gridSpan w:val="2"/>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15"/>
        </w:trPr>
        <w:tc>
          <w:tcPr>
            <w:tcW w:w="1620" w:type="dxa"/>
            <w:vAlign w:val="bottom"/>
            <w:gridSpan w:val="8"/>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Educational Services</w:t>
            </w:r>
          </w:p>
        </w:tc>
        <w:tc>
          <w:tcPr>
            <w:tcW w:w="26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w:t>
            </w:r>
          </w:p>
        </w:tc>
        <w:tc>
          <w:tcPr>
            <w:tcW w:w="88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580" w:type="dxa"/>
            <w:vAlign w:val="bottom"/>
            <w:gridSpan w:val="7"/>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26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8"/>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AI Software, LLC (d/b/a Capacity)</w:t>
            </w:r>
          </w:p>
        </w:tc>
        <w:tc>
          <w:tcPr>
            <w:tcW w:w="2600" w:type="dxa"/>
            <w:vAlign w:val="bottom"/>
            <w:shd w:val="clear" w:color="auto" w:fill="CFF0FC"/>
          </w:tcPr>
          <w:p>
            <w:pPr>
              <w:spacing w:after="0"/>
              <w:rPr>
                <w:sz w:val="10"/>
                <w:szCs w:val="10"/>
                <w:color w:val="auto"/>
              </w:rPr>
            </w:pPr>
          </w:p>
        </w:tc>
        <w:tc>
          <w:tcPr>
            <w:tcW w:w="148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Warrants</w:t>
            </w:r>
          </w:p>
        </w:tc>
        <w:tc>
          <w:tcPr>
            <w:tcW w:w="1840" w:type="dxa"/>
            <w:vAlign w:val="bottom"/>
            <w:gridSpan w:val="2"/>
            <w:shd w:val="clear" w:color="auto" w:fill="CFF0FC"/>
          </w:tcPr>
          <w:p>
            <w:pPr>
              <w:jc w:val="center"/>
              <w:ind w:left="106"/>
              <w:spacing w:after="0" w:line="115" w:lineRule="exact"/>
              <w:rPr>
                <w:sz w:val="20"/>
                <w:szCs w:val="20"/>
                <w:color w:val="auto"/>
              </w:rPr>
            </w:pPr>
            <w:r>
              <w:rPr>
                <w:rFonts w:ascii="Times New Roman" w:cs="Times New Roman" w:eastAsia="Times New Roman" w:hAnsi="Times New Roman"/>
                <w:sz w:val="11"/>
                <w:szCs w:val="11"/>
                <w:color w:val="auto"/>
                <w:w w:val="98"/>
              </w:rPr>
              <w:t>6/13/2025</w:t>
            </w:r>
          </w:p>
        </w:tc>
        <w:tc>
          <w:tcPr>
            <w:tcW w:w="7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270,850</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431</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487</w:t>
            </w:r>
          </w:p>
        </w:tc>
        <w:tc>
          <w:tcPr>
            <w:tcW w:w="880" w:type="dxa"/>
            <w:vAlign w:val="bottom"/>
            <w:gridSpan w:val="2"/>
            <w:shd w:val="clear" w:color="auto" w:fill="CFF0FC"/>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5"/>
              </w:rPr>
              <w:t>0.2%</w:t>
            </w:r>
          </w:p>
        </w:tc>
        <w:tc>
          <w:tcPr>
            <w:tcW w:w="640" w:type="dxa"/>
            <w:vAlign w:val="bottom"/>
            <w:gridSpan w:val="2"/>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1620" w:type="dxa"/>
            <w:vAlign w:val="bottom"/>
            <w:gridSpan w:val="8"/>
          </w:tcPr>
          <w:p>
            <w:pPr>
              <w:spacing w:after="0" w:line="122" w:lineRule="exact"/>
              <w:rPr>
                <w:sz w:val="20"/>
                <w:szCs w:val="20"/>
                <w:color w:val="auto"/>
              </w:rPr>
            </w:pPr>
            <w:r>
              <w:rPr>
                <w:rFonts w:ascii="Times New Roman" w:cs="Times New Roman" w:eastAsia="Times New Roman" w:hAnsi="Times New Roman"/>
                <w:sz w:val="11"/>
                <w:szCs w:val="11"/>
                <w:color w:val="auto"/>
              </w:rPr>
              <w:t>Engage3 Holdings, Inc.</w:t>
            </w:r>
          </w:p>
        </w:tc>
        <w:tc>
          <w:tcPr>
            <w:tcW w:w="2600" w:type="dxa"/>
            <w:vAlign w:val="bottom"/>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Warrants</w:t>
            </w:r>
          </w:p>
        </w:tc>
        <w:tc>
          <w:tcPr>
            <w:tcW w:w="18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8"/>
              </w:rPr>
              <w:t>7/22/2025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975,490</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342</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243</w:t>
            </w:r>
          </w:p>
        </w:tc>
        <w:tc>
          <w:tcPr>
            <w:tcW w:w="2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0.1%</w:t>
            </w:r>
          </w:p>
        </w:tc>
        <w:tc>
          <w:tcPr>
            <w:tcW w:w="6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15"/>
        </w:trPr>
        <w:tc>
          <w:tcPr>
            <w:tcW w:w="1620" w:type="dxa"/>
            <w:vAlign w:val="bottom"/>
            <w:gridSpan w:val="8"/>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26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773</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730</w:t>
            </w:r>
          </w:p>
        </w:tc>
        <w:tc>
          <w:tcPr>
            <w:tcW w:w="88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580" w:type="dxa"/>
            <w:vAlign w:val="bottom"/>
            <w:gridSpan w:val="7"/>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Manufacturing</w:t>
            </w:r>
          </w:p>
        </w:tc>
        <w:tc>
          <w:tcPr>
            <w:tcW w:w="26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8"/>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Ocular Science, Inc.</w:t>
            </w:r>
          </w:p>
        </w:tc>
        <w:tc>
          <w:tcPr>
            <w:tcW w:w="2600" w:type="dxa"/>
            <w:vAlign w:val="bottom"/>
            <w:shd w:val="clear" w:color="auto" w:fill="CFF0FC"/>
          </w:tcPr>
          <w:p>
            <w:pPr>
              <w:spacing w:after="0"/>
              <w:rPr>
                <w:sz w:val="10"/>
                <w:szCs w:val="10"/>
                <w:color w:val="auto"/>
              </w:rPr>
            </w:pPr>
          </w:p>
        </w:tc>
        <w:tc>
          <w:tcPr>
            <w:tcW w:w="148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Warrants</w:t>
            </w:r>
          </w:p>
        </w:tc>
        <w:tc>
          <w:tcPr>
            <w:tcW w:w="184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color w:val="auto"/>
                <w:w w:val="99"/>
              </w:rPr>
              <w:t>12/17/2025</w:t>
            </w:r>
          </w:p>
        </w:tc>
        <w:tc>
          <w:tcPr>
            <w:tcW w:w="7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1,890,960</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151</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191</w:t>
            </w:r>
          </w:p>
        </w:tc>
        <w:tc>
          <w:tcPr>
            <w:tcW w:w="880" w:type="dxa"/>
            <w:vAlign w:val="bottom"/>
            <w:gridSpan w:val="2"/>
            <w:shd w:val="clear" w:color="auto" w:fill="CFF0FC"/>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5"/>
              </w:rPr>
              <w:t>0.1%</w:t>
            </w:r>
          </w:p>
        </w:tc>
        <w:tc>
          <w:tcPr>
            <w:tcW w:w="640" w:type="dxa"/>
            <w:vAlign w:val="bottom"/>
            <w:gridSpan w:val="2"/>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1620" w:type="dxa"/>
            <w:vAlign w:val="bottom"/>
            <w:gridSpan w:val="8"/>
          </w:tcPr>
          <w:p>
            <w:pPr>
              <w:spacing w:after="0" w:line="122" w:lineRule="exact"/>
              <w:rPr>
                <w:sz w:val="20"/>
                <w:szCs w:val="20"/>
                <w:color w:val="auto"/>
              </w:rPr>
            </w:pPr>
            <w:r>
              <w:rPr>
                <w:rFonts w:ascii="Times New Roman" w:cs="Times New Roman" w:eastAsia="Times New Roman" w:hAnsi="Times New Roman"/>
                <w:sz w:val="11"/>
                <w:szCs w:val="11"/>
                <w:color w:val="auto"/>
              </w:rPr>
              <w:t>Round 2 Holdings, LLC</w:t>
            </w:r>
          </w:p>
        </w:tc>
        <w:tc>
          <w:tcPr>
            <w:tcW w:w="2600" w:type="dxa"/>
            <w:vAlign w:val="bottom"/>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Warrants</w:t>
            </w:r>
          </w:p>
        </w:tc>
        <w:tc>
          <w:tcPr>
            <w:tcW w:w="184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3/2/2026</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257</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255</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255</w:t>
            </w:r>
          </w:p>
        </w:tc>
        <w:tc>
          <w:tcPr>
            <w:tcW w:w="2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0.1%</w:t>
            </w:r>
          </w:p>
        </w:tc>
        <w:tc>
          <w:tcPr>
            <w:tcW w:w="6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15"/>
        </w:trPr>
        <w:tc>
          <w:tcPr>
            <w:tcW w:w="1620" w:type="dxa"/>
            <w:vAlign w:val="bottom"/>
            <w:gridSpan w:val="8"/>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Manufacturing</w:t>
            </w:r>
          </w:p>
        </w:tc>
        <w:tc>
          <w:tcPr>
            <w:tcW w:w="26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406</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446</w:t>
            </w:r>
          </w:p>
        </w:tc>
        <w:tc>
          <w:tcPr>
            <w:tcW w:w="88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580" w:type="dxa"/>
            <w:vAlign w:val="bottom"/>
            <w:gridSpan w:val="7"/>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Real Estate and Rental and</w:t>
            </w:r>
          </w:p>
        </w:tc>
        <w:tc>
          <w:tcPr>
            <w:tcW w:w="26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300" w:type="dxa"/>
            <w:vAlign w:val="bottom"/>
            <w:tcBorders>
              <w:top w:val="single" w:sz="8" w:color="auto"/>
            </w:tcBorders>
            <w:gridSpan w:val="6"/>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Leasing</w:t>
            </w:r>
          </w:p>
        </w:tc>
        <w:tc>
          <w:tcPr>
            <w:tcW w:w="2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8"/>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2600" w:type="dxa"/>
            <w:vAlign w:val="bottom"/>
            <w:shd w:val="clear" w:color="auto" w:fill="CFF0FC"/>
          </w:tcPr>
          <w:p>
            <w:pPr>
              <w:spacing w:after="0"/>
              <w:rPr>
                <w:sz w:val="10"/>
                <w:szCs w:val="10"/>
                <w:color w:val="auto"/>
              </w:rPr>
            </w:pPr>
          </w:p>
        </w:tc>
        <w:tc>
          <w:tcPr>
            <w:tcW w:w="148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A-3 Warrants</w:t>
            </w:r>
          </w:p>
        </w:tc>
        <w:tc>
          <w:tcPr>
            <w:tcW w:w="1840" w:type="dxa"/>
            <w:vAlign w:val="bottom"/>
            <w:gridSpan w:val="2"/>
            <w:shd w:val="clear" w:color="auto" w:fill="CFF0FC"/>
          </w:tcPr>
          <w:p>
            <w:pPr>
              <w:jc w:val="center"/>
              <w:ind w:left="106"/>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7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3,165,032</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97</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131</w:t>
            </w:r>
          </w:p>
        </w:tc>
        <w:tc>
          <w:tcPr>
            <w:tcW w:w="880" w:type="dxa"/>
            <w:vAlign w:val="bottom"/>
            <w:gridSpan w:val="2"/>
            <w:shd w:val="clear" w:color="auto" w:fill="CFF0FC"/>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40" w:type="dxa"/>
            <w:vAlign w:val="bottom"/>
            <w:gridSpan w:val="2"/>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1620" w:type="dxa"/>
            <w:vAlign w:val="bottom"/>
            <w:gridSpan w:val="8"/>
          </w:tcPr>
          <w:p>
            <w:pPr>
              <w:spacing w:after="0" w:line="122" w:lineRule="exact"/>
              <w:rPr>
                <w:sz w:val="20"/>
                <w:szCs w:val="20"/>
                <w:color w:val="auto"/>
              </w:rPr>
            </w:pPr>
            <w:r>
              <w:rPr>
                <w:rFonts w:ascii="Times New Roman" w:cs="Times New Roman" w:eastAsia="Times New Roman" w:hAnsi="Times New Roman"/>
                <w:sz w:val="11"/>
                <w:szCs w:val="11"/>
                <w:color w:val="auto"/>
              </w:rPr>
              <w:t>Workbox Holdings Inc.</w:t>
            </w:r>
          </w:p>
        </w:tc>
        <w:tc>
          <w:tcPr>
            <w:tcW w:w="2600" w:type="dxa"/>
            <w:vAlign w:val="bottom"/>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A-4 Warrants</w:t>
            </w:r>
          </w:p>
        </w:tc>
        <w:tc>
          <w:tcPr>
            <w:tcW w:w="18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1,796,951</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231</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296</w:t>
            </w:r>
          </w:p>
        </w:tc>
        <w:tc>
          <w:tcPr>
            <w:tcW w:w="2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0.1%</w:t>
            </w:r>
          </w:p>
        </w:tc>
        <w:tc>
          <w:tcPr>
            <w:tcW w:w="6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620" w:type="dxa"/>
            <w:vAlign w:val="bottom"/>
            <w:gridSpan w:val="8"/>
            <w:shd w:val="clear" w:color="auto" w:fill="CFF0FC"/>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Total Real Estate and Rental and</w:t>
            </w:r>
          </w:p>
        </w:tc>
        <w:tc>
          <w:tcPr>
            <w:tcW w:w="26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328</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427</w:t>
            </w:r>
          </w:p>
        </w:tc>
        <w:tc>
          <w:tcPr>
            <w:tcW w:w="880" w:type="dxa"/>
            <w:vAlign w:val="bottom"/>
            <w:gridSpan w:val="2"/>
            <w:vMerge w:val="restart"/>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6"/>
              </w:rPr>
              <w:t>0.1%</w:t>
            </w: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20" w:type="dxa"/>
            <w:vAlign w:val="bottom"/>
            <w:gridSpan w:val="8"/>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b w:val="1"/>
                <w:bCs w:val="1"/>
                <w:color w:val="auto"/>
              </w:rPr>
              <w:t>Leasing</w:t>
            </w:r>
          </w:p>
        </w:tc>
        <w:tc>
          <w:tcPr>
            <w:tcW w:w="2600" w:type="dxa"/>
            <w:vAlign w:val="bottom"/>
            <w:shd w:val="clear" w:color="auto" w:fill="CFF0FC"/>
          </w:tcPr>
          <w:p>
            <w:pPr>
              <w:spacing w:after="0"/>
              <w:rPr>
                <w:sz w:val="6"/>
                <w:szCs w:val="6"/>
                <w:color w:val="auto"/>
              </w:rPr>
            </w:pPr>
          </w:p>
        </w:tc>
        <w:tc>
          <w:tcPr>
            <w:tcW w:w="148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6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88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gridSpan w:val="8"/>
            <w:vMerge w:val="continue"/>
            <w:shd w:val="clear" w:color="auto" w:fill="CFF0FC"/>
          </w:tcPr>
          <w:p>
            <w:pPr>
              <w:spacing w:after="0"/>
              <w:rPr>
                <w:sz w:val="5"/>
                <w:szCs w:val="5"/>
                <w:color w:val="auto"/>
              </w:rPr>
            </w:pPr>
          </w:p>
        </w:tc>
        <w:tc>
          <w:tcPr>
            <w:tcW w:w="260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6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580" w:type="dxa"/>
            <w:vAlign w:val="bottom"/>
            <w:gridSpan w:val="7"/>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Retail Trade</w:t>
            </w:r>
          </w:p>
        </w:tc>
        <w:tc>
          <w:tcPr>
            <w:tcW w:w="26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620" w:type="dxa"/>
            <w:vAlign w:val="bottom"/>
            <w:gridSpan w:val="8"/>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Portofino Labs, Inc. (d/b/a Because</w:t>
            </w:r>
          </w:p>
        </w:tc>
        <w:tc>
          <w:tcPr>
            <w:tcW w:w="2600" w:type="dxa"/>
            <w:vAlign w:val="bottom"/>
            <w:shd w:val="clear" w:color="auto" w:fill="CFF0FC"/>
          </w:tcPr>
          <w:p>
            <w:pPr>
              <w:spacing w:after="0"/>
              <w:rPr>
                <w:sz w:val="8"/>
                <w:szCs w:val="8"/>
                <w:color w:val="auto"/>
              </w:rPr>
            </w:pP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Warrants</w:t>
            </w:r>
          </w:p>
        </w:tc>
        <w:tc>
          <w:tcPr>
            <w:tcW w:w="1840" w:type="dxa"/>
            <w:vAlign w:val="bottom"/>
            <w:gridSpan w:val="2"/>
            <w:vMerge w:val="restart"/>
            <w:shd w:val="clear" w:color="auto" w:fill="CFF0FC"/>
          </w:tcPr>
          <w:p>
            <w:pPr>
              <w:jc w:val="center"/>
              <w:ind w:left="106"/>
              <w:spacing w:after="0"/>
              <w:rPr>
                <w:sz w:val="20"/>
                <w:szCs w:val="20"/>
                <w:color w:val="auto"/>
              </w:rPr>
            </w:pPr>
            <w:r>
              <w:rPr>
                <w:rFonts w:ascii="Times New Roman" w:cs="Times New Roman" w:eastAsia="Times New Roman" w:hAnsi="Times New Roman"/>
                <w:sz w:val="11"/>
                <w:szCs w:val="11"/>
                <w:color w:val="auto"/>
                <w:w w:val="98"/>
              </w:rPr>
              <w:t>4/30/2025</w:t>
            </w: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73,220</w:t>
            </w:r>
          </w:p>
        </w:tc>
        <w:tc>
          <w:tcPr>
            <w:tcW w:w="260" w:type="dxa"/>
            <w:vAlign w:val="bottom"/>
            <w:vMerge w:val="restart"/>
            <w:shd w:val="clear" w:color="auto" w:fill="CFF0FC"/>
          </w:tcPr>
          <w:p>
            <w:pPr>
              <w:spacing w:after="0"/>
              <w:rPr>
                <w:sz w:val="8"/>
                <w:szCs w:val="8"/>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80" w:type="dxa"/>
            <w:vAlign w:val="bottom"/>
            <w:gridSpan w:val="2"/>
            <w:vMerge w:val="restart"/>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5"/>
              </w:rPr>
              <w:t>0.0%</w:t>
            </w:r>
          </w:p>
        </w:tc>
        <w:tc>
          <w:tcPr>
            <w:tcW w:w="640" w:type="dxa"/>
            <w:vAlign w:val="bottom"/>
            <w:gridSpan w:val="2"/>
            <w:vMerge w:val="restart"/>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1620" w:type="dxa"/>
            <w:vAlign w:val="bottom"/>
            <w:tcBorders>
              <w:bottom w:val="single" w:sz="8" w:color="CFF0FC"/>
            </w:tcBorders>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Market)</w:t>
            </w:r>
          </w:p>
        </w:tc>
        <w:tc>
          <w:tcPr>
            <w:tcW w:w="260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vMerge w:val="continue"/>
            <w:shd w:val="clear" w:color="auto" w:fill="CFF0FC"/>
          </w:tcPr>
          <w:p>
            <w:pPr>
              <w:spacing w:after="0"/>
              <w:rPr>
                <w:sz w:val="10"/>
                <w:szCs w:val="10"/>
                <w:color w:val="auto"/>
              </w:rPr>
            </w:pPr>
          </w:p>
        </w:tc>
        <w:tc>
          <w:tcPr>
            <w:tcW w:w="1840" w:type="dxa"/>
            <w:vAlign w:val="bottom"/>
            <w:tcBorders>
              <w:bottom w:val="single" w:sz="8" w:color="CFF0FC"/>
            </w:tcBorders>
            <w:gridSpan w:val="2"/>
            <w:vMerge w:val="continue"/>
            <w:shd w:val="clear" w:color="auto" w:fill="CFF0FC"/>
          </w:tcPr>
          <w:p>
            <w:pPr>
              <w:spacing w:after="0"/>
              <w:rPr>
                <w:sz w:val="10"/>
                <w:szCs w:val="10"/>
                <w:color w:val="auto"/>
              </w:rPr>
            </w:pPr>
          </w:p>
        </w:tc>
        <w:tc>
          <w:tcPr>
            <w:tcW w:w="720" w:type="dxa"/>
            <w:vAlign w:val="bottom"/>
            <w:tcBorders>
              <w:bottom w:val="single" w:sz="8" w:color="CFF0FC"/>
            </w:tcBorders>
            <w:gridSpan w:val="2"/>
            <w:vMerge w:val="continue"/>
            <w:shd w:val="clear" w:color="auto" w:fill="CFF0FC"/>
          </w:tcPr>
          <w:p>
            <w:pPr>
              <w:spacing w:after="0"/>
              <w:rPr>
                <w:sz w:val="10"/>
                <w:szCs w:val="10"/>
                <w:color w:val="auto"/>
              </w:rPr>
            </w:pPr>
          </w:p>
        </w:tc>
        <w:tc>
          <w:tcPr>
            <w:tcW w:w="260" w:type="dxa"/>
            <w:vAlign w:val="bottom"/>
            <w:tcBorders>
              <w:bottom w:val="single" w:sz="8" w:color="CFF0FC"/>
            </w:tcBorders>
            <w:vMerge w:val="continue"/>
            <w:shd w:val="clear" w:color="auto" w:fill="CFF0FC"/>
          </w:tcPr>
          <w:p>
            <w:pPr>
              <w:spacing w:after="0"/>
              <w:rPr>
                <w:sz w:val="10"/>
                <w:szCs w:val="10"/>
                <w:color w:val="auto"/>
              </w:rPr>
            </w:pPr>
          </w:p>
        </w:tc>
        <w:tc>
          <w:tcPr>
            <w:tcW w:w="500" w:type="dxa"/>
            <w:vAlign w:val="bottom"/>
            <w:tcBorders>
              <w:bottom w:val="single" w:sz="8" w:color="CFF0FC"/>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vMerge w:val="continue"/>
            <w:shd w:val="clear" w:color="auto" w:fill="CFF0FC"/>
          </w:tcPr>
          <w:p>
            <w:pPr>
              <w:spacing w:after="0"/>
              <w:rPr>
                <w:sz w:val="10"/>
                <w:szCs w:val="10"/>
                <w:color w:val="auto"/>
              </w:rPr>
            </w:pPr>
          </w:p>
        </w:tc>
        <w:tc>
          <w:tcPr>
            <w:tcW w:w="880" w:type="dxa"/>
            <w:vAlign w:val="bottom"/>
            <w:tcBorders>
              <w:bottom w:val="single" w:sz="8" w:color="CFF0FC"/>
            </w:tcBorders>
            <w:gridSpan w:val="2"/>
            <w:vMerge w:val="continue"/>
            <w:shd w:val="clear" w:color="auto" w:fill="CFF0FC"/>
          </w:tcPr>
          <w:p>
            <w:pPr>
              <w:spacing w:after="0"/>
              <w:rPr>
                <w:sz w:val="10"/>
                <w:szCs w:val="10"/>
                <w:color w:val="auto"/>
              </w:rPr>
            </w:pPr>
          </w:p>
        </w:tc>
        <w:tc>
          <w:tcPr>
            <w:tcW w:w="640" w:type="dxa"/>
            <w:vAlign w:val="bottom"/>
            <w:tcBorders>
              <w:bottom w:val="single" w:sz="8" w:color="CFF0FC"/>
            </w:tcBorders>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top w:val="single" w:sz="8" w:color="CFF0FC"/>
            </w:tcBorders>
            <w:gridSpan w:val="8"/>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Retail Trade</w:t>
            </w:r>
          </w:p>
        </w:tc>
        <w:tc>
          <w:tcPr>
            <w:tcW w:w="2600" w:type="dxa"/>
            <w:vAlign w:val="bottom"/>
            <w:tcBorders>
              <w:top w:val="single" w:sz="8" w:color="CFF0FC"/>
            </w:tcBorders>
          </w:tcPr>
          <w:p>
            <w:pPr>
              <w:spacing w:after="0"/>
              <w:rPr>
                <w:sz w:val="10"/>
                <w:szCs w:val="10"/>
                <w:color w:val="auto"/>
              </w:rPr>
            </w:pPr>
          </w:p>
        </w:tc>
        <w:tc>
          <w:tcPr>
            <w:tcW w:w="148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6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0" w:type="dxa"/>
            <w:vAlign w:val="bottom"/>
            <w:tcBorders>
              <w:top w:val="single" w:sz="8" w:color="CFF0FC"/>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w:t>
            </w:r>
          </w:p>
        </w:tc>
        <w:tc>
          <w:tcPr>
            <w:tcW w:w="220" w:type="dxa"/>
            <w:vAlign w:val="bottom"/>
            <w:tcBorders>
              <w:top w:val="single" w:sz="8" w:color="CFF0FC"/>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w:t>
            </w:r>
          </w:p>
        </w:tc>
        <w:tc>
          <w:tcPr>
            <w:tcW w:w="240" w:type="dxa"/>
            <w:vAlign w:val="bottom"/>
            <w:tcBorders>
              <w:top w:val="single" w:sz="8" w:color="CFF0FC"/>
            </w:tcBorders>
          </w:tcPr>
          <w:p>
            <w:pPr>
              <w:spacing w:after="0"/>
              <w:rPr>
                <w:sz w:val="10"/>
                <w:szCs w:val="10"/>
                <w:color w:val="auto"/>
              </w:rPr>
            </w:pPr>
          </w:p>
        </w:tc>
        <w:tc>
          <w:tcPr>
            <w:tcW w:w="640" w:type="dxa"/>
            <w:vAlign w:val="bottom"/>
            <w:tcBorders>
              <w:top w:val="single" w:sz="8" w:color="auto"/>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100" w:type="dxa"/>
            <w:vAlign w:val="bottom"/>
            <w:tcBorders>
              <w:top w:val="single" w:sz="8" w:color="CFF0FC"/>
            </w:tcBorders>
          </w:tcPr>
          <w:p>
            <w:pPr>
              <w:spacing w:after="0"/>
              <w:rPr>
                <w:sz w:val="10"/>
                <w:szCs w:val="10"/>
                <w:color w:val="auto"/>
              </w:rPr>
            </w:pPr>
          </w:p>
        </w:tc>
        <w:tc>
          <w:tcPr>
            <w:tcW w:w="5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8"/>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U.S. Warrants</w:t>
            </w:r>
          </w:p>
        </w:tc>
        <w:tc>
          <w:tcPr>
            <w:tcW w:w="26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1,589</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1,646</w:t>
            </w:r>
          </w:p>
        </w:tc>
        <w:tc>
          <w:tcPr>
            <w:tcW w:w="88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0.5%</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gridSpan w:val="6"/>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Canadian Warrants</w:t>
            </w:r>
          </w:p>
        </w:tc>
        <w:tc>
          <w:tcPr>
            <w:tcW w:w="620" w:type="dxa"/>
            <w:vAlign w:val="bottom"/>
            <w:gridSpan w:val="2"/>
          </w:tcPr>
          <w:p>
            <w:pPr>
              <w:spacing w:after="0"/>
              <w:rPr>
                <w:sz w:val="9"/>
                <w:szCs w:val="9"/>
                <w:color w:val="auto"/>
              </w:rPr>
            </w:pPr>
          </w:p>
        </w:tc>
        <w:tc>
          <w:tcPr>
            <w:tcW w:w="26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gridSpan w:val="2"/>
          </w:tcPr>
          <w:p>
            <w:pPr>
              <w:jc w:val="center"/>
              <w:ind w:left="26"/>
              <w:spacing w:after="0" w:line="108"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102"/>
        </w:trPr>
        <w:tc>
          <w:tcPr>
            <w:tcW w:w="40" w:type="dxa"/>
            <w:vAlign w:val="bottom"/>
            <w:shd w:val="clear" w:color="auto" w:fill="CFF0FC"/>
          </w:tcPr>
          <w:p>
            <w:pPr>
              <w:spacing w:after="0"/>
              <w:rPr>
                <w:sz w:val="8"/>
                <w:szCs w:val="8"/>
                <w:color w:val="auto"/>
              </w:rPr>
            </w:pPr>
          </w:p>
        </w:tc>
        <w:tc>
          <w:tcPr>
            <w:tcW w:w="1580" w:type="dxa"/>
            <w:vAlign w:val="bottom"/>
            <w:gridSpan w:val="7"/>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26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8"/>
          </w:tcPr>
          <w:p>
            <w:pPr>
              <w:spacing w:after="0" w:line="115" w:lineRule="exact"/>
              <w:rPr>
                <w:sz w:val="20"/>
                <w:szCs w:val="20"/>
                <w:color w:val="auto"/>
              </w:rPr>
            </w:pPr>
            <w:r>
              <w:rPr>
                <w:rFonts w:ascii="Times New Roman" w:cs="Times New Roman" w:eastAsia="Times New Roman" w:hAnsi="Times New Roman"/>
                <w:sz w:val="11"/>
                <w:szCs w:val="11"/>
                <w:color w:val="auto"/>
              </w:rPr>
              <w:t>Canopy Growth Corporation</w:t>
            </w:r>
          </w:p>
        </w:tc>
        <w:tc>
          <w:tcPr>
            <w:tcW w:w="2600" w:type="dxa"/>
            <w:vAlign w:val="bottom"/>
          </w:tcPr>
          <w:p>
            <w:pPr>
              <w:spacing w:after="0"/>
              <w:rPr>
                <w:sz w:val="10"/>
                <w:szCs w:val="10"/>
                <w:color w:val="auto"/>
              </w:rPr>
            </w:pPr>
          </w:p>
        </w:tc>
        <w:tc>
          <w:tcPr>
            <w:tcW w:w="1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Warrants</w:t>
            </w:r>
          </w:p>
        </w:tc>
        <w:tc>
          <w:tcPr>
            <w:tcW w:w="18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color w:val="auto"/>
                <w:w w:val="97"/>
              </w:rPr>
              <w:t>1/8/2026</w:t>
            </w:r>
          </w:p>
        </w:tc>
        <w:tc>
          <w:tcPr>
            <w:tcW w:w="7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1,870,558</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1,328</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1,048</w:t>
            </w:r>
          </w:p>
        </w:tc>
        <w:tc>
          <w:tcPr>
            <w:tcW w:w="2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0.3%</w:t>
            </w:r>
          </w:p>
        </w:tc>
        <w:tc>
          <w:tcPr>
            <w:tcW w:w="640" w:type="dxa"/>
            <w:vAlign w:val="bottom"/>
            <w:gridSpan w:val="2"/>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15"/>
        </w:trPr>
        <w:tc>
          <w:tcPr>
            <w:tcW w:w="1620" w:type="dxa"/>
            <w:vAlign w:val="bottom"/>
            <w:tcBorders>
              <w:bottom w:val="single" w:sz="8" w:color="CFF0FC"/>
            </w:tcBorders>
            <w:gridSpan w:val="8"/>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260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1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1,328</w:t>
            </w:r>
          </w:p>
        </w:tc>
        <w:tc>
          <w:tcPr>
            <w:tcW w:w="22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1,048</w:t>
            </w:r>
          </w:p>
        </w:tc>
        <w:tc>
          <w:tcPr>
            <w:tcW w:w="2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0.3%</w:t>
            </w:r>
          </w:p>
        </w:tc>
        <w:tc>
          <w:tcPr>
            <w:tcW w:w="10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8"/>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Canadian Warrants</w:t>
            </w:r>
          </w:p>
        </w:tc>
        <w:tc>
          <w:tcPr>
            <w:tcW w:w="26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1,328</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1,048</w:t>
            </w:r>
          </w:p>
        </w:tc>
        <w:tc>
          <w:tcPr>
            <w:tcW w:w="2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0.3%</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CFF0FC"/>
            </w:tcBorders>
            <w:gridSpan w:val="8"/>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Total Equity Investments</w:t>
            </w:r>
          </w:p>
        </w:tc>
        <w:tc>
          <w:tcPr>
            <w:tcW w:w="260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1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3,417</w:t>
            </w:r>
          </w:p>
        </w:tc>
        <w:tc>
          <w:tcPr>
            <w:tcW w:w="22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3,194</w:t>
            </w:r>
          </w:p>
        </w:tc>
        <w:tc>
          <w:tcPr>
            <w:tcW w:w="2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1.1%</w:t>
            </w:r>
          </w:p>
        </w:tc>
        <w:tc>
          <w:tcPr>
            <w:tcW w:w="10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2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364,291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363,967</w:t>
            </w:r>
          </w:p>
        </w:tc>
        <w:tc>
          <w:tcPr>
            <w:tcW w:w="88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4"/>
              </w:rPr>
              <w:t>119.7%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-2644140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-2644140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-2644140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-758190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-758190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-758190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-269875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-269875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-269875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-98425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-98425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-98425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Legend</w:t>
      </w:r>
    </w:p>
    <w:p>
      <w:pPr>
        <w:spacing w:after="0" w:line="31" w:lineRule="exact"/>
        <w:rPr>
          <w:sz w:val="20"/>
          <w:szCs w:val="20"/>
          <w:color w:val="auto"/>
        </w:rPr>
      </w:pPr>
    </w:p>
    <w:p>
      <w:pPr>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indicated, all securities are valued using significant unobservable inputs, which are categorized as Level 3 assets under the Financial Accounting Standards Board’s Accounting Standards Codification 820, </w:t>
      </w:r>
      <w:r>
        <w:rPr>
          <w:rFonts w:ascii="Times New Roman" w:cs="Times New Roman" w:eastAsia="Times New Roman" w:hAnsi="Times New Roman"/>
          <w:sz w:val="18"/>
          <w:szCs w:val="18"/>
          <w:i w:val="1"/>
          <w:iCs w:val="1"/>
          <w:color w:val="auto"/>
        </w:rPr>
        <w:t>Fair Value Hierarchy.</w:t>
      </w: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represents the outstanding principal balance net of repayments, if any, as per the terms of the debt instrument’s contract.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March 31, 2026, rates for 1M S, 3M S and 6M S are 3.65%, 3.68%, and 3.86%, respectively. As of March 31, 2026, the P was 6.75%. Loans identified as "F" pay interest at the fixed rate listed in the table.</w:t>
      </w:r>
    </w:p>
    <w:p>
      <w:pPr>
        <w:spacing w:after="0" w:line="2"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were valued at fair value. See "Note 4 — Fair Value of Financial Instruments" in the accompanying notes to the financial statements.</w:t>
      </w:r>
    </w:p>
    <w:p>
      <w:pPr>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non-income producing investment. As of March 31, 2026, no debt investments are deemed as non-income producing.</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regions are determined by the respective portfolio company’s headquarters’ location.</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portfolio company’s headquarters is located outside of the United States.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Northeast.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Midwest.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Southwest.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520" w:hanging="512"/>
        <w:spacing w:after="0" w:line="255"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March 31, 2026, the aggregate fair value of non-qualifying assets is $20,802,595 or 5.58% of the Company’s total assets.</w:t>
      </w:r>
    </w:p>
    <w:p>
      <w:pPr>
        <w:spacing w:after="0" w:line="2"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any accretion of discounts, amortization of premiums and payment-in-kind ("PIK") interest or dividends.</w:t>
      </w:r>
    </w:p>
    <w:p>
      <w:pPr>
        <w:jc w:val="both"/>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as amended, the Company generally is deemed to be an “affiliated person” of a portfolio company if it owns 5% or more of the portfolio company’s voting securities and is generally deemed to “control” a portfolio company if it owns more than 25% of the portfolio company’s voting securities or it has the power to exercise control over the management or policies of such portfolio company.</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pledged as collateral for the Revolving Line of Credit (as defined below). See "Note 5 - Debt."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has an all in rate cap of 16.75%.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has a prime rate cap of 9.50%.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Non-controlled affiliate investment. See Note 6 “Related Party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PIK - Payment-In-Kind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 SOFR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24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117" w:right="339" w:bottom="1440" w:gutter="0" w:footer="0" w:header="0"/>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Facility</w:t>
            </w:r>
          </w:p>
        </w:tc>
        <w:tc>
          <w:tcPr>
            <w:tcW w:w="12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All in</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Benchmark</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11"/>
          </w:tcPr>
          <w:p>
            <w:pPr>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Type</w:t>
            </w:r>
          </w:p>
        </w:tc>
        <w:tc>
          <w:tcPr>
            <w:tcW w:w="12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Rate</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120" w:type="dxa"/>
            <w:vAlign w:val="bottom"/>
          </w:tcPr>
          <w:p>
            <w:pPr>
              <w:spacing w:after="0"/>
              <w:rPr>
                <w:sz w:val="11"/>
                <w:szCs w:val="11"/>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PIK</w:t>
            </w:r>
          </w:p>
        </w:tc>
        <w:tc>
          <w:tcPr>
            <w:tcW w:w="0" w:type="dxa"/>
            <w:vAlign w:val="bottom"/>
          </w:tcPr>
          <w:p>
            <w:pPr>
              <w:spacing w:after="0"/>
              <w:rPr>
                <w:sz w:val="1"/>
                <w:szCs w:val="1"/>
                <w:color w:val="auto"/>
              </w:rPr>
            </w:pPr>
          </w:p>
        </w:tc>
      </w:tr>
      <w:tr>
        <w:trPr>
          <w:trHeight w:val="102"/>
        </w:trPr>
        <w:tc>
          <w:tcPr>
            <w:tcW w:w="1220" w:type="dxa"/>
            <w:vAlign w:val="bottom"/>
            <w:tcBorders>
              <w:top w:val="single" w:sz="8" w:color="auto"/>
              <w:bottom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8"/>
              </w:rPr>
              <w:t>Investments at Fair Value</w:t>
            </w:r>
          </w:p>
        </w:tc>
        <w:tc>
          <w:tcPr>
            <w:tcW w:w="840" w:type="dxa"/>
            <w:vAlign w:val="bottom"/>
            <w:tcBorders>
              <w:top w:val="single" w:sz="8" w:color="auto"/>
            </w:tcBorders>
            <w:gridSpan w:val="3"/>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1"/>
                <w:szCs w:val="11"/>
                <w:b w:val="1"/>
                <w:bCs w:val="1"/>
                <w:color w:val="auto"/>
                <w:w w:val="98"/>
              </w:rPr>
              <w:t>US Corporate Debt</w:t>
            </w:r>
          </w:p>
        </w:tc>
        <w:tc>
          <w:tcPr>
            <w:tcW w:w="1140" w:type="dxa"/>
            <w:vAlign w:val="bottom"/>
            <w:gridSpan w:val="7"/>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60" w:type="dxa"/>
            <w:vAlign w:val="bottom"/>
            <w:gridSpan w:val="14"/>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Borders>
              <w:top w:val="single" w:sz="8" w:color="auto"/>
              <w:bottom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U.S. Debt</w:t>
            </w:r>
          </w:p>
        </w:tc>
        <w:tc>
          <w:tcPr>
            <w:tcW w:w="740" w:type="dxa"/>
            <w:vAlign w:val="bottom"/>
            <w:tcBorders>
              <w:top w:val="single" w:sz="8" w:color="auto"/>
            </w:tcBorders>
            <w:gridSpan w:val="8"/>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60" w:type="dxa"/>
            <w:vAlign w:val="bottom"/>
            <w:gridSpan w:val="14"/>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Administrative and Support and Waste</w:t>
            </w: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0" w:type="dxa"/>
            <w:vAlign w:val="bottom"/>
            <w:tcBorders>
              <w:top w:val="single" w:sz="8" w:color="auto"/>
              <w:bottom w:val="single" w:sz="8" w:color="auto"/>
            </w:tcBorders>
            <w:gridSpan w:val="5"/>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Management</w:t>
            </w:r>
          </w:p>
        </w:tc>
        <w:tc>
          <w:tcPr>
            <w:tcW w:w="1240" w:type="dxa"/>
            <w:vAlign w:val="bottom"/>
            <w:tcBorders>
              <w:top w:val="single" w:sz="8" w:color="auto"/>
            </w:tcBorders>
            <w:gridSpan w:val="8"/>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60" w:type="dxa"/>
            <w:vAlign w:val="bottom"/>
            <w:gridSpan w:val="14"/>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and Remediation Services</w:t>
            </w: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22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1"/>
                <w:szCs w:val="11"/>
                <w:color w:val="auto"/>
              </w:rPr>
              <w:t>Hugo Technologies, Inc.</w:t>
            </w:r>
          </w:p>
        </w:tc>
        <w:tc>
          <w:tcPr>
            <w:tcW w:w="44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11.79%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8"/>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Administrative and Support and</w:t>
            </w:r>
          </w:p>
        </w:tc>
        <w:tc>
          <w:tcPr>
            <w:tcW w:w="120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60" w:type="dxa"/>
            <w:vAlign w:val="bottom"/>
            <w:gridSpan w:val="14"/>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Waste Management</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4"/>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and Remediation Services</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6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60" w:type="dxa"/>
            <w:vAlign w:val="bottom"/>
            <w:gridSpan w:val="14"/>
          </w:tcPr>
          <w:p>
            <w:pPr>
              <w:spacing w:after="0" w:line="102" w:lineRule="exact"/>
              <w:rPr>
                <w:sz w:val="20"/>
                <w:szCs w:val="20"/>
                <w:color w:val="auto"/>
              </w:rPr>
            </w:pPr>
            <w:r>
              <w:rPr>
                <w:rFonts w:ascii="Times New Roman" w:cs="Times New Roman" w:eastAsia="Times New Roman" w:hAnsi="Times New Roman"/>
                <w:sz w:val="11"/>
                <w:szCs w:val="11"/>
                <w:color w:val="auto"/>
              </w:rPr>
              <w:t>Aeriz Holdings Corp</w:t>
            </w: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Archos Capital Group, LLC</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BeLeaf Medical, LLC</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14.25%</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5.75%</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CO Acquisition Vehicle, LLC</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Cresco Labs, LLC</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20.00%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12.50%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Dreamfields Brands, Inc. (d/b/a Jeeter)</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16.25%</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Elevation Cannabis, LLC</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16.25%</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Flowery - Bill's Nursery, Inc.</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FLUENT Corp.</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11.00%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21"/>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22"/>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HA-MD, LLC</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Illicit - S1 Enterprises, Inc.</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13.96%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10.24%</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1"/>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Kaleafa, Inc.</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17.00%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Kapple Holdings LLC (Cannabis &amp; Glass)</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Nova Farms, LLC</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14.53%</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10.25%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1"/>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Oasis - AZ GOAT AZ LLC</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15.50%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Shangri-La Columbia, LLC</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13.25%</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Silver Therapeutics, Inc.</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7.25%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Subsero Holdings - Illinois, Inc</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TerrAscend Corporation</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21"/>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TheraTrue, Inc.</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1"/>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Revolver</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12.49%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8.33%</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1"/>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Wellgreens 2.0, LLC</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Cannabis</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60" w:type="dxa"/>
            <w:vAlign w:val="bottom"/>
            <w:gridSpan w:val="14"/>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9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w w:val="97"/>
              </w:rPr>
              <w:t>Educational Services</w:t>
            </w:r>
          </w:p>
        </w:tc>
        <w:tc>
          <w:tcPr>
            <w:tcW w:w="1080" w:type="dxa"/>
            <w:vAlign w:val="bottom"/>
            <w:gridSpan w:val="6"/>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60" w:type="dxa"/>
            <w:vAlign w:val="bottom"/>
            <w:gridSpan w:val="14"/>
          </w:tcPr>
          <w:p>
            <w:pPr>
              <w:spacing w:after="0"/>
              <w:rPr>
                <w:sz w:val="20"/>
                <w:szCs w:val="20"/>
                <w:color w:val="auto"/>
              </w:rPr>
            </w:pPr>
            <w:r>
              <w:rPr>
                <w:rFonts w:ascii="Times New Roman" w:cs="Times New Roman" w:eastAsia="Times New Roman" w:hAnsi="Times New Roman"/>
                <w:sz w:val="11"/>
                <w:szCs w:val="11"/>
                <w:color w:val="auto"/>
              </w:rPr>
              <w:t>Energize Holdings, Inc. (d/b/a Exos)</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11.99%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8"/>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Educational Services</w:t>
            </w:r>
          </w:p>
        </w:tc>
        <w:tc>
          <w:tcPr>
            <w:tcW w:w="120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60" w:type="dxa"/>
            <w:vAlign w:val="bottom"/>
            <w:gridSpan w:val="14"/>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6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color w:val="auto"/>
                <w:w w:val="98"/>
              </w:rPr>
              <w:t>AI Software,</w:t>
            </w:r>
          </w:p>
        </w:tc>
        <w:tc>
          <w:tcPr>
            <w:tcW w:w="1480" w:type="dxa"/>
            <w:vAlign w:val="bottom"/>
            <w:gridSpan w:val="11"/>
          </w:tcPr>
          <w:p>
            <w:pPr>
              <w:ind w:left="20"/>
              <w:spacing w:after="0" w:line="102" w:lineRule="exact"/>
              <w:rPr>
                <w:sz w:val="20"/>
                <w:szCs w:val="20"/>
                <w:color w:val="auto"/>
              </w:rPr>
            </w:pPr>
            <w:r>
              <w:rPr>
                <w:rFonts w:ascii="Times New Roman" w:cs="Times New Roman" w:eastAsia="Times New Roman" w:hAnsi="Times New Roman"/>
                <w:sz w:val="11"/>
                <w:szCs w:val="11"/>
                <w:color w:val="auto"/>
              </w:rPr>
              <w:t>LLC (d/b/a Capacity)</w:t>
            </w:r>
          </w:p>
        </w:tc>
        <w:tc>
          <w:tcPr>
            <w:tcW w:w="1200" w:type="dxa"/>
            <w:vAlign w:val="bottom"/>
            <w:gridSpan w:val="2"/>
          </w:tcPr>
          <w:p>
            <w:pPr>
              <w:ind w:left="120"/>
              <w:spacing w:after="0" w:line="10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Engage3 Holdings, Inc.</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21"/>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0" w:type="dxa"/>
            <w:vAlign w:val="bottom"/>
          </w:tcPr>
          <w:p>
            <w:pPr>
              <w:spacing w:after="0"/>
              <w:rPr>
                <w:sz w:val="1"/>
                <w:szCs w:val="1"/>
                <w:color w:val="auto"/>
              </w:rPr>
            </w:pPr>
          </w:p>
        </w:tc>
      </w:tr>
      <w:tr>
        <w:trPr>
          <w:trHeight w:val="122"/>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Protect Animals With Satellites LLC (Halo</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60" w:type="dxa"/>
            <w:vAlign w:val="bottom"/>
            <w:gridSpan w:val="14"/>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Collar)</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13.25%</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21"/>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Protect Animals With Satellites LLC (Halo</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60" w:type="dxa"/>
            <w:vAlign w:val="bottom"/>
            <w:gridSpan w:val="14"/>
          </w:tcPr>
          <w:p>
            <w:pPr>
              <w:spacing w:after="0" w:line="120" w:lineRule="exact"/>
              <w:rPr>
                <w:sz w:val="20"/>
                <w:szCs w:val="20"/>
                <w:color w:val="auto"/>
              </w:rPr>
            </w:pPr>
            <w:r>
              <w:rPr>
                <w:rFonts w:ascii="Times New Roman" w:cs="Times New Roman" w:eastAsia="Times New Roman" w:hAnsi="Times New Roman"/>
                <w:sz w:val="11"/>
                <w:szCs w:val="11"/>
                <w:color w:val="auto"/>
              </w:rPr>
              <w:t>Collar)</w:t>
            </w:r>
          </w:p>
        </w:tc>
        <w:tc>
          <w:tcPr>
            <w:tcW w:w="1200" w:type="dxa"/>
            <w:vAlign w:val="bottom"/>
            <w:gridSpan w:val="2"/>
          </w:tcPr>
          <w:p>
            <w:pPr>
              <w:ind w:left="120"/>
              <w:spacing w:after="0" w:line="120" w:lineRule="exact"/>
              <w:rPr>
                <w:sz w:val="20"/>
                <w:szCs w:val="20"/>
                <w:color w:val="auto"/>
              </w:rPr>
            </w:pPr>
            <w:r>
              <w:rPr>
                <w:rFonts w:ascii="Times New Roman" w:cs="Times New Roman" w:eastAsia="Times New Roman" w:hAnsi="Times New Roman"/>
                <w:sz w:val="11"/>
                <w:szCs w:val="11"/>
                <w:color w:val="auto"/>
              </w:rPr>
              <w:t>Incremental Term Loan</w:t>
            </w:r>
          </w:p>
        </w:tc>
        <w:tc>
          <w:tcPr>
            <w:tcW w:w="840" w:type="dxa"/>
            <w:vAlign w:val="bottom"/>
            <w:gridSpan w:val="3"/>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13.25%</w:t>
            </w: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1.75%</w:t>
            </w:r>
          </w:p>
        </w:tc>
        <w:tc>
          <w:tcPr>
            <w:tcW w:w="4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22"/>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20" w:type="dxa"/>
            <w:vAlign w:val="bottom"/>
            <w:tcBorders>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7"/>
              </w:rPr>
              <w:t>Manufacturing</w:t>
            </w:r>
          </w:p>
        </w:tc>
        <w:tc>
          <w:tcPr>
            <w:tcW w:w="1340" w:type="dxa"/>
            <w:vAlign w:val="bottom"/>
            <w:gridSpan w:val="8"/>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60" w:type="dxa"/>
            <w:vAlign w:val="bottom"/>
            <w:gridSpan w:val="14"/>
          </w:tcPr>
          <w:p>
            <w:pPr>
              <w:spacing w:after="0" w:line="102" w:lineRule="exact"/>
              <w:rPr>
                <w:sz w:val="20"/>
                <w:szCs w:val="20"/>
                <w:color w:val="auto"/>
              </w:rPr>
            </w:pPr>
            <w:r>
              <w:rPr>
                <w:rFonts w:ascii="Times New Roman" w:cs="Times New Roman" w:eastAsia="Times New Roman" w:hAnsi="Times New Roman"/>
                <w:sz w:val="11"/>
                <w:szCs w:val="11"/>
                <w:color w:val="auto"/>
              </w:rPr>
              <w:t>Action Target, Inc.</w:t>
            </w: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color w:val="auto"/>
              </w:rPr>
              <w:t>Ocular Science, Inc.</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2.00%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0" w:type="dxa"/>
            <w:vAlign w:val="bottom"/>
          </w:tcPr>
          <w:p>
            <w:pPr>
              <w:spacing w:after="0"/>
              <w:rPr>
                <w:sz w:val="1"/>
                <w:szCs w:val="1"/>
                <w:color w:val="auto"/>
              </w:rPr>
            </w:pPr>
          </w:p>
        </w:tc>
      </w:tr>
      <w:tr>
        <w:trPr>
          <w:trHeight w:val="121"/>
        </w:trPr>
        <w:tc>
          <w:tcPr>
            <w:tcW w:w="2060" w:type="dxa"/>
            <w:vAlign w:val="bottom"/>
            <w:gridSpan w:val="14"/>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5.25%</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22"/>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Manufacturing</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60" w:type="dxa"/>
            <w:vAlign w:val="bottom"/>
            <w:gridSpan w:val="14"/>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40" w:type="dxa"/>
            <w:vAlign w:val="bottom"/>
            <w:tcBorders>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7"/>
              </w:rPr>
              <w:t>Public Administration</w:t>
            </w:r>
          </w:p>
        </w:tc>
        <w:tc>
          <w:tcPr>
            <w:tcW w:w="1020" w:type="dxa"/>
            <w:vAlign w:val="bottom"/>
            <w:gridSpan w:val="5"/>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60" w:type="dxa"/>
            <w:vAlign w:val="bottom"/>
            <w:gridSpan w:val="14"/>
          </w:tcPr>
          <w:p>
            <w:pPr>
              <w:spacing w:after="0"/>
              <w:rPr>
                <w:sz w:val="20"/>
                <w:szCs w:val="20"/>
                <w:color w:val="auto"/>
              </w:rPr>
            </w:pPr>
            <w:r>
              <w:rPr>
                <w:rFonts w:ascii="Times New Roman" w:cs="Times New Roman" w:eastAsia="Times New Roman" w:hAnsi="Times New Roman"/>
                <w:sz w:val="11"/>
                <w:szCs w:val="11"/>
                <w:color w:val="auto"/>
              </w:rPr>
              <w:t>Youth Opportunity Investments, LLC</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12.02%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7.75%</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8"/>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Public Administration</w:t>
            </w:r>
          </w:p>
        </w:tc>
        <w:tc>
          <w:tcPr>
            <w:tcW w:w="120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60" w:type="dxa"/>
            <w:vAlign w:val="bottom"/>
            <w:gridSpan w:val="14"/>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6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Real Estate and Rental and Leasing</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1"/>
                <w:szCs w:val="11"/>
                <w:color w:val="auto"/>
              </w:rPr>
              <w:t>Workbox Holdings, Inc.</w:t>
            </w:r>
          </w:p>
        </w:tc>
        <w:tc>
          <w:tcPr>
            <w:tcW w:w="400" w:type="dxa"/>
            <w:vAlign w:val="bottom"/>
            <w:gridSpan w:val="2"/>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0" w:type="dxa"/>
            <w:vAlign w:val="bottom"/>
          </w:tcPr>
          <w:p>
            <w:pPr>
              <w:spacing w:after="0"/>
              <w:rPr>
                <w:sz w:val="1"/>
                <w:szCs w:val="1"/>
                <w:color w:val="auto"/>
              </w:rPr>
            </w:pPr>
          </w:p>
        </w:tc>
      </w:tr>
      <w:tr>
        <w:trPr>
          <w:trHeight w:val="108"/>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Real Estate and Rental and Leasing</w:t>
            </w:r>
          </w:p>
        </w:tc>
        <w:tc>
          <w:tcPr>
            <w:tcW w:w="120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60" w:type="dxa"/>
            <w:vAlign w:val="bottom"/>
            <w:gridSpan w:val="14"/>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6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Retail Trade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1"/>
                <w:szCs w:val="11"/>
                <w:color w:val="auto"/>
              </w:rPr>
              <w:t>Aura Home,</w:t>
            </w:r>
          </w:p>
        </w:tc>
        <w:tc>
          <w:tcPr>
            <w:tcW w:w="1460" w:type="dxa"/>
            <w:vAlign w:val="bottom"/>
            <w:gridSpan w:val="10"/>
          </w:tcPr>
          <w:p>
            <w:pPr>
              <w:spacing w:after="0" w:line="121" w:lineRule="exact"/>
              <w:rPr>
                <w:sz w:val="20"/>
                <w:szCs w:val="20"/>
                <w:color w:val="auto"/>
              </w:rPr>
            </w:pPr>
            <w:r>
              <w:rPr>
                <w:rFonts w:ascii="Times New Roman" w:cs="Times New Roman" w:eastAsia="Times New Roman" w:hAnsi="Times New Roman"/>
                <w:sz w:val="11"/>
                <w:szCs w:val="11"/>
                <w:color w:val="auto"/>
              </w:rPr>
              <w:t>Inc</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10.77%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60" w:type="dxa"/>
            <w:vAlign w:val="bottom"/>
            <w:gridSpan w:val="14"/>
          </w:tcPr>
          <w:p>
            <w:pPr>
              <w:spacing w:after="0" w:line="122" w:lineRule="exact"/>
              <w:rPr>
                <w:sz w:val="20"/>
                <w:szCs w:val="20"/>
                <w:color w:val="auto"/>
              </w:rPr>
            </w:pPr>
            <w:r>
              <w:rPr>
                <w:rFonts w:ascii="Times New Roman" w:cs="Times New Roman" w:eastAsia="Times New Roman" w:hAnsi="Times New Roman"/>
                <w:sz w:val="11"/>
                <w:szCs w:val="11"/>
                <w:color w:val="auto"/>
              </w:rPr>
              <w:t>Aura Home, Inc</w:t>
            </w:r>
          </w:p>
        </w:tc>
        <w:tc>
          <w:tcPr>
            <w:tcW w:w="12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10.77%</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40"/>
        </w:trPr>
        <w:tc>
          <w:tcPr>
            <w:tcW w:w="2060" w:type="dxa"/>
            <w:vAlign w:val="bottom"/>
            <w:gridSpan w:val="14"/>
          </w:tcPr>
          <w:p>
            <w:pPr>
              <w:spacing w:after="0"/>
              <w:rPr>
                <w:sz w:val="20"/>
                <w:szCs w:val="20"/>
                <w:color w:val="auto"/>
              </w:rPr>
            </w:pPr>
            <w:r>
              <w:rPr>
                <w:rFonts w:ascii="Times New Roman" w:cs="Times New Roman" w:eastAsia="Times New Roman" w:hAnsi="Times New Roman"/>
                <w:sz w:val="11"/>
                <w:szCs w:val="11"/>
                <w:color w:val="auto"/>
              </w:rPr>
              <w:t>Portofino Labs, Inc. (d/b/a Because Market)</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12.03%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6.25%</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0" w:type="dxa"/>
            <w:vAlign w:val="bottom"/>
          </w:tcPr>
          <w:p>
            <w:pPr>
              <w:spacing w:after="0"/>
              <w:rPr>
                <w:sz w:val="1"/>
                <w:szCs w:val="1"/>
                <w:color w:val="auto"/>
              </w:rPr>
            </w:pPr>
          </w:p>
        </w:tc>
      </w:tr>
      <w:tr>
        <w:trPr>
          <w:trHeight w:val="121"/>
        </w:trPr>
        <w:tc>
          <w:tcPr>
            <w:tcW w:w="206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Retail Trade</w:t>
            </w:r>
          </w:p>
        </w:tc>
        <w:tc>
          <w:tcPr>
            <w:tcW w:w="120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60" w:type="dxa"/>
            <w:vAlign w:val="bottom"/>
            <w:gridSpan w:val="14"/>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60" w:type="dxa"/>
            <w:vAlign w:val="bottom"/>
            <w:gridSpan w:val="14"/>
          </w:tcPr>
          <w:p>
            <w:pPr>
              <w:spacing w:after="0"/>
              <w:rPr>
                <w:sz w:val="20"/>
                <w:szCs w:val="20"/>
                <w:color w:val="auto"/>
              </w:rPr>
            </w:pPr>
            <w:r>
              <w:rPr>
                <w:rFonts w:ascii="Times New Roman" w:cs="Times New Roman" w:eastAsia="Times New Roman" w:hAnsi="Times New Roman"/>
                <w:sz w:val="11"/>
                <w:szCs w:val="11"/>
                <w:b w:val="1"/>
                <w:bCs w:val="1"/>
                <w:color w:val="auto"/>
              </w:rPr>
              <w:t>Total First Lien Senior Secured U.S. Debt</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-7571740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-7186295</wp:posOffset>
            </wp:positionV>
            <wp:extent cx="7132320" cy="231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-6800215</wp:posOffset>
            </wp:positionV>
            <wp:extent cx="7132320" cy="2317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-6491605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-6182995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-5874385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-5565775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-5257165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-4948555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-4639945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-4331335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-4022725</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-3714115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-3405505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-2788285</wp:posOffset>
            </wp:positionV>
            <wp:extent cx="7132320" cy="768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-2557145</wp:posOffset>
            </wp:positionV>
            <wp:extent cx="7132320"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-2402840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-2094230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-1785620</wp:posOffset>
            </wp:positionV>
            <wp:extent cx="7132320" cy="774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-1631315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-1322705</wp:posOffset>
            </wp:positionV>
            <wp:extent cx="7132320" cy="76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-936625</wp:posOffset>
            </wp:positionV>
            <wp:extent cx="7132320" cy="768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774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-3096895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Amortiz</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ed</w:t>
            </w:r>
          </w:p>
        </w:tc>
        <w:tc>
          <w:tcPr>
            <w:tcW w:w="200" w:type="dxa"/>
            <w:vAlign w:val="bottom"/>
          </w:tcPr>
          <w:p>
            <w:pPr>
              <w:spacing w:after="0"/>
              <w:rPr>
                <w:sz w:val="10"/>
                <w:szCs w:val="10"/>
                <w:color w:val="auto"/>
              </w:rPr>
            </w:pPr>
          </w:p>
        </w:tc>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Fair</w:t>
            </w:r>
          </w:p>
        </w:tc>
        <w:tc>
          <w:tcPr>
            <w:tcW w:w="2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2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4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w:t>
            </w:r>
          </w:p>
        </w:tc>
        <w:tc>
          <w:tcPr>
            <w:tcW w:w="2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Cost(15)</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Value (4)</w:t>
            </w:r>
          </w:p>
        </w:tc>
        <w:tc>
          <w:tcPr>
            <w:tcW w:w="2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Footnotes</w:t>
            </w:r>
          </w:p>
        </w:tc>
        <w:tc>
          <w:tcPr>
            <w:tcW w:w="0" w:type="dxa"/>
            <w:vAlign w:val="bottom"/>
          </w:tcPr>
          <w:p>
            <w:pPr>
              <w:spacing w:after="0"/>
              <w:rPr>
                <w:sz w:val="1"/>
                <w:szCs w:val="1"/>
                <w:color w:val="auto"/>
              </w:rPr>
            </w:pPr>
          </w:p>
        </w:tc>
      </w:tr>
      <w:tr>
        <w:trPr>
          <w:trHeight w:val="101"/>
        </w:trPr>
        <w:tc>
          <w:tcPr>
            <w:tcW w:w="4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9"/>
              </w:rPr>
              <w:t>(1)(5)(16)</w:t>
            </w: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(17)</w:t>
            </w:r>
          </w:p>
        </w:tc>
        <w:tc>
          <w:tcPr>
            <w:tcW w:w="0" w:type="dxa"/>
            <w:vAlign w:val="bottom"/>
          </w:tcPr>
          <w:p>
            <w:pPr>
              <w:spacing w:after="0"/>
              <w:rPr>
                <w:sz w:val="1"/>
                <w:szCs w:val="1"/>
                <w:color w:val="auto"/>
              </w:rPr>
            </w:pPr>
          </w:p>
        </w:tc>
      </w:tr>
      <w:tr>
        <w:trPr>
          <w:trHeight w:val="832"/>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00" w:type="dxa"/>
            <w:vAlign w:val="bottom"/>
            <w:vMerge w:val="restart"/>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vMerge w:val="restart"/>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3.25%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12/10/2025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12/10/2030</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3,000</w:t>
            </w:r>
          </w:p>
        </w:tc>
        <w:tc>
          <w:tcPr>
            <w:tcW w:w="8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7.00%</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6/30/2028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8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3.2%</w:t>
            </w:r>
          </w:p>
        </w:tc>
        <w:tc>
          <w:tcPr>
            <w:tcW w:w="5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224"/>
        </w:trPr>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1/5/2026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0.0%</w:t>
            </w:r>
          </w:p>
        </w:tc>
        <w:tc>
          <w:tcPr>
            <w:tcW w:w="5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8/20/2025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8/20/2028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14,004</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14,074</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9/30/2025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15,521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15,521</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5.1%</w:t>
            </w: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8/13/2025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8/13/2030</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7,223</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7,162</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5/3/2023</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9/30/2028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745</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31,713</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31,745</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8"/>
              </w:rPr>
              <w:t>10.5%</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822</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10,671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10,768</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978</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13,958</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13,908</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3/31/2025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11/24/2028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8,372</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8,311</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6/6/2026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2,869</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2,870</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3.72%</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12/31/2025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14,610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14,610</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12/4/2024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12/3/2027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2,741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2,768</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0.9%</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3/28/2025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7/28/2028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3,635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3,685</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3/28/2027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196</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13,655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13,770</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3/31/2027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4,370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4,296</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6/30/2028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11,210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11,343</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(10)(18)</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3/26/2025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3/24/2028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6,070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6,009</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7/29/2026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2,688</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2,792</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0.9%</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7/15/2025</w:t>
            </w: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8/1/2028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2,915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2,937</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(14)</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3/18/2025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3/13/2027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86</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2,986</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3,016</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10/27/2024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10/30/2026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42,241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42,249</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8"/>
              </w:rPr>
              <w:t>13.9%</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9/30/2025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9/29/2028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4,438</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4,333</w:t>
            </w:r>
          </w:p>
        </w:tc>
        <w:tc>
          <w:tcPr>
            <w:tcW w:w="8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7/24/2025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7/31/2029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(11)(19)</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235,59</w:t>
            </w:r>
          </w:p>
        </w:tc>
        <w:tc>
          <w:tcPr>
            <w:tcW w:w="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235,870</w:t>
            </w:r>
          </w:p>
        </w:tc>
        <w:tc>
          <w:tcPr>
            <w:tcW w:w="88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77.6%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8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3.99%</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10/24/2025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10/24/2029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4,966</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4,966</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1.6%</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6/13/2025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6/13/2029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4,670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5,095</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7/22/2025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7/22/2030</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5,777</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5,784</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3,472</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3,470</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1,804</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1,803</w:t>
            </w:r>
          </w:p>
        </w:tc>
        <w:tc>
          <w:tcPr>
            <w:tcW w:w="8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15,723</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16,152</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5.3%</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8/29/2025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7/19/2027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2,440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2,440</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0.8%</w:t>
            </w: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8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6.75%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12/17/2025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6/17/2029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7,291</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7,291</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11,407</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11,504</w:t>
            </w:r>
          </w:p>
        </w:tc>
        <w:tc>
          <w:tcPr>
            <w:tcW w:w="8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9/18/2026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447</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11,407</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11,504</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8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5/31/2029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1,988</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1,988</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0.7%</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3.75%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9/22/2026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3,325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3,309</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3.75%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4/11/2025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9/22/2026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516</w:t>
            </w:r>
          </w:p>
        </w:tc>
        <w:tc>
          <w:tcPr>
            <w:tcW w:w="8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5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5,007</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5,070</w:t>
            </w:r>
          </w:p>
        </w:tc>
        <w:tc>
          <w:tcPr>
            <w:tcW w:w="8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4.25%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4/30/2025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4/30/2029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8,851</w:t>
            </w:r>
          </w:p>
        </w:tc>
        <w:tc>
          <w:tcPr>
            <w:tcW w:w="2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8,895</w:t>
            </w:r>
          </w:p>
        </w:tc>
        <w:tc>
          <w:tcPr>
            <w:tcW w:w="2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3.0%</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288,81</w:t>
            </w: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289,666</w:t>
            </w:r>
          </w:p>
        </w:tc>
        <w:tc>
          <w:tcPr>
            <w:tcW w:w="88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95.4%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40" w:space="120"/>
            <w:col w:w="5180"/>
          </w:cols>
          <w:pgMar w:left="320" w:top="117" w:right="339" w:bottom="1440" w:gutter="0" w:footer="0" w:header="0"/>
          <w:type w:val="continuous"/>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15"/>
        </w:trPr>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4"/>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Amorti</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Initial</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87"/>
              </w:rPr>
              <w:t>zed</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ind w:left="400"/>
              <w:spacing w:after="0" w:line="122"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20" w:type="dxa"/>
            <w:vAlign w:val="bottom"/>
          </w:tcPr>
          <w:p>
            <w:pPr>
              <w:spacing w:after="0"/>
              <w:rPr>
                <w:sz w:val="10"/>
                <w:szCs w:val="10"/>
                <w:color w:val="auto"/>
              </w:rPr>
            </w:pPr>
          </w:p>
        </w:tc>
        <w:tc>
          <w:tcPr>
            <w:tcW w:w="68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All in</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Benchmark</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Par</w:t>
            </w:r>
          </w:p>
        </w:tc>
        <w:tc>
          <w:tcPr>
            <w:tcW w:w="600" w:type="dxa"/>
            <w:vAlign w:val="bottom"/>
            <w:gridSpan w:val="4"/>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Cost(15</w:t>
            </w:r>
          </w:p>
        </w:tc>
        <w:tc>
          <w:tcPr>
            <w:tcW w:w="140" w:type="dxa"/>
            <w:vAlign w:val="bottom"/>
          </w:tcPr>
          <w:p>
            <w:pPr>
              <w:spacing w:after="0"/>
              <w:rPr>
                <w:sz w:val="10"/>
                <w:szCs w:val="10"/>
                <w:color w:val="auto"/>
              </w:rPr>
            </w:pPr>
          </w:p>
        </w:tc>
        <w:tc>
          <w:tcPr>
            <w:tcW w:w="56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Fair</w:t>
            </w:r>
          </w:p>
        </w:tc>
        <w:tc>
          <w:tcPr>
            <w:tcW w:w="120" w:type="dxa"/>
            <w:vAlign w:val="bottom"/>
          </w:tcPr>
          <w:p>
            <w:pPr>
              <w:spacing w:after="0"/>
              <w:rPr>
                <w:sz w:val="10"/>
                <w:szCs w:val="10"/>
                <w:color w:val="auto"/>
              </w:rPr>
            </w:pPr>
          </w:p>
        </w:tc>
        <w:tc>
          <w:tcPr>
            <w:tcW w:w="64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9"/>
          </w:tcPr>
          <w:p>
            <w:pPr>
              <w:ind w:left="8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Pr>
          <w:p>
            <w:pPr>
              <w:spacing w:after="0"/>
              <w:rPr>
                <w:sz w:val="11"/>
                <w:szCs w:val="11"/>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Type</w:t>
            </w:r>
          </w:p>
        </w:tc>
        <w:tc>
          <w:tcPr>
            <w:tcW w:w="120" w:type="dxa"/>
            <w:vAlign w:val="bottom"/>
          </w:tcPr>
          <w:p>
            <w:pPr>
              <w:spacing w:after="0"/>
              <w:rPr>
                <w:sz w:val="11"/>
                <w:szCs w:val="11"/>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12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1"/>
              </w:rPr>
              <w:t>PIK</w:t>
            </w: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40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Value (4)</w:t>
            </w:r>
          </w:p>
        </w:tc>
        <w:tc>
          <w:tcPr>
            <w:tcW w:w="76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2"/>
        </w:trPr>
        <w:tc>
          <w:tcPr>
            <w:tcW w:w="1240" w:type="dxa"/>
            <w:vAlign w:val="bottom"/>
            <w:tcBorders>
              <w:top w:val="single" w:sz="8" w:color="auto"/>
              <w:bottom w:val="single" w:sz="8" w:color="auto"/>
            </w:tcBorders>
            <w:gridSpan w:val="9"/>
            <w:shd w:val="clear" w:color="auto" w:fill="CFF0FC"/>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w w:val="96"/>
              </w:rPr>
              <w:t>Senior Secured U.S. Notes</w:t>
            </w:r>
          </w:p>
        </w:tc>
        <w:tc>
          <w:tcPr>
            <w:tcW w:w="1000" w:type="dxa"/>
            <w:vAlign w:val="bottom"/>
            <w:tcBorders>
              <w:top w:val="single" w:sz="8" w:color="auto"/>
              <w:bottom w:val="single" w:sz="8" w:color="CFF0FC"/>
            </w:tcBorders>
            <w:gridSpan w:val="3"/>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500" w:type="dxa"/>
            <w:vAlign w:val="bottom"/>
            <w:tcBorders>
              <w:top w:val="single" w:sz="8" w:color="auto"/>
              <w:bottom w:val="single" w:sz="8" w:color="CFF0FC"/>
            </w:tcBorders>
            <w:shd w:val="clear" w:color="auto" w:fill="CFF0FC"/>
          </w:tcPr>
          <w:p>
            <w:pPr>
              <w:spacing w:after="0"/>
              <w:rPr>
                <w:sz w:val="8"/>
                <w:szCs w:val="8"/>
                <w:color w:val="auto"/>
              </w:rPr>
            </w:pPr>
          </w:p>
        </w:tc>
        <w:tc>
          <w:tcPr>
            <w:tcW w:w="66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440" w:type="dxa"/>
            <w:vAlign w:val="bottom"/>
            <w:tcBorders>
              <w:top w:val="single" w:sz="8" w:color="auto"/>
              <w:bottom w:val="single" w:sz="8" w:color="CFF0FC"/>
            </w:tcBorders>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6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340" w:type="dxa"/>
            <w:vAlign w:val="bottom"/>
            <w:tcBorders>
              <w:top w:val="single" w:sz="8" w:color="auto"/>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240" w:type="dxa"/>
            <w:vAlign w:val="bottom"/>
            <w:tcBorders>
              <w:top w:val="single" w:sz="8" w:color="auto"/>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400" w:type="dxa"/>
            <w:vAlign w:val="bottom"/>
            <w:tcBorders>
              <w:top w:val="single" w:sz="8" w:color="auto"/>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8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top w:val="single" w:sz="8" w:color="auto"/>
              <w:bottom w:val="single" w:sz="8" w:color="CFF0FC"/>
            </w:tcBorders>
            <w:shd w:val="clear" w:color="auto" w:fill="CFF0FC"/>
          </w:tcPr>
          <w:p>
            <w:pPr>
              <w:spacing w:after="0"/>
              <w:rPr>
                <w:sz w:val="8"/>
                <w:szCs w:val="8"/>
                <w:color w:val="auto"/>
              </w:rPr>
            </w:pPr>
          </w:p>
        </w:tc>
        <w:tc>
          <w:tcPr>
            <w:tcW w:w="30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top w:val="single" w:sz="8" w:color="auto"/>
              <w:bottom w:val="single" w:sz="8" w:color="CFF0FC"/>
            </w:tcBorders>
            <w:shd w:val="clear" w:color="auto" w:fill="CFF0FC"/>
          </w:tcPr>
          <w:p>
            <w:pPr>
              <w:spacing w:after="0"/>
              <w:rPr>
                <w:sz w:val="8"/>
                <w:szCs w:val="8"/>
                <w:color w:val="auto"/>
              </w:rPr>
            </w:pPr>
          </w:p>
        </w:tc>
        <w:tc>
          <w:tcPr>
            <w:tcW w:w="100" w:type="dxa"/>
            <w:vAlign w:val="bottom"/>
            <w:tcBorders>
              <w:top w:val="single" w:sz="8" w:color="auto"/>
              <w:bottom w:val="single" w:sz="8" w:color="CFF0FC"/>
            </w:tcBorders>
            <w:shd w:val="clear" w:color="auto" w:fill="CFF0FC"/>
          </w:tcPr>
          <w:p>
            <w:pPr>
              <w:spacing w:after="0"/>
              <w:rPr>
                <w:sz w:val="8"/>
                <w:szCs w:val="8"/>
                <w:color w:val="auto"/>
              </w:rPr>
            </w:pPr>
          </w:p>
        </w:tc>
        <w:tc>
          <w:tcPr>
            <w:tcW w:w="40" w:type="dxa"/>
            <w:vAlign w:val="bottom"/>
            <w:tcBorders>
              <w:top w:val="single" w:sz="8" w:color="auto"/>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260" w:type="dxa"/>
            <w:vAlign w:val="bottom"/>
            <w:tcBorders>
              <w:top w:val="single" w:sz="8" w:color="auto"/>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top w:val="single" w:sz="8" w:color="auto"/>
              <w:bottom w:val="single" w:sz="8" w:color="CFF0FC"/>
            </w:tcBorders>
            <w:shd w:val="clear" w:color="auto" w:fill="CFF0FC"/>
          </w:tcPr>
          <w:p>
            <w:pPr>
              <w:spacing w:after="0"/>
              <w:rPr>
                <w:sz w:val="8"/>
                <w:szCs w:val="8"/>
                <w:color w:val="auto"/>
              </w:rPr>
            </w:pPr>
          </w:p>
        </w:tc>
        <w:tc>
          <w:tcPr>
            <w:tcW w:w="260" w:type="dxa"/>
            <w:vAlign w:val="bottom"/>
            <w:tcBorders>
              <w:top w:val="single" w:sz="8" w:color="auto"/>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140" w:type="dxa"/>
            <w:vAlign w:val="bottom"/>
            <w:tcBorders>
              <w:top w:val="single" w:sz="8" w:color="auto"/>
              <w:bottom w:val="single" w:sz="8" w:color="CFF0FC"/>
            </w:tcBorders>
            <w:shd w:val="clear" w:color="auto" w:fill="CFF0FC"/>
          </w:tcPr>
          <w:p>
            <w:pPr>
              <w:spacing w:after="0"/>
              <w:rPr>
                <w:sz w:val="8"/>
                <w:szCs w:val="8"/>
                <w:color w:val="auto"/>
              </w:rPr>
            </w:pPr>
          </w:p>
        </w:tc>
        <w:tc>
          <w:tcPr>
            <w:tcW w:w="340" w:type="dxa"/>
            <w:vAlign w:val="bottom"/>
            <w:tcBorders>
              <w:top w:val="single" w:sz="8" w:color="auto"/>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top w:val="single" w:sz="8" w:color="auto"/>
              <w:bottom w:val="single" w:sz="8" w:color="CFF0FC"/>
            </w:tcBorders>
            <w:shd w:val="clear" w:color="auto" w:fill="CFF0FC"/>
          </w:tcPr>
          <w:p>
            <w:pPr>
              <w:spacing w:after="0"/>
              <w:rPr>
                <w:sz w:val="8"/>
                <w:szCs w:val="8"/>
                <w:color w:val="auto"/>
              </w:rPr>
            </w:pPr>
          </w:p>
        </w:tc>
        <w:tc>
          <w:tcPr>
            <w:tcW w:w="540" w:type="dxa"/>
            <w:vAlign w:val="bottom"/>
            <w:tcBorders>
              <w:top w:val="single" w:sz="8" w:color="auto"/>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40" w:type="dxa"/>
            <w:vAlign w:val="bottom"/>
            <w:tcBorders>
              <w:bottom w:val="single" w:sz="8" w:color="CFF0FC"/>
            </w:tcBorders>
            <w:shd w:val="clear" w:color="auto" w:fill="CFF0FC"/>
          </w:tcPr>
          <w:p>
            <w:pPr>
              <w:spacing w:after="0"/>
              <w:rPr>
                <w:sz w:val="8"/>
                <w:szCs w:val="8"/>
                <w:color w:val="auto"/>
              </w:rPr>
            </w:pPr>
          </w:p>
        </w:tc>
        <w:tc>
          <w:tcPr>
            <w:tcW w:w="60" w:type="dxa"/>
            <w:vAlign w:val="bottom"/>
            <w:tcBorders>
              <w:top w:val="single" w:sz="8" w:color="auto"/>
              <w:bottom w:val="single" w:sz="8" w:color="CFF0FC"/>
            </w:tcBorders>
            <w:shd w:val="clear" w:color="auto" w:fill="CFF0FC"/>
          </w:tcPr>
          <w:p>
            <w:pPr>
              <w:spacing w:after="0"/>
              <w:rPr>
                <w:sz w:val="8"/>
                <w:szCs w:val="8"/>
                <w:color w:val="auto"/>
              </w:rPr>
            </w:pPr>
          </w:p>
        </w:tc>
        <w:tc>
          <w:tcPr>
            <w:tcW w:w="480" w:type="dxa"/>
            <w:vAlign w:val="bottom"/>
            <w:tcBorders>
              <w:top w:val="single" w:sz="8" w:color="auto"/>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240" w:type="dxa"/>
            <w:vAlign w:val="bottom"/>
            <w:gridSpan w:val="1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240" w:type="dxa"/>
            <w:vAlign w:val="bottom"/>
            <w:gridSpan w:val="12"/>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Ascend Wellness Holdings Inc. Holdings, Inc.</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12.7</w:t>
            </w: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gridSpan w:val="3"/>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Senior Secured Note</w:t>
            </w:r>
          </w:p>
        </w:tc>
        <w:tc>
          <w:tcPr>
            <w:tcW w:w="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0.00%</w:t>
            </w: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7/16/2024</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7/16/2029</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3,483</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2240" w:type="dxa"/>
            <w:vAlign w:val="bottom"/>
            <w:gridSpan w:val="12"/>
          </w:tcPr>
          <w:p>
            <w:pPr>
              <w:spacing w:after="0" w:line="108" w:lineRule="exact"/>
              <w:rPr>
                <w:sz w:val="20"/>
                <w:szCs w:val="20"/>
                <w:color w:val="auto"/>
              </w:rPr>
            </w:pPr>
            <w:r>
              <w:rPr>
                <w:rFonts w:ascii="Times New Roman" w:cs="Times New Roman" w:eastAsia="Times New Roman" w:hAnsi="Times New Roman"/>
                <w:sz w:val="11"/>
                <w:szCs w:val="11"/>
                <w:color w:val="auto"/>
              </w:rPr>
              <w:t>Curaleaf Holdings, Inc.</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8,052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8,330</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Senior Secured Note</w:t>
            </w:r>
          </w:p>
        </w:tc>
        <w:tc>
          <w:tcPr>
            <w:tcW w:w="80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620" w:type="dxa"/>
            <w:vAlign w:val="bottom"/>
            <w:gridSpan w:val="3"/>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8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10/11/2022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12/15/2026</w:t>
            </w:r>
          </w:p>
        </w:tc>
        <w:tc>
          <w:tcPr>
            <w:tcW w:w="4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(9)(14)</w:t>
            </w:r>
          </w:p>
        </w:tc>
        <w:tc>
          <w:tcPr>
            <w:tcW w:w="0" w:type="dxa"/>
            <w:vAlign w:val="bottom"/>
          </w:tcPr>
          <w:p>
            <w:pPr>
              <w:spacing w:after="0"/>
              <w:rPr>
                <w:sz w:val="1"/>
                <w:szCs w:val="1"/>
                <w:color w:val="auto"/>
              </w:rPr>
            </w:pPr>
          </w:p>
        </w:tc>
      </w:tr>
      <w:tr>
        <w:trPr>
          <w:trHeight w:val="99"/>
        </w:trPr>
        <w:tc>
          <w:tcPr>
            <w:tcW w:w="2240" w:type="dxa"/>
            <w:vAlign w:val="bottom"/>
            <w:gridSpan w:val="12"/>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11,42</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11,813</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3.8%</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gridSpan w:val="1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Finance and Insurance</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60" w:type="dxa"/>
            <w:vAlign w:val="bottom"/>
            <w:tcBorders>
              <w:top w:val="single" w:sz="8" w:color="auto"/>
            </w:tcBorders>
            <w:gridSpan w:val="7"/>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RTCP, LLC</w:t>
            </w:r>
          </w:p>
        </w:tc>
        <w:tc>
          <w:tcPr>
            <w:tcW w:w="1180" w:type="dxa"/>
            <w:vAlign w:val="bottom"/>
            <w:gridSpan w:val="5"/>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gridSpan w:val="3"/>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21,98</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Senior Secured Note</w:t>
            </w:r>
          </w:p>
        </w:tc>
        <w:tc>
          <w:tcPr>
            <w:tcW w:w="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0.00%</w:t>
            </w: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10/2/2028</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7.3%</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08"/>
        </w:trPr>
        <w:tc>
          <w:tcPr>
            <w:tcW w:w="2240" w:type="dxa"/>
            <w:vAlign w:val="bottom"/>
            <w:gridSpan w:val="12"/>
          </w:tcPr>
          <w:p>
            <w:pPr>
              <w:spacing w:after="0" w:line="108" w:lineRule="exact"/>
              <w:rPr>
                <w:sz w:val="20"/>
                <w:szCs w:val="20"/>
                <w:color w:val="auto"/>
              </w:rPr>
            </w:pPr>
            <w:r>
              <w:rPr>
                <w:rFonts w:ascii="Times New Roman" w:cs="Times New Roman" w:eastAsia="Times New Roman" w:hAnsi="Times New Roman"/>
                <w:sz w:val="11"/>
                <w:szCs w:val="11"/>
                <w:color w:val="auto"/>
              </w:rPr>
              <w:t>West Creek Financial Holdings, Inc. (d/b/a</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13.8</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3,661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1.2%</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240" w:type="dxa"/>
            <w:vAlign w:val="bottom"/>
            <w:gridSpan w:val="12"/>
          </w:tcPr>
          <w:p>
            <w:pPr>
              <w:spacing w:after="0" w:line="122" w:lineRule="exact"/>
              <w:rPr>
                <w:sz w:val="20"/>
                <w:szCs w:val="20"/>
                <w:color w:val="auto"/>
              </w:rPr>
            </w:pPr>
            <w:r>
              <w:rPr>
                <w:rFonts w:ascii="Times New Roman" w:cs="Times New Roman" w:eastAsia="Times New Roman" w:hAnsi="Times New Roman"/>
                <w:sz w:val="11"/>
                <w:szCs w:val="11"/>
                <w:color w:val="auto"/>
              </w:rPr>
              <w:t>Koalafi)</w:t>
            </w:r>
          </w:p>
        </w:tc>
        <w:tc>
          <w:tcPr>
            <w:tcW w:w="120" w:type="dxa"/>
            <w:vAlign w:val="bottom"/>
          </w:tcPr>
          <w:p>
            <w:pPr>
              <w:spacing w:after="0"/>
              <w:rPr>
                <w:sz w:val="10"/>
                <w:szCs w:val="10"/>
                <w:color w:val="auto"/>
              </w:rPr>
            </w:pPr>
          </w:p>
        </w:tc>
        <w:tc>
          <w:tcPr>
            <w:tcW w:w="11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Series A Senior Note</w:t>
            </w:r>
          </w:p>
        </w:tc>
        <w:tc>
          <w:tcPr>
            <w:tcW w:w="80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18.80%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620" w:type="dxa"/>
            <w:vAlign w:val="bottom"/>
            <w:gridSpan w:val="3"/>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8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11/29/2027</w:t>
            </w:r>
          </w:p>
        </w:tc>
        <w:tc>
          <w:tcPr>
            <w:tcW w:w="4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99"/>
        </w:trPr>
        <w:tc>
          <w:tcPr>
            <w:tcW w:w="2240" w:type="dxa"/>
            <w:vAlign w:val="bottom"/>
            <w:gridSpan w:val="12"/>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Finance and Insurance</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25,60</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right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25,661</w:t>
            </w:r>
          </w:p>
        </w:tc>
        <w:tc>
          <w:tcPr>
            <w:tcW w:w="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8.5%</w:t>
            </w:r>
          </w:p>
        </w:tc>
        <w:tc>
          <w:tcPr>
            <w:tcW w:w="6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40" w:type="dxa"/>
            <w:vAlign w:val="bottom"/>
            <w:gridSpan w:val="1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Senior Secured U.S. Notes</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37,03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37,474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12.3%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gridSpan w:val="12"/>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Second Lien Senior Secured</w:t>
            </w: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20" w:type="dxa"/>
            <w:vAlign w:val="bottom"/>
            <w:tcBorders>
              <w:top w:val="single" w:sz="8" w:color="auto"/>
            </w:tcBorders>
            <w:gridSpan w:val="10"/>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920" w:type="dxa"/>
            <w:vAlign w:val="bottom"/>
            <w:tcBorders>
              <w:top w:val="single" w:sz="8" w:color="CFF0FC"/>
            </w:tcBorders>
            <w:gridSpan w:val="2"/>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0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8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240" w:type="dxa"/>
            <w:vAlign w:val="bottom"/>
            <w:gridSpan w:val="12"/>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Remedy - Maryland Wellness, LLC</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gridSpan w:val="3"/>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1,447</w:t>
            </w: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0.5%</w:t>
            </w: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right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w w:val="98"/>
              </w:rPr>
              <w:t>Delayed Draw Term Loan</w:t>
            </w:r>
          </w:p>
        </w:tc>
        <w:tc>
          <w:tcPr>
            <w:tcW w:w="80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20.25%</w:t>
            </w:r>
          </w:p>
        </w:tc>
        <w:tc>
          <w:tcPr>
            <w:tcW w:w="66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620" w:type="dxa"/>
            <w:vAlign w:val="bottom"/>
            <w:tcBorders>
              <w:bottom w:val="single" w:sz="8" w:color="CFF0FC"/>
            </w:tcBorders>
            <w:gridSpan w:val="3"/>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0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40" w:type="dxa"/>
            <w:vAlign w:val="bottom"/>
            <w:tcBorders>
              <w:bottom w:val="single" w:sz="8" w:color="CFF0FC"/>
            </w:tcBorders>
            <w:gridSpan w:val="3"/>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gridSpan w:val="3"/>
            <w:shd w:val="clear" w:color="auto" w:fill="CFF0FC"/>
          </w:tcPr>
          <w:p>
            <w:pPr>
              <w:jc w:val="center"/>
              <w:ind w:right="20"/>
              <w:spacing w:after="0" w:line="122" w:lineRule="exact"/>
              <w:rPr>
                <w:sz w:val="20"/>
                <w:szCs w:val="20"/>
                <w:color w:val="auto"/>
              </w:rPr>
            </w:pPr>
            <w:r>
              <w:rPr>
                <w:rFonts w:ascii="Times New Roman" w:cs="Times New Roman" w:eastAsia="Times New Roman" w:hAnsi="Times New Roman"/>
                <w:sz w:val="11"/>
                <w:szCs w:val="11"/>
                <w:color w:val="auto"/>
                <w:w w:val="97"/>
              </w:rPr>
              <w:t>8/1/2028</w:t>
            </w:r>
          </w:p>
        </w:tc>
        <w:tc>
          <w:tcPr>
            <w:tcW w:w="400" w:type="dxa"/>
            <w:vAlign w:val="bottom"/>
            <w:tcBorders>
              <w:bottom w:val="single" w:sz="8" w:color="CFF0FC"/>
            </w:tcBorders>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gridSpan w:val="2"/>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gridSpan w:val="2"/>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1,426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1,447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gridSpan w:val="12"/>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Second Lien Senior</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1,426</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1,447</w:t>
            </w: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0.5%</w:t>
            </w: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240" w:type="dxa"/>
            <w:vAlign w:val="bottom"/>
            <w:tcBorders>
              <w:bottom w:val="single" w:sz="8" w:color="CFF0FC"/>
            </w:tcBorders>
            <w:gridSpan w:val="12"/>
            <w:shd w:val="clear" w:color="auto" w:fill="CFF0FC"/>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Secured U.S. Debt</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gridSpan w:val="2"/>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gridSpan w:val="2"/>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gridSpan w:val="1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U.S. Corporate Debt</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327,2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328,587</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108.2%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gridSpan w:val="12"/>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200" w:type="dxa"/>
            <w:vAlign w:val="bottom"/>
            <w:tcBorders>
              <w:top w:val="single" w:sz="8" w:color="auto"/>
            </w:tcBorders>
            <w:gridSpan w:val="8"/>
            <w:shd w:val="clear" w:color="auto" w:fill="CFF0FC"/>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460" w:type="dxa"/>
            <w:vAlign w:val="bottom"/>
            <w:tcBorders>
              <w:top w:val="single" w:sz="8" w:color="CFF0FC"/>
            </w:tcBorders>
            <w:gridSpan w:val="3"/>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00" w:type="dxa"/>
            <w:vAlign w:val="bottom"/>
            <w:tcBorders>
              <w:top w:val="single" w:sz="8" w:color="CFF0FC"/>
            </w:tcBorders>
            <w:shd w:val="clear" w:color="auto" w:fill="CFF0FC"/>
          </w:tcPr>
          <w:p>
            <w:pPr>
              <w:spacing w:after="0"/>
              <w:rPr>
                <w:sz w:val="8"/>
                <w:szCs w:val="8"/>
                <w:color w:val="auto"/>
              </w:rPr>
            </w:pPr>
          </w:p>
        </w:tc>
        <w:tc>
          <w:tcPr>
            <w:tcW w:w="66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4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66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34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34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48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Borders>
              <w:top w:val="single" w:sz="8" w:color="auto"/>
              <w:bottom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Information</w:t>
            </w:r>
          </w:p>
        </w:tc>
        <w:tc>
          <w:tcPr>
            <w:tcW w:w="200" w:type="dxa"/>
            <w:vAlign w:val="bottom"/>
            <w:tcBorders>
              <w:top w:val="single" w:sz="8" w:color="auto"/>
            </w:tcBorders>
            <w:gridSpan w:val="3"/>
          </w:tcPr>
          <w:p>
            <w:pPr>
              <w:spacing w:after="0"/>
              <w:rPr>
                <w:sz w:val="8"/>
                <w:szCs w:val="8"/>
                <w:color w:val="auto"/>
              </w:rPr>
            </w:pPr>
          </w:p>
        </w:tc>
        <w:tc>
          <w:tcPr>
            <w:tcW w:w="1460" w:type="dxa"/>
            <w:vAlign w:val="bottom"/>
            <w:tcBorders>
              <w:top w:val="single" w:sz="8" w:color="CFF0FC"/>
            </w:tcBorders>
            <w:gridSpan w:val="7"/>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0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8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40" w:type="dxa"/>
            <w:vAlign w:val="bottom"/>
            <w:gridSpan w:val="12"/>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Tulip.io Inc.</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gridSpan w:val="3"/>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3,100</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3,053</w:t>
            </w: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right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80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66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620" w:type="dxa"/>
            <w:vAlign w:val="bottom"/>
            <w:tcBorders>
              <w:bottom w:val="single" w:sz="8" w:color="CFF0FC"/>
            </w:tcBorders>
            <w:gridSpan w:val="3"/>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10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40" w:type="dxa"/>
            <w:vAlign w:val="bottom"/>
            <w:tcBorders>
              <w:bottom w:val="single" w:sz="8" w:color="CFF0FC"/>
            </w:tcBorders>
            <w:gridSpan w:val="3"/>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11/4/2024</w:t>
            </w: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gridSpan w:val="3"/>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11/4/2028</w:t>
            </w:r>
          </w:p>
        </w:tc>
        <w:tc>
          <w:tcPr>
            <w:tcW w:w="400" w:type="dxa"/>
            <w:vAlign w:val="bottom"/>
            <w:tcBorders>
              <w:bottom w:val="single" w:sz="8" w:color="CFF0FC"/>
            </w:tcBorders>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gridSpan w:val="2"/>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gridSpan w:val="2"/>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3,100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3,053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gridSpan w:val="12"/>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3,100</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3,053</w:t>
            </w: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240" w:type="dxa"/>
            <w:vAlign w:val="bottom"/>
            <w:tcBorders>
              <w:bottom w:val="single" w:sz="8" w:color="CFF0FC"/>
            </w:tcBorders>
            <w:gridSpan w:val="12"/>
            <w:shd w:val="clear" w:color="auto" w:fill="CFF0FC"/>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Secured Canadian Debt</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gridSpan w:val="2"/>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gridSpan w:val="2"/>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gridSpan w:val="1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Canadian Corporate</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3,100</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3,053</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240" w:type="dxa"/>
            <w:vAlign w:val="bottom"/>
            <w:gridSpan w:val="12"/>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Debt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gridSpan w:val="12"/>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Debt Investments</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330,3</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331,640</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109.2%</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Fair</w:t>
            </w:r>
          </w:p>
        </w:tc>
        <w:tc>
          <w:tcPr>
            <w:tcW w:w="120" w:type="dxa"/>
            <w:vAlign w:val="bottom"/>
          </w:tcPr>
          <w:p>
            <w:pPr>
              <w:spacing w:after="0"/>
              <w:rPr>
                <w:sz w:val="10"/>
                <w:szCs w:val="10"/>
                <w:color w:val="auto"/>
              </w:rPr>
            </w:pPr>
          </w:p>
        </w:tc>
        <w:tc>
          <w:tcPr>
            <w:tcW w:w="640" w:type="dxa"/>
            <w:vAlign w:val="bottom"/>
            <w:gridSpan w:val="3"/>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Class Series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Footnotes</w:t>
            </w:r>
          </w:p>
        </w:tc>
        <w:tc>
          <w:tcPr>
            <w:tcW w:w="0" w:type="dxa"/>
            <w:vAlign w:val="bottom"/>
          </w:tcPr>
          <w:p>
            <w:pPr>
              <w:spacing w:after="0"/>
              <w:rPr>
                <w:sz w:val="1"/>
                <w:szCs w:val="1"/>
                <w:color w:val="auto"/>
              </w:rPr>
            </w:pPr>
          </w:p>
        </w:tc>
      </w:tr>
      <w:tr>
        <w:trPr>
          <w:trHeight w:val="102"/>
        </w:trPr>
        <w:tc>
          <w:tcPr>
            <w:tcW w:w="2240" w:type="dxa"/>
            <w:vAlign w:val="bottom"/>
            <w:gridSpan w:val="12"/>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U.S. Preferred Stock</w:t>
            </w: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gridSpan w:val="2"/>
            <w:shd w:val="clear" w:color="auto" w:fill="CFF0FC"/>
          </w:tcPr>
          <w:p>
            <w:pPr>
              <w:jc w:val="center"/>
              <w:ind w:left="6"/>
              <w:spacing w:after="0" w:line="102"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660" w:type="dxa"/>
            <w:vAlign w:val="bottom"/>
            <w:tcBorders>
              <w:bottom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Real Estate and Rental and Leasing</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CFF0FC"/>
            </w:tcBorders>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CFF0FC"/>
            </w:tcBorders>
            <w:gridSpan w:val="6"/>
            <w:shd w:val="clear" w:color="auto" w:fill="CFF0FC"/>
          </w:tcPr>
          <w:p>
            <w:pPr>
              <w:jc w:val="center"/>
              <w:ind w:right="320"/>
              <w:spacing w:after="0" w:line="115" w:lineRule="exact"/>
              <w:rPr>
                <w:sz w:val="20"/>
                <w:szCs w:val="20"/>
                <w:color w:val="auto"/>
              </w:rPr>
            </w:pPr>
            <w:r>
              <w:rPr>
                <w:rFonts w:ascii="Times New Roman" w:cs="Times New Roman" w:eastAsia="Times New Roman" w:hAnsi="Times New Roman"/>
                <w:sz w:val="11"/>
                <w:szCs w:val="11"/>
                <w:color w:val="auto"/>
                <w:w w:val="98"/>
              </w:rPr>
              <w:t>A-1 Preferred</w:t>
            </w:r>
          </w:p>
        </w:tc>
        <w:tc>
          <w:tcPr>
            <w:tcW w:w="700" w:type="dxa"/>
            <w:vAlign w:val="bottom"/>
            <w:tcBorders>
              <w:bottom w:val="single" w:sz="8" w:color="CFF0FC"/>
            </w:tcBorders>
            <w:gridSpan w:val="2"/>
            <w:shd w:val="clear" w:color="auto" w:fill="CFF0FC"/>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gridSpan w:val="4"/>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358,950</w:t>
            </w: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0.2%</w:t>
            </w:r>
          </w:p>
        </w:tc>
        <w:tc>
          <w:tcPr>
            <w:tcW w:w="6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Real Estate and Rental and Leasing</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U.S. Preferred Stock</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80" w:type="dxa"/>
            <w:vAlign w:val="bottom"/>
            <w:shd w:val="clear" w:color="auto" w:fill="CFF0FC"/>
          </w:tcPr>
          <w:p>
            <w:pPr>
              <w:spacing w:after="0"/>
              <w:rPr>
                <w:sz w:val="10"/>
                <w:szCs w:val="10"/>
                <w:color w:val="auto"/>
              </w:rPr>
            </w:pPr>
          </w:p>
        </w:tc>
        <w:tc>
          <w:tcPr>
            <w:tcW w:w="50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2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gridSpan w:val="1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U .S. Warrants</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80" w:type="dxa"/>
            <w:vAlign w:val="bottom"/>
            <w:tcBorders>
              <w:bottom w:val="single" w:sz="8" w:color="auto"/>
              <w:right w:val="single" w:sz="8" w:color="CFF0FC"/>
            </w:tcBorders>
            <w:gridSpan w:val="6"/>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5"/>
              </w:rPr>
              <w:t>Educational Services</w:t>
            </w:r>
          </w:p>
        </w:tc>
        <w:tc>
          <w:tcPr>
            <w:tcW w:w="1260" w:type="dxa"/>
            <w:vAlign w:val="bottom"/>
            <w:tcBorders>
              <w:bottom w:val="single" w:sz="8" w:color="CFF0FC"/>
            </w:tcBorders>
            <w:gridSpan w:val="6"/>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500" w:type="dxa"/>
            <w:vAlign w:val="bottom"/>
            <w:tcBorders>
              <w:bottom w:val="single" w:sz="8" w:color="CFF0FC"/>
            </w:tcBorders>
            <w:shd w:val="clear" w:color="auto" w:fill="CFF0FC"/>
          </w:tcPr>
          <w:p>
            <w:pPr>
              <w:spacing w:after="0"/>
              <w:rPr>
                <w:sz w:val="8"/>
                <w:szCs w:val="8"/>
                <w:color w:val="auto"/>
              </w:rPr>
            </w:pPr>
          </w:p>
        </w:tc>
        <w:tc>
          <w:tcPr>
            <w:tcW w:w="66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44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6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34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3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4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34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4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48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color w:val="auto"/>
              </w:rPr>
              <w:t>Energize Holdings, Inc. (d/b/a Exos)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6"/>
          </w:tcPr>
          <w:p>
            <w:pPr>
              <w:jc w:val="center"/>
              <w:ind w:right="320"/>
              <w:spacing w:after="0" w:line="115" w:lineRule="exact"/>
              <w:rPr>
                <w:sz w:val="20"/>
                <w:szCs w:val="20"/>
                <w:color w:val="auto"/>
              </w:rPr>
            </w:pPr>
            <w:r>
              <w:rPr>
                <w:rFonts w:ascii="Times New Roman" w:cs="Times New Roman" w:eastAsia="Times New Roman" w:hAnsi="Times New Roman"/>
                <w:sz w:val="11"/>
                <w:szCs w:val="11"/>
                <w:color w:val="auto"/>
                <w:w w:val="99"/>
              </w:rPr>
              <w:t>Warrants</w:t>
            </w:r>
          </w:p>
        </w:tc>
        <w:tc>
          <w:tcPr>
            <w:tcW w:w="720" w:type="dxa"/>
            <w:vAlign w:val="bottom"/>
            <w:gridSpan w:val="3"/>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9"/>
              </w:rPr>
              <w:t>11/24/2025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4"/>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152,880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15"/>
        </w:trPr>
        <w:tc>
          <w:tcPr>
            <w:tcW w:w="2240" w:type="dxa"/>
            <w:vAlign w:val="bottom"/>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Educational Services</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36</w:t>
            </w:r>
          </w:p>
        </w:tc>
        <w:tc>
          <w:tcPr>
            <w:tcW w:w="80" w:type="dxa"/>
            <w:vAlign w:val="bottom"/>
            <w:shd w:val="clear" w:color="auto" w:fill="CFF0FC"/>
          </w:tcPr>
          <w:p>
            <w:pPr>
              <w:spacing w:after="0"/>
              <w:rPr>
                <w:sz w:val="10"/>
                <w:szCs w:val="10"/>
                <w:color w:val="auto"/>
              </w:rPr>
            </w:pPr>
          </w:p>
        </w:tc>
        <w:tc>
          <w:tcPr>
            <w:tcW w:w="50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36</w:t>
            </w:r>
          </w:p>
        </w:tc>
        <w:tc>
          <w:tcPr>
            <w:tcW w:w="2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gridSpan w:val="2"/>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Information</w:t>
            </w:r>
          </w:p>
        </w:tc>
        <w:tc>
          <w:tcPr>
            <w:tcW w:w="1660" w:type="dxa"/>
            <w:vAlign w:val="bottom"/>
            <w:gridSpan w:val="10"/>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240" w:type="dxa"/>
            <w:vAlign w:val="bottom"/>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AI Software, LLC (d/b/a Capacity)</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gridSpan w:val="6"/>
            <w:shd w:val="clear" w:color="auto" w:fill="CFF0FC"/>
          </w:tcPr>
          <w:p>
            <w:pPr>
              <w:jc w:val="center"/>
              <w:ind w:right="320"/>
              <w:spacing w:after="0" w:line="115" w:lineRule="exact"/>
              <w:rPr>
                <w:sz w:val="20"/>
                <w:szCs w:val="20"/>
                <w:color w:val="auto"/>
              </w:rPr>
            </w:pPr>
            <w:r>
              <w:rPr>
                <w:rFonts w:ascii="Times New Roman" w:cs="Times New Roman" w:eastAsia="Times New Roman" w:hAnsi="Times New Roman"/>
                <w:sz w:val="11"/>
                <w:szCs w:val="11"/>
                <w:color w:val="auto"/>
                <w:w w:val="99"/>
              </w:rPr>
              <w:t>Warrants</w:t>
            </w:r>
          </w:p>
        </w:tc>
        <w:tc>
          <w:tcPr>
            <w:tcW w:w="700" w:type="dxa"/>
            <w:vAlign w:val="bottom"/>
            <w:gridSpan w:val="2"/>
            <w:shd w:val="clear" w:color="auto" w:fill="CFF0FC"/>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8"/>
              </w:rPr>
              <w:t>6/13/2025</w:t>
            </w: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gridSpan w:val="4"/>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270,850</w:t>
            </w:r>
          </w:p>
        </w:tc>
        <w:tc>
          <w:tcPr>
            <w:tcW w:w="120" w:type="dxa"/>
            <w:vAlign w:val="bottom"/>
            <w:shd w:val="clear" w:color="auto" w:fill="CFF0FC"/>
          </w:tcPr>
          <w:p>
            <w:pPr>
              <w:spacing w:after="0"/>
              <w:rPr>
                <w:sz w:val="10"/>
                <w:szCs w:val="10"/>
                <w:color w:val="auto"/>
              </w:rPr>
            </w:pPr>
          </w:p>
        </w:tc>
        <w:tc>
          <w:tcPr>
            <w:tcW w:w="52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431</w:t>
            </w:r>
          </w:p>
        </w:tc>
        <w:tc>
          <w:tcPr>
            <w:tcW w:w="80" w:type="dxa"/>
            <w:vAlign w:val="bottom"/>
            <w:shd w:val="clear" w:color="auto" w:fill="CFF0FC"/>
          </w:tcPr>
          <w:p>
            <w:pPr>
              <w:spacing w:after="0"/>
              <w:rPr>
                <w:sz w:val="10"/>
                <w:szCs w:val="10"/>
                <w:color w:val="auto"/>
              </w:rPr>
            </w:pPr>
          </w:p>
        </w:tc>
        <w:tc>
          <w:tcPr>
            <w:tcW w:w="50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539</w:t>
            </w:r>
          </w:p>
        </w:tc>
        <w:tc>
          <w:tcPr>
            <w:tcW w:w="2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center"/>
              <w:ind w:left="106"/>
              <w:spacing w:after="0" w:line="115" w:lineRule="exact"/>
              <w:rPr>
                <w:sz w:val="20"/>
                <w:szCs w:val="20"/>
                <w:color w:val="auto"/>
              </w:rPr>
            </w:pPr>
            <w:r>
              <w:rPr>
                <w:rFonts w:ascii="Times New Roman" w:cs="Times New Roman" w:eastAsia="Times New Roman" w:hAnsi="Times New Roman"/>
                <w:sz w:val="11"/>
                <w:szCs w:val="11"/>
                <w:color w:val="auto"/>
                <w:w w:val="95"/>
              </w:rPr>
              <w:t>0.2%</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2240" w:type="dxa"/>
            <w:vAlign w:val="bottom"/>
            <w:gridSpan w:val="12"/>
          </w:tcPr>
          <w:p>
            <w:pPr>
              <w:spacing w:after="0" w:line="122" w:lineRule="exact"/>
              <w:rPr>
                <w:sz w:val="20"/>
                <w:szCs w:val="20"/>
                <w:color w:val="auto"/>
              </w:rPr>
            </w:pPr>
            <w:r>
              <w:rPr>
                <w:rFonts w:ascii="Times New Roman" w:cs="Times New Roman" w:eastAsia="Times New Roman" w:hAnsi="Times New Roman"/>
                <w:sz w:val="11"/>
                <w:szCs w:val="11"/>
                <w:color w:val="auto"/>
              </w:rPr>
              <w:t>Engage3 Holdings, Inc.</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6"/>
          </w:tcPr>
          <w:p>
            <w:pPr>
              <w:jc w:val="center"/>
              <w:ind w:right="320"/>
              <w:spacing w:after="0" w:line="122" w:lineRule="exact"/>
              <w:rPr>
                <w:sz w:val="20"/>
                <w:szCs w:val="20"/>
                <w:color w:val="auto"/>
              </w:rPr>
            </w:pPr>
            <w:r>
              <w:rPr>
                <w:rFonts w:ascii="Times New Roman" w:cs="Times New Roman" w:eastAsia="Times New Roman" w:hAnsi="Times New Roman"/>
                <w:sz w:val="11"/>
                <w:szCs w:val="11"/>
                <w:color w:val="auto"/>
                <w:w w:val="99"/>
              </w:rPr>
              <w:t>Warrants</w:t>
            </w:r>
          </w:p>
        </w:tc>
        <w:tc>
          <w:tcPr>
            <w:tcW w:w="700" w:type="dxa"/>
            <w:vAlign w:val="bottom"/>
            <w:gridSpan w:val="2"/>
          </w:tcPr>
          <w:p>
            <w:pPr>
              <w:jc w:val="center"/>
              <w:ind w:left="166"/>
              <w:spacing w:after="0" w:line="122" w:lineRule="exact"/>
              <w:rPr>
                <w:sz w:val="20"/>
                <w:szCs w:val="20"/>
                <w:color w:val="auto"/>
              </w:rPr>
            </w:pPr>
            <w:r>
              <w:rPr>
                <w:rFonts w:ascii="Times New Roman" w:cs="Times New Roman" w:eastAsia="Times New Roman" w:hAnsi="Times New Roman"/>
                <w:sz w:val="11"/>
                <w:szCs w:val="11"/>
                <w:color w:val="auto"/>
                <w:w w:val="98"/>
              </w:rPr>
              <w:t>7/22/2025</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975,490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342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268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0.1%</w:t>
            </w: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15"/>
        </w:trPr>
        <w:tc>
          <w:tcPr>
            <w:tcW w:w="2240" w:type="dxa"/>
            <w:vAlign w:val="bottom"/>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773</w:t>
            </w:r>
          </w:p>
        </w:tc>
        <w:tc>
          <w:tcPr>
            <w:tcW w:w="80" w:type="dxa"/>
            <w:vAlign w:val="bottom"/>
            <w:shd w:val="clear" w:color="auto" w:fill="CFF0FC"/>
          </w:tcPr>
          <w:p>
            <w:pPr>
              <w:spacing w:after="0"/>
              <w:rPr>
                <w:sz w:val="10"/>
                <w:szCs w:val="10"/>
                <w:color w:val="auto"/>
              </w:rPr>
            </w:pPr>
          </w:p>
        </w:tc>
        <w:tc>
          <w:tcPr>
            <w:tcW w:w="50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807</w:t>
            </w:r>
          </w:p>
        </w:tc>
        <w:tc>
          <w:tcPr>
            <w:tcW w:w="2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0.3%</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gridSpan w:val="1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Manufacturing</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tcBorders>
              <w:bottom w:val="single" w:sz="8" w:color="CFF0FC"/>
            </w:tcBorders>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Ocular Science, Inc.</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CFF0FC"/>
            </w:tcBorders>
            <w:gridSpan w:val="6"/>
            <w:shd w:val="clear" w:color="auto" w:fill="CFF0FC"/>
          </w:tcPr>
          <w:p>
            <w:pPr>
              <w:jc w:val="center"/>
              <w:ind w:right="320"/>
              <w:spacing w:after="0" w:line="115" w:lineRule="exact"/>
              <w:rPr>
                <w:sz w:val="20"/>
                <w:szCs w:val="20"/>
                <w:color w:val="auto"/>
              </w:rPr>
            </w:pPr>
            <w:r>
              <w:rPr>
                <w:rFonts w:ascii="Times New Roman" w:cs="Times New Roman" w:eastAsia="Times New Roman" w:hAnsi="Times New Roman"/>
                <w:sz w:val="11"/>
                <w:szCs w:val="11"/>
                <w:color w:val="auto"/>
                <w:w w:val="99"/>
              </w:rPr>
              <w:t>Warrants</w:t>
            </w:r>
          </w:p>
        </w:tc>
        <w:tc>
          <w:tcPr>
            <w:tcW w:w="720" w:type="dxa"/>
            <w:vAlign w:val="bottom"/>
            <w:tcBorders>
              <w:bottom w:val="single" w:sz="8" w:color="CFF0FC"/>
            </w:tcBorders>
            <w:gridSpan w:val="3"/>
            <w:shd w:val="clear" w:color="auto" w:fill="CFF0FC"/>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9"/>
              </w:rPr>
              <w:t>12/17/2025</w:t>
            </w:r>
          </w:p>
        </w:tc>
        <w:tc>
          <w:tcPr>
            <w:tcW w:w="3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gridSpan w:val="4"/>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1,890,960</w:t>
            </w: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151</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151</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Manufacturing</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151</w:t>
            </w:r>
          </w:p>
        </w:tc>
        <w:tc>
          <w:tcPr>
            <w:tcW w:w="80" w:type="dxa"/>
            <w:vAlign w:val="bottom"/>
          </w:tcPr>
          <w:p>
            <w:pPr>
              <w:spacing w:after="0"/>
              <w:rPr>
                <w:sz w:val="10"/>
                <w:szCs w:val="10"/>
                <w:color w:val="auto"/>
              </w:rPr>
            </w:pPr>
          </w:p>
        </w:tc>
        <w:tc>
          <w:tcPr>
            <w:tcW w:w="50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151</w:t>
            </w:r>
          </w:p>
        </w:tc>
        <w:tc>
          <w:tcPr>
            <w:tcW w:w="200" w:type="dxa"/>
            <w:vAlign w:val="bottom"/>
          </w:tcPr>
          <w:p>
            <w:pPr>
              <w:spacing w:after="0"/>
              <w:rPr>
                <w:sz w:val="10"/>
                <w:szCs w:val="10"/>
                <w:color w:val="auto"/>
              </w:rPr>
            </w:pPr>
          </w:p>
        </w:tc>
        <w:tc>
          <w:tcPr>
            <w:tcW w:w="66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Borders>
              <w:bottom w:val="single" w:sz="8" w:color="auto"/>
            </w:tcBorders>
            <w:gridSpan w:val="11"/>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Real Estate and Rental and Leasing</w:t>
            </w:r>
          </w:p>
        </w:tc>
        <w:tc>
          <w:tcPr>
            <w:tcW w:w="5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44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48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6"/>
          </w:tcPr>
          <w:p>
            <w:pPr>
              <w:jc w:val="center"/>
              <w:ind w:right="320"/>
              <w:spacing w:after="0" w:line="115" w:lineRule="exact"/>
              <w:rPr>
                <w:sz w:val="20"/>
                <w:szCs w:val="20"/>
                <w:color w:val="auto"/>
              </w:rPr>
            </w:pPr>
            <w:r>
              <w:rPr>
                <w:rFonts w:ascii="Times New Roman" w:cs="Times New Roman" w:eastAsia="Times New Roman" w:hAnsi="Times New Roman"/>
                <w:sz w:val="11"/>
                <w:szCs w:val="11"/>
                <w:color w:val="auto"/>
                <w:w w:val="99"/>
              </w:rPr>
              <w:t>A-3 Warrants</w:t>
            </w:r>
          </w:p>
        </w:tc>
        <w:tc>
          <w:tcPr>
            <w:tcW w:w="700" w:type="dxa"/>
            <w:vAlign w:val="bottom"/>
            <w:gridSpan w:val="2"/>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4"/>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791,258</w:t>
            </w:r>
          </w:p>
        </w:tc>
        <w:tc>
          <w:tcPr>
            <w:tcW w:w="120" w:type="dxa"/>
            <w:vAlign w:val="bottom"/>
          </w:tcPr>
          <w:p>
            <w:pPr>
              <w:spacing w:after="0"/>
              <w:rPr>
                <w:sz w:val="10"/>
                <w:szCs w:val="10"/>
                <w:color w:val="auto"/>
              </w:rPr>
            </w:pPr>
          </w:p>
        </w:tc>
        <w:tc>
          <w:tcPr>
            <w:tcW w:w="52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97</w:t>
            </w:r>
          </w:p>
        </w:tc>
        <w:tc>
          <w:tcPr>
            <w:tcW w:w="80" w:type="dxa"/>
            <w:vAlign w:val="bottom"/>
          </w:tcPr>
          <w:p>
            <w:pPr>
              <w:spacing w:after="0"/>
              <w:rPr>
                <w:sz w:val="10"/>
                <w:szCs w:val="10"/>
                <w:color w:val="auto"/>
              </w:rPr>
            </w:pPr>
          </w:p>
        </w:tc>
        <w:tc>
          <w:tcPr>
            <w:tcW w:w="50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44</w:t>
            </w:r>
          </w:p>
        </w:tc>
        <w:tc>
          <w:tcPr>
            <w:tcW w:w="200" w:type="dxa"/>
            <w:vAlign w:val="bottom"/>
          </w:tcPr>
          <w:p>
            <w:pPr>
              <w:spacing w:after="0"/>
              <w:rPr>
                <w:sz w:val="10"/>
                <w:szCs w:val="10"/>
                <w:color w:val="auto"/>
              </w:rPr>
            </w:pPr>
          </w:p>
        </w:tc>
        <w:tc>
          <w:tcPr>
            <w:tcW w:w="660" w:type="dxa"/>
            <w:vAlign w:val="bottom"/>
            <w:gridSpan w:val="2"/>
          </w:tcPr>
          <w:p>
            <w:pPr>
              <w:jc w:val="center"/>
              <w:ind w:left="106"/>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2240" w:type="dxa"/>
            <w:vAlign w:val="bottom"/>
            <w:tcBorders>
              <w:bottom w:val="single" w:sz="8" w:color="CFF0FC"/>
            </w:tcBorders>
            <w:gridSpan w:val="1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Workbox Holdings, Inc.</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CFF0FC"/>
            </w:tcBorders>
            <w:gridSpan w:val="6"/>
            <w:shd w:val="clear" w:color="auto" w:fill="CFF0FC"/>
          </w:tcPr>
          <w:p>
            <w:pPr>
              <w:jc w:val="center"/>
              <w:ind w:right="320"/>
              <w:spacing w:after="0" w:line="122" w:lineRule="exact"/>
              <w:rPr>
                <w:sz w:val="20"/>
                <w:szCs w:val="20"/>
                <w:color w:val="auto"/>
              </w:rPr>
            </w:pPr>
            <w:r>
              <w:rPr>
                <w:rFonts w:ascii="Times New Roman" w:cs="Times New Roman" w:eastAsia="Times New Roman" w:hAnsi="Times New Roman"/>
                <w:sz w:val="11"/>
                <w:szCs w:val="11"/>
                <w:color w:val="auto"/>
                <w:w w:val="99"/>
              </w:rPr>
              <w:t>A-4 Warrants</w:t>
            </w:r>
          </w:p>
        </w:tc>
        <w:tc>
          <w:tcPr>
            <w:tcW w:w="700" w:type="dxa"/>
            <w:vAlign w:val="bottom"/>
            <w:tcBorders>
              <w:bottom w:val="single" w:sz="8" w:color="CFF0FC"/>
            </w:tcBorders>
            <w:gridSpan w:val="2"/>
            <w:shd w:val="clear" w:color="auto" w:fill="CFF0FC"/>
          </w:tcPr>
          <w:p>
            <w:pPr>
              <w:jc w:val="center"/>
              <w:ind w:left="166"/>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2,083,258</w:t>
            </w: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230</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Real Estate and Rental and Leasing</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327</w:t>
            </w:r>
          </w:p>
        </w:tc>
        <w:tc>
          <w:tcPr>
            <w:tcW w:w="80" w:type="dxa"/>
            <w:vAlign w:val="bottom"/>
          </w:tcPr>
          <w:p>
            <w:pPr>
              <w:spacing w:after="0"/>
              <w:rPr>
                <w:sz w:val="10"/>
                <w:szCs w:val="10"/>
                <w:color w:val="auto"/>
              </w:rPr>
            </w:pPr>
          </w:p>
        </w:tc>
        <w:tc>
          <w:tcPr>
            <w:tcW w:w="50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159</w:t>
            </w:r>
          </w:p>
        </w:tc>
        <w:tc>
          <w:tcPr>
            <w:tcW w:w="200" w:type="dxa"/>
            <w:vAlign w:val="bottom"/>
          </w:tcPr>
          <w:p>
            <w:pPr>
              <w:spacing w:after="0"/>
              <w:rPr>
                <w:sz w:val="10"/>
                <w:szCs w:val="10"/>
                <w:color w:val="auto"/>
              </w:rPr>
            </w:pPr>
          </w:p>
        </w:tc>
        <w:tc>
          <w:tcPr>
            <w:tcW w:w="66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bottom w:val="single" w:sz="8" w:color="auto"/>
            </w:tcBorders>
            <w:gridSpan w:val="3"/>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Retail Trade</w:t>
            </w:r>
          </w:p>
        </w:tc>
        <w:tc>
          <w:tcPr>
            <w:tcW w:w="1640" w:type="dxa"/>
            <w:vAlign w:val="bottom"/>
            <w:tcBorders>
              <w:bottom w:val="single" w:sz="8" w:color="CFF0FC"/>
            </w:tcBorders>
            <w:gridSpan w:val="9"/>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44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48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color w:val="auto"/>
              </w:rPr>
              <w:t>Portofino Labs, Inc. (d/b/a Because Market)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6"/>
          </w:tcPr>
          <w:p>
            <w:pPr>
              <w:jc w:val="center"/>
              <w:ind w:right="320"/>
              <w:spacing w:after="0" w:line="115" w:lineRule="exact"/>
              <w:rPr>
                <w:sz w:val="20"/>
                <w:szCs w:val="20"/>
                <w:color w:val="auto"/>
              </w:rPr>
            </w:pPr>
            <w:r>
              <w:rPr>
                <w:rFonts w:ascii="Times New Roman" w:cs="Times New Roman" w:eastAsia="Times New Roman" w:hAnsi="Times New Roman"/>
                <w:sz w:val="11"/>
                <w:szCs w:val="11"/>
                <w:color w:val="auto"/>
                <w:w w:val="99"/>
              </w:rPr>
              <w:t>Warrants</w:t>
            </w:r>
          </w:p>
        </w:tc>
        <w:tc>
          <w:tcPr>
            <w:tcW w:w="700" w:type="dxa"/>
            <w:vAlign w:val="bottom"/>
            <w:gridSpan w:val="2"/>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8"/>
              </w:rPr>
              <w:t>4/30/2025</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4"/>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73,554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CFF0FC"/>
            </w:tcBorders>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Retail Trade</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46</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19</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U.S. Warrants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1,333</w:t>
            </w:r>
          </w:p>
        </w:tc>
        <w:tc>
          <w:tcPr>
            <w:tcW w:w="80" w:type="dxa"/>
            <w:vAlign w:val="bottom"/>
          </w:tcPr>
          <w:p>
            <w:pPr>
              <w:spacing w:after="0"/>
              <w:rPr>
                <w:sz w:val="10"/>
                <w:szCs w:val="10"/>
                <w:color w:val="auto"/>
              </w:rPr>
            </w:pPr>
          </w:p>
        </w:tc>
        <w:tc>
          <w:tcPr>
            <w:tcW w:w="50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1,172</w:t>
            </w:r>
          </w:p>
        </w:tc>
        <w:tc>
          <w:tcPr>
            <w:tcW w:w="200" w:type="dxa"/>
            <w:vAlign w:val="bottom"/>
          </w:tcPr>
          <w:p>
            <w:pPr>
              <w:spacing w:after="0"/>
              <w:rPr>
                <w:sz w:val="10"/>
                <w:szCs w:val="10"/>
                <w:color w:val="auto"/>
              </w:rPr>
            </w:pPr>
          </w:p>
        </w:tc>
        <w:tc>
          <w:tcPr>
            <w:tcW w:w="66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right w:val="single" w:sz="8" w:color="CFF0FC"/>
            </w:tcBorders>
            <w:gridSpan w:val="6"/>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9"/>
              </w:rPr>
              <w:t>Canadian Warrants</w:t>
            </w:r>
          </w:p>
        </w:tc>
        <w:tc>
          <w:tcPr>
            <w:tcW w:w="1260" w:type="dxa"/>
            <w:vAlign w:val="bottom"/>
            <w:tcBorders>
              <w:bottom w:val="single" w:sz="8" w:color="CFF0FC"/>
            </w:tcBorders>
            <w:gridSpan w:val="6"/>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44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gridSpan w:val="2"/>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Information</w:t>
            </w:r>
          </w:p>
        </w:tc>
        <w:tc>
          <w:tcPr>
            <w:tcW w:w="1660" w:type="dxa"/>
            <w:vAlign w:val="bottom"/>
            <w:gridSpan w:val="10"/>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CFF0FC"/>
            </w:tcBorders>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Tulip.io Inc.</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CFF0FC"/>
            </w:tcBorders>
            <w:gridSpan w:val="6"/>
            <w:shd w:val="clear" w:color="auto" w:fill="CFF0FC"/>
          </w:tcPr>
          <w:p>
            <w:pPr>
              <w:jc w:val="center"/>
              <w:ind w:right="320"/>
              <w:spacing w:after="0" w:line="115" w:lineRule="exact"/>
              <w:rPr>
                <w:sz w:val="20"/>
                <w:szCs w:val="20"/>
                <w:color w:val="auto"/>
              </w:rPr>
            </w:pPr>
            <w:r>
              <w:rPr>
                <w:rFonts w:ascii="Times New Roman" w:cs="Times New Roman" w:eastAsia="Times New Roman" w:hAnsi="Times New Roman"/>
                <w:sz w:val="11"/>
                <w:szCs w:val="11"/>
                <w:color w:val="auto"/>
                <w:w w:val="99"/>
              </w:rPr>
              <w:t>Warrants</w:t>
            </w:r>
          </w:p>
        </w:tc>
        <w:tc>
          <w:tcPr>
            <w:tcW w:w="700" w:type="dxa"/>
            <w:vAlign w:val="bottom"/>
            <w:tcBorders>
              <w:bottom w:val="single" w:sz="8" w:color="CFF0FC"/>
            </w:tcBorders>
            <w:gridSpan w:val="2"/>
            <w:shd w:val="clear" w:color="auto" w:fill="CFF0FC"/>
          </w:tcPr>
          <w:p>
            <w:pPr>
              <w:jc w:val="center"/>
              <w:ind w:left="166"/>
              <w:spacing w:after="0" w:line="115" w:lineRule="exact"/>
              <w:rPr>
                <w:sz w:val="20"/>
                <w:szCs w:val="20"/>
                <w:color w:val="auto"/>
              </w:rPr>
            </w:pPr>
            <w:r>
              <w:rPr>
                <w:rFonts w:ascii="Times New Roman" w:cs="Times New Roman" w:eastAsia="Times New Roman" w:hAnsi="Times New Roman"/>
                <w:sz w:val="11"/>
                <w:szCs w:val="11"/>
                <w:color w:val="auto"/>
                <w:w w:val="98"/>
              </w:rPr>
              <w:t>11/4/2024</w:t>
            </w:r>
          </w:p>
        </w:tc>
        <w:tc>
          <w:tcPr>
            <w:tcW w:w="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gridSpan w:val="4"/>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gridSpan w:val="2"/>
            <w:shd w:val="clear" w:color="auto" w:fill="CFF0FC"/>
          </w:tcPr>
          <w:p>
            <w:pPr>
              <w:jc w:val="center"/>
              <w:ind w:left="6"/>
              <w:spacing w:after="0" w:line="115" w:lineRule="exact"/>
              <w:rPr>
                <w:sz w:val="20"/>
                <w:szCs w:val="20"/>
                <w:color w:val="auto"/>
              </w:rPr>
            </w:pPr>
            <w:r>
              <w:rPr>
                <w:rFonts w:ascii="Times New Roman" w:cs="Times New Roman" w:eastAsia="Times New Roman" w:hAnsi="Times New Roman"/>
                <w:sz w:val="11"/>
                <w:szCs w:val="11"/>
                <w:color w:val="auto"/>
              </w:rPr>
              <w:t>(8)(14)</w:t>
            </w: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CFF0FC"/>
            </w:tcBorders>
            <w:gridSpan w:val="1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Canadian Warrants</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gridSpan w:val="1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Equity Investments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1,833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1,672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0.7%</w:t>
            </w: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gridSpan w:val="3"/>
            <w:shd w:val="clear" w:color="auto" w:fill="CFF0FC"/>
          </w:tcPr>
          <w:p>
            <w:pPr>
              <w:jc w:val="right"/>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332,2</w:t>
            </w:r>
          </w:p>
        </w:tc>
        <w:tc>
          <w:tcPr>
            <w:tcW w:w="80" w:type="dxa"/>
            <w:vAlign w:val="bottom"/>
            <w:shd w:val="clear" w:color="auto" w:fill="CFF0FC"/>
          </w:tcPr>
          <w:p>
            <w:pPr>
              <w:spacing w:after="0"/>
              <w:rPr>
                <w:sz w:val="8"/>
                <w:szCs w:val="8"/>
                <w:color w:val="auto"/>
              </w:rPr>
            </w:pPr>
          </w:p>
        </w:tc>
        <w:tc>
          <w:tcPr>
            <w:tcW w:w="500" w:type="dxa"/>
            <w:vAlign w:val="bottom"/>
            <w:gridSpan w:val="3"/>
            <w:shd w:val="clear" w:color="auto" w:fill="CFF0FC"/>
          </w:tcPr>
          <w:p>
            <w:pPr>
              <w:jc w:val="right"/>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333,3</w:t>
            </w: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240" w:type="dxa"/>
            <w:vAlign w:val="bottom"/>
            <w:gridSpan w:val="1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09</w:t>
            </w:r>
          </w:p>
        </w:tc>
        <w:tc>
          <w:tcPr>
            <w:tcW w:w="80" w:type="dxa"/>
            <w:vAlign w:val="bottom"/>
            <w:shd w:val="clear" w:color="auto" w:fill="CFF0FC"/>
          </w:tcPr>
          <w:p>
            <w:pPr>
              <w:spacing w:after="0"/>
              <w:rPr>
                <w:sz w:val="11"/>
                <w:szCs w:val="11"/>
                <w:color w:val="auto"/>
              </w:rPr>
            </w:pPr>
          </w:p>
        </w:tc>
        <w:tc>
          <w:tcPr>
            <w:tcW w:w="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12</w:t>
            </w:r>
          </w:p>
        </w:tc>
        <w:tc>
          <w:tcPr>
            <w:tcW w:w="2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rPr>
              <w:t>109.9%</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-4748530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-4748530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-4748530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-4285615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-4285615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-4285615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-4045585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-4045585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-4045585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-3505200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-3505200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-3505200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-3265170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-3265170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-3265170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-2339340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-2339340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-2339340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-1379220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-1379220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-1379220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-1062355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-1062355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-1062355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-736600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-736600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-736600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-419735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-419735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-419735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-248285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-248285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-248285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Legend</w:t>
      </w:r>
    </w:p>
    <w:p>
      <w:pPr>
        <w:spacing w:after="0" w:line="31" w:lineRule="exact"/>
        <w:rPr>
          <w:sz w:val="20"/>
          <w:szCs w:val="20"/>
          <w:color w:val="auto"/>
        </w:rPr>
      </w:pPr>
    </w:p>
    <w:p>
      <w:pPr>
        <w:ind w:left="5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indicated, all securities are valued using significant unobservable inputs, which are categorized as Level 3 assets under the Financial Accounting Standards Board’s Accounting Standards Codification 820, </w:t>
      </w:r>
      <w:r>
        <w:rPr>
          <w:rFonts w:ascii="Times New Roman" w:cs="Times New Roman" w:eastAsia="Times New Roman" w:hAnsi="Times New Roman"/>
          <w:sz w:val="18"/>
          <w:szCs w:val="18"/>
          <w:i w:val="1"/>
          <w:iCs w:val="1"/>
          <w:color w:val="auto"/>
        </w:rPr>
        <w:t>Fair Value Hierarchy</w:t>
      </w:r>
      <w:r>
        <w:rPr>
          <w:rFonts w:ascii="Times New Roman" w:cs="Times New Roman" w:eastAsia="Times New Roman" w:hAnsi="Times New Roman"/>
          <w:sz w:val="18"/>
          <w:szCs w:val="18"/>
          <w:color w:val="auto"/>
        </w:rPr>
        <w:t>.</w:t>
      </w: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represents the outstanding principal balance net of repayments, if any, as per the terms of the debt instrument’s contract.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December 31, 2025, rates for 1M S, 3M S and 6M S are 3.79%, 4.01%, and 4.20%, respectively. As of December 31, 2025, the P was 6.75%. Loans identified as "F" pay interest at the fixed rate listed in the table.</w:t>
      </w:r>
    </w:p>
    <w:p>
      <w:pPr>
        <w:sectPr>
          <w:pgSz w:w="11900" w:h="16838" w:orient="portrait"/>
          <w:cols w:equalWidth="0" w:num="1">
            <w:col w:w="11240"/>
          </w:cols>
          <w:pgMar w:left="320" w:top="117"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were valued at fair value. See "Note 4 — Fair Value of Financial Instruments" in the accompanying notes to the financial statements.</w:t>
      </w:r>
    </w:p>
    <w:p>
      <w:pPr>
        <w:ind w:left="520" w:right="58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non-income producing investment. As of December 31, 2025, no debt investments are deemed as non-income producing.</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regions are determined by the respective portfolio company’s headquarters’ location.</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portfolio company’s headquarters is located outside of the United States.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Northeast.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Midwest.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Southwest.</w:t>
      </w:r>
    </w:p>
    <w:p>
      <w:pPr>
        <w:spacing w:after="0" w:line="9" w:lineRule="exact"/>
        <w:rPr>
          <w:rFonts w:ascii="Times New Roman" w:cs="Times New Roman" w:eastAsia="Times New Roman" w:hAnsi="Times New Roman"/>
          <w:sz w:val="18"/>
          <w:szCs w:val="18"/>
          <w:color w:val="auto"/>
        </w:rPr>
      </w:pPr>
    </w:p>
    <w:p>
      <w:pPr>
        <w:ind w:left="520" w:right="16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2025, the aggregate fair value of non-qualifying assets is $14,319,903 or 4.19% of the Company’s total assets.</w:t>
      </w:r>
    </w:p>
    <w:p>
      <w:pPr>
        <w:spacing w:after="0" w:line="1" w:lineRule="exact"/>
        <w:rPr>
          <w:rFonts w:ascii="Times New Roman" w:cs="Times New Roman" w:eastAsia="Times New Roman" w:hAnsi="Times New Roman"/>
          <w:sz w:val="18"/>
          <w:szCs w:val="18"/>
          <w:color w:val="auto"/>
        </w:rPr>
      </w:pPr>
    </w:p>
    <w:p>
      <w:pPr>
        <w:ind w:left="520" w:right="40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any accretion of discounts, amortization of premiums and payment-in-kind ("PIK") interest or dividends.</w:t>
      </w:r>
    </w:p>
    <w:p>
      <w:pPr>
        <w:ind w:left="520" w:right="4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as amended, the Company generally is deemed to be an “affiliated person” of a portfolio company if it owns 5% or more of the portfolio company’s voting securities and is generally deemed to “control” a portfolio company if it owns more than 25% of the portfolio company’s voting securities or it has the power to exercise control over the management or policies of such portfolio company. As of December 31, 2025, the Company did not hold investments in portfolio companies of which it is deemed to be an “affiliated person” or deemed to “control” a portfolio company.</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pledged as collateral for the Revolving Line of Credit (as defined below). See "Note 5 - Debt."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has an all in rate cap of 16.75%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has a prime rate cap of 9.50%.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PIK - Payment-In-Kind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 SOFR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Chicago Atlantic BDC, Inc. (an emerging growth company) (the “Company”, “we” or “our”) was formed on January 25, 2021 as a Maryland corporation structured as an externally managed, closed-end, non-diversified management investment company. The Company has elected to be regulated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and has maintained (and intends to continue to maintain) such election in subsequent taxable years. However, there is no guarantee that the Company will qualify to make such an election for any taxable year.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managed by Chicago Atlantic BDC Advisers, LLC (the “Adviser”), a registered investment adviser under the Investment Advisers Act of 1940 with the Securities and Exchange Commission (“SEC”). The Adviser has engaged SS&amp;C Technologies, Inc. and ALPS Fund Services, Inc. (“SS&amp;C”), as sub-administrator, to perform administrative services necessary for the Company's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the Company focuses on investments in the cannabis industry, the Company may also invest in growth and technology companies, esoteric and asset-based lending opportunities, and liquidity solutions opportunities.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investment objective is to maximize risk-adjusted returns on equity for its shareholders. The Company seeks to capitalize on, among other things, what it believes to be nascent cannabis industry growth, and drive return on equity by generating current income from its debt investments and capital appreciation from its equity and equity-related investments. The Company intends to achieve its investment objective by investing primarily in secured debt, unsecured debt, equity warrants and direct equity investments in privately held businesses. The Company intends that its debt investments will often be secured by either a first or second priority lien on the assets of the portfolio company, can include either fixed or floating rate terms and will generally have a term of between three and six years from the original investment date.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acquisition of a portfolio of loans (the “Loan Portfolio”) from Chicago Atlantic Loan Portfolio, LLC ("CALP")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was created to combine and jointly operate the Adviser’s, and a portion of Chicago Atlantic’s, investment management businesses (the “Joint Venture”).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Loan Portfolio Acquisition and the Joint Venture, the Company was renamed “Chicago Atlantic BDC, Inc.,” and its ticker symbol was changed to “LIEN,” and the Adviser was renamed “Chicago Atlantic BDC Advisers, LLC.” The changes to the Company’s name and ticker symbol became effective in the market at the open of business on October 2,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statements have been prepared in accordance with accounting principles generally accepted in the United States of America (“U.S. GAAP”). The Company is an investment company following the accounting and reporting requirements set forth in the Financial Accounting Standards Board (“FASB”) Accounting Standards Codification (“ASC”) 946, </w:t>
      </w:r>
      <w:r>
        <w:rPr>
          <w:rFonts w:ascii="Times New Roman" w:cs="Times New Roman" w:eastAsia="Times New Roman" w:hAnsi="Times New Roman"/>
          <w:sz w:val="18"/>
          <w:szCs w:val="18"/>
          <w:i w:val="1"/>
          <w:iCs w:val="1"/>
          <w:color w:val="auto"/>
        </w:rPr>
        <w:t>Financial Services—Investment Companies ("ASC 946")</w:t>
      </w:r>
      <w:r>
        <w:rPr>
          <w:rFonts w:ascii="Times New Roman" w:cs="Times New Roman" w:eastAsia="Times New Roman" w:hAnsi="Times New Roman"/>
          <w:sz w:val="18"/>
          <w:szCs w:val="18"/>
          <w:color w:val="auto"/>
        </w:rPr>
        <w:t xml:space="preserve"> and Articles 6 and 12 of Regulation S-X. The financial statements reflect all adjustments and reclassification that, in the opinion of management, are necessary for the fair presentation of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and for the periods presented. The current period’s results of operations are not necessarily indicative of results that may be achieved for the full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provided under ASC 946, the Company will not consolidate its investment in a portfolio company other than an investment company subsidiary or a controlled operating company whose business consists of providing services to the Company. An investment company’s interests in portfolio companies that are not investment companies are measured at fair value in accordance with ASC 946.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certain estimates and assumptions affecting reported amounts of assets and liabilities at the date of the financial statements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Cash and cash equivalents consists of funds deposited with financial institutions and short-term (maturity of 90 days or less) liquid investments and money market funds. Funds held in money market funds are considered Level 1 in the fair value hierarchy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accounts are held. As of March 31, 2026 and December 31, 2025, cash consisted of $3.3 million and $2.9 million, respectively, all of which are held with high credit quality financial institutions, which are members of the FDIC.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 transactions are recorded on the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the fair value of investments are reflected as a component of the net change in unrealized appreciation (depreciation) from investments on the Statements of Operations. The net change in unrealized appreciation (depreciation) primarily reflects the change in fair value of investments as of the last business day of the reporting period, including the reversal of previously recorded unrealized gains or losses with respect to investments realized during the period.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traded but not yet settled, if any, are reported in payable for investments purchased and receivable for investments sold on the Statements of Assets and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are recorded at their fair value on the Statements of Assets and Liabilities.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will typically be valued at the bid price of those market quotations. To validate market quotations, the Adviser utilizes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public company method (“GPC”) and the controlling transaction method (“CTM”). The GPC method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as size, growth, profitability and return on investment are also analyzed and compared to the subject business. The CTM is based on the same premise as the GPC.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Rule 2a-5 under the 1940 Act, the Board of Directors of the Company (the "Board") designated the Adviser as the Valuation Designee to perform the fair value determinations for the Company, subject to the oversight of the Board and certain Board reporting and other requirements.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undertakes a multi-step valuation process, which includes, among other procedures, the following:</w:t>
      </w:r>
    </w:p>
    <w:p>
      <w:pPr>
        <w:spacing w:after="0" w:line="185" w:lineRule="exact"/>
        <w:rPr>
          <w:sz w:val="20"/>
          <w:szCs w:val="20"/>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readily available, those investments will typically be valued at the bid price of those market quotations;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valuations are documented and discussed by the Adviser’s valuation committee and, where appropriate, the independent valuation firm(s); and</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determines the fair value of each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conducts this valuation process on a quarterly basis.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Adviser applies ASC 820, which establishes a framework for measuring fair value in accordance with U.S. GAAP and required disclosures of fair value measurements. ASC 820 determines fair value is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Adviser considers the principal market to be the market that has the greatest volume and level of activity. The Adviser applies a fair value hierarchy that prioritizes and ranks the level of observability of inputs used in determination of fair value. In accordance with ASC 820, these levels are summarized below:</w:t>
      </w:r>
    </w:p>
    <w:p>
      <w:pPr>
        <w:spacing w:after="0" w:line="148" w:lineRule="exact"/>
        <w:rPr>
          <w:sz w:val="20"/>
          <w:szCs w:val="20"/>
          <w:color w:val="auto"/>
        </w:rPr>
      </w:pPr>
    </w:p>
    <w:p>
      <w:pPr>
        <w:ind w:left="520" w:right="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we have the ability to access at the measurement date;</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contractual and other restrictions on resale. If we were required to liquidate a portfolio investment in a forced or liquidation sale, the Company could realize amounts that are different from the amounts presented and such differences could be material. 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and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be issued preferred stock or warrants by portfolio companies as yield enhancements in connection with a related debt investment. Preferred stock or warrants are recorded as assets at fair value on the grant date. The Adviser determines the cost basis of these equity investments received based upon their respective fair values on the date of receipt in proportion to the total fair value of the debt and equity received.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Adviser generally utilizes the market approach to estimate the fair value of preferred stock as of the measurement date. As part of its application of the market approach, the Company estimates the enterprise value of a portfolio company utilizing customary pricing multiples, which may include EBITDA multiples, revenue multiples or asset multiples, based on the development stage of the underlying issuers, that are assessed to be indicative of fair value of the respective portfolio company.</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facts and circumstances, the Adviser generally utilizes the market approach or a Black-Scholes pricing model to estimate the fair value of warrants as of the measurement date. As part of its application of the market approach, the Adviser estimates the enterprise value of a portfolio company utilizing customary pricing multiples, which may include EBITDA multiples, revenue multiples or asset multiples, based on the development stage of the underlying issuers, that are assessed to be indicative of fair value of the respective portfolio company. When appropriate the Black-Scholes pricing model is used to estimate the fair value of warrants for accounting purposes. This model requires the use of highly subjective inputs including expected volatility and expected life, in addition to variables for the valuation of equity positions in private companies. Significant changes in any of these unobservable inputs may result in a significantly higher or lower fair value estimate.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investments may have contractual payment-in-kind ("PIK") interest or dividends. PIK interest or dividends represents accrued interest or dividends that is added to the principal amount of the investment on the respective interest or dividend payment dates rather than being paid in cash and generally becomes due at maturity.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Income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Income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transaction fees earned in connection with our investments are recognized as fee income and are generally non-recurring. Such fees typically include fees for services, including administrative, structuring (including with respect to amendments) and advisory services, provided to portfolio companies. We recognize income from fees for providing such structuring and advisory services when the services are rendered or the transactions are completed, and payment is received (generally immediately).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Policy</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interest receivable is reversed from income in the period that a loan is placed on non-accrual status. However, the Company may make exceptions to this policy if the investment has sufficient collateral value and is in the process of collection.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 As of March 31, 2026 and December 31, 2025, there were no investments placed on non-accrual status.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decision to establish an interest reserve is made during the underwriting process and considers the creditworthiness and expertise of the borrower, and the debt coverage provided by the pledged collateral. It is the Company’s policy to recognize income for this interest component as long as the subject loan is performing as originally projected and if there has been no deterioration in the financial condition of the borrower. The Company’s standard accounting policies for interest income recognition are applied to all loans, including those with interest reserves. As of March 31, 2026 and December 31, 2025, the Company recorded $0 and $23,514, respectively, of prepaid interest reserves, which are presented as unearned interest income on the Statements of Assets and Liabilities.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an initial tax year end of December 31, 2021 and was taxed as a corporation for U.S. federal income tax purposes for the tax period ended December 31, 2021. The Company adopted the tax year end of March 31 and elected to be treated for U.S. federal income tax purposes as a RIC under Subchapter M of the Code for the tax period January 1, 2022 through March 31, 2022 and in subsequent years. The Company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w:t>
      </w:r>
    </w:p>
    <w:p>
      <w:pPr>
        <w:spacing w:after="0" w:line="3" w:lineRule="exact"/>
        <w:rPr>
          <w:sz w:val="20"/>
          <w:szCs w:val="20"/>
          <w:color w:val="auto"/>
        </w:rPr>
      </w:pPr>
    </w:p>
    <w:p>
      <w:pPr>
        <w:jc w:val="both"/>
        <w:ind w:firstLine="8"/>
        <w:spacing w:after="0" w:line="253"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accrued $2,730 and $0, respectively, of excise taxes. As of March 31, 2026 and December 31, 2025, $0 and $69,609, respectively, of accrued excise taxes remained payable.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determined that it had overpaid its estimated federal excise tax liability for the prior fiscal year by $23,850. This overpayment resulted in an excise tax receivable and is included in prepaid expenses and other assets on the Statements of Assets and Liabilities. The Company has evaluated the realizability of the excise tax receivable and believes it is more likely than not that the benefit will be realized in future periods through either a refund or application against future excise tax liabilities.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analysis of the Company’s tax position, the Company had no uncertain tax positions that met the recognition or measurement criteria as of March 31, 2026 and December 31, 2025. The Company does not anticipate any significant increase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decrease in unrecognized tax benefits for the next twelve months. The Company identifies its major tax jurisdiction as the United States. As of March 31, 2026, the tax years that remain subject to examination by the Internal Revenue Service are from 2023 forward.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Distributions to common stockholders are recorded on the record date. The amount of taxable income to be paid out as a distribution is determined by our Board on a quarterly basis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costs consist primarily of legal fees and other costs incurred in connection with issuances of the Company’s common stock, including the preparation of the Company’s registration statement, registration fees, transfer agent expenses, and other expenses relating to the offering. Offering costs are capitalized as deferred offering costs and, if any, are included in prepaid expenses and other assets on the Statements of Assets and Liabilities. As of March 31, 2026 and December 31, 2025, deferred offering costs were $151,284 and $151,284, respectively.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offering costs are charged to capital upon issuance of the Company's shares. For the three months ended March 31, 2026, and for the year ended December 31, 2025, no offering costs were charged to capital. As of March 31, 2026 and December 31, 2025, no offering costs were payable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financing costs consist of origination expenses incurred in connection with the closing, or anticipated closing, of a credit facility, and include legal, accounting, and other related expenses. These costs are deferred and amortized as interest expense using the straight-line method over the term of the applicable credit facility. In addition to origination expenses, the Company pays an annual upfront fee related to its credit facility. These fees are deferred and amortized as interest expense using the straight-line method over a one-year term. Deferred financing costs are included in prepaid expenses and other assets on the Statements of Assets and Liabilities. As of March 31, 2026 and December 31, 2025, deferred financing costs payable were $0 and $0,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ASU No. 2024-03 requires disaggregated disclosure of certain costs and expenses, including purchase of inventory, employee compensation, depreciation, amortization and depletion, within relevant income statement captions. ASU 2024-03 is effective for annual years beginning after December 15, 2026, and interim periods beginning after December 15, 2027. Early adoption and retrospective application are permitted. The Company is currently evaluating the impact of adopting ASU No. 2024-03.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investments in portfolio companies are primarily in the form of debt investments, but may include equity warrants received in connection with debt investments, equity investments and derivative investments.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tables presented below for the Company’s debt investments, the amortized cost represents the original cost adjusted for any accretion of discounts, amortization of premiums and PIK interest or dividends.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investment type as of March 31, 2026 and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at Principal</w:t>
            </w:r>
          </w:p>
        </w:tc>
        <w:tc>
          <w:tcPr>
            <w:tcW w:w="10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7"/>
                <w:szCs w:val="17"/>
                <w:color w:val="auto"/>
              </w:rPr>
            </w:pPr>
          </w:p>
        </w:tc>
        <w:tc>
          <w:tcPr>
            <w:tcW w:w="9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at Fair</w:t>
            </w:r>
          </w:p>
        </w:tc>
      </w:tr>
      <w:tr>
        <w:trPr>
          <w:trHeight w:val="215"/>
        </w:trPr>
        <w:tc>
          <w:tcPr>
            <w:tcW w:w="20" w:type="dxa"/>
            <w:vAlign w:val="bottom"/>
          </w:tcPr>
          <w:p>
            <w:pPr>
              <w:spacing w:after="0"/>
              <w:rPr>
                <w:sz w:val="18"/>
                <w:szCs w:val="18"/>
                <w:color w:val="auto"/>
              </w:rPr>
            </w:pPr>
          </w:p>
        </w:tc>
        <w:tc>
          <w:tcPr>
            <w:tcW w:w="25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336,494,730</w:t>
            </w:r>
          </w:p>
        </w:tc>
        <w:tc>
          <w:tcPr>
            <w:tcW w:w="15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331,379,151</w:t>
            </w:r>
          </w:p>
        </w:tc>
        <w:tc>
          <w:tcPr>
            <w:tcW w:w="15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91.0%</w:t>
            </w:r>
          </w:p>
        </w:tc>
        <w:tc>
          <w:tcPr>
            <w:tcW w:w="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331,179,001</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91.1%</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28,257,420</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28,109,685</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28,187,420</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20" w:type="dxa"/>
            <w:vAlign w:val="bottom"/>
          </w:tcPr>
          <w:p>
            <w:pPr>
              <w:spacing w:after="0"/>
              <w:rPr>
                <w:sz w:val="17"/>
                <w:szCs w:val="17"/>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2,916,757</w:t>
            </w:r>
          </w:p>
        </w:tc>
        <w:tc>
          <w:tcPr>
            <w:tcW w:w="15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2,694,107</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1,385,404</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1,385,403</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1,406,185</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20" w:type="dxa"/>
            <w:vAlign w:val="bottom"/>
          </w:tcPr>
          <w:p>
            <w:pPr>
              <w:spacing w:after="0"/>
              <w:rPr>
                <w:sz w:val="17"/>
                <w:szCs w:val="17"/>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5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366,137,554</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364,290,996</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at Principal</w:t>
            </w:r>
          </w:p>
        </w:tc>
        <w:tc>
          <w:tcPr>
            <w:tcW w:w="10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at Amortized</w:t>
            </w:r>
          </w:p>
        </w:tc>
        <w:tc>
          <w:tcPr>
            <w:tcW w:w="180" w:type="dxa"/>
            <w:vAlign w:val="bottom"/>
          </w:tcPr>
          <w:p>
            <w:pPr>
              <w:spacing w:after="0"/>
              <w:rPr>
                <w:sz w:val="17"/>
                <w:szCs w:val="17"/>
                <w:color w:val="auto"/>
              </w:rPr>
            </w:pPr>
          </w:p>
        </w:tc>
        <w:tc>
          <w:tcPr>
            <w:tcW w:w="9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Percentage at</w:t>
            </w:r>
          </w:p>
        </w:tc>
      </w:tr>
      <w:tr>
        <w:trPr>
          <w:trHeight w:val="215"/>
        </w:trPr>
        <w:tc>
          <w:tcPr>
            <w:tcW w:w="20" w:type="dxa"/>
            <w:vAlign w:val="bottom"/>
          </w:tcPr>
          <w:p>
            <w:pPr>
              <w:spacing w:after="0"/>
              <w:rPr>
                <w:sz w:val="18"/>
                <w:szCs w:val="18"/>
                <w:color w:val="auto"/>
              </w:rPr>
            </w:pPr>
          </w:p>
        </w:tc>
        <w:tc>
          <w:tcPr>
            <w:tcW w:w="25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295,145,971</w:t>
            </w:r>
          </w:p>
        </w:tc>
        <w:tc>
          <w:tcPr>
            <w:tcW w:w="15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291,918,975</w:t>
            </w:r>
          </w:p>
        </w:tc>
        <w:tc>
          <w:tcPr>
            <w:tcW w:w="15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87.9%</w:t>
            </w:r>
          </w:p>
        </w:tc>
        <w:tc>
          <w:tcPr>
            <w:tcW w:w="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292,719,497</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87.8%</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37,642,786</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37,030,961</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11.1%</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37,473,499</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20" w:type="dxa"/>
            <w:vAlign w:val="bottom"/>
          </w:tcPr>
          <w:p>
            <w:pPr>
              <w:spacing w:after="0"/>
              <w:rPr>
                <w:sz w:val="17"/>
                <w:szCs w:val="17"/>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1,425,799</w:t>
            </w:r>
          </w:p>
        </w:tc>
        <w:tc>
          <w:tcPr>
            <w:tcW w:w="15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1,425,798</w:t>
            </w:r>
          </w:p>
        </w:tc>
        <w:tc>
          <w:tcPr>
            <w:tcW w:w="15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1,447,186</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1,333,436</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1,171,605</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20" w:type="dxa"/>
            <w:vAlign w:val="bottom"/>
          </w:tcPr>
          <w:p>
            <w:pPr>
              <w:spacing w:after="0"/>
              <w:rPr>
                <w:sz w:val="17"/>
                <w:szCs w:val="17"/>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5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334,214,556</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332,209,170</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-1636395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-1636395</wp:posOffset>
            </wp:positionV>
            <wp:extent cx="93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-1636395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-1636395</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-1636395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-1636395</wp:posOffset>
            </wp:positionV>
            <wp:extent cx="939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-162560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-162560</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-162560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93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-162560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-162560</wp:posOffset>
            </wp:positionV>
            <wp:extent cx="102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debt portfolio based on rate characteristics as of March 31, 2026 and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8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Time to</w:t>
            </w:r>
          </w:p>
        </w:tc>
      </w:tr>
      <w:tr>
        <w:trPr>
          <w:trHeight w:val="215"/>
        </w:trPr>
        <w:tc>
          <w:tcPr>
            <w:tcW w:w="57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Rate Type</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19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Fixed-rate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86,267,980</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85,398,434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86,283,593</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2.7 years</w:t>
            </w:r>
          </w:p>
        </w:tc>
      </w:tr>
      <w:tr>
        <w:trPr>
          <w:trHeight w:val="203"/>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Floating-rate debt (SOFR)</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130,160,691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127,239,799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127,094,027</w:t>
            </w:r>
          </w:p>
        </w:tc>
        <w:tc>
          <w:tcPr>
            <w:tcW w:w="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 years</w:t>
            </w:r>
          </w:p>
        </w:tc>
      </w:tr>
      <w:tr>
        <w:trPr>
          <w:trHeight w:val="203"/>
        </w:trPr>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Floating-rate debt (PRIME)</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149,708,883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148,236,006</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147,394,986</w:t>
            </w:r>
          </w:p>
        </w:tc>
        <w:tc>
          <w:tcPr>
            <w:tcW w:w="2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2.4 years</w:t>
            </w:r>
          </w:p>
        </w:tc>
      </w:tr>
      <w:tr>
        <w:trPr>
          <w:trHeight w:val="196"/>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 Instruments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366,137,554</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360,874,239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360,772,606</w:t>
            </w:r>
          </w:p>
        </w:tc>
        <w:tc>
          <w:tcPr>
            <w:tcW w:w="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 years</w:t>
            </w: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-161925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8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Time to</w:t>
            </w:r>
          </w:p>
        </w:tc>
      </w:tr>
      <w:tr>
        <w:trPr>
          <w:trHeight w:val="215"/>
        </w:trPr>
        <w:tc>
          <w:tcPr>
            <w:tcW w:w="57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Rate Type</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19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Fixed-rate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94,255,821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92,862,392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93,187,170</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2.7 years</w:t>
            </w:r>
          </w:p>
        </w:tc>
      </w:tr>
      <w:tr>
        <w:trPr>
          <w:trHeight w:val="203"/>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Floating-rate debt (SOFR)</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57,002,436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56,470,076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56,660,443</w:t>
            </w:r>
          </w:p>
        </w:tc>
        <w:tc>
          <w:tcPr>
            <w:tcW w:w="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 years</w:t>
            </w:r>
          </w:p>
        </w:tc>
      </w:tr>
      <w:tr>
        <w:trPr>
          <w:trHeight w:val="203"/>
        </w:trPr>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Floating-rate debt (PRIME)</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182,956,299</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181,043,266</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181,792,569</w:t>
            </w:r>
          </w:p>
        </w:tc>
        <w:tc>
          <w:tcPr>
            <w:tcW w:w="2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 years</w:t>
            </w:r>
          </w:p>
        </w:tc>
      </w:tr>
      <w:tr>
        <w:trPr>
          <w:trHeight w:val="196"/>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 Instruments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334,214,556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330,375,734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331,640,182</w:t>
            </w:r>
          </w:p>
        </w:tc>
        <w:tc>
          <w:tcPr>
            <w:tcW w:w="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 years</w:t>
            </w: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-162560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portfolio investments are primarily in companies conducting business in or supporting the cannabis industry. The Company uses the North American Industry Classification System ("NAICS") for classifying the industry groupings of its portfolio companies, excluding any portfolio company operating in the cannabis industry. The following tables summarize the composition of the Company’s portfolio investments by industry as of March 31, 2026 and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6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278,576,473</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76.5%</w:t>
            </w:r>
          </w:p>
        </w:tc>
        <w:tc>
          <w:tcPr>
            <w:tcW w:w="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278,181,102</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0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24,730,642</w:t>
            </w:r>
          </w:p>
        </w:tc>
        <w:tc>
          <w:tcPr>
            <w:tcW w:w="22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24,757,420</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15,051,353</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15,045,484</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14,940,004</w:t>
            </w:r>
          </w:p>
        </w:tc>
        <w:tc>
          <w:tcPr>
            <w:tcW w:w="22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14,868,141</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11,266,716</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11,348,647</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8,918,358</w:t>
            </w:r>
          </w:p>
        </w:tc>
        <w:tc>
          <w:tcPr>
            <w:tcW w:w="22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8,929,087</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Educational Services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5,003,874</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4,946,500</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2,866,075</w:t>
            </w:r>
          </w:p>
        </w:tc>
        <w:tc>
          <w:tcPr>
            <w:tcW w:w="22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2,967,519</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89"/>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Administrative and Support and Waste Management and Remediation</w:t>
            </w: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tcBorders>
              <w:left w:val="single" w:sz="8" w:color="CFF0FC"/>
            </w:tcBorders>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tcBorders>
              <w:lef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2,937,501</w:t>
            </w:r>
          </w:p>
        </w:tc>
        <w:tc>
          <w:tcPr>
            <w:tcW w:w="220" w:type="dxa"/>
            <w:vAlign w:val="bottom"/>
            <w:tcBorders>
              <w:left w:val="single" w:sz="8" w:color="CFF0FC"/>
            </w:tcBorders>
            <w:shd w:val="clear" w:color="auto" w:fill="CFF0FC"/>
          </w:tcPr>
          <w:p>
            <w:pPr>
              <w:spacing w:after="0"/>
              <w:rPr>
                <w:sz w:val="18"/>
                <w:szCs w:val="18"/>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2,922,813</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364,290,996</w:t>
            </w:r>
          </w:p>
        </w:tc>
        <w:tc>
          <w:tcPr>
            <w:tcW w:w="22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vMerge w:val="continue"/>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0" w:type="dxa"/>
            <w:vAlign w:val="bottom"/>
          </w:tcPr>
          <w:p>
            <w:pPr>
              <w:spacing w:after="0"/>
              <w:rPr>
                <w:sz w:val="1"/>
                <w:szCs w:val="1"/>
                <w:color w:val="auto"/>
              </w:rPr>
            </w:pPr>
          </w:p>
        </w:tc>
      </w:tr>
      <w:tr>
        <w:trPr>
          <w:trHeight w:val="215"/>
        </w:trPr>
        <w:tc>
          <w:tcPr>
            <w:tcW w:w="4940" w:type="dxa"/>
            <w:vAlign w:val="bottom"/>
            <w:tcBorders>
              <w:bottom w:val="single" w:sz="8" w:color="auto"/>
            </w:tcBorders>
            <w:gridSpan w:val="2"/>
          </w:tcPr>
          <w:p>
            <w:pPr>
              <w:ind w:left="216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248,441,479</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74.8%</w:t>
            </w: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249,130,462</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0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25,609,187</w:t>
            </w:r>
          </w:p>
        </w:tc>
        <w:tc>
          <w:tcPr>
            <w:tcW w:w="2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25,660,999</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19,595,501</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20,011,566</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11,407,386</w:t>
            </w:r>
          </w:p>
        </w:tc>
        <w:tc>
          <w:tcPr>
            <w:tcW w:w="2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11,504,108</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8,896,598</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8,914,151</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7,441,941</w:t>
            </w:r>
          </w:p>
        </w:tc>
        <w:tc>
          <w:tcPr>
            <w:tcW w:w="2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7,441,941</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Educational Services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5,001,681</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5,001,681</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9"/>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Administrative and Support and Waste Management and Remediation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2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2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6"/>
        </w:trPr>
        <w:tc>
          <w:tcPr>
            <w:tcW w:w="508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2,815,397</w:t>
            </w:r>
          </w:p>
        </w:tc>
        <w:tc>
          <w:tcPr>
            <w:tcW w:w="220" w:type="dxa"/>
            <w:vAlign w:val="bottom"/>
            <w:tcBorders>
              <w:left w:val="single" w:sz="8" w:color="CFF0FC"/>
            </w:tcBorders>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2,646,879</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332,209,170</w:t>
            </w:r>
          </w:p>
        </w:tc>
        <w:tc>
          <w:tcPr>
            <w:tcW w:w="2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-161925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-161925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-161925</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geographic composition is determined by the location of the principal place of business of each portfolio company. Geographic regions are defined as: West, for the states of WA, OR, ID, MT, WY, CO, AK, HI, UT, NV and CA; Midwest, for the states of ND, SD, NE, KS, MO, IA, MN, WI, MI, IL, IN and OH; Northeast, for the states of PA, NJ, NY, CT, RI, MA, VT, NH and ME; Southeast, for the states of AR, LA, MS, TN, KY, AL, FL, GA, SC, NC, VA, DE, WV and MD; and Southwest, for the states of AZ, NM, TX and OK.</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geographic region as of March 31, 2026 and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 at</w:t>
            </w:r>
          </w:p>
        </w:tc>
      </w:tr>
      <w:tr>
        <w:trPr>
          <w:trHeight w:val="215"/>
        </w:trPr>
        <w:tc>
          <w:tcPr>
            <w:tcW w:w="49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r>
      <w:tr>
        <w:trPr>
          <w:trHeight w:val="19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2"/>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Midwest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148,752,881</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40.8%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148,705,563</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40.9%</w:t>
            </w:r>
          </w:p>
        </w:tc>
      </w:tr>
      <w:tr>
        <w:trPr>
          <w:trHeight w:val="203"/>
        </w:trPr>
        <w:tc>
          <w:tcPr>
            <w:tcW w:w="5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West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79,402,062</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78,711,133</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21.6%</w:t>
            </w: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Northeast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59,448,509</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60,286,505</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r>
      <w:tr>
        <w:trPr>
          <w:trHeight w:val="203"/>
        </w:trPr>
        <w:tc>
          <w:tcPr>
            <w:tcW w:w="5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Southwest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26,986,664</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26,946,500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Southeast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28,611,238</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28,514,417</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21,089,642</w:t>
            </w:r>
          </w:p>
        </w:tc>
        <w:tc>
          <w:tcPr>
            <w:tcW w:w="22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20,802,595</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364,290,996</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93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160" w:type="dxa"/>
            <w:vAlign w:val="bottom"/>
          </w:tcPr>
          <w:p>
            <w:pPr>
              <w:spacing w:after="0"/>
              <w:rPr>
                <w:sz w:val="16"/>
                <w:szCs w:val="16"/>
                <w:color w:val="auto"/>
              </w:rPr>
            </w:pPr>
          </w:p>
        </w:tc>
      </w:tr>
      <w:tr>
        <w:trPr>
          <w:trHeight w:val="215"/>
        </w:trPr>
        <w:tc>
          <w:tcPr>
            <w:tcW w:w="49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r>
      <w:tr>
        <w:trPr>
          <w:trHeight w:val="19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Midwest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138,071,134</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138,912,130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41.7%</w:t>
            </w:r>
          </w:p>
        </w:tc>
      </w:tr>
      <w:tr>
        <w:trPr>
          <w:trHeight w:val="203"/>
        </w:trPr>
        <w:tc>
          <w:tcPr>
            <w:tcW w:w="5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Northeast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66,803,146</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67,247,357</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20.2%</w:t>
            </w: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West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65,511,094</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65,410,158</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r>
      <w:tr>
        <w:trPr>
          <w:trHeight w:val="203"/>
        </w:trPr>
        <w:tc>
          <w:tcPr>
            <w:tcW w:w="5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Southeast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28,827,032</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28,750,558</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Southwest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26,982,778</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27,001,681</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6,013,986</w:t>
            </w:r>
          </w:p>
        </w:tc>
        <w:tc>
          <w:tcPr>
            <w:tcW w:w="22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5,989,903</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332,209,170</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939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939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 Factors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manages a variety of risks including market risk, concentration risk, credit risk, liquidity risk, interest rate risk, prepayment risk, risks associated with financial, economic and other global market developments and disruptions, including those arising from war, terrorism, market manipulation, government interventions, government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Concentration risk includes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 Investing in portfolio companies involved in the cannabis industry subjects us to the following risks:</w:t>
      </w:r>
    </w:p>
    <w:p>
      <w:pPr>
        <w:spacing w:after="0" w:line="13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is extremely speculative and raises a host of legality issues, making it subject to inherent risk;</w:t>
      </w:r>
    </w:p>
    <w:p>
      <w:pPr>
        <w:spacing w:after="0" w:line="19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Presidential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3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collateralizing loans to cannabis businesses may be forfeited to the U.S. federal government in connection with government enforcement actions under U.S. federal law;</w:t>
      </w:r>
    </w:p>
    <w:p>
      <w:pPr>
        <w:spacing w:after="0" w:line="134"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4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Action on Medical Cannabis Rescheduling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23, 2026, the U.S. Department of Justice (“DOJ”), acting through the Drug Enforcement Administration (“DEA”), issued an order to reclassify certain cannabis products under the CSA from Schedule I to Schedule III. The order applies to (i) cannabis-derived products approved by the U.S. Food and Drug Administration and (ii) cannabis produced and distributed in compliance with state-licensed medical cannabis programs, subject to applicable federal enforcement parameters. The order does not extend to cannabis produced or distributed outside such frameworks, including products intended for adult-use markets, which remain classified as Schedule I controlled substances under current federal law.</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April 2026 order represents a significant shift in federal policy and is expected to be followed by additional administrative proceedings. The DEA has scheduled a hearing for June 29, 2026 to consider related regulatory considerations for adult-use cannabis, and further rulemaking, interpretive guidance, or enforcement policy statements may be issued thereafter. As a result, the scope, implementation, and practical effects of the rescheduling action remain subject to ongoing administrative review and uncertainty.</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rescheduling of qualifying medical cannabis activities may affect the financial and operating profile of the borrowers within our portfolio. In particular, to the extent such activities are no longer subject to the limitations of Section 280E of the Code, affected operators may experience improved after-tax cash flows and liquidity. However, many of our borrowers operate integrated businesses that include both medical and adult-use cannabis activities, and it is unclear how the rescheduling will be applied in practice to such operations. Accordingly, any potential benefit from changes to Section 280E may be partial, delayed, or subject to further regulatory clarification.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differentiated federal treatment of medical and adult-use cannabis may introduce operational and compliance complexities for our borrowers. These may include the need to segment operations, maintain separate reporting and controls, and adapt to evolving federal and state regulatory expectations. The extent to which federal agencies will enforce distinctions between qualifying medical cannabis activities and non-qualifying activities remains uncertain and may vary over time.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April 2026 action may also influence the availability of capital to the cannabis industry. To the extent rescheduling reduces perceived regulatory risk for certain market participants, it may facilitate increased participation by financial institutions and other capital providers, particularly with respect to operators focused on medical cannabis. Increased competition could result in compression of lending spreads, changes in transaction structures, and reduced origination opportunities for our platform. At the same time, continued federal prohibition of adult-use cannabis may limit the extent of such effects across the broader industry.</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no final regulatory framework has been established with respect to cannabis rescheduling beyond the April 2026 order, and no formal action has been taken to reclassify or de-schedule adult-use cannabis. While federal authorities have initiated additional administrative proceedings, including the June 2026 DEA hearing, the outcome, timing, and scope of any further</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remain uncertain.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had three portfolio companies that represented 32.5% and 31.8%, respectively, of the fair values of our portfolio. As of March 31, 2026 and December 31, 2025, our largest portfolio company represented 17.8% and 15.7%, respectively, of the total fair values of our investments in portfolio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an adverse impact on our and our portfolio companies’ businesses, financial condition and results of operations.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refers to the change in earnings that may result from changes in the level of interest rates. To the extent that the Company borrows money to make investments, including under its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March 31, 2026 and December 31, 2025, the Company’s portfolio investments consisted primarily of investments in senior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determination of each portfolio investment categorized as Level 3 required the use of one or more unobservable inputs.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significant unobservable inputs creates uncertainty in the measurement of fair value as of the reporting date. The significant unobservable inputs used in the fair value measurement of the Company’s debt investments may vary and may include debt investments’ yield (i.e. discount rate). The significant unobservable inputs used in the fair value measurement of the Company’s equity and warrant investments may vary and may include EBITDA multiples, revenue multiples and asset multiples.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measured at fair value by investment type on a recurring basis as of March 31, 2026 and December 31, 2025 were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9"/>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Fair Value Measurements at March 31, 2026 Using</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2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Inputs (Level 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9"/>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40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331,179,001</w:t>
            </w:r>
          </w:p>
        </w:tc>
        <w:tc>
          <w:tcPr>
            <w:tcW w:w="2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331,179,001</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28,187,420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28,187,420</w:t>
            </w:r>
          </w:p>
        </w:tc>
        <w:tc>
          <w:tcPr>
            <w:tcW w:w="100" w:type="dxa"/>
            <w:vAlign w:val="bottom"/>
          </w:tcPr>
          <w:p>
            <w:pPr>
              <w:spacing w:after="0"/>
              <w:rPr>
                <w:sz w:val="17"/>
                <w:szCs w:val="17"/>
                <w:color w:val="auto"/>
              </w:rPr>
            </w:pPr>
          </w:p>
        </w:tc>
      </w:tr>
      <w:tr>
        <w:trPr>
          <w:trHeight w:val="203"/>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2,694,107</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2,694,107</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1,406,185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1,406,185</w:t>
            </w:r>
          </w:p>
        </w:tc>
        <w:tc>
          <w:tcPr>
            <w:tcW w:w="100" w:type="dxa"/>
            <w:vAlign w:val="bottom"/>
          </w:tcPr>
          <w:p>
            <w:pPr>
              <w:spacing w:after="0"/>
              <w:rPr>
                <w:sz w:val="17"/>
                <w:szCs w:val="17"/>
                <w:color w:val="auto"/>
              </w:rPr>
            </w:pPr>
          </w:p>
        </w:tc>
      </w:tr>
      <w:tr>
        <w:trPr>
          <w:trHeight w:val="203"/>
        </w:trPr>
        <w:tc>
          <w:tcPr>
            <w:tcW w:w="4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4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2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220" w:type="dxa"/>
            <w:vAlign w:val="bottom"/>
          </w:tcPr>
          <w:p>
            <w:pPr>
              <w:spacing w:after="0"/>
              <w:rPr>
                <w:sz w:val="17"/>
                <w:szCs w:val="17"/>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100" w:type="dxa"/>
            <w:vAlign w:val="bottom"/>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6"/>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1"/>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2025 Using</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2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Inputs (Level 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9"/>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40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292,719,497</w:t>
            </w:r>
          </w:p>
        </w:tc>
        <w:tc>
          <w:tcPr>
            <w:tcW w:w="2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292,719,497</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40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37,473,499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37,473,499</w:t>
            </w:r>
          </w:p>
        </w:tc>
        <w:tc>
          <w:tcPr>
            <w:tcW w:w="100" w:type="dxa"/>
            <w:vAlign w:val="bottom"/>
          </w:tcPr>
          <w:p>
            <w:pPr>
              <w:spacing w:after="0"/>
              <w:rPr>
                <w:sz w:val="17"/>
                <w:szCs w:val="17"/>
                <w:color w:val="auto"/>
              </w:rPr>
            </w:pPr>
          </w:p>
        </w:tc>
      </w:tr>
      <w:tr>
        <w:trPr>
          <w:trHeight w:val="203"/>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40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1,447,186</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1,447,186</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1,171,605</w:t>
            </w:r>
          </w:p>
        </w:tc>
        <w:tc>
          <w:tcPr>
            <w:tcW w:w="100" w:type="dxa"/>
            <w:vAlign w:val="bottom"/>
          </w:tcPr>
          <w:p>
            <w:pPr>
              <w:spacing w:after="0"/>
              <w:rPr>
                <w:sz w:val="17"/>
                <w:szCs w:val="17"/>
                <w:color w:val="auto"/>
              </w:rPr>
            </w:pPr>
          </w:p>
        </w:tc>
      </w:tr>
      <w:tr>
        <w:trPr>
          <w:trHeight w:val="203"/>
        </w:trPr>
        <w:tc>
          <w:tcPr>
            <w:tcW w:w="4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4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220" w:type="dxa"/>
            <w:vAlign w:val="bottom"/>
          </w:tcPr>
          <w:p>
            <w:pPr>
              <w:spacing w:after="0"/>
              <w:rPr>
                <w:sz w:val="17"/>
                <w:szCs w:val="17"/>
                <w:color w:val="auto"/>
              </w:rPr>
            </w:pP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00" w:type="dxa"/>
            <w:vAlign w:val="bottom"/>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-1765300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-1765300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-1765300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-162560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-162560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provide a summary of the significant unobservable inputs used to fair value the Level 3 portfolio investments as of March 31, 2026 and December 31, 2025. The methodology for the determination of the fair value of the Company’s investments is discussed in “Note 2 – Significant Accounting Policies”. Discount rate ranges are shown as spread over the U.S. Prime Rate ("PRIME"), Secured Overnight Financing Rate ("SOFR") and/or U.S. Treasury Rates, as applicable, for senior secured first lien term loans, as of March 31, 2026 and December 31,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46"/>
        </w:trPr>
        <w:tc>
          <w:tcPr>
            <w:tcW w:w="23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20" w:type="dxa"/>
            <w:vAlign w:val="bottom"/>
            <w:gridSpan w:val="2"/>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Techniques/Methodologies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Range</w:t>
            </w:r>
          </w:p>
        </w:tc>
        <w:tc>
          <w:tcPr>
            <w:tcW w:w="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Average</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1"/>
                <w:szCs w:val="21"/>
                <w:color w:val="auto"/>
              </w:rPr>
            </w:pPr>
          </w:p>
        </w:tc>
      </w:tr>
      <w:tr>
        <w:trPr>
          <w:trHeight w:val="19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4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271,818,083</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rPr>
              <w:t>Discount Rate</w:t>
            </w:r>
          </w:p>
        </w:tc>
        <w:tc>
          <w:tcPr>
            <w:tcW w:w="8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- 20.75%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12.84%</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59,360,918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Recent Transaction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28,187,420</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rPr>
              <w:t>Discount Rate</w:t>
            </w:r>
          </w:p>
        </w:tc>
        <w:tc>
          <w:tcPr>
            <w:tcW w:w="8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- 18.48%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12.04%</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2,694,107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Volatility Factor</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- 71.00%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58.63%</w:t>
            </w:r>
          </w:p>
        </w:tc>
      </w:tr>
      <w:tr>
        <w:trPr>
          <w:trHeight w:val="20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1,406,185</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rPr>
              <w:t>Discount Rate</w:t>
            </w:r>
          </w:p>
        </w:tc>
        <w:tc>
          <w:tcPr>
            <w:tcW w:w="8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- 20.89%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19.89%</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Current Value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w w:val="99"/>
              </w:rPr>
              <w:t>2.00x</w:t>
            </w:r>
          </w:p>
        </w:tc>
        <w:tc>
          <w:tcPr>
            <w:tcW w:w="100" w:type="dxa"/>
            <w:vAlign w:val="bottom"/>
          </w:tcPr>
          <w:p>
            <w:pPr>
              <w:spacing w:after="0"/>
              <w:rPr>
                <w:sz w:val="17"/>
                <w:szCs w:val="17"/>
                <w:color w:val="auto"/>
              </w:rPr>
            </w:pP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2.00x</w:t>
            </w:r>
          </w:p>
        </w:tc>
      </w:tr>
      <w:tr>
        <w:trPr>
          <w:trHeight w:val="236"/>
        </w:trPr>
        <w:tc>
          <w:tcPr>
            <w:tcW w:w="2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CFF0FC"/>
            </w:tcBorders>
            <w:gridSpan w:val="3"/>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329"/>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46"/>
        </w:trPr>
        <w:tc>
          <w:tcPr>
            <w:tcW w:w="23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Techniques/Methodologies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00" w:type="dxa"/>
            <w:vAlign w:val="bottom"/>
          </w:tcPr>
          <w:p>
            <w:pPr>
              <w:spacing w:after="0"/>
              <w:rPr>
                <w:sz w:val="21"/>
                <w:szCs w:val="21"/>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Average</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1"/>
                <w:szCs w:val="21"/>
                <w:color w:val="auto"/>
              </w:rPr>
            </w:pPr>
          </w:p>
        </w:tc>
      </w:tr>
      <w:tr>
        <w:trPr>
          <w:trHeight w:val="19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249,770,789</w:t>
            </w:r>
          </w:p>
        </w:tc>
        <w:tc>
          <w:tcPr>
            <w:tcW w:w="200" w:type="dxa"/>
            <w:vAlign w:val="bottom"/>
            <w:shd w:val="clear" w:color="auto" w:fill="CFF0FC"/>
          </w:tcPr>
          <w:p>
            <w:pPr>
              <w:spacing w:after="0"/>
              <w:rPr>
                <w:sz w:val="17"/>
                <w:szCs w:val="17"/>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Discount Rate</w:t>
            </w:r>
          </w:p>
        </w:tc>
        <w:tc>
          <w:tcPr>
            <w:tcW w:w="10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8"/>
              </w:rPr>
              <w:t>- 23.25%</w:t>
            </w:r>
          </w:p>
        </w:tc>
        <w:tc>
          <w:tcPr>
            <w:tcW w:w="1320" w:type="dxa"/>
            <w:vAlign w:val="bottom"/>
            <w:gridSpan w:val="3"/>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12.81%</w:t>
            </w:r>
          </w:p>
        </w:tc>
      </w:tr>
      <w:tr>
        <w:trPr>
          <w:trHeight w:val="20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42,948,708</w:t>
            </w:r>
          </w:p>
        </w:tc>
        <w:tc>
          <w:tcPr>
            <w:tcW w:w="2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Recent Transaction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37,473,499</w:t>
            </w:r>
          </w:p>
        </w:tc>
        <w:tc>
          <w:tcPr>
            <w:tcW w:w="200" w:type="dxa"/>
            <w:vAlign w:val="bottom"/>
            <w:shd w:val="clear" w:color="auto" w:fill="CFF0FC"/>
          </w:tcPr>
          <w:p>
            <w:pPr>
              <w:spacing w:after="0"/>
              <w:rPr>
                <w:sz w:val="17"/>
                <w:szCs w:val="17"/>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Discount Rate</w:t>
            </w:r>
          </w:p>
        </w:tc>
        <w:tc>
          <w:tcPr>
            <w:tcW w:w="10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8"/>
              </w:rPr>
              <w:t>- 18.23%</w:t>
            </w:r>
          </w:p>
        </w:tc>
        <w:tc>
          <w:tcPr>
            <w:tcW w:w="1320" w:type="dxa"/>
            <w:vAlign w:val="bottom"/>
            <w:gridSpan w:val="3"/>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10.66%</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1,447,186</w:t>
            </w:r>
          </w:p>
        </w:tc>
        <w:tc>
          <w:tcPr>
            <w:tcW w:w="2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Discount Rate</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8"/>
              </w:rPr>
              <w:t>- 20.39%</w:t>
            </w:r>
          </w:p>
        </w:tc>
        <w:tc>
          <w:tcPr>
            <w:tcW w:w="132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19.64%</w:t>
            </w:r>
          </w:p>
        </w:tc>
      </w:tr>
      <w:tr>
        <w:trPr>
          <w:trHeight w:val="20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826,250</w:t>
            </w:r>
          </w:p>
        </w:tc>
        <w:tc>
          <w:tcPr>
            <w:tcW w:w="200" w:type="dxa"/>
            <w:vAlign w:val="bottom"/>
            <w:shd w:val="clear" w:color="auto" w:fill="CFF0FC"/>
          </w:tcPr>
          <w:p>
            <w:pPr>
              <w:spacing w:after="0"/>
              <w:rPr>
                <w:sz w:val="17"/>
                <w:szCs w:val="17"/>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Enterprise Value</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Revenue Multiple</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8"/>
              </w:rPr>
              <w:t>1.75x - 5.25x</w:t>
            </w: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4.52x</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2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Current Value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1.75x</w:t>
            </w:r>
          </w:p>
        </w:tc>
        <w:tc>
          <w:tcPr>
            <w:tcW w:w="100" w:type="dxa"/>
            <w:vAlign w:val="bottom"/>
          </w:tcPr>
          <w:p>
            <w:pPr>
              <w:spacing w:after="0"/>
              <w:rPr>
                <w:sz w:val="17"/>
                <w:szCs w:val="17"/>
                <w:color w:val="auto"/>
              </w:rPr>
            </w:pP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1.75x</w:t>
            </w:r>
          </w:p>
        </w:tc>
      </w:tr>
      <w:tr>
        <w:trPr>
          <w:trHeight w:val="203"/>
        </w:trPr>
        <w:tc>
          <w:tcPr>
            <w:tcW w:w="2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345,355</w:t>
            </w:r>
          </w:p>
        </w:tc>
        <w:tc>
          <w:tcPr>
            <w:tcW w:w="20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Volatility Factor</w:t>
            </w:r>
          </w:p>
        </w:tc>
        <w:tc>
          <w:tcPr>
            <w:tcW w:w="1080" w:type="dxa"/>
            <w:vAlign w:val="bottom"/>
            <w:tcBorders>
              <w:bottom w:val="single" w:sz="8" w:color="CFF0FC"/>
            </w:tcBorders>
            <w:gridSpan w:val="5"/>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62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8"/>
              </w:rPr>
              <w:t>- 72.00%</w:t>
            </w:r>
          </w:p>
        </w:tc>
        <w:tc>
          <w:tcPr>
            <w:tcW w:w="1320" w:type="dxa"/>
            <w:vAlign w:val="bottom"/>
            <w:tcBorders>
              <w:bottom w:val="single" w:sz="8" w:color="CFF0FC"/>
            </w:tcBorders>
            <w:gridSpan w:val="3"/>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51.51%</w:t>
            </w: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333,311,787</w:t>
            </w: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-1473835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-1456690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-162560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weighted average is calculated based on the fair value of each investment.</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changes in the fair value of the Company’s Level 3 portfolio investments for the three months ended March 31, 2026 and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Second Lien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First Lien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Senior Secured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Secured Notes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as of December 31,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292,719,497</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37,473,499</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1,447,186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1,171,605</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Purchases</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91,107,507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1,583,321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92,690,828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 premium),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929,570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464,090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1,393,660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PIK interest</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1,321,016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45,725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investments and</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repayments</w:t>
            </w:r>
          </w:p>
        </w:tc>
        <w:tc>
          <w:tcPr>
            <w:tcW w:w="1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(53,897,917)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(9,431,091)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(52,768)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(63,381,776)</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w:t>
            </w:r>
          </w:p>
        </w:tc>
        <w:tc>
          <w:tcPr>
            <w:tcW w:w="120" w:type="dxa"/>
            <w:vAlign w:val="bottom"/>
            <w:shd w:val="clear" w:color="auto" w:fill="CFF0FC"/>
          </w:tcPr>
          <w:p>
            <w:pPr>
              <w:spacing w:after="0"/>
              <w:rPr>
                <w:sz w:val="16"/>
                <w:szCs w:val="16"/>
                <w:color w:val="auto"/>
              </w:rPr>
            </w:pPr>
          </w:p>
        </w:tc>
        <w:tc>
          <w:tcPr>
            <w:tcW w:w="13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(1,000,672)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(364,803)</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(60,819)</w:t>
            </w: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(1,426,900)</w:t>
            </w: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on investments</w:t>
            </w:r>
          </w:p>
        </w:tc>
        <w:tc>
          <w:tcPr>
            <w:tcW w:w="120" w:type="dxa"/>
            <w:vAlign w:val="bottom"/>
            <w:shd w:val="clear" w:color="auto" w:fill="CFF0FC"/>
          </w:tcPr>
          <w:p>
            <w:pPr>
              <w:spacing w:after="0"/>
              <w:rPr>
                <w:sz w:val="17"/>
                <w:szCs w:val="17"/>
                <w:color w:val="auto"/>
              </w:rPr>
            </w:pPr>
          </w:p>
        </w:tc>
        <w:tc>
          <w:tcPr>
            <w:tcW w:w="1360" w:type="dxa"/>
            <w:vAlign w:val="bottom"/>
            <w:gridSpan w:val="3"/>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331,179,001</w:t>
            </w:r>
          </w:p>
        </w:tc>
        <w:tc>
          <w:tcPr>
            <w:tcW w:w="10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28,187,420</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1,406,185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2,694,107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appreciation/depreciation on</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Level 3 investments still held as of</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(567,323)</w:t>
            </w:r>
          </w:p>
        </w:tc>
        <w:tc>
          <w:tcPr>
            <w:tcW w:w="2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(86,591)</w:t>
            </w:r>
          </w:p>
        </w:tc>
        <w:tc>
          <w:tcPr>
            <w:tcW w:w="100" w:type="dxa"/>
            <w:vAlign w:val="bottom"/>
            <w:shd w:val="clear" w:color="auto" w:fill="CFF0FC"/>
          </w:tcPr>
          <w:p>
            <w:pPr>
              <w:spacing w:after="0"/>
              <w:rPr>
                <w:sz w:val="17"/>
                <w:szCs w:val="17"/>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(60,819)</w:t>
            </w: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7"/>
                <w:szCs w:val="17"/>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(715,339)</w:t>
            </w:r>
          </w:p>
        </w:tc>
        <w:tc>
          <w:tcPr>
            <w:tcW w:w="0" w:type="dxa"/>
            <w:vAlign w:val="bottom"/>
          </w:tcPr>
          <w:p>
            <w:pPr>
              <w:spacing w:after="0"/>
              <w:rPr>
                <w:sz w:val="1"/>
                <w:szCs w:val="1"/>
                <w:color w:val="auto"/>
              </w:rPr>
            </w:pPr>
          </w:p>
        </w:tc>
      </w:tr>
      <w:tr>
        <w:trPr>
          <w:trHeight w:val="196"/>
        </w:trPr>
        <w:tc>
          <w:tcPr>
            <w:tcW w:w="3160" w:type="dxa"/>
            <w:vAlign w:val="bottom"/>
            <w:shd w:val="clear" w:color="auto" w:fill="CFF0FC"/>
          </w:tcPr>
          <w:p>
            <w:pPr>
              <w:ind w:left="120"/>
              <w:spacing w:after="0" w:line="176" w:lineRule="exact"/>
              <w:rPr>
                <w:sz w:val="20"/>
                <w:szCs w:val="20"/>
                <w:color w:val="auto"/>
              </w:rPr>
            </w:pPr>
            <w:r>
              <w:rPr>
                <w:rFonts w:ascii="Times New Roman" w:cs="Times New Roman" w:eastAsia="Times New Roman" w:hAnsi="Times New Roman"/>
                <w:sz w:val="16"/>
                <w:szCs w:val="16"/>
                <w:color w:val="auto"/>
              </w:rPr>
              <w:t>March 31, 2026</w:t>
            </w:r>
          </w:p>
        </w:tc>
        <w:tc>
          <w:tcPr>
            <w:tcW w:w="120" w:type="dxa"/>
            <w:vAlign w:val="bottom"/>
            <w:vMerge w:val="continue"/>
            <w:shd w:val="clear" w:color="auto" w:fill="CFF0FC"/>
          </w:tcPr>
          <w:p>
            <w:pPr>
              <w:spacing w:after="0"/>
              <w:rPr>
                <w:sz w:val="17"/>
                <w:szCs w:val="17"/>
                <w:color w:val="auto"/>
              </w:rPr>
            </w:pPr>
          </w:p>
        </w:tc>
        <w:tc>
          <w:tcPr>
            <w:tcW w:w="1360" w:type="dxa"/>
            <w:vAlign w:val="bottom"/>
            <w:gridSpan w:val="3"/>
            <w:vMerge w:val="continue"/>
            <w:shd w:val="clear" w:color="auto" w:fill="CFF0FC"/>
          </w:tcPr>
          <w:p>
            <w:pPr>
              <w:spacing w:after="0"/>
              <w:rPr>
                <w:sz w:val="17"/>
                <w:szCs w:val="17"/>
                <w:color w:val="auto"/>
              </w:rPr>
            </w:pPr>
          </w:p>
        </w:tc>
        <w:tc>
          <w:tcPr>
            <w:tcW w:w="240" w:type="dxa"/>
            <w:vAlign w:val="bottom"/>
            <w:gridSpan w:val="2"/>
            <w:vMerge w:val="continue"/>
            <w:shd w:val="clear" w:color="auto" w:fill="CFF0FC"/>
          </w:tcPr>
          <w:p>
            <w:pPr>
              <w:spacing w:after="0"/>
              <w:rPr>
                <w:sz w:val="17"/>
                <w:szCs w:val="17"/>
                <w:color w:val="auto"/>
              </w:rPr>
            </w:pPr>
          </w:p>
        </w:tc>
        <w:tc>
          <w:tcPr>
            <w:tcW w:w="120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gridSpan w:val="2"/>
            <w:vMerge w:val="continue"/>
            <w:shd w:val="clear" w:color="auto" w:fill="CFF0FC"/>
          </w:tcPr>
          <w:p>
            <w:pPr>
              <w:spacing w:after="0"/>
              <w:rPr>
                <w:sz w:val="17"/>
                <w:szCs w:val="17"/>
                <w:color w:val="auto"/>
              </w:rPr>
            </w:pPr>
          </w:p>
        </w:tc>
        <w:tc>
          <w:tcPr>
            <w:tcW w:w="92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gridSpan w:val="5"/>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First Lien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Senior Secured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Secured Notes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as of December 31, 2024</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239,860,206</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34,656,192</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225,000</w:t>
            </w:r>
          </w:p>
        </w:tc>
        <w:tc>
          <w:tcPr>
            <w:tcW w:w="140" w:type="dxa"/>
            <w:vAlign w:val="bottom"/>
            <w:tcBorders>
              <w:right w:val="single" w:sz="8" w:color="CFF0FC"/>
            </w:tcBorders>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Purchases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20,601,132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20,601,132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 of premium),</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468,421</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54,486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522,907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PIK interest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investments and principal</w:t>
            </w:r>
          </w:p>
        </w:tc>
        <w:tc>
          <w:tcPr>
            <w:tcW w:w="6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(7,642,007)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(7,642,007)</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 (depreciation) on</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(74,055)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76,991</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Borders>
              <w:right w:val="single" w:sz="8" w:color="CFF0FC"/>
            </w:tcBorders>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(37,000)</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(34,064)</w:t>
            </w: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253,722,547</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34,852,194</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188,000</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289,262,741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on</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Level 3 investments still held as of</w:t>
            </w:r>
          </w:p>
        </w:tc>
        <w:tc>
          <w:tcPr>
            <w:tcW w:w="12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spacing w:after="0"/>
              <w:rPr>
                <w:sz w:val="17"/>
                <w:szCs w:val="17"/>
                <w:color w:val="auto"/>
              </w:rPr>
            </w:pPr>
          </w:p>
        </w:tc>
        <w:tc>
          <w:tcPr>
            <w:tcW w:w="600" w:type="dxa"/>
            <w:vAlign w:val="bottom"/>
            <w:vMerge w:val="restart"/>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(74,055)</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76,991</w:t>
            </w:r>
          </w:p>
        </w:tc>
        <w:tc>
          <w:tcPr>
            <w:tcW w:w="34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(37,000)</w:t>
            </w:r>
          </w:p>
        </w:tc>
        <w:tc>
          <w:tcPr>
            <w:tcW w:w="2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(34,064)</w:t>
            </w:r>
          </w:p>
        </w:tc>
        <w:tc>
          <w:tcPr>
            <w:tcW w:w="0" w:type="dxa"/>
            <w:vAlign w:val="bottom"/>
          </w:tcPr>
          <w:p>
            <w:pPr>
              <w:spacing w:after="0"/>
              <w:rPr>
                <w:sz w:val="1"/>
                <w:szCs w:val="1"/>
                <w:color w:val="auto"/>
              </w:rPr>
            </w:pPr>
          </w:p>
        </w:tc>
      </w:tr>
      <w:tr>
        <w:trPr>
          <w:trHeight w:val="196"/>
        </w:trPr>
        <w:tc>
          <w:tcPr>
            <w:tcW w:w="3160" w:type="dxa"/>
            <w:vAlign w:val="bottom"/>
            <w:shd w:val="clear" w:color="auto" w:fill="CFF0FC"/>
          </w:tcPr>
          <w:p>
            <w:pPr>
              <w:ind w:left="120"/>
              <w:spacing w:after="0" w:line="176" w:lineRule="exact"/>
              <w:rPr>
                <w:sz w:val="20"/>
                <w:szCs w:val="20"/>
                <w:color w:val="auto"/>
              </w:rPr>
            </w:pPr>
            <w:r>
              <w:rPr>
                <w:rFonts w:ascii="Times New Roman" w:cs="Times New Roman" w:eastAsia="Times New Roman" w:hAnsi="Times New Roman"/>
                <w:sz w:val="16"/>
                <w:szCs w:val="16"/>
                <w:color w:val="auto"/>
              </w:rPr>
              <w:t>March 31, 2025</w:t>
            </w:r>
          </w:p>
        </w:tc>
        <w:tc>
          <w:tcPr>
            <w:tcW w:w="12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vMerge w:val="continue"/>
            <w:shd w:val="clear" w:color="auto" w:fill="CFF0FC"/>
          </w:tcPr>
          <w:p>
            <w:pPr>
              <w:spacing w:after="0"/>
              <w:rPr>
                <w:sz w:val="17"/>
                <w:szCs w:val="17"/>
                <w:color w:val="auto"/>
              </w:rPr>
            </w:pPr>
          </w:p>
        </w:tc>
        <w:tc>
          <w:tcPr>
            <w:tcW w:w="340" w:type="dxa"/>
            <w:vAlign w:val="bottom"/>
            <w:gridSpan w:val="3"/>
            <w:vMerge w:val="continue"/>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340" w:type="dxa"/>
            <w:vAlign w:val="bottom"/>
            <w:gridSpan w:val="3"/>
            <w:vMerge w:val="continue"/>
            <w:shd w:val="clear" w:color="auto" w:fill="CFF0FC"/>
          </w:tcPr>
          <w:p>
            <w:pPr>
              <w:spacing w:after="0"/>
              <w:rPr>
                <w:sz w:val="17"/>
                <w:szCs w:val="17"/>
                <w:color w:val="auto"/>
              </w:rPr>
            </w:pPr>
          </w:p>
        </w:tc>
        <w:tc>
          <w:tcPr>
            <w:tcW w:w="1020" w:type="dxa"/>
            <w:vAlign w:val="bottom"/>
            <w:tcBorders>
              <w:right w:val="single" w:sz="8" w:color="CFF0FC"/>
            </w:tcBorders>
            <w:gridSpan w:val="3"/>
            <w:vMerge w:val="continue"/>
            <w:shd w:val="clear" w:color="auto" w:fill="CFF0FC"/>
          </w:tcPr>
          <w:p>
            <w:pPr>
              <w:spacing w:after="0"/>
              <w:rPr>
                <w:sz w:val="17"/>
                <w:szCs w:val="17"/>
                <w:color w:val="auto"/>
              </w:rPr>
            </w:pPr>
          </w:p>
        </w:tc>
        <w:tc>
          <w:tcPr>
            <w:tcW w:w="220" w:type="dxa"/>
            <w:vAlign w:val="bottom"/>
            <w:gridSpan w:val="2"/>
            <w:vMerge w:val="continue"/>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-3291205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-3291205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-3291205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-3291205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-3291205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-2510790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-2493645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-2510790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-2493645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-2510790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-2493645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-2510790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-2493645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-2510790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-2493645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-676275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-676275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-676275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-676275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senior secured revolving credit agreement (the “Credit Agreement”, or the "Revolving Line of Credit") by and among the Company, as borrower, Western Alliance Trust Company, N.A. (“WATC”), as administrative agent, Western Alliance Bank, as an issuing bank and as the initial lender, and the other lenders party thereto from time to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Credit Agreement also provides for the issuance of letters of credit in an aggregate face amount of up to $5,000,000.</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Availability under the Credit Agreement (the “Revolving Period”) will terminate on February 11, 2027, and the Credit Agreement has a scheduled maturity date of March 31, 2028.</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annual rate of one-month term SOFR plus 3.00%, subject to a minimum interest rate of 6.00% with the all in interest rate on outstanding borrowings under the Revolving Line of Credit. As of March 31, 2026 and December 31, 2025 the stated interest rate on borrowings was 6.67% and 6.72%, respectively. The Company will pay a commitment fee of 0.50% per annum on the average daily unused portion of commitments under the Credit Agreement during the Revolving Period. For the three months ended March 31, 2026 and 2025, the company recorded $66,806 and $0, respectively, of commitment fees which are included in interest expense on the Statements of Operations. The Company will also be required to pay letter of credit participation fees and a fronting fee on the average daily amount of the lenders’ exposure with respect to any letters of credit issued at the request of the Company under the Credit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$1,654,310 of financing costs in connection with the Revolving Line of Credit. As of March 31, 2026, and December 31, 2025, $850,607 and $525,324, respectively, of deferred financing costs was included in prepaid expenses and other assets on the Statements of Assets and Liabilities. For the three months ended March 31, 2026 and 2025, $174,718 and $145,381 respectively, of such costs were amortized and included in interest expense on the Statements of Operations.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$54,500,000 in outstanding borrowings and $45,500,000 available under the Revolving Line of Credit. As of December 31, 2025, the Company had $25,000,000 in outstanding borrowings and $75,000,000 available under the Revolving Line of Credit.The Revolving Line of Credit includes customary affirmative and negative covenants, including certain limitations on the incurrence of additional indebtedness and liens, as well as usual and customary events of default for revolving credit facilities of this nature. The Revolving Line of Credit is secured by all of the Company's assets pledged as collateral.</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Revolving Line of Credit is equal to its carrying value because the revolver is a floating rate facility that reprices to a market rate frequently. The fair value is categorized as Level 2 under ASC 820.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 for the following periods: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gridSpan w:val="6"/>
          </w:tcPr>
          <w:p>
            <w:pPr>
              <w:ind w:left="1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2"/>
        </w:trPr>
        <w:tc>
          <w:tcPr>
            <w:tcW w:w="59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r>
      <w:tr>
        <w:trPr>
          <w:trHeight w:val="19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 fee</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66,806</w:t>
            </w:r>
          </w:p>
        </w:tc>
        <w:tc>
          <w:tcPr>
            <w:tcW w:w="2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174,718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145,381</w:t>
            </w:r>
          </w:p>
        </w:tc>
        <w:tc>
          <w:tcPr>
            <w:tcW w:w="100" w:type="dxa"/>
            <w:vAlign w:val="bottom"/>
          </w:tcPr>
          <w:p>
            <w:pPr>
              <w:spacing w:after="0"/>
              <w:rPr>
                <w:sz w:val="17"/>
                <w:szCs w:val="17"/>
                <w:color w:val="auto"/>
              </w:rPr>
            </w:pPr>
          </w:p>
        </w:tc>
      </w:tr>
      <w:tr>
        <w:trPr>
          <w:trHeight w:val="20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Borders>
              <w:bottom w:val="single" w:sz="8" w:color="auto"/>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783,018</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1,024,542</w:t>
            </w:r>
          </w:p>
        </w:tc>
        <w:tc>
          <w:tcPr>
            <w:tcW w:w="2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145,381</w:t>
            </w:r>
          </w:p>
        </w:tc>
        <w:tc>
          <w:tcPr>
            <w:tcW w:w="10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Average interest rate</w:t>
            </w:r>
          </w:p>
        </w:tc>
        <w:tc>
          <w:tcPr>
            <w:tcW w:w="360" w:type="dxa"/>
            <w:vAlign w:val="bottom"/>
            <w:shd w:val="clear" w:color="auto" w:fill="CFF0FC"/>
          </w:tcPr>
          <w:p>
            <w:pPr>
              <w:spacing w:after="0"/>
              <w:rPr>
                <w:sz w:val="15"/>
                <w:szCs w:val="15"/>
                <w:color w:val="auto"/>
              </w:rPr>
            </w:pP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Average daily borrowings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46,883,333</w:t>
            </w:r>
          </w:p>
        </w:tc>
        <w:tc>
          <w:tcPr>
            <w:tcW w:w="2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-424180</wp:posOffset>
            </wp:positionV>
            <wp:extent cx="946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-424180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March 31, 2026 (in thousands except for per unit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Exclusive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Asset Coverage Per</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Involuntary Liquidating</w:t>
            </w:r>
          </w:p>
        </w:tc>
        <w:tc>
          <w:tcPr>
            <w:tcW w:w="28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Market Value</w:t>
            </w:r>
          </w:p>
        </w:tc>
      </w:tr>
      <w:tr>
        <w:trPr>
          <w:trHeight w:val="232"/>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Class and Period</w:t>
            </w:r>
          </w:p>
        </w:tc>
        <w:tc>
          <w:tcPr>
            <w:tcW w:w="160" w:type="dxa"/>
            <w:vAlign w:val="bottom"/>
          </w:tcPr>
          <w:p>
            <w:pPr>
              <w:spacing w:after="0"/>
              <w:rPr>
                <w:sz w:val="20"/>
                <w:szCs w:val="20"/>
                <w:color w:val="auto"/>
              </w:rPr>
            </w:pPr>
          </w:p>
        </w:tc>
        <w:tc>
          <w:tcPr>
            <w:tcW w:w="1680" w:type="dxa"/>
            <w:vAlign w:val="bottom"/>
            <w:tcBorders>
              <w:bottom w:val="single" w:sz="8" w:color="auto"/>
            </w:tcBorders>
            <w:gridSpan w:val="2"/>
          </w:tcPr>
          <w:p>
            <w:pPr>
              <w:spacing w:after="0" w:line="232" w:lineRule="exact"/>
              <w:rPr>
                <w:sz w:val="20"/>
                <w:szCs w:val="20"/>
                <w:color w:val="auto"/>
              </w:rPr>
            </w:pPr>
            <w:r>
              <w:rPr>
                <w:rFonts w:ascii="Times New Roman" w:cs="Times New Roman" w:eastAsia="Times New Roman" w:hAnsi="Times New Roman"/>
                <w:sz w:val="16"/>
                <w:szCs w:val="16"/>
                <w:b w:val="1"/>
                <w:bCs w:val="1"/>
                <w:color w:val="auto"/>
                <w:w w:val="99"/>
              </w:rPr>
              <w:t>of Treasury Securities</w:t>
            </w:r>
            <w:r>
              <w:rPr>
                <w:rFonts w:ascii="Times New Roman" w:cs="Times New Roman" w:eastAsia="Times New Roman" w:hAnsi="Times New Roman"/>
                <w:sz w:val="21"/>
                <w:szCs w:val="21"/>
                <w:b w:val="1"/>
                <w:bCs w:val="1"/>
                <w:color w:val="auto"/>
                <w:w w:val="99"/>
                <w:vertAlign w:val="superscript"/>
              </w:rPr>
              <w:t>(1)</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19"/>
              <w:spacing w:after="0" w:line="232" w:lineRule="exact"/>
              <w:rPr>
                <w:sz w:val="20"/>
                <w:szCs w:val="20"/>
                <w:color w:val="auto"/>
              </w:rPr>
            </w:pPr>
            <w:r>
              <w:rPr>
                <w:rFonts w:ascii="Times New Roman" w:cs="Times New Roman" w:eastAsia="Times New Roman" w:hAnsi="Times New Roman"/>
                <w:sz w:val="16"/>
                <w:szCs w:val="16"/>
                <w:b w:val="1"/>
                <w:bCs w:val="1"/>
                <w:color w:val="auto"/>
              </w:rPr>
              <w:t>Unit</w:t>
            </w:r>
            <w:r>
              <w:rPr>
                <w:rFonts w:ascii="Times New Roman" w:cs="Times New Roman" w:eastAsia="Times New Roman" w:hAnsi="Times New Roman"/>
                <w:sz w:val="21"/>
                <w:szCs w:val="21"/>
                <w:b w:val="1"/>
                <w:bCs w:val="1"/>
                <w:color w:val="auto"/>
                <w:vertAlign w:val="superscript"/>
              </w:rPr>
              <w:t>(2)</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right"/>
              <w:ind w:right="19"/>
              <w:spacing w:after="0" w:line="232" w:lineRule="exact"/>
              <w:rPr>
                <w:sz w:val="20"/>
                <w:szCs w:val="20"/>
                <w:color w:val="auto"/>
              </w:rPr>
            </w:pPr>
            <w:r>
              <w:rPr>
                <w:rFonts w:ascii="Times New Roman" w:cs="Times New Roman" w:eastAsia="Times New Roman" w:hAnsi="Times New Roman"/>
                <w:sz w:val="16"/>
                <w:szCs w:val="16"/>
                <w:b w:val="1"/>
                <w:bCs w:val="1"/>
                <w:color w:val="auto"/>
              </w:rPr>
              <w:t>Preference Per Unit</w:t>
            </w:r>
            <w:r>
              <w:rPr>
                <w:rFonts w:ascii="Times New Roman" w:cs="Times New Roman" w:eastAsia="Times New Roman" w:hAnsi="Times New Roman"/>
                <w:sz w:val="21"/>
                <w:szCs w:val="21"/>
                <w:b w:val="1"/>
                <w:bCs w:val="1"/>
                <w:color w:val="auto"/>
                <w:vertAlign w:val="superscript"/>
              </w:rPr>
              <w:t>(3)</w:t>
            </w:r>
          </w:p>
        </w:tc>
        <w:tc>
          <w:tcPr>
            <w:tcW w:w="280" w:type="dxa"/>
            <w:vAlign w:val="bottom"/>
          </w:tcPr>
          <w:p>
            <w:pPr>
              <w:spacing w:after="0"/>
              <w:rPr>
                <w:sz w:val="20"/>
                <w:szCs w:val="20"/>
                <w:color w:val="auto"/>
              </w:rPr>
            </w:pPr>
          </w:p>
        </w:tc>
        <w:tc>
          <w:tcPr>
            <w:tcW w:w="176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3"/>
              </w:rPr>
              <w:t>Per Unit</w:t>
            </w:r>
            <w:r>
              <w:rPr>
                <w:rFonts w:ascii="Times New Roman" w:cs="Times New Roman" w:eastAsia="Times New Roman" w:hAnsi="Times New Roman"/>
                <w:sz w:val="21"/>
                <w:szCs w:val="21"/>
                <w:b w:val="1"/>
                <w:bCs w:val="1"/>
                <w:color w:val="auto"/>
                <w:w w:val="93"/>
                <w:vertAlign w:val="superscript"/>
              </w:rPr>
              <w:t>(4)</w:t>
            </w:r>
          </w:p>
        </w:tc>
      </w:tr>
      <w:tr>
        <w:trPr>
          <w:trHeight w:val="19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54,500,000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76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13,136</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76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6"/>
                <w:szCs w:val="16"/>
                <w:color w:val="auto"/>
              </w:rPr>
              <w:t>N/A</w:t>
            </w:r>
          </w:p>
        </w:tc>
      </w:tr>
    </w:tbl>
    <w:p>
      <w:pPr>
        <w:spacing w:after="0" w:line="193"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amount of each class of senior securities outstanding at the end of the period presented.</w:t>
      </w:r>
    </w:p>
    <w:p>
      <w:pPr>
        <w:spacing w:after="0" w:line="3" w:lineRule="exact"/>
        <w:rPr>
          <w:rFonts w:ascii="Times New Roman" w:cs="Times New Roman" w:eastAsia="Times New Roman" w:hAnsi="Times New Roman"/>
          <w:sz w:val="14"/>
          <w:szCs w:val="14"/>
          <w:color w:val="auto"/>
        </w:rPr>
      </w:pPr>
    </w:p>
    <w:p>
      <w:pPr>
        <w:ind w:firstLine="8"/>
        <w:spacing w:after="0" w:line="221" w:lineRule="auto"/>
        <w:tabs>
          <w:tab w:leader="none" w:pos="20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ind w:firstLine="8"/>
        <w:spacing w:after="0" w:line="221"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 because the senior securities are not registered for public trading.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investment advisory agreement between the Company and the Adviser (the “Investment Advisory Agreement”), fees payable to the Adviser are equal to (a) a base management fee of 1.75% of the average value of the Company’s gross assets at the end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two most recent quarters (i.e., total assets held before deduction of any liabilities), which includes investments acquired with the use of leverage and excludes cash and cash equivalents and (b) an incentive fee based on the Company’s performance.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the Adviser if the Company’s entire investment portfolio was liquidated at its fair value as of the balance sheet date even though the Adviser is not entitled to an Incentive Fee on Capital Gains with respect to unrealized capital appreciation unless and until such gains are actually realized.</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fee is payable quarterly in arrears. For the three months ended March 31, 2026 and 2025, the Company incurred management fee expenses of $1,529,359 and $1,260,875, respectively. As of March 31, 2026 and December 31, 2025, $1,529,360 and $1,446,470, respectively, remained payable.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incurred income-based incentive fee expenses of $2,457,289 and $1,916,277, respectively. As of March 31, 2026 and December 31, 2025, $2,457,290 and $2,073,319, respectively, remained payable.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 incurred capital gains incentive fee expenses of $(163,473) and $(6,813),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$0 and $163,473, respectively, remained payable.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Affiliates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defined in the Investment Company Act, an investment is deemed to be a “controlled affiliated person” of the Fund because the Fund owns, either directly or indirectly, 25% or more of the portfolio company’s outstanding voting securities or has the power to exercise control over management or policies of such portfolio company. As defined in the Investment Company Act an investment is deemed to be an “affiliated person” of the Fund because the Fund owns, either directly or indirectly, 5% or more of the portfolio company’s outstanding voting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Fund’s affiliated investments: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Net Change in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22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Interest, PIK</w:t>
            </w: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5"/>
                <w:szCs w:val="15"/>
                <w:color w:val="auto"/>
              </w:rPr>
            </w:pPr>
          </w:p>
        </w:tc>
        <w:tc>
          <w:tcPr>
            <w:tcW w:w="100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Net Realized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and</w:t>
            </w:r>
          </w:p>
        </w:tc>
      </w:tr>
      <w:tr>
        <w:trPr>
          <w:trHeight w:val="246"/>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Additions</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Reductions</w:t>
            </w:r>
            <w:r>
              <w:rPr>
                <w:rFonts w:ascii="Times New Roman" w:cs="Times New Roman" w:eastAsia="Times New Roman" w:hAnsi="Times New Roman"/>
                <w:sz w:val="21"/>
                <w:szCs w:val="21"/>
                <w:b w:val="1"/>
                <w:bCs w:val="1"/>
                <w:color w:val="auto"/>
                <w:vertAlign w:val="superscript"/>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Gain/Loss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20" w:type="dxa"/>
            <w:vAlign w:val="bottom"/>
          </w:tcPr>
          <w:p>
            <w:pPr>
              <w:spacing w:after="0"/>
              <w:rPr>
                <w:sz w:val="21"/>
                <w:szCs w:val="21"/>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Other Income</w:t>
            </w:r>
          </w:p>
        </w:tc>
      </w:tr>
      <w:tr>
        <w:trPr>
          <w:trHeight w:val="180"/>
        </w:trPr>
        <w:tc>
          <w:tcPr>
            <w:tcW w:w="22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Non-controlled affiliates</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 Acquisition Vehicle LLC</w:t>
            </w:r>
          </w:p>
        </w:tc>
        <w:tc>
          <w:tcPr>
            <w:tcW w:w="11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16,310,311</w:t>
            </w:r>
          </w:p>
        </w:tc>
        <w:tc>
          <w:tcPr>
            <w:tcW w:w="12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1,060,170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17,370,481</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825,144</w:t>
            </w:r>
          </w:p>
        </w:tc>
        <w:tc>
          <w:tcPr>
            <w:tcW w:w="10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non-controlled affiliates</w:t>
            </w:r>
          </w:p>
        </w:tc>
        <w:tc>
          <w:tcPr>
            <w:tcW w:w="110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b w:val="1"/>
                <w:bCs w:val="1"/>
                <w:color w:val="auto"/>
                <w:w w:val="99"/>
              </w:rPr>
              <w:t>16,310,311</w:t>
            </w:r>
          </w:p>
        </w:tc>
        <w:tc>
          <w:tcPr>
            <w:tcW w:w="12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1,060,170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17,370,481</w:t>
            </w:r>
          </w:p>
        </w:tc>
        <w:tc>
          <w:tcPr>
            <w:tcW w:w="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825,144</w:t>
            </w:r>
          </w:p>
        </w:tc>
        <w:tc>
          <w:tcPr>
            <w:tcW w:w="100" w:type="dxa"/>
            <w:vAlign w:val="bottom"/>
            <w:shd w:val="clear" w:color="auto" w:fill="CFF0FC"/>
          </w:tcPr>
          <w:p>
            <w:pPr>
              <w:spacing w:after="0"/>
              <w:rPr>
                <w:sz w:val="17"/>
                <w:szCs w:val="17"/>
                <w:color w:val="auto"/>
              </w:rPr>
            </w:pPr>
          </w:p>
        </w:tc>
      </w:tr>
    </w:tbl>
    <w:p>
      <w:pPr>
        <w:spacing w:after="0" w:line="180" w:lineRule="exact"/>
        <w:rPr>
          <w:sz w:val="20"/>
          <w:szCs w:val="20"/>
          <w:color w:val="auto"/>
        </w:rPr>
      </w:pPr>
    </w:p>
    <w:p>
      <w:pPr>
        <w:ind w:firstLine="8"/>
        <w:spacing w:after="0" w:line="233" w:lineRule="auto"/>
        <w:tabs>
          <w:tab w:leader="none" w:pos="22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may include increases in the cost basis of investments resulting from new portfolio investments, PIK, the accretion of discounts, the exchange of one or more existing securities for one or more new securities and the movement of an existing portfolio company into this category from a different category.</w:t>
      </w:r>
    </w:p>
    <w:p>
      <w:pPr>
        <w:ind w:firstLine="8"/>
        <w:spacing w:after="0" w:line="239" w:lineRule="auto"/>
        <w:tabs>
          <w:tab w:leader="none" w:pos="21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may include decreases in the cost basis of investments resulting from principal collections related to investment repayments or sales, the exchange of one or more existing securities for one or more new securities and the movement of an existing portfolio company out of this category into a different category.</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2026 the borrower, CO Acquisition Vehicle LLC (“COAV”), was acquired by an affiliate of the Company as part of an asset acquisition of cannabis assets. An officer and board member of the acquirer’s parent company is also a beneficial owner of the Adviser, but does not currently participate in the investment decisions related to COAV. The Company does not control COAV, and the terms of the Company's investment were not modified in connection with the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Limitation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2024, the Company and the Adviser entered into an expense limitation agreement (the “Expense Limitation Agreement”) pursuant to which the Adviser agreed to cap the Company’s operating expenses (excluding base management fees, incentive fees, expenses related to the Loan Portfolio Acquisition, and litigation and indemnification expenses) at an annualized rate of 2.15% of the Company’s net assets through the period ended September 30, 2025.</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 Limitation Agreement expired in accordance with its terms on September 30, 2025 and was not renewed.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$0 and $316,000, respectively, of the Company’s operating expenses were waived by the Adviser pursuant to the Expense Limitation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administration agreement between the Company and the Adviser (the “Administration Agreement”), the Company is to reimburse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SS&amp;C, the sub-administrator. The Company is generally not responsible for the compensation of the Adviser’s employees or any overhead expenses. However, the Company may reimburse the Adviser for an allocable portion of the compensation paid by the Adviser to its Chief Compliance Officer ("CCO") and Chief Financial Officer ("CFO") and their respective staffs (based on a percentage of time such individuals devote, on an estimated basis, to our business affairs).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entered into a license agreement with the Adviser pursuant to which the Adviser has agreed to grant the Company a nonexclusive, royalty-free license to use the name “Chicago Atlantic.” Under this agreement, the Company will have a right to use the “Chicago Atlantic” name, for so long as the Adviser or one of its affiliates remains the Company’s investment adviser. Other than with respect to this limited license, the Company will have no legal right to the “Chicago Atlantic” name.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Fees &amp;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related parties fees and expenses incurred by the Company for the three months ended March 31,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20" w:type="dxa"/>
            <w:vAlign w:val="bottom"/>
            <w:gridSpan w:val="5"/>
          </w:tcPr>
          <w:p>
            <w:pPr>
              <w:jc w:val="right"/>
              <w:ind w:right="15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2"/>
        </w:trPr>
        <w:tc>
          <w:tcPr>
            <w:tcW w:w="6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r>
      <w:tr>
        <w:trPr>
          <w:trHeight w:val="19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Affiliate Payments</w:t>
            </w:r>
          </w:p>
        </w:tc>
        <w:tc>
          <w:tcPr>
            <w:tcW w:w="340" w:type="dxa"/>
            <w:vAlign w:val="bottom"/>
            <w:tcBorders>
              <w:top w:val="single" w:sz="8" w:color="auto"/>
            </w:tcBorders>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2,457,289</w:t>
            </w:r>
          </w:p>
        </w:tc>
        <w:tc>
          <w:tcPr>
            <w:tcW w:w="34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1,916,277</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fee</w:t>
            </w: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1,529,359</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1,260,875</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340" w:type="dxa"/>
            <w:vAlign w:val="bottom"/>
          </w:tcPr>
          <w:p>
            <w:pPr>
              <w:spacing w:after="0"/>
              <w:rPr>
                <w:sz w:val="17"/>
                <w:szCs w:val="17"/>
                <w:color w:val="auto"/>
              </w:rPr>
            </w:pP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(163,473)</w:t>
            </w:r>
          </w:p>
        </w:tc>
        <w:tc>
          <w:tcPr>
            <w:tcW w:w="320" w:type="dxa"/>
            <w:vAlign w:val="bottom"/>
          </w:tcPr>
          <w:p>
            <w:pPr>
              <w:spacing w:after="0"/>
              <w:rPr>
                <w:sz w:val="17"/>
                <w:szCs w:val="17"/>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(6,813)</w:t>
            </w:r>
          </w:p>
        </w:tc>
      </w:tr>
      <w:tr>
        <w:trPr>
          <w:trHeight w:val="196"/>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management and incentive fees earned</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3,823,175</w:t>
            </w:r>
          </w:p>
        </w:tc>
        <w:tc>
          <w:tcPr>
            <w:tcW w:w="3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3,170,339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1,212,784</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974,477</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 limitation agreement</w:t>
            </w: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(316,000)</w:t>
            </w: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 waiver</w:t>
            </w:r>
          </w:p>
        </w:tc>
        <w:tc>
          <w:tcPr>
            <w:tcW w:w="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(658,477)</w:t>
            </w:r>
          </w:p>
        </w:tc>
      </w:tr>
      <w:tr>
        <w:trPr>
          <w:trHeight w:val="196"/>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 reimbursable to the Adviser</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1,212,784</w:t>
            </w:r>
          </w:p>
        </w:tc>
        <w:tc>
          <w:tcPr>
            <w:tcW w:w="3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affiliate payments</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5,035,959</w:t>
            </w:r>
          </w:p>
        </w:tc>
        <w:tc>
          <w:tcPr>
            <w:tcW w:w="34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3,170,339</w:t>
            </w:r>
          </w:p>
        </w:tc>
        <w:tc>
          <w:tcPr>
            <w:tcW w:w="100" w:type="dxa"/>
            <w:vAlign w:val="bottom"/>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-694055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-694055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-162560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administrative expenses reimbursable to the Adviser are included in due to affiliates on the accompanying Statements of Assets and Liabilities as of March 31, 2026 and December 31, 2025. Due to affiliates as of March 31, 2026 was $1,359,256, of which $1,212,784 and $146,472, represented general and administrative expenses reimbursable to the Adviser and amounts due to Chicago Atlantic Admin, LLC, respectively. Total amounts payable to the Adviser and its affiliates as of December 31, 2025 were $1,311,604, of which $1,210,993 and $100,611, represented general and administrative expenses reimbursable to the Adviser and amounts due to Chicago Atlantic Admin, LLC, respectively.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Adviser voluntarily and irrevocably waived approximately $0 and $658,477, respectively, of general and administrative expenses incurred by the Adviser that would have otherwise been reimbursed and payable by the Company. The expenses waived for the three months ended March 31, 2025 are not subject to recoupment by the Adviser or future reimbursement by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Affiliated Loan Administrative and Collateral Agents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Chicago Atlantic Admin, LLC and Chicago Atlantic Financial Services, LLC (the “Loan Administrators”), serve as loan administrators and collateral agents for certain loans within the Company’s investment portfolio. Among other customary responsibilities as described in each respective loan document, the Loan Administrators are responsible for: (a) the collection of interest, loan fees, and principal</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from portfolio companies, and (b) the subsequent disbursement of the allocable portion of such collections to the lender(s), including the Company. The Loan Administrators are wholly-owned subsidiaries of Chicago Atlantic Group, LP.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Administrators allocated fees to the Company amounting to $434,243 and $81,057, recorded as Fee Income by the Company for the three months ended March 31, 2026 and 2025, respectively.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Loan Administrators allocated PIK to the Company amounting to $20,875 and $7,555, recorded as PIK income by the Company for the three months ended March 31, 2026 and 2025,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principal payments from our portfolio companies which were received by the Loan Administrators prior to March 31, 2026, but which were not remitted to the Company until after March 31, 2026, are included in due from affiliates on the Statements of Assets and Liabilities. As of March 31, 2026, the due from affiliates balance of $152,958 consists of $57,762 and $95,196 in interest and principal payments receivable, respectively. The amounts due from affiliates as of March 31, 2026 were collected in April 2026.</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principal payments from our portfolio companies which were received by the Loan Administrators prior to December 31, 2025, but which were not remitted to the Company until after December 31, 2025, are included in due from affiliates on the Statements of Assets and Liabilities. As of December 31, 2025, the due from affiliates balance of $1,804,032 consists of $1,249,998 and $554,034 in interest and principal payments receivable, respectively. The amounts due from affiliates as of December 31, 2025 were collected in January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Co-Investments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Company’s co-investment exemptive order and the Adviser’s co-investment allocation policies. The Company is not obligated to provide, nor has it provided, any financial support to the other managed investment vehicles. As such, the Company’s risk is limited to the carrying value of its investment in any such co-investment. As of March 31, 2026 and December 31, 2025, $321,235,525 and $280,731,131, respectively, of the Company’s investments were co-investments with affiliates of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Adviser was the seed investor of the Company and provided initial funding to the Company by purchasing approximately 4.5 million shares of the Company’s common stock in the Company’s initial public offering. The Adviser provided this “seed capital” to the Company for the purpose of facilitating the launch and initial operation of the Company, as opposed to for long term investment purposes. Since the Company’s initial public offering, the Adviser has transferred a substantial portion of these shares to its members and other recipients and as of March 31, 2026, held approximately 2.9 million shares of the Company’s common stock. The Adviser does not expect to hold the Company’s common stock indefinitely, and may sell the Company’s common stock, or distribute the Company’s common stock to its members (who may, in turn, sell the Company’s common stock subject to certain holding period requirements), at a future point in time. In order for the Adviser’s sales of the shares of the Company not to be deemed to have been made “on the basis of” material nonpublic information, such sales may be made pursuant to a pre-approved trading plan that complies with Rule 10b5-1 under the Exchange Act and that may obligate the Adviser to make recurring sales of the Company’s common stock on a periodic basis. Sales of substantial amounts of the Company’s common stock, including by the Adviser, its members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Adviser and its affiliates held approximately 14% of the Company’s voting stock and have the ability to exert influence over all corporate actions requiring stockholder approval, including the election and removal of directors, certain amendments of the Company’s charter, the Company’s ability to issue its common stock at a price below net asset value per share, and the approval of any merger or other extraordinary corporate action.</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Adviser and certain related parties received dividend distributions from the Company relating to their shares held. Refer to “Note 8 – Common Stock” for further details on the Company’s distributions declared.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commitments and contingencies include unfunded commitments to extend credit, typically in the form of delayed draw term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includes only those commitments that are available at the request of the portfolio company and are unencumbered by milestones or additional lending provisions. As of March 31, 2026 and December 31, 2025, the Company had the following unfunded commitments on existing loans: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5"/>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r>
      <w:tr>
        <w:trPr>
          <w:trHeight w:val="19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Unfunded delayed draw loan commitments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13,685,714</w:t>
            </w:r>
          </w:p>
        </w:tc>
        <w:tc>
          <w:tcPr>
            <w:tcW w:w="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16,319,048</w:t>
            </w:r>
          </w:p>
        </w:tc>
        <w:tc>
          <w:tcPr>
            <w:tcW w:w="12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Undrawn revolver commitments</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8,333,333</w:t>
            </w:r>
          </w:p>
        </w:tc>
        <w:tc>
          <w:tcPr>
            <w:tcW w:w="120" w:type="dxa"/>
            <w:vAlign w:val="bottom"/>
          </w:tcPr>
          <w:p>
            <w:pPr>
              <w:spacing w:after="0"/>
              <w:rPr>
                <w:sz w:val="17"/>
                <w:szCs w:val="17"/>
                <w:color w:val="auto"/>
              </w:rPr>
            </w:pPr>
          </w:p>
        </w:tc>
      </w:tr>
      <w:tr>
        <w:trPr>
          <w:trHeight w:val="19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unfunded commitments</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13,685,714</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24,652,381</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have any other off-balance sheet commitments or liabilities as of March 31, 2026 or December 31, 2025. The Company will fund its unfunded commitments, if any, from the same sources it uses to fund its investment commitments that are funded at the time they are made (which are typically through existing cash and Revolving Line of Credit) and maintains adequate liquidity to fund its unfunded commitments through these 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As of March 31, 2026, there were no material legal matters or material litigation pending of which the Company is aware.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100,000,000 shares of $0.01 par value common stock were authorized.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 Acquisition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Loan Portfolio Acquisition, pursuant to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by the Company during the three months ended March 31,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80" w:type="dxa"/>
            <w:vAlign w:val="bottom"/>
          </w:tcPr>
          <w:p>
            <w:pPr>
              <w:spacing w:after="0"/>
              <w:rPr>
                <w:sz w:val="18"/>
                <w:szCs w:val="18"/>
                <w:color w:val="auto"/>
              </w:rPr>
            </w:pPr>
          </w:p>
        </w:tc>
        <w:tc>
          <w:tcPr>
            <w:tcW w:w="1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Per Share Amount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00" w:type="dxa"/>
            <w:vAlign w:val="bottom"/>
          </w:tcPr>
          <w:p>
            <w:pPr>
              <w:spacing w:after="0"/>
              <w:rPr>
                <w:sz w:val="18"/>
                <w:szCs w:val="18"/>
                <w:color w:val="auto"/>
              </w:rPr>
            </w:pPr>
          </w:p>
        </w:tc>
      </w:tr>
      <w:tr>
        <w:trPr>
          <w:trHeight w:val="199"/>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18, 2026</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30, 2026</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April 14, 2026</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and paid by the Company during the three months ended March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80" w:type="dxa"/>
            <w:vAlign w:val="bottom"/>
          </w:tcPr>
          <w:p>
            <w:pPr>
              <w:spacing w:after="0"/>
              <w:rPr>
                <w:sz w:val="18"/>
                <w:szCs w:val="18"/>
                <w:color w:val="auto"/>
              </w:rPr>
            </w:pPr>
          </w:p>
        </w:tc>
        <w:tc>
          <w:tcPr>
            <w:tcW w:w="1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Per Share Amount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00" w:type="dxa"/>
            <w:vAlign w:val="bottom"/>
          </w:tcPr>
          <w:p>
            <w:pPr>
              <w:spacing w:after="0"/>
              <w:rPr>
                <w:sz w:val="18"/>
                <w:szCs w:val="18"/>
                <w:color w:val="auto"/>
              </w:rPr>
            </w:pPr>
          </w:p>
        </w:tc>
      </w:tr>
      <w:tr>
        <w:trPr>
          <w:trHeight w:val="199"/>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April 11, 2025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7,758,931</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December 31, 2025, the Company operated an “opt out” Dividend Reinvestment Plan (“DRIP”) for its stockholders. As a result, if the Company declared a dividend, then stockholders’ cash distributions were automatically reinvested in additional shares of the Company’s common stock, unless they specifically chose to “opt out” of the DRIP so as to receive cash distributions. Stockholders who received distributions in the form of shares of the Company’s common stock generally were subject to the same U.S. federal income tax consequences as were stockholders who elected to receive their distributions in cash. On November 26, 2025, in accordance with the terms of the DRIP and by unanimous written consent of the Company’s Board, the DRIP was terminated with an effective date of December 31, 2025. Following the termination of the DRIP, all cash dividends or distributions on the Company’s common stock with a record date for payment after December 31, 2025 will be paid in cash rather than in shares of the Company’s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issued no shares of common stock under the DRIP.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INDEMNIFICATION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weighted average basic and diluted net increase (decrease) in net assets per share resulting from operations for the three months ended March 31, 2026 and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2"/>
        </w:trPr>
        <w:tc>
          <w:tcPr>
            <w:tcW w:w="76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00" w:type="dxa"/>
            <w:vAlign w:val="bottom"/>
          </w:tcPr>
          <w:p>
            <w:pPr>
              <w:spacing w:after="0"/>
              <w:rPr>
                <w:sz w:val="17"/>
                <w:szCs w:val="17"/>
                <w:color w:val="auto"/>
              </w:rPr>
            </w:pP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8,535,388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7,614,357</w:t>
            </w:r>
          </w:p>
        </w:tc>
        <w:tc>
          <w:tcPr>
            <w:tcW w:w="30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22,820,590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22,820,386</w:t>
            </w:r>
          </w:p>
        </w:tc>
        <w:tc>
          <w:tcPr>
            <w:tcW w:w="30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 per share -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300" w:type="dxa"/>
            <w:vAlign w:val="bottom"/>
            <w:shd w:val="clear" w:color="auto" w:fill="CFF0FC"/>
          </w:tcPr>
          <w:p>
            <w:pPr>
              <w:spacing w:after="0"/>
              <w:rPr>
                <w:sz w:val="17"/>
                <w:szCs w:val="17"/>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 tax year end of March 31 and elected to be treated as a RIC for U.S. federal income tax purposes under Subchapter M of the Code. However, there is no guarantee that the Company will qualify to maintain its RIC status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Board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and sources of distributions reported are only estimates and are not being provided for U.S. federal income tax reporting purposes. The timing and character of distributions for U.S. federal income tax purposes will be determined in accordance with the U.S. federal tax rules which may differ from U.S. GAAP. The final determination of the source of all distributions in 2025 will be made after the tax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federal income tax regulations differ from U.S. GAAP, distributions in accordance with tax regulations may differ from net investment income (loss)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 The Company had not recorded a liability for any uncertain tax positions pursuant to the provisions of ASC 740 as of March 31, 2026 and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normal course of business, the Company is subject to examination by federal and certain state and local tax regulators.</w:t>
      </w:r>
    </w:p>
    <w:p>
      <w:pPr>
        <w:spacing w:after="0" w:line="18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As of March 31, 2026, the Company’s most recent tax year end, the Company had a net short-term capital loss carryforward of $827,127 and a net long-term capital loss carryforward of $427,162, each of which may be carried forward for an indefinite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taxable income for each period is an estimate and will not be finally determined until the Company files its tax return for each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final taxable income earned in each year and carried forward for distribution in the following year may be different than this estimate.</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tax years ended March 31, 2026 and March 31, 2025, the Company reclassified for book purposes amounts arising from permanent book to tax differences primarily related to non-deductible excise tax paid.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r>
      <w:tr>
        <w:trPr>
          <w:trHeight w:val="19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(decrease) in additional paid in capital</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(75,136)</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(120,003)</w:t>
            </w: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distributable earnings (accumulated loss)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120,003</w:t>
            </w:r>
          </w:p>
        </w:tc>
        <w:tc>
          <w:tcPr>
            <w:tcW w:w="100" w:type="dxa"/>
            <w:vAlign w:val="bottom"/>
          </w:tcPr>
          <w:p>
            <w:pPr>
              <w:spacing w:after="0"/>
              <w:rPr>
                <w:sz w:val="18"/>
                <w:szCs w:val="18"/>
                <w:color w:val="auto"/>
              </w:rPr>
            </w:pP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income tax purposes, distributions paid to shareholders are reported as ordinary income, return of capital, long-term capital gains, or a combination thereof. The tax character of distributions paid for the tax years ended March 31, 2026, and March 31, 2025,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tax period from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tax year from</w:t>
            </w:r>
          </w:p>
        </w:tc>
      </w:tr>
      <w:tr>
        <w:trPr>
          <w:trHeight w:val="203"/>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April 1, 2025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April 1, 2024</w:t>
            </w:r>
          </w:p>
        </w:tc>
      </w:tr>
      <w:tr>
        <w:trPr>
          <w:trHeight w:val="215"/>
        </w:trPr>
        <w:tc>
          <w:tcPr>
            <w:tcW w:w="7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through March 31, 2026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through March 31, 2025</w:t>
            </w:r>
          </w:p>
        </w:tc>
        <w:tc>
          <w:tcPr>
            <w:tcW w:w="100" w:type="dxa"/>
            <w:vAlign w:val="bottom"/>
          </w:tcPr>
          <w:p>
            <w:pPr>
              <w:spacing w:after="0"/>
              <w:rPr>
                <w:sz w:val="18"/>
                <w:szCs w:val="18"/>
                <w:color w:val="auto"/>
              </w:rPr>
            </w:pPr>
          </w:p>
        </w:tc>
      </w:tr>
      <w:tr>
        <w:trPr>
          <w:trHeight w:val="19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Ordinary income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31,035,942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18,625,335</w:t>
            </w:r>
          </w:p>
        </w:tc>
        <w:tc>
          <w:tcPr>
            <w:tcW w:w="10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Long-term Capital Gain</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Return of Capital</w:t>
            </w:r>
          </w:p>
        </w:tc>
        <w:tc>
          <w:tcPr>
            <w:tcW w:w="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Total Distributions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31,035,942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18,625,335</w:t>
            </w:r>
          </w:p>
        </w:tc>
        <w:tc>
          <w:tcPr>
            <w:tcW w:w="10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-162560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March 31, 2025,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distributions payable.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Undistributed ordinary income</w:t>
            </w: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11,829,656</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9,344,744</w:t>
            </w:r>
          </w:p>
        </w:tc>
        <w:tc>
          <w:tcPr>
            <w:tcW w:w="10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appreciation (depreciation) on investments</w:t>
            </w:r>
          </w:p>
        </w:tc>
        <w:tc>
          <w:tcPr>
            <w:tcW w:w="220" w:type="dxa"/>
            <w:vAlign w:val="bottom"/>
          </w:tcPr>
          <w:p>
            <w:pPr>
              <w:spacing w:after="0"/>
              <w:rPr>
                <w:sz w:val="17"/>
                <w:szCs w:val="17"/>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(1,632,944)</w:t>
            </w:r>
          </w:p>
        </w:tc>
        <w:tc>
          <w:tcPr>
            <w:tcW w:w="24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(3,210,239)</w:t>
            </w:r>
          </w:p>
        </w:tc>
      </w:tr>
      <w:tr>
        <w:trPr>
          <w:trHeight w:val="203"/>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Gain/(Loss) Carry Forwards</w:t>
            </w:r>
          </w:p>
        </w:tc>
        <w:tc>
          <w:tcPr>
            <w:tcW w:w="22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(1,254,289)</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(285,250)</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Other temporary differences</w:t>
            </w:r>
          </w:p>
        </w:tc>
        <w:tc>
          <w:tcPr>
            <w:tcW w:w="220" w:type="dxa"/>
            <w:vAlign w:val="bottom"/>
          </w:tcPr>
          <w:p>
            <w:pPr>
              <w:spacing w:after="0"/>
              <w:rPr>
                <w:sz w:val="17"/>
                <w:szCs w:val="17"/>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(8,065,250)</w:t>
            </w:r>
          </w:p>
        </w:tc>
        <w:tc>
          <w:tcPr>
            <w:tcW w:w="24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(8,211,487)</w:t>
            </w:r>
          </w:p>
        </w:tc>
      </w:tr>
      <w:tr>
        <w:trPr>
          <w:trHeight w:val="20"/>
        </w:trPr>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877,173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(2,362,232)</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cost basis and the estimated aggregate gross unrealized appreciation and depreciation from investments and cash equivalents for federal income tax purposes as of March 31, 2026 and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r>
      <w:tr>
        <w:trPr>
          <w:trHeight w:val="19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cost of investments and cash equivalents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365,599,657</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332,209,170</w:t>
            </w:r>
          </w:p>
        </w:tc>
        <w:tc>
          <w:tcPr>
            <w:tcW w:w="120" w:type="dxa"/>
            <w:vAlign w:val="bottom"/>
            <w:shd w:val="clear" w:color="auto" w:fill="CFF0FC"/>
          </w:tcPr>
          <w:p>
            <w:pPr>
              <w:spacing w:after="0"/>
              <w:rPr>
                <w:sz w:val="17"/>
                <w:szCs w:val="17"/>
                <w:color w:val="auto"/>
              </w:rPr>
            </w:pPr>
          </w:p>
        </w:tc>
      </w:tr>
      <w:tr>
        <w:trPr>
          <w:trHeight w:val="20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Unrealized appreciation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1,859,220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1,852,518</w:t>
            </w:r>
          </w:p>
        </w:tc>
        <w:tc>
          <w:tcPr>
            <w:tcW w:w="120" w:type="dxa"/>
            <w:vAlign w:val="bottom"/>
          </w:tcPr>
          <w:p>
            <w:pPr>
              <w:spacing w:after="0"/>
              <w:rPr>
                <w:sz w:val="17"/>
                <w:szCs w:val="17"/>
                <w:color w:val="auto"/>
              </w:rPr>
            </w:pPr>
          </w:p>
        </w:tc>
      </w:tr>
      <w:tr>
        <w:trPr>
          <w:trHeight w:val="20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depreciation</w:t>
            </w: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(3,492,164)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(4,813,014)</w:t>
            </w:r>
          </w:p>
        </w:tc>
      </w:tr>
      <w:tr>
        <w:trPr>
          <w:trHeight w:val="20"/>
        </w:trPr>
        <w:tc>
          <w:tcPr>
            <w:tcW w:w="706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appreciation (depreciation) from investments and cash equivalents</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(1,632,944)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(2,960,496)</w:t>
            </w:r>
          </w:p>
        </w:tc>
      </w:tr>
      <w:tr>
        <w:trPr>
          <w:trHeight w:val="20"/>
        </w:trPr>
        <w:tc>
          <w:tcPr>
            <w:tcW w:w="706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-162560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HIGHLIGHTS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financial highlights for the three months ended March 31,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0" w:type="dxa"/>
            <w:vAlign w:val="bottom"/>
            <w:gridSpan w:val="5"/>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8"/>
                <w:szCs w:val="18"/>
                <w:color w:val="auto"/>
              </w:rPr>
            </w:pPr>
          </w:p>
        </w:tc>
      </w:tr>
      <w:tr>
        <w:trPr>
          <w:trHeight w:val="202"/>
        </w:trPr>
        <w:tc>
          <w:tcPr>
            <w:tcW w:w="69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6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151"/>
        </w:trPr>
        <w:tc>
          <w:tcPr>
            <w:tcW w:w="6980" w:type="dxa"/>
            <w:vAlign w:val="bottom"/>
          </w:tcPr>
          <w:p>
            <w:pPr>
              <w:spacing w:after="0" w:line="151" w:lineRule="exact"/>
              <w:rPr>
                <w:sz w:val="20"/>
                <w:szCs w:val="20"/>
                <w:color w:val="auto"/>
              </w:rPr>
            </w:pPr>
            <w:r>
              <w:rPr>
                <w:rFonts w:ascii="Times New Roman" w:cs="Times New Roman" w:eastAsia="Times New Roman" w:hAnsi="Times New Roman"/>
                <w:sz w:val="16"/>
                <w:szCs w:val="16"/>
                <w:color w:val="auto"/>
              </w:rPr>
              <w:t>Net asset value at beginning of period</w:t>
            </w:r>
          </w:p>
        </w:tc>
        <w:tc>
          <w:tcPr>
            <w:tcW w:w="260" w:type="dxa"/>
            <w:vAlign w:val="bottom"/>
          </w:tcPr>
          <w:p>
            <w:pPr>
              <w:jc w:val="right"/>
              <w:ind w:right="99"/>
              <w:spacing w:after="0" w:line="151" w:lineRule="exact"/>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line="151" w:lineRule="exact"/>
              <w:rPr>
                <w:sz w:val="20"/>
                <w:szCs w:val="20"/>
                <w:color w:val="auto"/>
              </w:rPr>
            </w:pPr>
            <w:r>
              <w:rPr>
                <w:rFonts w:ascii="Times New Roman" w:cs="Times New Roman" w:eastAsia="Times New Roman" w:hAnsi="Times New Roman"/>
                <w:sz w:val="16"/>
                <w:szCs w:val="16"/>
                <w:color w:val="auto"/>
              </w:rPr>
              <w:t>13.30</w:t>
            </w:r>
          </w:p>
        </w:tc>
        <w:tc>
          <w:tcPr>
            <w:tcW w:w="320" w:type="dxa"/>
            <w:vAlign w:val="bottom"/>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line="151" w:lineRule="exact"/>
              <w:rPr>
                <w:sz w:val="20"/>
                <w:szCs w:val="20"/>
                <w:color w:val="auto"/>
              </w:rPr>
            </w:pPr>
            <w:r>
              <w:rPr>
                <w:rFonts w:ascii="Times New Roman" w:cs="Times New Roman" w:eastAsia="Times New Roman" w:hAnsi="Times New Roman"/>
                <w:sz w:val="16"/>
                <w:szCs w:val="16"/>
                <w:color w:val="auto"/>
              </w:rPr>
              <w:t>13.20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6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investment income (loss)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698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 xml:space="preserve">Net realized and unrealized gains/(losses) on investments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0"/>
                <w:szCs w:val="20"/>
                <w:color w:val="auto"/>
              </w:rPr>
            </w:pP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tcPr>
          <w:p>
            <w:pPr>
              <w:spacing w:after="0"/>
              <w:rPr>
                <w:sz w:val="20"/>
                <w:szCs w:val="20"/>
                <w:color w:val="auto"/>
              </w:rPr>
            </w:pPr>
          </w:p>
        </w:tc>
      </w:tr>
      <w:tr>
        <w:trPr>
          <w:trHeight w:val="196"/>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5"/>
                <w:szCs w:val="15"/>
                <w:color w:val="auto"/>
              </w:rPr>
              <w:t xml:space="preserve">Net increase/(decrease) in net assets resulting from operations </w:t>
            </w:r>
            <w:r>
              <w:rPr>
                <w:rFonts w:ascii="Times New Roman" w:cs="Times New Roman" w:eastAsia="Times New Roman" w:hAnsi="Times New Roman"/>
                <w:sz w:val="22"/>
                <w:szCs w:val="22"/>
                <w:color w:val="auto"/>
                <w:vertAlign w:val="superscript"/>
              </w:rPr>
              <w:t>(1)</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spacing w:after="0" w:line="196" w:lineRule="exact"/>
              <w:rPr>
                <w:sz w:val="20"/>
                <w:szCs w:val="20"/>
                <w:color w:val="auto"/>
              </w:rPr>
            </w:pPr>
            <w:r>
              <w:rPr>
                <w:rFonts w:ascii="Times New Roman" w:cs="Times New Roman" w:eastAsia="Times New Roman" w:hAnsi="Times New Roman"/>
                <w:sz w:val="15"/>
                <w:szCs w:val="15"/>
                <w:color w:val="auto"/>
              </w:rPr>
              <w:t xml:space="preserve">Distributions from net investment income (loss) </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7"/>
                <w:szCs w:val="17"/>
                <w:color w:val="auto"/>
              </w:rPr>
            </w:pP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(0.34)</w:t>
            </w:r>
          </w:p>
        </w:tc>
        <w:tc>
          <w:tcPr>
            <w:tcW w:w="14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(0.34)</w:t>
            </w:r>
          </w:p>
        </w:tc>
        <w:tc>
          <w:tcPr>
            <w:tcW w:w="200" w:type="dxa"/>
            <w:vAlign w:val="bottom"/>
          </w:tcPr>
          <w:p>
            <w:pPr>
              <w:spacing w:after="0"/>
              <w:rPr>
                <w:sz w:val="17"/>
                <w:szCs w:val="17"/>
                <w:color w:val="auto"/>
              </w:rPr>
            </w:pPr>
          </w:p>
        </w:tc>
      </w:tr>
      <w:tr>
        <w:trPr>
          <w:trHeight w:val="23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304,184,461</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301,018,004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26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22,820,590</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22,820,386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net assets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303,416,606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301,160,972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45"/>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69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7"/>
                <w:szCs w:val="17"/>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(9.58)%</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0" w:type="dxa"/>
            <w:vAlign w:val="bottom"/>
          </w:tcPr>
          <w:p>
            <w:pPr>
              <w:spacing w:after="0"/>
              <w:rPr>
                <w:sz w:val="17"/>
                <w:szCs w:val="17"/>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w w:val="85"/>
              </w:rPr>
              <w:t>(4)</w:t>
            </w:r>
          </w:p>
        </w:tc>
      </w:tr>
      <w:tr>
        <w:trPr>
          <w:trHeight w:val="254"/>
        </w:trPr>
        <w:tc>
          <w:tcPr>
            <w:tcW w:w="6980" w:type="dxa"/>
            <w:vAlign w:val="bottom"/>
          </w:tcPr>
          <w:p>
            <w:pPr>
              <w:spacing w:after="0" w:line="255" w:lineRule="exact"/>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4"/>
                <w:szCs w:val="24"/>
                <w:color w:val="auto"/>
                <w:vertAlign w:val="superscript"/>
              </w:rPr>
              <w:t>(3)</w:t>
            </w:r>
          </w:p>
        </w:tc>
        <w:tc>
          <w:tcPr>
            <w:tcW w:w="260" w:type="dxa"/>
            <w:vAlign w:val="bottom"/>
          </w:tcPr>
          <w:p>
            <w:pPr>
              <w:spacing w:after="0"/>
              <w:rPr>
                <w:sz w:val="22"/>
                <w:szCs w:val="22"/>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0.23%</w:t>
            </w:r>
          </w:p>
        </w:tc>
        <w:tc>
          <w:tcPr>
            <w:tcW w:w="140" w:type="dxa"/>
            <w:vAlign w:val="bottom"/>
          </w:tcPr>
          <w:p>
            <w:pPr>
              <w:spacing w:after="0"/>
              <w:rPr>
                <w:sz w:val="22"/>
                <w:szCs w:val="22"/>
                <w:color w:val="auto"/>
              </w:rPr>
            </w:pPr>
          </w:p>
        </w:tc>
        <w:tc>
          <w:tcPr>
            <w:tcW w:w="180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 xml:space="preserve">2.90% </w:t>
            </w:r>
            <w:r>
              <w:rPr>
                <w:rFonts w:ascii="Times New Roman" w:cs="Times New Roman" w:eastAsia="Times New Roman" w:hAnsi="Times New Roman"/>
                <w:sz w:val="9"/>
                <w:szCs w:val="9"/>
                <w:color w:val="auto"/>
              </w:rPr>
              <w:t>(4)</w:t>
            </w:r>
          </w:p>
        </w:tc>
      </w:tr>
      <w:tr>
        <w:trPr>
          <w:trHeight w:val="353"/>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Ratio/Supplemental data:</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69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Ratio of net investment income (loss) to average net assets </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7"/>
                <w:szCs w:val="17"/>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2.54%</w:t>
            </w:r>
          </w:p>
        </w:tc>
        <w:tc>
          <w:tcPr>
            <w:tcW w:w="200" w:type="dxa"/>
            <w:vAlign w:val="bottom"/>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Ratio of expenses to average net assets </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7"/>
                <w:szCs w:val="17"/>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c>
          <w:tcPr>
            <w:tcW w:w="200" w:type="dxa"/>
            <w:vAlign w:val="bottom"/>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Ratio of waived expenses to average net assets</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7"/>
                <w:szCs w:val="17"/>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200" w:type="dxa"/>
            <w:vAlign w:val="bottom"/>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Ratio of net expenses to average net assets</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7"/>
                <w:szCs w:val="17"/>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w:t>
            </w:r>
          </w:p>
        </w:tc>
        <w:tc>
          <w:tcPr>
            <w:tcW w:w="200" w:type="dxa"/>
            <w:vAlign w:val="bottom"/>
          </w:tcPr>
          <w:p>
            <w:pPr>
              <w:spacing w:after="0"/>
              <w:rPr>
                <w:sz w:val="17"/>
                <w:szCs w:val="17"/>
                <w:color w:val="auto"/>
              </w:rPr>
            </w:pPr>
          </w:p>
        </w:tc>
      </w:tr>
      <w:tr>
        <w:trPr>
          <w:trHeight w:val="254"/>
        </w:trPr>
        <w:tc>
          <w:tcPr>
            <w:tcW w:w="6980" w:type="dxa"/>
            <w:vAlign w:val="bottom"/>
          </w:tcPr>
          <w:p>
            <w:pPr>
              <w:spacing w:after="0" w:line="255" w:lineRule="exact"/>
              <w:rPr>
                <w:sz w:val="20"/>
                <w:szCs w:val="20"/>
                <w:color w:val="auto"/>
              </w:rPr>
            </w:pPr>
            <w:r>
              <w:rPr>
                <w:rFonts w:ascii="Times New Roman" w:cs="Times New Roman" w:eastAsia="Times New Roman" w:hAnsi="Times New Roman"/>
                <w:sz w:val="16"/>
                <w:szCs w:val="16"/>
                <w:color w:val="auto"/>
              </w:rPr>
              <w:t xml:space="preserve">Portfolio turnover </w:t>
            </w:r>
            <w:r>
              <w:rPr>
                <w:rFonts w:ascii="Times New Roman" w:cs="Times New Roman" w:eastAsia="Times New Roman" w:hAnsi="Times New Roman"/>
                <w:sz w:val="24"/>
                <w:szCs w:val="24"/>
                <w:color w:val="auto"/>
                <w:vertAlign w:val="superscript"/>
              </w:rPr>
              <w:t>(5)</w:t>
            </w:r>
          </w:p>
        </w:tc>
        <w:tc>
          <w:tcPr>
            <w:tcW w:w="260" w:type="dxa"/>
            <w:vAlign w:val="bottom"/>
          </w:tcPr>
          <w:p>
            <w:pPr>
              <w:spacing w:after="0"/>
              <w:rPr>
                <w:sz w:val="22"/>
                <w:szCs w:val="22"/>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18.18%</w:t>
            </w:r>
          </w:p>
        </w:tc>
        <w:tc>
          <w:tcPr>
            <w:tcW w:w="140" w:type="dxa"/>
            <w:vAlign w:val="bottom"/>
          </w:tcPr>
          <w:p>
            <w:pPr>
              <w:spacing w:after="0"/>
              <w:rPr>
                <w:sz w:val="22"/>
                <w:szCs w:val="22"/>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w:t>
            </w:r>
          </w:p>
        </w:tc>
        <w:tc>
          <w:tcPr>
            <w:tcW w:w="2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282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-2099310</wp:posOffset>
            </wp:positionV>
            <wp:extent cx="1289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-2099310</wp:posOffset>
            </wp:positionV>
            <wp:extent cx="1289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-1824990</wp:posOffset>
            </wp:positionV>
            <wp:extent cx="12890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-1807845</wp:posOffset>
            </wp:positionV>
            <wp:extent cx="1289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-1824990</wp:posOffset>
            </wp:positionV>
            <wp:extent cx="1289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-1807845</wp:posOffset>
            </wp:positionV>
            <wp:extent cx="1289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per share data was derived by using the weighted average shares outstanding during the periods presented.</w:t>
      </w:r>
    </w:p>
    <w:p>
      <w:pPr>
        <w:ind w:left="520" w:hanging="512"/>
        <w:spacing w:after="0" w:line="182" w:lineRule="auto"/>
        <w:tabs>
          <w:tab w:leader="none" w:pos="5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amount shown may not correspond for the period as it includes the effect of the timing of the distribution and the issuance of common stock.</w:t>
      </w:r>
    </w:p>
    <w:p>
      <w:pPr>
        <w:jc w:val="both"/>
        <w:ind w:left="520" w:right="20" w:hanging="512"/>
        <w:spacing w:after="0" w:line="197" w:lineRule="auto"/>
        <w:tabs>
          <w:tab w:leader="none" w:pos="52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return based on market value is based on the change in market price per share between the beginning and ending market prices per share in each period. Total return based on net asset value is based upon the change in net asset value per share between the beginning and ending net asset values per share in each period. For periods less than a year, total return is not annualized.</w:t>
      </w:r>
    </w:p>
    <w:p>
      <w:pPr>
        <w:spacing w:after="0" w:line="1" w:lineRule="exact"/>
        <w:rPr>
          <w:rFonts w:ascii="Times New Roman" w:cs="Times New Roman" w:eastAsia="Times New Roman" w:hAnsi="Times New Roman"/>
          <w:sz w:val="19"/>
          <w:szCs w:val="19"/>
          <w:color w:val="auto"/>
          <w:vertAlign w:val="superscript"/>
        </w:rPr>
      </w:pPr>
    </w:p>
    <w:p>
      <w:pPr>
        <w:ind w:left="520" w:hanging="512"/>
        <w:spacing w:after="0" w:line="182" w:lineRule="auto"/>
        <w:tabs>
          <w:tab w:leader="none" w:pos="5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Assumes that common stock dividends are reinvested in accordance with the DRIP.</w:t>
      </w:r>
    </w:p>
    <w:p>
      <w:pPr>
        <w:ind w:left="520" w:hanging="512"/>
        <w:spacing w:after="0" w:line="189" w:lineRule="auto"/>
        <w:tabs>
          <w:tab w:leader="none" w:pos="52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Ratio is not annualized.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Company operates through a single operating and reporting segment with an investment objective of maximizing risk-adjusted returns on equity for its shareholders. The management approach considers the internal organization and reporting used by the Company’s Chief Executive Officer, Principal Financial Officer, and Co-Chief Investment Officers, which comprise the chief operating decision maker (“CODM”) for making decisions, allocating resources and assessing performance. The CODM assesses the performance of, and makes operating decisions for, the Company primarily based on the Company’s net increase (decrease) in net assets resulting from operations, which is reported on the Statement of Operations. In addition to numerous other factors and metrics, the CODM utilizes net increase (decrease) in net assets resulting from operation as a key metric in determining the amount of dividends to be distributed to the Company’s stockholders.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Company’s operations comprise of a single reporting segment, the segment assets are reflected on the accompanying Statements of Assets and Liabilities as “total assets” and the significant segment expenses are listed on the accompanying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May 13, 2026, the date the financial statements were issued, and has identified the following event requiring disclosure.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12, 2026 the Board approved a cash dividend of $0.34 per share. The dividend is payable on July 10, 2026, to stockholders of record on June 26,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11, 2026, the Company filed a registration statement on Form N-2 (the "Registration Statement") with the U.S. Securities and Exchange Commission (the "SEC") under the Securities Act of 1933, as amended (the "Securities Act"), and the Investment Company Act of 1940, as amended. The Registration Statement registers the offering of up to $500,000,000 in aggregate amount of the Company's common stock, preferred stock, subscription rights, warrants, debt securities, and units comprised of any combination of the foregoing (collectively, the "Securities"), from time to time on a delayed or continuous basis pursuant to Rule 415 under the Securities Act. The specific terms of any offering, including the type, amount, price, and any applicable discounts or commissions, will be set forth in one or more prospectus supplements at the time of such offering. As of May 13, 2026, the Registration Statement was not yet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annual report on Form 10-K for the fiscal year ended December 31, 2025 and elsewhere in this quarterly report on Form 10-Q. Please also see the section entitled “Special Note Regarding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formed in January 2021 as a Maryland corporation and are structured as an externally managed, closed-end, non-diversified management investment company. We have elected to be regulated as a business development company ("BDC") under the Investment Company Act of 1940 (the "1940 Act"). In addition, for U.S. federal income tax purposes we have elected to be treated, and intend to qualify annually to be treated, as a regulated investment company ("RIC") under Subchapter M of the Internal Revenue Code (the "Code"), commencing with our taxable year ended March 31, 2022.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and technology companies, esoteric and asset-based lending opportunities, and liquidity solutions opportunities as described further below.</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 We have an active pipeline of investments and are currently reviewing approximately $810.4 million of potential investments in varying stages of underwriting.</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describes the four primary current sub-strategies of our principal investment strategy. We are not required to have a minimum investment in any of these sub-strategies.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Cannabis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Chicago Atlantic BDC Advisers, LLC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cannabis companies that it believes have some or all of the following characteristics:</w:t>
      </w:r>
    </w:p>
    <w:p>
      <w:pPr>
        <w:spacing w:after="0" w:line="18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or EBITDA positive entities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require capital but do not want to dilute their equity</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Growth &amp; Technology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growth and technology focused companies that it believes have some or all of the following characteristics:</w:t>
      </w:r>
    </w:p>
    <w:p>
      <w:pPr>
        <w:spacing w:after="0" w:line="19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 and disruptive companies experiencing strong growth</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raised significant equity capital validating market value</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focus typically includes software, hardware, e-commerce, direct to consumer and other fast-growing companies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covenants that ensure such company has adequate cash runway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Profitable or demonstrated path to near term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Esoteric &amp; Asset-Based Lending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Adviser seeks to invest in esoteric industries or companies in need of asset-based loans that it believes have some or all of the following characteristics:</w:t>
      </w:r>
    </w:p>
    <w:p>
      <w:pPr>
        <w:spacing w:after="0" w:line="121"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 but the industries carry regulatory, reputational or other risks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attractive assets, including, but not limited to, accounts receivable, equipment or real estate</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 or situation</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asset value and/or enterprise value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 Solutions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liquidity solutions opportunities that it believes have some or all of the following characteristics:</w:t>
      </w:r>
    </w:p>
    <w:p>
      <w:pPr>
        <w:spacing w:after="0" w:line="18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is typically event driven</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pursuing a merger, acquisition, refinancing, dividend recap, or other strategic liquidity need</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multiple areas of value and liquidity in addition to the underlying business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 ratios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investment policies are fundamental, and thus may be changed without stockholder approval.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externally managed by the Adviser. The Adviser also provides the administrative services necessary for us to operate. We believe that our ability to leverage the existing investment management platform of Chicago Atlantic enables us to operate more efficiently and with lower overhead costs than other funds of comparable size.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two to six years. Our loan portfolio will bear interest at a fixed or floating rate, subject to interest rate floors in certain cases. Interest on our debt investments will generally be payable either monthly or quarterly, but may be semi-annually.</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investment portfolio consists of fixed and floating rate loans, and our revolving credit facility also bears interest at a floating rate, when drawn. Macro trends in base interest rates like PRIME or SOFR may affect our net investment income (loss) over the long term.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income on equity investments, if applicable, will be recorded on the record date for private portfolio companies or on the ex-dividend date for publicly traded companies.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portfolio activity may also reflect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operating expenses are a base management fee and any incentive fees under the investment advisory agreement between the Company and the Adviser (the "Investment Advisory Agreement"). Our base management fee and any incentive fees compensate our Adviser for its work in identifying, evaluating, negotiating, executing, monitoring, servicing and realizing our investments. See “Item 1. Business—Investment Advisory Agreement.”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Chief Financial Officer ("CFO") and Chief Compliance Officer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47"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organization and offerings;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including the cost of any third-party valuation services;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shares of our common stock and other securities;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under any underwriting agreements, if any;</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payable pursuant to the Investment Advisory Agreement;</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third-parties relating to, or associated with, making investments and valuing investments (including third-party valuation firms);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including legal fees, associated with compliance under cannabis laws;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 (including attendance at industry and investor conferences and similar events);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 and fees payable to rating agencies;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 including travel expenses;</w:t>
      </w:r>
    </w:p>
    <w:p>
      <w:pPr>
        <w:spacing w:after="0" w:line="19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 and other compensation payable to brokers or dealers;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market data;</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errors and omissions liability insurance and other insurance premiums;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and staff;</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and outside legal and consulting costs;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winding up;</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formation or maintenance of entities or vehicles to hold our assets for tax or other purposes;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indemnification); and</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reporting and compliance obligations under the 1940 Act and applicable federal and state securities laws.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but cannot ensure, that our general and administrative expenses will increase in dollar terms during periods of asset growth, but will decline as a percentage of total assets during such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Portfolio Composition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our investment portfolio had an aggregate fair value of approximately $364.0 million and was comprised of approximately $331.2 million in first lien, senior secured loans, approximately $28.2 million in senior secured notes, approximately $1.4 million in second lien, senior secured loans, and approximately $3.2 million in equity securities across forty portfolio companies. As of December 31, 2025, our investment portfolio had an aggregate fair value of approximately $333.3 million and was comprised of approximately $292.7 million in first lien, senior secured loans, approximately $37.5 million in senior secured notes, approximately $1.4 million in second lien, senior secured loans, and approximately $1.7 million in equity securities across thirty-nine portfolio companies.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composition of our investment portfolio at amortized cost and fair value as a percentage of total investments as of March 31, 2026 and December 31, 2025 are shown in the following tables.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r>
      <w:tr>
        <w:trPr>
          <w:trHeight w:val="202"/>
        </w:trPr>
        <w:tc>
          <w:tcPr>
            <w:tcW w:w="74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91.0%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91.1%</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0.8%</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-161925</wp:posOffset>
            </wp:positionV>
            <wp:extent cx="946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-161925</wp:posOffset>
            </wp:positionV>
            <wp:extent cx="939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202"/>
        </w:trPr>
        <w:tc>
          <w:tcPr>
            <w:tcW w:w="74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87.9%</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87.8%</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-161925</wp:posOffset>
            </wp:positionV>
            <wp:extent cx="946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-161925</wp:posOffset>
            </wp:positionV>
            <wp:extent cx="939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the composition of our investment portfolio by geographic region of the United States at amortized cost and fair value as a percentage of total investments as of March 31, 2026 and December 31, 2025. The geographic composition is determined by the location of the headquarters of the portfolio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Geographic regions are defined as: West, for the states of WA, OR, ID, MT, WY, CO, AK, HI, UT, NV and CA; Midwest, for the states of ND, SD, NE, KS, MO, IA, MN, WI, MI, IL, IN and OH; Northeast, for the states of PA, NJ, NY, CT, RI, MA, VT, NH and ME; Southeast, for the states of AR, LA, MS, TN, KY, AL, FL, GA, SC, NC, VA, DE, WV and MD; and Southwest, for the states of AZ, NM, TX and OK.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r>
      <w:tr>
        <w:trPr>
          <w:trHeight w:val="202"/>
        </w:trPr>
        <w:tc>
          <w:tcPr>
            <w:tcW w:w="748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2"/>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Midwest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40.8%</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40.9%</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West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21.8%</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21.6%</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Northeast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Southwest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Southeast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946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946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202"/>
        </w:trPr>
        <w:tc>
          <w:tcPr>
            <w:tcW w:w="748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Midwest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41.7%</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Northeast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20.2%</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Southeast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r>
      <w:tr>
        <w:trPr>
          <w:trHeight w:val="202"/>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Southwest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946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946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the industry composition of our investment portfolio at amortized cost and fair value as a percentage of total investments as of March 31, 2026 and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vMerge w:val="restart"/>
          </w:tcPr>
          <w:p>
            <w:pPr>
              <w:ind w:left="3380"/>
              <w:spacing w:after="0"/>
              <w:rPr>
                <w:sz w:val="20"/>
                <w:szCs w:val="20"/>
                <w:color w:val="auto"/>
              </w:rPr>
            </w:pPr>
            <w:r>
              <w:rPr>
                <w:rFonts w:ascii="Times New Roman" w:cs="Times New Roman" w:eastAsia="Times New Roman" w:hAnsi="Times New Roman"/>
                <w:sz w:val="16"/>
                <w:szCs w:val="16"/>
                <w:b w:val="1"/>
                <w:bCs w:val="1"/>
                <w:color w:val="auto"/>
              </w:rPr>
              <w:t>Industry</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8"/>
                <w:szCs w:val="18"/>
                <w:color w:val="auto"/>
              </w:rPr>
            </w:pPr>
          </w:p>
        </w:tc>
        <w:tc>
          <w:tcPr>
            <w:tcW w:w="364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0" w:type="dxa"/>
            <w:vAlign w:val="bottom"/>
          </w:tcPr>
          <w:p>
            <w:pPr>
              <w:spacing w:after="0"/>
              <w:rPr>
                <w:sz w:val="1"/>
                <w:szCs w:val="1"/>
                <w:color w:val="auto"/>
              </w:rPr>
            </w:pPr>
          </w:p>
        </w:tc>
      </w:tr>
      <w:tr>
        <w:trPr>
          <w:trHeight w:val="202"/>
        </w:trPr>
        <w:tc>
          <w:tcPr>
            <w:tcW w:w="74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Educational Services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0.8%</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Administrative and Support and Waste Management and Remediation Services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0.8%</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vMerge w:val="restart"/>
          </w:tcPr>
          <w:p>
            <w:pPr>
              <w:ind w:left="3380"/>
              <w:spacing w:after="0"/>
              <w:rPr>
                <w:sz w:val="20"/>
                <w:szCs w:val="20"/>
                <w:color w:val="auto"/>
              </w:rPr>
            </w:pPr>
            <w:r>
              <w:rPr>
                <w:rFonts w:ascii="Times New Roman" w:cs="Times New Roman" w:eastAsia="Times New Roman" w:hAnsi="Times New Roman"/>
                <w:sz w:val="16"/>
                <w:szCs w:val="16"/>
                <w:b w:val="1"/>
                <w:bCs w:val="1"/>
                <w:color w:val="auto"/>
              </w:rPr>
              <w:t>Industry</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8"/>
                <w:szCs w:val="18"/>
                <w:color w:val="auto"/>
              </w:rPr>
            </w:pPr>
          </w:p>
        </w:tc>
        <w:tc>
          <w:tcPr>
            <w:tcW w:w="364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202"/>
        </w:trPr>
        <w:tc>
          <w:tcPr>
            <w:tcW w:w="74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74.8%</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Educational Services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Administrative and Support and Waste Management and Remediation Services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-161925</wp:posOffset>
            </wp:positionV>
            <wp:extent cx="946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-161925</wp:posOffset>
            </wp:positionV>
            <wp:extent cx="939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3" w:lineRule="exact"/>
        <w:rPr>
          <w:sz w:val="20"/>
          <w:szCs w:val="20"/>
          <w:color w:val="auto"/>
        </w:rPr>
      </w:pPr>
    </w:p>
    <w:p>
      <w:pPr>
        <w:ind w:firstLine="8"/>
        <w:spacing w:after="0" w:line="261" w:lineRule="auto"/>
        <w:tabs>
          <w:tab w:leader="none" w:pos="2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uses the North American Industry Classification System (“NAICS”) code for classifying the industry grouping of its portfolio companies, excluding any portfolio company operating in the cannabis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of Credit Risk</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is the risk of default or non-performance by portfolio companies, equivalent to the investment’s carrying amount. Industry and sector concentrations will vary from period to period based on portfolio activity.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had three portfolio companies that represented 32.5% and 31.8% respectively, of our investments, at fair value. As of March 31, 2026 and December 31, 2025, our largest portfolio company represented 17.8% and 15.7%, respectively, of our investments, at fair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investment portfolio for the three months ended March 31,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2"/>
        </w:trPr>
        <w:tc>
          <w:tcPr>
            <w:tcW w:w="76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r>
      <w:tr>
        <w:trPr>
          <w:trHeight w:val="19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Portfolio, at fair value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Purchases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92,690,828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20,601,132</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 of premium), net</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1,393,660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522,907</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PIK interest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573,375</w:t>
            </w:r>
          </w:p>
        </w:tc>
        <w:tc>
          <w:tcPr>
            <w:tcW w:w="100" w:type="dxa"/>
            <w:vAlign w:val="bottom"/>
          </w:tcPr>
          <w:p>
            <w:pPr>
              <w:spacing w:after="0"/>
              <w:rPr>
                <w:sz w:val="17"/>
                <w:szCs w:val="17"/>
                <w:color w:val="auto"/>
              </w:rPr>
            </w:pPr>
          </w:p>
        </w:tc>
      </w:tr>
      <w:tr>
        <w:trPr>
          <w:trHeight w:val="202"/>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investments and principal repayments</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(63,381,776)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(7,642,007)</w:t>
            </w: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(1,426,900)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(34,064)</w:t>
            </w:r>
          </w:p>
        </w:tc>
      </w:tr>
      <w:tr>
        <w:trPr>
          <w:trHeight w:val="20"/>
        </w:trPr>
        <w:tc>
          <w:tcPr>
            <w:tcW w:w="7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Ending Portfolio, at fair value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18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289,262,741</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Portfolio Asset Quality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Company's Board of Directors (the "Board") and the Audit Committee of the Board.</w:t>
      </w:r>
    </w:p>
    <w:p>
      <w:pPr>
        <w:sectPr>
          <w:pgSz w:w="11900" w:h="16838" w:orient="portrait"/>
          <w:cols w:equalWidth="0" w:num="1">
            <w:col w:w="11240"/>
          </w:cols>
          <w:pgMar w:left="320" w:top="117" w:right="339" w:bottom="1440" w:gutter="0" w:footer="0" w:header="0"/>
        </w:sectPr>
      </w:pP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Investment Performance Risk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886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Grade 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Grade 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Grade 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Grade 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Grade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Summary Description</w:t>
      </w:r>
    </w:p>
    <w:p>
      <w:pPr>
        <w:spacing w:after="0" w:line="3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6"/>
          <w:szCs w:val="16"/>
          <w:color w:val="auto"/>
        </w:rPr>
        <w:t>Investments rated 1 involve the least amount of risk to our initial cost basis. The borrower is performing above expectations, and the trends and risk factors for this investment since origination or acquisition are generally favorable. Full return of principal, interest and dividend income is expected. Investment is performing in-line with expectations. Investments rated 2 involve an acceptable level of risk that is similar to the risk at the time of origination or acquisition. Risk factors remain neutral or favorable compared with initial underwriting. All investments or acquired investments in new portfolio companies are initially assessed a rating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-646430</wp:posOffset>
            </wp:positionV>
            <wp:extent cx="7132320" cy="265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20"/>
        <w:spacing w:after="0" w:line="264" w:lineRule="auto"/>
        <w:rPr>
          <w:sz w:val="20"/>
          <w:szCs w:val="20"/>
          <w:color w:val="auto"/>
        </w:rPr>
      </w:pPr>
      <w:r>
        <w:rPr>
          <w:rFonts w:ascii="Times New Roman" w:cs="Times New Roman" w:eastAsia="Times New Roman" w:hAnsi="Times New Roman"/>
          <w:sz w:val="16"/>
          <w:szCs w:val="16"/>
          <w:color w:val="auto"/>
        </w:rPr>
        <w:t>Investments rated 3 involve a borrower performing below expectations and indicates that the loan’s risk has increased somewhat since origination or acquisition. Capital impairment or payment delinquency is not anticipated. The investment may also be out of compliance with certain 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-381000</wp:posOffset>
            </wp:positionV>
            <wp:extent cx="7132320" cy="3860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ind w:right="300"/>
        <w:spacing w:after="0" w:line="264" w:lineRule="auto"/>
        <w:rPr>
          <w:sz w:val="20"/>
          <w:szCs w:val="20"/>
          <w:color w:val="auto"/>
        </w:rPr>
      </w:pPr>
      <w:r>
        <w:rPr>
          <w:rFonts w:ascii="Times New Roman" w:cs="Times New Roman" w:eastAsia="Times New Roman" w:hAnsi="Times New Roman"/>
          <w:sz w:val="16"/>
          <w:szCs w:val="16"/>
          <w:color w:val="auto"/>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 Delinquency of interest and / or dividend payments in anticipated. No loss of principal is anticipated.</w:t>
      </w:r>
    </w:p>
    <w:p>
      <w:pPr>
        <w:ind w:right="20"/>
        <w:spacing w:after="0" w:line="272" w:lineRule="auto"/>
        <w:rPr>
          <w:sz w:val="20"/>
          <w:szCs w:val="20"/>
          <w:color w:val="auto"/>
        </w:rPr>
      </w:pPr>
      <w:r>
        <w:rPr>
          <w:rFonts w:ascii="Times New Roman" w:cs="Times New Roman" w:eastAsia="Times New Roman" w:hAnsi="Times New Roman"/>
          <w:sz w:val="16"/>
          <w:szCs w:val="16"/>
          <w:color w:val="auto"/>
        </w:rPr>
        <w:t>Investments rated 5 involve a borrower performing substantially below expectations and indicates that the loan’s risk has increased substantially since origination or acquisition. It is anticipated that the Company will not recoup its initial cost and may realize a loss upon exit. Most or all of the debt covenants are out of compliance and payments are substantially delinquent. Loans rated 5 are not anticipated to be repaid in full and we will reduce the fair market value of the loan to the amount we anticipate will be recovered.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-525145</wp:posOffset>
            </wp:positionV>
            <wp:extent cx="7132320" cy="514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840" w:space="640"/>
            <w:col w:w="976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tables show the distribution of our loan investments on the 1 to 5 investment risk rating scale at fair value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4"/>
          </w:tcPr>
          <w:p>
            <w:pPr>
              <w:jc w:val="right"/>
              <w:ind w:right="1240"/>
              <w:spacing w:after="0"/>
              <w:rPr>
                <w:sz w:val="20"/>
                <w:szCs w:val="20"/>
                <w:color w:val="auto"/>
              </w:rPr>
            </w:pPr>
            <w:r>
              <w:rPr>
                <w:rFonts w:ascii="Times New Roman" w:cs="Times New Roman" w:eastAsia="Times New Roman" w:hAnsi="Times New Roman"/>
                <w:sz w:val="16"/>
                <w:szCs w:val="16"/>
                <w:b w:val="1"/>
                <w:bCs w:val="1"/>
                <w:color w:val="auto"/>
              </w:rPr>
              <w:t>As of March 31, 2026</w:t>
            </w:r>
          </w:p>
        </w:tc>
      </w:tr>
      <w:tr>
        <w:trPr>
          <w:trHeight w:val="186"/>
        </w:trPr>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2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 w:type="dxa"/>
            <w:vAlign w:val="bottom"/>
          </w:tcPr>
          <w:p>
            <w:pPr>
              <w:spacing w:after="0"/>
              <w:rPr>
                <w:sz w:val="16"/>
                <w:szCs w:val="16"/>
                <w:color w:val="auto"/>
              </w:rPr>
            </w:pPr>
          </w:p>
        </w:tc>
      </w:tr>
      <w:tr>
        <w:trPr>
          <w:trHeight w:val="203"/>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at Fair</w:t>
            </w:r>
          </w:p>
        </w:tc>
        <w:tc>
          <w:tcPr>
            <w:tcW w:w="220" w:type="dxa"/>
            <w:vAlign w:val="bottom"/>
          </w:tcPr>
          <w:p>
            <w:pPr>
              <w:spacing w:after="0"/>
              <w:rPr>
                <w:sz w:val="17"/>
                <w:szCs w:val="17"/>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 Total</w:t>
            </w:r>
          </w:p>
        </w:tc>
      </w:tr>
      <w:tr>
        <w:trPr>
          <w:trHeight w:val="215"/>
        </w:trPr>
        <w:tc>
          <w:tcPr>
            <w:tcW w:w="7280" w:type="dxa"/>
            <w:vAlign w:val="bottom"/>
            <w:tcBorders>
              <w:bottom w:val="single" w:sz="8" w:color="auto"/>
            </w:tcBorders>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Investment Performance Risk Rating</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0" w:type="dxa"/>
            <w:vAlign w:val="bottom"/>
          </w:tcPr>
          <w:p>
            <w:pPr>
              <w:spacing w:after="0"/>
              <w:rPr>
                <w:sz w:val="18"/>
                <w:szCs w:val="18"/>
                <w:color w:val="auto"/>
              </w:rPr>
            </w:pPr>
          </w:p>
        </w:tc>
      </w:tr>
      <w:tr>
        <w:trPr>
          <w:trHeight w:val="199"/>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1</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280" w:type="dxa"/>
            <w:vAlign w:val="bottom"/>
          </w:tcPr>
          <w:p>
            <w:pPr>
              <w:jc w:val="right"/>
              <w:ind w:right="7119"/>
              <w:spacing w:after="0"/>
              <w:rPr>
                <w:sz w:val="20"/>
                <w:szCs w:val="20"/>
                <w:color w:val="auto"/>
              </w:rPr>
            </w:pPr>
            <w:r>
              <w:rPr>
                <w:rFonts w:ascii="Times New Roman" w:cs="Times New Roman" w:eastAsia="Times New Roman" w:hAnsi="Times New Roman"/>
                <w:sz w:val="16"/>
                <w:szCs w:val="16"/>
                <w:color w:val="auto"/>
                <w:w w:val="74"/>
              </w:rPr>
              <w:t>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348,605,609</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95.8%</w:t>
            </w:r>
          </w:p>
        </w:tc>
      </w:tr>
      <w:tr>
        <w:trPr>
          <w:trHeight w:val="203"/>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3</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15,361,104</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7280" w:type="dxa"/>
            <w:vAlign w:val="bottom"/>
          </w:tcPr>
          <w:p>
            <w:pPr>
              <w:jc w:val="right"/>
              <w:ind w:right="7119"/>
              <w:spacing w:after="0"/>
              <w:rPr>
                <w:sz w:val="20"/>
                <w:szCs w:val="20"/>
                <w:color w:val="auto"/>
              </w:rPr>
            </w:pPr>
            <w:r>
              <w:rPr>
                <w:rFonts w:ascii="Times New Roman" w:cs="Times New Roman" w:eastAsia="Times New Roman" w:hAnsi="Times New Roman"/>
                <w:sz w:val="16"/>
                <w:szCs w:val="16"/>
                <w:color w:val="auto"/>
                <w:w w:val="74"/>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5</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72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7280" w:type="dxa"/>
            <w:vAlign w:val="bottom"/>
          </w:tcPr>
          <w:p>
            <w:pPr>
              <w:jc w:val="right"/>
              <w:ind w:right="6719"/>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363,966,713</w:t>
            </w:r>
          </w:p>
        </w:tc>
        <w:tc>
          <w:tcPr>
            <w:tcW w:w="22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3"/>
        </w:trPr>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186"/>
        </w:trPr>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2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 w:type="dxa"/>
            <w:vAlign w:val="bottom"/>
          </w:tcPr>
          <w:p>
            <w:pPr>
              <w:spacing w:after="0"/>
              <w:rPr>
                <w:sz w:val="16"/>
                <w:szCs w:val="16"/>
                <w:color w:val="auto"/>
              </w:rPr>
            </w:pPr>
          </w:p>
        </w:tc>
      </w:tr>
      <w:tr>
        <w:trPr>
          <w:trHeight w:val="203"/>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8"/>
              </w:rPr>
              <w:t>at Fair</w:t>
            </w:r>
          </w:p>
        </w:tc>
        <w:tc>
          <w:tcPr>
            <w:tcW w:w="220" w:type="dxa"/>
            <w:vAlign w:val="bottom"/>
          </w:tcPr>
          <w:p>
            <w:pPr>
              <w:spacing w:after="0"/>
              <w:rPr>
                <w:sz w:val="17"/>
                <w:szCs w:val="17"/>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Total</w:t>
            </w:r>
          </w:p>
        </w:tc>
      </w:tr>
      <w:tr>
        <w:trPr>
          <w:trHeight w:val="215"/>
        </w:trPr>
        <w:tc>
          <w:tcPr>
            <w:tcW w:w="7280" w:type="dxa"/>
            <w:vAlign w:val="bottom"/>
            <w:tcBorders>
              <w:bottom w:val="single" w:sz="8" w:color="auto"/>
            </w:tcBorders>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Investment Performance Risk Rating</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0" w:type="dxa"/>
            <w:vAlign w:val="bottom"/>
          </w:tcPr>
          <w:p>
            <w:pPr>
              <w:spacing w:after="0"/>
              <w:rPr>
                <w:sz w:val="18"/>
                <w:szCs w:val="18"/>
                <w:color w:val="auto"/>
              </w:rPr>
            </w:pPr>
          </w:p>
        </w:tc>
      </w:tr>
      <w:tr>
        <w:trPr>
          <w:trHeight w:val="199"/>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1</w:t>
            </w:r>
          </w:p>
        </w:tc>
        <w:tc>
          <w:tcPr>
            <w:tcW w:w="4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280" w:type="dxa"/>
            <w:vAlign w:val="bottom"/>
          </w:tcPr>
          <w:p>
            <w:pPr>
              <w:jc w:val="right"/>
              <w:ind w:right="7119"/>
              <w:spacing w:after="0"/>
              <w:rPr>
                <w:sz w:val="20"/>
                <w:szCs w:val="20"/>
                <w:color w:val="auto"/>
              </w:rPr>
            </w:pPr>
            <w:r>
              <w:rPr>
                <w:rFonts w:ascii="Times New Roman" w:cs="Times New Roman" w:eastAsia="Times New Roman" w:hAnsi="Times New Roman"/>
                <w:sz w:val="16"/>
                <w:szCs w:val="16"/>
                <w:color w:val="auto"/>
                <w:w w:val="74"/>
              </w:rPr>
              <w:t>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327,611,910</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98.3%</w:t>
            </w:r>
          </w:p>
        </w:tc>
      </w:tr>
      <w:tr>
        <w:trPr>
          <w:trHeight w:val="203"/>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3</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5,699,877</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7280" w:type="dxa"/>
            <w:vAlign w:val="bottom"/>
          </w:tcPr>
          <w:p>
            <w:pPr>
              <w:jc w:val="right"/>
              <w:ind w:right="7119"/>
              <w:spacing w:after="0"/>
              <w:rPr>
                <w:sz w:val="20"/>
                <w:szCs w:val="20"/>
                <w:color w:val="auto"/>
              </w:rPr>
            </w:pPr>
            <w:r>
              <w:rPr>
                <w:rFonts w:ascii="Times New Roman" w:cs="Times New Roman" w:eastAsia="Times New Roman" w:hAnsi="Times New Roman"/>
                <w:sz w:val="16"/>
                <w:szCs w:val="16"/>
                <w:color w:val="auto"/>
                <w:w w:val="74"/>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5</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72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7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7280" w:type="dxa"/>
            <w:vAlign w:val="bottom"/>
          </w:tcPr>
          <w:p>
            <w:pPr>
              <w:jc w:val="right"/>
              <w:ind w:right="6719"/>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-1636395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-1636395</wp:posOffset>
            </wp:positionV>
            <wp:extent cx="939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-162560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1028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Investments on Non-Accrual Status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there were no loans in our portfolio placed on non-accrual status.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Line of Credit</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senior secured revolving credit agreement (the “Credit Agreement”, the "Revolving Line of Credit") by and among the Company, as borrower, Western Alliance Trust Company, N.A. (“WATC”), as administrative agent, Western Alliance Bank, as an issuing bank and as the initial lender, and the other lenders party thereto from time to time.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Credit Agreement also provides for the issuance of letters of credit in an aggregate face amount of up to $5,000,000.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Availability under the Credit Agreement (the “Revolving Period”) will terminate on February 11, 2027, and the Credit Agreement has a scheduled maturity date of March 31, 2028.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$54,500,000 in outstanding borrowings and $45,500,000 available under the Revolving Line of Credit. The Revolving Line of Credit is secured by all of the Company's assets pledged as collateral.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and analysis of our results of operations encompasses our results for the three months ended March 31, 2026 and 2025.</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investment portfolio grew from $289.3 million as of March 31, 2025, to $364.0 million as of March 31, 2026. The 26% growth in the fair value of our investment portfolio resulting from originations is the main driver for the changes in investment income, operating expenses, net investment income and change in unrealized appreciation (depreciation) for the three months ended March 31, 2026 compared to the three months ended March 31,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investment income for the three months ended March 31,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2"/>
        </w:trPr>
        <w:tc>
          <w:tcPr>
            <w:tcW w:w="77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Stated interest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11,810,642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10,183,174</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 of premium), net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1,393,660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522,907</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PIK</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1,379,114</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573,375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interest income</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14,583,416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11,279,456</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Fee income</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2,119,357</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643,546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investment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16,702,773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11,923,002</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-427990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-162560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investment income from the investments we hold, generally in the form of interest income from our debt securities. We also generate revenues in the form of investment income from cash we hold, generally in the form of interest income from our cash deposits held by our custodian.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recognizes certain fees as one-time fee income, including, but not limited to, structuring fees.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total investment income was approximately $16.7 million and $11.9 million, respectively, which was attributable to approximately $2.1 million and $0.6 million of fee income related to commitment fees, success fees, amendment fees and administrative fees and approximately $ 14.6 million and $11.3 million of interest income, respectively. Approximately $0.6 million of prepayment premiums were included in interest income for the three months ended March 31, 2026. There were no prepayment premiums included in interest income for the three months ended March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for the three months ended March 31, 2026 and 2025 are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2"/>
        </w:trPr>
        <w:tc>
          <w:tcPr>
            <w:tcW w:w="5860" w:type="dxa"/>
            <w:vAlign w:val="bottom"/>
          </w:tcPr>
          <w:p>
            <w:pPr>
              <w:spacing w:after="0"/>
              <w:rPr>
                <w:sz w:val="17"/>
                <w:szCs w:val="17"/>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40" w:type="dxa"/>
            <w:vAlign w:val="bottom"/>
          </w:tcPr>
          <w:p>
            <w:pPr>
              <w:spacing w:after="0"/>
              <w:rPr>
                <w:sz w:val="17"/>
                <w:szCs w:val="17"/>
                <w:color w:val="auto"/>
              </w:rPr>
            </w:pPr>
          </w:p>
        </w:tc>
        <w:tc>
          <w:tcPr>
            <w:tcW w:w="1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2,457,289</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1,916,277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541,012</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28.2%</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1,529,359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1,260,875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268,484</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21.3%</w:t>
            </w: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1,212,784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974,477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238,307</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24.5%</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1,024,542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879,161</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604.7%</w:t>
            </w: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198,238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215,726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(17,488)</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Audit expense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(36,252)</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-19.1%</w:t>
            </w: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146,106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144,422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Sub-administrator fees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157,785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(24,375)</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-15.4%</w:t>
            </w: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Legal expenses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45,750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250,926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(205,176)</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-81.8%</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Excise tax expense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r>
      <w:tr>
        <w:trPr>
          <w:trHeight w:val="20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(163,473)</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(6,813)</w:t>
            </w: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(156,660)</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2299.4%</w:t>
            </w:r>
          </w:p>
        </w:tc>
      </w:tr>
      <w:tr>
        <w:trPr>
          <w:trHeight w:val="196"/>
        </w:trPr>
        <w:tc>
          <w:tcPr>
            <w:tcW w:w="5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6,740,485</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5,249,058</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1,491,427</w:t>
            </w:r>
          </w:p>
        </w:tc>
        <w:tc>
          <w:tcPr>
            <w:tcW w:w="24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28.4%</w:t>
            </w: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Waiver of General and administrative expense (Note 6)</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(658,477)</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658,477</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Expense limitation agreement (Note 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(316,000)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316,000</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operating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6,740,485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4,274,581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2,465,904</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57.7%</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-556895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-556895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-556895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Realized Gains and Losses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There were no net realized gains or losses from investments during the three months ended March 31, 2026 and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Change in Unrealized Appreciation (Depreciation) from Investments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from investments for the three months ended March 31, 2026 and 2025 is comprised of the following:</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2"/>
        </w:trPr>
        <w:tc>
          <w:tcPr>
            <w:tcW w:w="74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7"/>
                <w:szCs w:val="17"/>
                <w:color w:val="auto"/>
              </w:rPr>
            </w:pPr>
          </w:p>
        </w:tc>
      </w:tr>
      <w:tr>
        <w:trPr>
          <w:trHeight w:val="19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unrealized appreciation</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1,615,661</w:t>
            </w: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391,542</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Gross unrealized depreciation</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(3,042,561)</w:t>
            </w: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(425,606)</w:t>
            </w:r>
          </w:p>
        </w:tc>
      </w:tr>
      <w:tr>
        <w:trPr>
          <w:trHeight w:val="20"/>
        </w:trPr>
        <w:tc>
          <w:tcPr>
            <w:tcW w:w="7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net change in unrealized appreciation (depreciation) from investments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(1,426,900)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(34,064)</w:t>
            </w: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net change in unrealized appreciation (depreciation) for our portfolio for the three months ended March 31,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2"/>
        </w:trPr>
        <w:tc>
          <w:tcPr>
            <w:tcW w:w="74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7"/>
                <w:szCs w:val="17"/>
                <w:color w:val="auto"/>
              </w:rPr>
            </w:pPr>
          </w:p>
        </w:tc>
      </w:tr>
      <w:tr>
        <w:trPr>
          <w:trHeight w:val="19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Aeriz Holdings Corp</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(67,621)</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Aeriz Holdings Corp (Maturity: 6/30/2028)</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(287,691)</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AI Software, LLC (d/b/a Capacity)</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(425,453)</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AI Software, LLC (d/b/a Capacity) - Warrants</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(51,500)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Archos Capital Group, LLC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Ascend Wellness Holdings Inc.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(61,557)</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25,821</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Aura Home, Inc</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86,298</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Aura Home, Inc - Term D</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BeLeaf Medical, LLC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(137,376)</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Canopy Growth Corporation - Warrants</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(280,500)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 Acquisition Vehicle LLC</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1,060,170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Cresco Labs, LLC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(127,286)</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Curaleaf Holdings, Inc.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(278,212)</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Deep Roots Harvest, Inc.</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Dreamfields Brands, Inc. (d/b/a Jeeter)</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(320,301)</w:t>
            </w: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(15,920)</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Elevation Cannabis, LLC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(21,549)</w:t>
            </w: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(114,848)</w:t>
            </w: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Energize Holdings, Inc. (d/b/a Exos)</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(43,271)</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Energize Holdings, Inc. (d/b/a Exos) - Warrants</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(14,103)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Engage3 Holdings, Inc.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(50,681)</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Engage3 Holdings, Inc. - Warrants</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(25,000)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Flowery - Bill's Nursery, Inc.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(71,776)</w:t>
            </w: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(15,646)</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Fluent Corp. (f/k/a Consortium)</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75,316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HA-MD, LLC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(546)</w:t>
            </w: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(622)</w:t>
            </w:r>
          </w:p>
        </w:tc>
      </w:tr>
      <w:tr>
        <w:trPr>
          <w:trHeight w:val="202"/>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Hartford Gold Group, LLC: (Maturity: 1/6/2027)</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42,166</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Hartford Gold Group, LLC: (Maturity: 12/17/2025)</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(12,063)</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Hugo Technologies Inc.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(14,688)</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Illicit - S1 Enterprises, Inc.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(91,273)</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Kaleafa, Inc.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(27,409)</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28,750</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Kapple Holdings LLC (Cannabis &amp; Glass)</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(29,959)</w:t>
            </w: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Minden Holdings, LLC</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(554)</w:t>
            </w: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Nova Farms, LLC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(110,265)</w:t>
            </w: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(24,233)</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Oasis - AZ GOAT AZ LLC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(20,258)</w:t>
            </w: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(11,612)</w:t>
            </w: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Ocular Science, Inc.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(112,147)</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Ocular Science, Inc. - Warrants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Portofino Labs, Inc. (d/b/a Because Market)</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(28,044)</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Portofino Labs, Inc. (d/b/a Because Market) - Warrants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 Holdings, LLC</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(849)</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Protect Animals With Satellites LLC (Halo Collar): Incremental Term Loan</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Protect Animals With Satellites LLC (Halo Collar): Term Loan</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76,161</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Remedy - Maryland Wellness, LLC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(606)</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Round 2 Holdings, LLC - Warrants</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(612)</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RTCP, LLC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(1,693)</w:t>
            </w: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(1,373)</w:t>
            </w: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Shangri-La Columbia, LLC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(132,716)</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Silver Therapeutics, Inc.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(62,710)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Simspace Corporation</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21,529</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STIIIZY, Inc. (f/k/a Shryne Group Inc.)</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(37,087)</w:t>
            </w: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Subsero Holdings - Illinois, Inc</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33,726</w:t>
            </w:r>
          </w:p>
        </w:tc>
        <w:tc>
          <w:tcPr>
            <w:tcW w:w="120" w:type="dxa"/>
            <w:vAlign w:val="bottom"/>
            <w:shd w:val="clear" w:color="auto" w:fill="CFF0FC"/>
          </w:tcPr>
          <w:p>
            <w:pPr>
              <w:spacing w:after="0"/>
              <w:rPr>
                <w:sz w:val="17"/>
                <w:szCs w:val="17"/>
                <w:color w:val="auto"/>
              </w:rPr>
            </w:pPr>
          </w:p>
        </w:tc>
      </w:tr>
      <w:tr>
        <w:trPr>
          <w:trHeight w:val="202"/>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Sunny Days Enterprises, LLC</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(43,094)</w:t>
            </w: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TerrAscend Corporation</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TheraTrue, Inc.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(14,928)</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Tulip.io Inc.</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12,356</w:t>
            </w:r>
          </w:p>
        </w:tc>
        <w:tc>
          <w:tcPr>
            <w:tcW w:w="12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02"/>
        </w:trPr>
        <w:tc>
          <w:tcPr>
            <w:tcW w:w="74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Verano Holdings Corp.</w:t>
            </w: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(7,895)</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Verano Holdings Corp. - Revolver</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(133,333)</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Wellgreens 2.0, LLC</w:t>
            </w:r>
          </w:p>
        </w:tc>
        <w:tc>
          <w:tcPr>
            <w:tcW w:w="18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(19,090)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West Creek Financial Holdings, Inc. (d/b/a Koalafi)</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(23,341)</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48,669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Workbox Holdings Inc.</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(40,994)</w:t>
            </w: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Workbox Holdings Inc.: A-3 Warrants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87,000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(16,000)</w:t>
            </w:r>
          </w:p>
        </w:tc>
        <w:tc>
          <w:tcPr>
            <w:tcW w:w="0" w:type="dxa"/>
            <w:vAlign w:val="bottom"/>
          </w:tcPr>
          <w:p>
            <w:pPr>
              <w:spacing w:after="0"/>
              <w:rPr>
                <w:sz w:val="1"/>
                <w:szCs w:val="1"/>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Workbox Holdings Inc.:A-4 Warrants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(21,000)</w:t>
            </w: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Youth Opportunity Investments, LLC</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(14,791)</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37,302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4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net change in unrealized appreciation (depreciation)</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(1,426,900)</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(34,064)</w:t>
            </w:r>
          </w:p>
        </w:tc>
        <w:tc>
          <w:tcPr>
            <w:tcW w:w="0" w:type="dxa"/>
            <w:vAlign w:val="bottom"/>
          </w:tcPr>
          <w:p>
            <w:pPr>
              <w:spacing w:after="0"/>
              <w:rPr>
                <w:sz w:val="1"/>
                <w:szCs w:val="1"/>
                <w:color w:val="auto"/>
              </w:rPr>
            </w:pPr>
          </w:p>
        </w:tc>
      </w:tr>
      <w:tr>
        <w:trPr>
          <w:trHeight w:val="89"/>
        </w:trPr>
        <w:tc>
          <w:tcPr>
            <w:tcW w:w="7460" w:type="dxa"/>
            <w:vAlign w:val="bottom"/>
            <w:vMerge w:val="restart"/>
          </w:tcPr>
          <w:p>
            <w:pPr>
              <w:ind w:left="120"/>
              <w:spacing w:after="0" w:line="176" w:lineRule="exact"/>
              <w:rPr>
                <w:sz w:val="20"/>
                <w:szCs w:val="20"/>
                <w:color w:val="auto"/>
              </w:rPr>
            </w:pPr>
            <w:r>
              <w:rPr>
                <w:rFonts w:ascii="Times New Roman" w:cs="Times New Roman" w:eastAsia="Times New Roman" w:hAnsi="Times New Roman"/>
                <w:sz w:val="16"/>
                <w:szCs w:val="16"/>
                <w:color w:val="auto"/>
              </w:rPr>
              <w:t>from investments</w:t>
            </w:r>
          </w:p>
        </w:tc>
        <w:tc>
          <w:tcPr>
            <w:tcW w:w="180" w:type="dxa"/>
            <w:vAlign w:val="bottom"/>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460" w:type="dxa"/>
            <w:vAlign w:val="bottom"/>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-264795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cash flows from operating activities, including proceeds from sales of investments and principal repayments, and interest and fee income earned on investments, as well as borrowings under our Revolving Line of Credit and potentially from future offerings of our securities. The primary uses of our cash includes (i) investments in portfolio companies, (ii) payment of operating expenses, and (iii) dividend payments to holders of our common stock. We have used, and expect to continue to use, our borrowings, including our Revolving Line of Credit, as well as proceeds from investment income and the turnover of our portfolio, to finance our investment objectives and activities.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1940 Act, we are allowed to borrow amounts such that our asset coverage, calculated pursuant to the 1940 Act, is at least 150% after such borrowings (i.e., we are able to borrow up to two dollars for every dollar we have in assets less all liabilities and indebtedness not represented by senior securities issued by us). As of March 31, 2026, we had approximately $3.3 million in cash and $54.5 million in total aggregate principal amount of outstanding debt. Our asset coverage as of March 31, 2026, was 658%. Subject to borrowing base and other restrictions, we had approximately $45.5 million available for additional borrowings under the Revolving Line of Credit as of March 31, 2026.</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sufficient liquidity available to meet our short-term and long-term obligations for at least the next 12 months and for the foreseeable future thereafter. We cannot, however, be certain that these sources of funds will be available at a time and upon terms acceptable to us in sufficient amounts in the future.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we had cash of approximately $3.3 million and $2.9 million, respectively. During three months ended March 31, 2026, we experienced a net increase in cash of approximately $0.4 million. During the period, cash used in operating activities was approximately $20.8 million, primarily driven by the purchase of investments of approximately $92.7 million, partially offset by proceeds from sales of investments and principal repayments of portfolio investments of $63.4 million and net investment income of approximately $10 million. Cash provided by financing activities was approximately $21.2 million, primarily driven by net borrowings and repayments under our Revolving Line of Credit of $29.5 million, offset by distributions paid of approximately $7.8 million and financing costs paid of approximately $0.5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elected to be treated, and intend to qualify annually to be treated, as a RIC under Subchapter M of the Code for federal income tax purposes. To maintain our tax treatment as a RIC, we must meet specified source-of-income requirements and timely distribute to our stockholders for each taxable year at least 90% of our investment company taxable income. Additionally, in order for us not to be subject to U.S. federal excise taxes, we must distribute annually an amount at least equal to the sum of (i) 98% of our net ordinary income for the calendar year, (ii) 98.2% of our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estimates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Valuation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will typically be valued at the bid price of those market quotations. To validate market quotations, the Adviser utilizes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r>
        <w:rPr>
          <w:rFonts w:ascii="Times New Roman" w:cs="Times New Roman" w:eastAsia="Times New Roman" w:hAnsi="Times New Roman"/>
          <w:sz w:val="18"/>
          <w:szCs w:val="18"/>
          <w:color w:val="00B05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undertakes a multi-step valuation process, which includes, among other procedures, the following:</w:t>
      </w:r>
    </w:p>
    <w:p>
      <w:pPr>
        <w:spacing w:after="0" w:line="185" w:lineRule="exact"/>
        <w:rPr>
          <w:sz w:val="20"/>
          <w:szCs w:val="20"/>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readily available, those investments will typically be valued at the bid price of those market quotations;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valuations are documented and discussed by the Adviser’s valuation committee and, where appropriate, the independent valuation firm(s); and</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determines the fair value of each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conducts this valuation process on a quarterly basis.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Adviser applies Accounting Standards Codification ("ASC")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Adviser considers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right="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we have the ability to access at the measurement date;</w:t>
      </w:r>
    </w:p>
    <w:p>
      <w:pPr>
        <w:spacing w:after="0" w:line="13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investments as of March 31, 2026 and December 31, 2025 were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or unobservable inputs, fluctuate based on both market and company specific factors. Please refer to “Note 4 – Fair Value of Financial Instruments” in the notes to the financial statements included with this quarterly report on Form 10-Q for specific unobservable inputs.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Global Market on February 4, 2022 in connection with our initial public offering of shares of our common stock. Since October 2, 2024, our common stock trades on the Nasdaq Global Market under the symbol “LIEN.”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May 13, 2026, the last reported closing sales price of our common stock on the Nasdaq Global Market was $9.07 per share, which represented a discount of approximately 31.96% to our net asset value per share of $13.33 as of March 31,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High Sales</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Low Sales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Premium</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Premium</w:t>
            </w:r>
          </w:p>
        </w:tc>
        <w:tc>
          <w:tcPr>
            <w:tcW w:w="140" w:type="dxa"/>
            <w:vAlign w:val="bottom"/>
          </w:tcPr>
          <w:p>
            <w:pPr>
              <w:spacing w:after="0"/>
              <w:rPr>
                <w:sz w:val="17"/>
                <w:szCs w:val="17"/>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Price Range</w:t>
            </w:r>
          </w:p>
        </w:tc>
        <w:tc>
          <w:tcPr>
            <w:tcW w:w="2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7"/>
                <w:szCs w:val="17"/>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19"/>
              <w:spacing w:after="0" w:line="178" w:lineRule="exact"/>
              <w:rPr>
                <w:sz w:val="20"/>
                <w:szCs w:val="20"/>
                <w:color w:val="auto"/>
              </w:rPr>
            </w:pPr>
            <w:r>
              <w:rPr>
                <w:rFonts w:ascii="Arial" w:cs="Arial" w:eastAsia="Arial" w:hAnsi="Arial"/>
                <w:sz w:val="16"/>
                <w:szCs w:val="16"/>
                <w:b w:val="1"/>
                <w:bCs w:val="1"/>
                <w:color w:val="auto"/>
                <w:w w:val="97"/>
              </w:rPr>
              <w:t>Net Asset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rPr>
              <w:t>to Net Asset</w:t>
            </w:r>
          </w:p>
        </w:tc>
        <w:tc>
          <w:tcPr>
            <w:tcW w:w="130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rPr>
              <w:t>to Net Asset</w:t>
            </w:r>
          </w:p>
        </w:tc>
        <w:tc>
          <w:tcPr>
            <w:tcW w:w="140" w:type="dxa"/>
            <w:vAlign w:val="bottom"/>
          </w:tcPr>
          <w:p>
            <w:pPr>
              <w:spacing w:after="0"/>
              <w:rPr>
                <w:sz w:val="15"/>
                <w:szCs w:val="15"/>
                <w:color w:val="auto"/>
              </w:rPr>
            </w:pPr>
          </w:p>
        </w:tc>
        <w:tc>
          <w:tcPr>
            <w:tcW w:w="920" w:type="dxa"/>
            <w:vAlign w:val="bottom"/>
          </w:tcPr>
          <w:p>
            <w:pPr>
              <w:jc w:val="center"/>
              <w:ind w:right="59"/>
              <w:spacing w:after="0" w:line="178" w:lineRule="exact"/>
              <w:rPr>
                <w:sz w:val="20"/>
                <w:szCs w:val="20"/>
                <w:color w:val="auto"/>
              </w:rPr>
            </w:pPr>
            <w:r>
              <w:rPr>
                <w:rFonts w:ascii="Times New Roman" w:cs="Times New Roman" w:eastAsia="Times New Roman" w:hAnsi="Times New Roman"/>
                <w:sz w:val="16"/>
                <w:szCs w:val="16"/>
                <w:b w:val="1"/>
                <w:bCs w:val="1"/>
                <w:color w:val="auto"/>
              </w:rPr>
              <w:t>Per</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200" w:type="dxa"/>
            <w:vAlign w:val="bottom"/>
            <w:vMerge w:val="restart"/>
          </w:tcPr>
          <w:p>
            <w:pPr>
              <w:ind w:left="1500"/>
              <w:spacing w:after="0"/>
              <w:rPr>
                <w:sz w:val="20"/>
                <w:szCs w:val="20"/>
                <w:color w:val="auto"/>
              </w:rPr>
            </w:pPr>
            <w:r>
              <w:rPr>
                <w:rFonts w:ascii="Times New Roman" w:cs="Times New Roman" w:eastAsia="Times New Roman" w:hAnsi="Times New Roman"/>
                <w:sz w:val="16"/>
                <w:szCs w:val="16"/>
                <w:b w:val="1"/>
                <w:bCs w:val="1"/>
                <w:color w:val="auto"/>
              </w:rPr>
              <w:t>Class and Period</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Value</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Value</w:t>
            </w:r>
            <w:r>
              <w:rPr>
                <w:rFonts w:ascii="Times New Roman" w:cs="Times New Roman" w:eastAsia="Times New Roman" w:hAnsi="Times New Roman"/>
                <w:sz w:val="21"/>
                <w:szCs w:val="21"/>
                <w:b w:val="1"/>
                <w:bCs w:val="1"/>
                <w:color w:val="auto"/>
                <w:w w:val="95"/>
                <w:vertAlign w:val="superscript"/>
              </w:rPr>
              <w:t>(2)</w:t>
            </w: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Value</w:t>
            </w:r>
            <w:r>
              <w:rPr>
                <w:rFonts w:ascii="Times New Roman" w:cs="Times New Roman" w:eastAsia="Times New Roman" w:hAnsi="Times New Roman"/>
                <w:sz w:val="21"/>
                <w:szCs w:val="21"/>
                <w:b w:val="1"/>
                <w:bCs w:val="1"/>
                <w:color w:val="auto"/>
                <w:w w:val="95"/>
                <w:vertAlign w:val="superscript"/>
              </w:rPr>
              <w:t>(2)</w:t>
            </w:r>
          </w:p>
        </w:tc>
        <w:tc>
          <w:tcPr>
            <w:tcW w:w="140" w:type="dxa"/>
            <w:vAlign w:val="bottom"/>
          </w:tcPr>
          <w:p>
            <w:pPr>
              <w:spacing w:after="0"/>
              <w:rPr>
                <w:sz w:val="2"/>
                <w:szCs w:val="2"/>
                <w:color w:val="auto"/>
              </w:rPr>
            </w:pPr>
          </w:p>
        </w:tc>
        <w:tc>
          <w:tcPr>
            <w:tcW w:w="9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5"/>
              </w:rPr>
              <w:t>Share</w:t>
            </w:r>
            <w:r>
              <w:rPr>
                <w:rFonts w:ascii="Times New Roman" w:cs="Times New Roman" w:eastAsia="Times New Roman" w:hAnsi="Times New Roman"/>
                <w:sz w:val="21"/>
                <w:szCs w:val="21"/>
                <w:b w:val="1"/>
                <w:bCs w:val="1"/>
                <w:color w:val="auto"/>
                <w:w w:val="95"/>
                <w:vertAlign w:val="superscript"/>
              </w:rPr>
              <w:t>(3)</w:t>
            </w: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High</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Low</w:t>
            </w:r>
          </w:p>
        </w:tc>
        <w:tc>
          <w:tcPr>
            <w:tcW w:w="22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2026</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Quarter (Through May 13, 2026)</w:t>
            </w:r>
          </w:p>
        </w:tc>
        <w:tc>
          <w:tcPr>
            <w:tcW w:w="1040" w:type="dxa"/>
            <w:vAlign w:val="bottom"/>
            <w:gridSpan w:val="3"/>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-18.2%</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-16.2%</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-16.0%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-29.1%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-24.4%</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-26.3%</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-36.3%</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-45.8%</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First Quarter</w:t>
            </w:r>
          </w:p>
        </w:tc>
        <w:tc>
          <w:tcPr>
            <w:tcW w:w="2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14.29</w:t>
            </w:r>
          </w:p>
        </w:tc>
        <w:tc>
          <w:tcPr>
            <w:tcW w:w="34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9.98</w:t>
            </w:r>
          </w:p>
        </w:tc>
        <w:tc>
          <w:tcPr>
            <w:tcW w:w="34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8.25</w:t>
            </w:r>
          </w:p>
        </w:tc>
        <w:tc>
          <w:tcPr>
            <w:tcW w:w="1480" w:type="dxa"/>
            <w:vAlign w:val="bottom"/>
            <w:gridSpan w:val="3"/>
          </w:tcPr>
          <w:p>
            <w:pPr>
              <w:jc w:val="right"/>
              <w:ind w:right="120"/>
              <w:spacing w:after="0" w:line="159" w:lineRule="exact"/>
              <w:rPr>
                <w:sz w:val="20"/>
                <w:szCs w:val="20"/>
                <w:color w:val="auto"/>
              </w:rPr>
            </w:pPr>
            <w:r>
              <w:rPr>
                <w:rFonts w:ascii="Times New Roman" w:cs="Times New Roman" w:eastAsia="Times New Roman" w:hAnsi="Times New Roman"/>
                <w:sz w:val="16"/>
                <w:szCs w:val="16"/>
                <w:color w:val="auto"/>
              </w:rPr>
              <w:t>-30.2%</w:t>
            </w:r>
          </w:p>
        </w:tc>
        <w:tc>
          <w:tcPr>
            <w:tcW w:w="13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6"/>
                <w:szCs w:val="16"/>
                <w:color w:val="auto"/>
              </w:rPr>
              <w:t>-42.3%</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2022</w:t>
            </w:r>
            <w:r>
              <w:rPr>
                <w:rFonts w:ascii="Times New Roman" w:cs="Times New Roman" w:eastAsia="Times New Roman" w:hAnsi="Times New Roman"/>
                <w:sz w:val="21"/>
                <w:szCs w:val="21"/>
                <w:b w:val="1"/>
                <w:bCs w:val="1"/>
                <w:color w:val="auto"/>
                <w:vertAlign w:val="superscript"/>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-21.8%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-42.8%</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r>
              <w:rPr>
                <w:rFonts w:ascii="Times New Roman" w:cs="Times New Roman" w:eastAsia="Times New Roman" w:hAnsi="Times New Roman"/>
                <w:sz w:val="21"/>
                <w:szCs w:val="21"/>
                <w:color w:val="auto"/>
                <w:vertAlign w:val="superscript"/>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1289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90" w:lineRule="exact"/>
        <w:rPr>
          <w:sz w:val="20"/>
          <w:szCs w:val="20"/>
          <w:color w:val="auto"/>
        </w:rPr>
      </w:pPr>
    </w:p>
    <w:p>
      <w:pPr>
        <w:ind w:firstLine="8"/>
        <w:spacing w:after="0" w:line="233" w:lineRule="auto"/>
        <w:tabs>
          <w:tab w:leader="none" w:pos="20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220" w:hanging="212"/>
        <w:spacing w:after="0" w:line="221"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respective high or low closing sales price less net asset value, divided by net asset value (in each case, as of the end of the applicable quarter).</w:t>
      </w:r>
    </w:p>
    <w:p>
      <w:pPr>
        <w:ind w:left="220" w:hanging="212"/>
        <w:spacing w:after="0" w:line="221"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dividend or distribution declared in the relevant quarter.</w:t>
      </w:r>
    </w:p>
    <w:p>
      <w:pPr>
        <w:ind w:left="220" w:hanging="212"/>
        <w:spacing w:after="0" w:line="221"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8, 2022, our Board approved a change to our fiscal year end from March 31 to December 31.</w:t>
      </w:r>
    </w:p>
    <w:p>
      <w:pPr>
        <w:ind w:firstLine="8"/>
        <w:spacing w:after="0" w:line="221" w:lineRule="auto"/>
        <w:tabs>
          <w:tab w:leader="none" w:pos="21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common stock began trading on the Nasdaq Global Market on February 4, 2022. Since October 2, 2024, our common stock trades on the Nasdaq Global Market under the symbol “LIEN.”</w:t>
      </w:r>
    </w:p>
    <w:p>
      <w:pPr>
        <w:ind w:left="220" w:hanging="212"/>
        <w:spacing w:after="0" w:line="221"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quarterly dividend and a special dividend.</w:t>
      </w:r>
    </w:p>
    <w:p>
      <w:pPr>
        <w:ind w:left="220" w:hanging="212"/>
        <w:spacing w:after="0" w:line="221"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is payable on July 10, 2026 to stockholders of record on June 26, 2026.</w:t>
      </w:r>
    </w:p>
    <w:p>
      <w:pPr>
        <w:spacing w:after="0"/>
        <w:rPr>
          <w:sz w:val="20"/>
          <w:szCs w:val="20"/>
          <w:color w:val="auto"/>
        </w:rPr>
      </w:pPr>
      <w:r>
        <w:rPr>
          <w:rFonts w:ascii="Times New Roman" w:cs="Times New Roman" w:eastAsia="Times New Roman" w:hAnsi="Times New Roman"/>
          <w:sz w:val="14"/>
          <w:szCs w:val="14"/>
          <w:color w:val="auto"/>
        </w:rPr>
        <w:t>* Not determined at time of filing.</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13, 2026, there were approximately 113 holders of record of our common stock, which does not include stockholders for whom shares are held in “nominee” or “street 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we have income available, we intend to make quarterly distributions to our stockholders. The amount of our distributions, if any, will be determined by our Board.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pay quarterly distributions to our stockholders out of assets legally available for distribution. All distributions will be paid at the discretion of our Board and will depend on our earnings, financial condition, maintenance of our tax treatment as a RIC, compliance with applicable BDC regulations and such other factors as our Board may deem relevant from time to time.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and/or paid by the Company from inception through March 31,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2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2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00" w:type="dxa"/>
            <w:vAlign w:val="bottom"/>
          </w:tcPr>
          <w:p>
            <w:pPr>
              <w:spacing w:after="0"/>
              <w:rPr>
                <w:sz w:val="18"/>
                <w:szCs w:val="18"/>
                <w:color w:val="auto"/>
              </w:rPr>
            </w:pPr>
          </w:p>
        </w:tc>
      </w:tr>
      <w:tr>
        <w:trPr>
          <w:trHeight w:val="199"/>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10, 2023</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15, 2023</w:t>
            </w:r>
          </w:p>
        </w:tc>
        <w:tc>
          <w:tcPr>
            <w:tcW w:w="12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29, 2023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1,429,375</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10, 2023</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Special</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15, 2023</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29, 2023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2,485,869</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November 9, 2023</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20, 2023</w:t>
            </w:r>
          </w:p>
        </w:tc>
        <w:tc>
          <w:tcPr>
            <w:tcW w:w="12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1,553,676</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9, 2023</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Special</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 2023</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2,796,617</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12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1,553,736</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1,553,738</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8, 2024</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12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1,553,741</w:t>
            </w:r>
          </w:p>
        </w:tc>
        <w:tc>
          <w:tcPr>
            <w:tcW w:w="100" w:type="dxa"/>
            <w:vAlign w:val="bottom"/>
            <w:shd w:val="clear" w:color="auto" w:fill="CFF0FC"/>
          </w:tcPr>
          <w:p>
            <w:pPr>
              <w:spacing w:after="0"/>
              <w:rPr>
                <w:sz w:val="17"/>
                <w:szCs w:val="17"/>
                <w:color w:val="auto"/>
              </w:rPr>
            </w:pPr>
          </w:p>
        </w:tc>
      </w:tr>
      <w:tr>
        <w:trPr>
          <w:trHeight w:val="202"/>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9, 2024</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27, 2024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7,758,925</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12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7,758,931</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7,758,939</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14, 2025</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29, 2025</w:t>
            </w:r>
          </w:p>
        </w:tc>
        <w:tc>
          <w:tcPr>
            <w:tcW w:w="12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October 10, 2025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11, 2025</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18, 2026</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30, 2026</w:t>
            </w:r>
          </w:p>
        </w:tc>
        <w:tc>
          <w:tcPr>
            <w:tcW w:w="12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14, 2026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shd w:val="clear" w:color="auto" w:fill="CFF0FC"/>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2025, we operated an “opt out” Dividend Reinvestment Plan (“DRIP”) for our stockholders. As a result, if we declared a dividend, then stockholders’ cash distributions were automatically reinvested in additional shares of our common stock, unless they specifically chose to “opt out” of the DRIP so as to receive cash distributions. Stockholders who received distributions in the form of shares of our common stock generally were subject to the same U.S. federal income tax consequences as were stockholders who elected to receive their distributions in cash.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issued no shares of common stock under the DRIP.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right="960"/>
        <w:spacing w:after="0" w:line="453" w:lineRule="auto"/>
        <w:rPr>
          <w:sz w:val="20"/>
          <w:szCs w:val="20"/>
          <w:color w:val="auto"/>
        </w:rPr>
      </w:pPr>
      <w:r>
        <w:rPr>
          <w:rFonts w:ascii="Times New Roman" w:cs="Times New Roman" w:eastAsia="Times New Roman" w:hAnsi="Times New Roman"/>
          <w:sz w:val="18"/>
          <w:szCs w:val="18"/>
          <w:color w:val="auto"/>
        </w:rPr>
        <w:t xml:space="preserve">We did not repurchase any of our equity securities during the three months ended March 31, 2026 or the fiscal year ended December 31, 2025. </w:t>
      </w:r>
      <w:r>
        <w:rPr>
          <w:rFonts w:ascii="Times New Roman" w:cs="Times New Roman" w:eastAsia="Times New Roman" w:hAnsi="Times New Roman"/>
          <w:sz w:val="18"/>
          <w:szCs w:val="18"/>
          <w:b w:val="1"/>
          <w:bCs w:val="1"/>
          <w:color w:val="auto"/>
        </w:rPr>
        <w:t>Item 3. Quantitative and Qualitative Disclosures About Market Risk</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Uncertainty with respect to the economic effects of political tensions in the United States and around the world (including the current conflicts between Russia and Ukraine and in the Middle East)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investments generally do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and risk refer to the change in earnings that may result from changes in the level of interest rates. To the extent that we borrow money to make investments, including under our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76.4% of our debt investments based on outstanding principal balance represented floating-rate investments based on PRIME or SOFR and approximately 23.6% of our debt investments based on outstanding principal balance represented fixed rate investments. As of December 31, 2025, 71.8% of our debt investments based on outstanding principal balance represented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floating-rate investments based on PRIME or SOFR and approximately 28.2% of our debt investments based on outstanding principal balance represented fixed rate investments.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Statements of Assets and Liabilities as of March 31, 2026, the following table shows the annualized impact on net investment income of hypothetical base rate changes in the benchmark rate on our debt investments (considering interest rate floors/ceilings for floating rate instruments) and hypothetical changes in the SOFR on our Revolving line of credit, assuming that there is no change in our investment and borrowing structure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5"/>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Rates</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 Interest Income</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in Interest Expense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 Net Investment Income</w:t>
            </w:r>
          </w:p>
        </w:tc>
        <w:tc>
          <w:tcPr>
            <w:tcW w:w="100" w:type="dxa"/>
            <w:vAlign w:val="bottom"/>
          </w:tcPr>
          <w:p>
            <w:pPr>
              <w:spacing w:after="0"/>
              <w:rPr>
                <w:sz w:val="18"/>
                <w:szCs w:val="18"/>
                <w:color w:val="auto"/>
              </w:rPr>
            </w:pPr>
          </w:p>
        </w:tc>
      </w:tr>
      <w:tr>
        <w:trPr>
          <w:trHeight w:val="19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300 basis points</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Up 200 basis points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tcPr>
          <w:p>
            <w:pPr>
              <w:spacing w:after="0"/>
              <w:rPr>
                <w:sz w:val="17"/>
                <w:szCs w:val="17"/>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100 basis points</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shd w:val="clear" w:color="auto" w:fill="CFF0FC"/>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Down 100 basis points</w:t>
            </w:r>
          </w:p>
        </w:tc>
        <w:tc>
          <w:tcPr>
            <w:tcW w:w="350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(82)</w:t>
            </w:r>
          </w:p>
        </w:tc>
        <w:tc>
          <w:tcPr>
            <w:tcW w:w="26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rPr>
              <w:t>(364)</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w:t>
            </w:r>
          </w:p>
        </w:tc>
      </w:tr>
      <w:tr>
        <w:trPr>
          <w:trHeight w:val="20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Down 200 basis points</w:t>
            </w:r>
          </w:p>
        </w:tc>
        <w:tc>
          <w:tcPr>
            <w:tcW w:w="350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(82)</w:t>
            </w:r>
          </w:p>
        </w:tc>
        <w:tc>
          <w:tcPr>
            <w:tcW w:w="266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6"/>
                <w:szCs w:val="16"/>
                <w:color w:val="auto"/>
              </w:rPr>
              <w:t>(364)</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282</w:t>
            </w: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Down 300 basis points</w:t>
            </w:r>
          </w:p>
        </w:tc>
        <w:tc>
          <w:tcPr>
            <w:tcW w:w="350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(82)</w:t>
            </w:r>
          </w:p>
        </w:tc>
        <w:tc>
          <w:tcPr>
            <w:tcW w:w="26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rPr>
              <w:t>(364)</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Rules 13a-15(b) and 15d-15(b) under the Securities Exchange Act of 1934 (the “Exchange Act”), we, under the supervision and with the participation of our Chief Executive Officer and Interim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three months ended March 31, 2026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three months ended March 31, 2026 to the risk factors discussed in “Item 1A. Risk Factors” in our annual report on Form 10-K for the fiscal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 or hereby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94"/>
        </w:trPr>
        <w:tc>
          <w:tcPr>
            <w:tcW w:w="120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4140" w:type="dxa"/>
            <w:vAlign w:val="bottom"/>
            <w:tcBorders>
              <w:bottom w:val="single" w:sz="8" w:color="CCEEFF"/>
            </w:tcBorders>
            <w:gridSpan w:val="12"/>
            <w:vMerge w:val="restart"/>
            <w:shd w:val="clear" w:color="auto" w:fill="CCEEFF"/>
          </w:tcPr>
          <w:p>
            <w:pPr>
              <w:spacing w:after="0" w:line="176" w:lineRule="exact"/>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Articles of Amendment and Restatement of the Company</w:t>
              </w:r>
            </w:hyperlink>
          </w:p>
        </w:tc>
        <w:tc>
          <w:tcPr>
            <w:tcW w:w="140" w:type="dxa"/>
            <w:vAlign w:val="bottom"/>
            <w:tcBorders>
              <w:bottom w:val="single" w:sz="8" w:color="0000FF"/>
            </w:tcBorders>
            <w:shd w:val="clear" w:color="auto" w:fill="CCEEFF"/>
          </w:tcPr>
          <w:p>
            <w:pPr>
              <w:jc w:val="right"/>
              <w:spacing w:after="0" w:line="75" w:lineRule="exact"/>
              <w:rPr>
                <w:rFonts w:ascii="Times New Roman" w:cs="Times New Roman" w:eastAsia="Times New Roman" w:hAnsi="Times New Roman"/>
                <w:sz w:val="8"/>
                <w:szCs w:val="8"/>
                <w:color w:val="0000FF"/>
              </w:rPr>
            </w:pPr>
            <w:hyperlink r:id="rId392">
              <w:r>
                <w:rPr>
                  <w:rFonts w:ascii="Times New Roman" w:cs="Times New Roman" w:eastAsia="Times New Roman" w:hAnsi="Times New Roman"/>
                  <w:sz w:val="8"/>
                  <w:szCs w:val="8"/>
                  <w:color w:val="0000FF"/>
                </w:rPr>
                <w:t>(1)</w:t>
              </w:r>
            </w:hyperlink>
          </w:p>
        </w:tc>
        <w:tc>
          <w:tcPr>
            <w:tcW w:w="5760" w:type="dxa"/>
            <w:vAlign w:val="bottom"/>
            <w:tcBorders>
              <w:bottom w:val="single" w:sz="8" w:color="CCEEFF"/>
            </w:tcBorders>
            <w:gridSpan w:val="2"/>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4140" w:type="dxa"/>
            <w:vAlign w:val="bottom"/>
            <w:tcBorders>
              <w:bottom w:val="single" w:sz="8" w:color="0000FF"/>
            </w:tcBorders>
            <w:gridSpan w:val="12"/>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5760" w:type="dxa"/>
            <w:vAlign w:val="bottom"/>
            <w:tcBorders>
              <w:bottom w:val="single" w:sz="8" w:color="CCEEFF"/>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00" w:type="dxa"/>
            <w:vAlign w:val="bottom"/>
            <w:tcBorders>
              <w:top w:val="single" w:sz="8" w:color="CCEEFF"/>
              <w:bottom w:val="single" w:sz="8" w:color="CCEEFF"/>
            </w:tcBorders>
            <w:gridSpan w:val="2"/>
            <w:vMerge w:val="restart"/>
          </w:tcPr>
          <w:p>
            <w:pPr>
              <w:spacing w:after="0" w:line="176" w:lineRule="exact"/>
              <w:rPr>
                <w:rFonts w:ascii="Times New Roman" w:cs="Times New Roman" w:eastAsia="Times New Roman" w:hAnsi="Times New Roman"/>
                <w:sz w:val="18"/>
                <w:szCs w:val="18"/>
                <w:color w:val="auto"/>
              </w:rPr>
            </w:pPr>
            <w:hyperlink r:id="rId393">
              <w:r>
                <w:rPr>
                  <w:rFonts w:ascii="Times New Roman" w:cs="Times New Roman" w:eastAsia="Times New Roman" w:hAnsi="Times New Roman"/>
                  <w:sz w:val="18"/>
                  <w:szCs w:val="18"/>
                  <w:color w:val="auto"/>
                </w:rPr>
                <w:t>3.2</w:t>
              </w:r>
            </w:hyperlink>
          </w:p>
        </w:tc>
        <w:tc>
          <w:tcPr>
            <w:tcW w:w="2900" w:type="dxa"/>
            <w:vAlign w:val="bottom"/>
            <w:tcBorders>
              <w:top w:val="single" w:sz="8" w:color="CCEEFF"/>
              <w:bottom w:val="single" w:sz="8" w:color="CCEEFF"/>
            </w:tcBorders>
            <w:gridSpan w:val="8"/>
            <w:vMerge w:val="restart"/>
          </w:tcPr>
          <w:p>
            <w:pPr>
              <w:spacing w:after="0" w:line="176" w:lineRule="exact"/>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Articles of Amendment of the Company</w:t>
              </w:r>
            </w:hyperlink>
          </w:p>
        </w:tc>
        <w:tc>
          <w:tcPr>
            <w:tcW w:w="140" w:type="dxa"/>
            <w:vAlign w:val="bottom"/>
            <w:tcBorders>
              <w:top w:val="single" w:sz="8" w:color="CCEEFF"/>
              <w:bottom w:val="single" w:sz="8" w:color="0000FF"/>
            </w:tcBorders>
          </w:tcPr>
          <w:p>
            <w:pPr>
              <w:jc w:val="right"/>
              <w:spacing w:after="0" w:line="75" w:lineRule="exact"/>
              <w:rPr>
                <w:rFonts w:ascii="Times New Roman" w:cs="Times New Roman" w:eastAsia="Times New Roman" w:hAnsi="Times New Roman"/>
                <w:sz w:val="8"/>
                <w:szCs w:val="8"/>
                <w:color w:val="0000FF"/>
              </w:rPr>
            </w:pPr>
            <w:hyperlink r:id="rId393">
              <w:r>
                <w:rPr>
                  <w:rFonts w:ascii="Times New Roman" w:cs="Times New Roman" w:eastAsia="Times New Roman" w:hAnsi="Times New Roman"/>
                  <w:sz w:val="8"/>
                  <w:szCs w:val="8"/>
                  <w:color w:val="0000FF"/>
                </w:rPr>
                <w:t>(2)</w:t>
              </w:r>
            </w:hyperlink>
          </w:p>
        </w:tc>
        <w:tc>
          <w:tcPr>
            <w:tcW w:w="560" w:type="dxa"/>
            <w:vAlign w:val="bottom"/>
            <w:tcBorders>
              <w:top w:val="single" w:sz="8" w:color="CCEEFF"/>
              <w:bottom w:val="single" w:sz="8" w:color="CCEEFF"/>
            </w:tcBorders>
            <w:gridSpan w:val="2"/>
            <w:vMerge w:val="restart"/>
          </w:tcPr>
          <w:p>
            <w:pPr>
              <w:spacing w:after="0"/>
              <w:rPr>
                <w:sz w:val="8"/>
                <w:szCs w:val="8"/>
                <w:color w:val="auto"/>
              </w:rPr>
            </w:pPr>
          </w:p>
        </w:tc>
        <w:tc>
          <w:tcPr>
            <w:tcW w:w="6440" w:type="dxa"/>
            <w:vAlign w:val="bottom"/>
            <w:tcBorders>
              <w:top w:val="single" w:sz="8" w:color="CCEEFF"/>
              <w:bottom w:val="single" w:sz="8" w:color="CCEEFF"/>
            </w:tcBorders>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00" w:type="dxa"/>
            <w:vAlign w:val="bottom"/>
            <w:gridSpan w:val="2"/>
            <w:vMerge w:val="continue"/>
          </w:tcPr>
          <w:p>
            <w:pPr>
              <w:spacing w:after="0"/>
              <w:rPr>
                <w:sz w:val="5"/>
                <w:szCs w:val="5"/>
                <w:color w:val="auto"/>
              </w:rPr>
            </w:pPr>
          </w:p>
        </w:tc>
        <w:tc>
          <w:tcPr>
            <w:tcW w:w="2900" w:type="dxa"/>
            <w:vAlign w:val="bottom"/>
            <w:gridSpan w:val="8"/>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0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3460" w:type="dxa"/>
            <w:vAlign w:val="bottom"/>
            <w:tcBorders>
              <w:bottom w:val="single" w:sz="8" w:color="CCEEFF"/>
            </w:tcBorders>
            <w:gridSpan w:val="10"/>
            <w:vMerge w:val="restart"/>
            <w:shd w:val="clear" w:color="auto" w:fill="CCEEFF"/>
          </w:tcPr>
          <w:p>
            <w:pPr>
              <w:spacing w:after="0" w:line="176" w:lineRule="exact"/>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Amended and Restated Bylaws of the Company</w:t>
              </w:r>
            </w:hyperlink>
          </w:p>
        </w:tc>
        <w:tc>
          <w:tcPr>
            <w:tcW w:w="140" w:type="dxa"/>
            <w:vAlign w:val="bottom"/>
            <w:tcBorders>
              <w:bottom w:val="single" w:sz="8" w:color="0000FF"/>
            </w:tcBorders>
            <w:shd w:val="clear" w:color="auto" w:fill="CCEEFF"/>
          </w:tcPr>
          <w:p>
            <w:pPr>
              <w:jc w:val="right"/>
              <w:spacing w:after="0" w:line="75" w:lineRule="exact"/>
              <w:rPr>
                <w:rFonts w:ascii="Times New Roman" w:cs="Times New Roman" w:eastAsia="Times New Roman" w:hAnsi="Times New Roman"/>
                <w:sz w:val="8"/>
                <w:szCs w:val="8"/>
                <w:color w:val="0000FF"/>
              </w:rPr>
            </w:pPr>
            <w:hyperlink r:id="rId394">
              <w:r>
                <w:rPr>
                  <w:rFonts w:ascii="Times New Roman" w:cs="Times New Roman" w:eastAsia="Times New Roman" w:hAnsi="Times New Roman"/>
                  <w:sz w:val="8"/>
                  <w:szCs w:val="8"/>
                  <w:color w:val="0000FF"/>
                </w:rPr>
                <w:t>(3)</w:t>
              </w:r>
            </w:hyperlink>
          </w:p>
        </w:tc>
        <w:tc>
          <w:tcPr>
            <w:tcW w:w="6440" w:type="dxa"/>
            <w:vAlign w:val="bottom"/>
            <w:tcBorders>
              <w:bottom w:val="single" w:sz="8" w:color="CCEEFF"/>
            </w:tcBorders>
            <w:gridSpan w:val="4"/>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3460" w:type="dxa"/>
            <w:vAlign w:val="bottom"/>
            <w:tcBorders>
              <w:bottom w:val="single" w:sz="8" w:color="0000FF"/>
            </w:tcBorders>
            <w:gridSpan w:val="10"/>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6440" w:type="dxa"/>
            <w:vAlign w:val="bottom"/>
            <w:tcBorders>
              <w:bottom w:val="single" w:sz="8" w:color="CCEEFF"/>
            </w:tcBorders>
            <w:gridSpan w:val="4"/>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20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Borders>
              <w:top w:val="single" w:sz="8" w:color="CCEEFF"/>
              <w:bottom w:val="single" w:sz="8" w:color="CCEEFF"/>
            </w:tcBorders>
            <w:gridSpan w:val="5"/>
            <w:vMerge w:val="restart"/>
          </w:tcPr>
          <w:p>
            <w:pPr>
              <w:spacing w:after="0" w:line="176" w:lineRule="exact"/>
              <w:rPr>
                <w:rFonts w:ascii="Times New Roman" w:cs="Times New Roman" w:eastAsia="Times New Roman" w:hAnsi="Times New Roman"/>
                <w:sz w:val="18"/>
                <w:szCs w:val="18"/>
                <w:color w:val="0000FF"/>
                <w:w w:val="98"/>
              </w:rPr>
            </w:pPr>
            <w:hyperlink r:id="rId395">
              <w:r>
                <w:rPr>
                  <w:rFonts w:ascii="Times New Roman" w:cs="Times New Roman" w:eastAsia="Times New Roman" w:hAnsi="Times New Roman"/>
                  <w:sz w:val="18"/>
                  <w:szCs w:val="18"/>
                  <w:color w:val="0000FF"/>
                  <w:w w:val="98"/>
                </w:rPr>
                <w:t>WATC Custody Agreement</w:t>
              </w:r>
            </w:hyperlink>
          </w:p>
        </w:tc>
        <w:tc>
          <w:tcPr>
            <w:tcW w:w="140" w:type="dxa"/>
            <w:vAlign w:val="bottom"/>
            <w:tcBorders>
              <w:top w:val="single" w:sz="8" w:color="CCEEFF"/>
              <w:bottom w:val="single" w:sz="8" w:color="0000FF"/>
            </w:tcBorders>
            <w:gridSpan w:val="2"/>
          </w:tcPr>
          <w:p>
            <w:pPr>
              <w:jc w:val="right"/>
              <w:spacing w:after="0" w:line="75" w:lineRule="exact"/>
              <w:rPr>
                <w:rFonts w:ascii="Times New Roman" w:cs="Times New Roman" w:eastAsia="Times New Roman" w:hAnsi="Times New Roman"/>
                <w:sz w:val="8"/>
                <w:szCs w:val="8"/>
                <w:color w:val="0000FF"/>
              </w:rPr>
            </w:pPr>
            <w:hyperlink r:id="rId395">
              <w:r>
                <w:rPr>
                  <w:rFonts w:ascii="Times New Roman" w:cs="Times New Roman" w:eastAsia="Times New Roman" w:hAnsi="Times New Roman"/>
                  <w:sz w:val="8"/>
                  <w:szCs w:val="8"/>
                  <w:color w:val="0000FF"/>
                </w:rPr>
                <w:t>(4)</w:t>
              </w:r>
            </w:hyperlink>
          </w:p>
        </w:tc>
        <w:tc>
          <w:tcPr>
            <w:tcW w:w="7880" w:type="dxa"/>
            <w:vAlign w:val="bottom"/>
            <w:tcBorders>
              <w:top w:val="single" w:sz="8" w:color="CCEEFF"/>
              <w:bottom w:val="single" w:sz="8" w:color="CCEEFF"/>
            </w:tcBorders>
            <w:gridSpan w:val="8"/>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00" w:type="dxa"/>
            <w:vAlign w:val="bottom"/>
            <w:gridSpan w:val="2"/>
            <w:vMerge w:val="continue"/>
          </w:tcPr>
          <w:p>
            <w:pPr>
              <w:spacing w:after="0"/>
              <w:rPr>
                <w:sz w:val="5"/>
                <w:szCs w:val="5"/>
                <w:color w:val="auto"/>
              </w:rPr>
            </w:pPr>
          </w:p>
        </w:tc>
        <w:tc>
          <w:tcPr>
            <w:tcW w:w="2020" w:type="dxa"/>
            <w:vAlign w:val="bottom"/>
            <w:tcBorders>
              <w:bottom w:val="single" w:sz="8" w:color="0000FF"/>
            </w:tcBorders>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20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900" w:type="dxa"/>
            <w:vAlign w:val="bottom"/>
            <w:tcBorders>
              <w:bottom w:val="single" w:sz="8" w:color="CCEEFF"/>
            </w:tcBorders>
            <w:gridSpan w:val="4"/>
            <w:vMerge w:val="restart"/>
            <w:shd w:val="clear" w:color="auto" w:fill="CCEEFF"/>
          </w:tcPr>
          <w:p>
            <w:pPr>
              <w:spacing w:after="0" w:line="176" w:lineRule="exact"/>
              <w:rPr>
                <w:rFonts w:ascii="Times New Roman" w:cs="Times New Roman" w:eastAsia="Times New Roman" w:hAnsi="Times New Roman"/>
                <w:sz w:val="18"/>
                <w:szCs w:val="18"/>
                <w:color w:val="0000FF"/>
                <w:w w:val="98"/>
              </w:rPr>
            </w:pPr>
            <w:hyperlink r:id="rId396">
              <w:r>
                <w:rPr>
                  <w:rFonts w:ascii="Times New Roman" w:cs="Times New Roman" w:eastAsia="Times New Roman" w:hAnsi="Times New Roman"/>
                  <w:sz w:val="18"/>
                  <w:szCs w:val="18"/>
                  <w:color w:val="0000FF"/>
                  <w:w w:val="98"/>
                </w:rPr>
                <w:t>WAB Custody Agreement</w:t>
              </w:r>
            </w:hyperlink>
          </w:p>
        </w:tc>
        <w:tc>
          <w:tcPr>
            <w:tcW w:w="140" w:type="dxa"/>
            <w:vAlign w:val="bottom"/>
            <w:tcBorders>
              <w:bottom w:val="single" w:sz="8" w:color="0000FF"/>
            </w:tcBorders>
            <w:gridSpan w:val="2"/>
            <w:shd w:val="clear" w:color="auto" w:fill="CCEEFF"/>
          </w:tcPr>
          <w:p>
            <w:pPr>
              <w:jc w:val="right"/>
              <w:spacing w:after="0" w:line="75" w:lineRule="exact"/>
              <w:rPr>
                <w:rFonts w:ascii="Times New Roman" w:cs="Times New Roman" w:eastAsia="Times New Roman" w:hAnsi="Times New Roman"/>
                <w:sz w:val="8"/>
                <w:szCs w:val="8"/>
                <w:color w:val="0000FF"/>
              </w:rPr>
            </w:pPr>
            <w:hyperlink r:id="rId396">
              <w:r>
                <w:rPr>
                  <w:rFonts w:ascii="Times New Roman" w:cs="Times New Roman" w:eastAsia="Times New Roman" w:hAnsi="Times New Roman"/>
                  <w:sz w:val="8"/>
                  <w:szCs w:val="8"/>
                  <w:color w:val="0000FF"/>
                </w:rPr>
                <w:t>(5)</w:t>
              </w:r>
            </w:hyperlink>
          </w:p>
        </w:tc>
        <w:tc>
          <w:tcPr>
            <w:tcW w:w="8000" w:type="dxa"/>
            <w:vAlign w:val="bottom"/>
            <w:tcBorders>
              <w:bottom w:val="single" w:sz="8" w:color="CCEEFF"/>
            </w:tcBorders>
            <w:gridSpan w:val="9"/>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1900" w:type="dxa"/>
            <w:vAlign w:val="bottom"/>
            <w:tcBorders>
              <w:bottom w:val="single" w:sz="8" w:color="0000FF"/>
            </w:tcBorders>
            <w:gridSpan w:val="4"/>
            <w:vMerge w:val="continue"/>
            <w:shd w:val="clear" w:color="auto" w:fill="CCEEFF"/>
          </w:tcPr>
          <w:p>
            <w:pPr>
              <w:spacing w:after="0"/>
              <w:rPr>
                <w:sz w:val="7"/>
                <w:szCs w:val="7"/>
                <w:color w:val="auto"/>
              </w:rPr>
            </w:pPr>
          </w:p>
        </w:tc>
        <w:tc>
          <w:tcPr>
            <w:tcW w:w="140" w:type="dxa"/>
            <w:vAlign w:val="bottom"/>
            <w:tcBorders>
              <w:bottom w:val="single" w:sz="8" w:color="CCEEFF"/>
            </w:tcBorders>
            <w:gridSpan w:val="2"/>
            <w:shd w:val="clear" w:color="auto" w:fill="CCEEFF"/>
          </w:tcPr>
          <w:p>
            <w:pPr>
              <w:spacing w:after="0"/>
              <w:rPr>
                <w:sz w:val="7"/>
                <w:szCs w:val="7"/>
                <w:color w:val="auto"/>
              </w:rPr>
            </w:pPr>
          </w:p>
        </w:tc>
        <w:tc>
          <w:tcPr>
            <w:tcW w:w="8000" w:type="dxa"/>
            <w:vAlign w:val="bottom"/>
            <w:tcBorders>
              <w:bottom w:val="single" w:sz="8" w:color="CCEEFF"/>
            </w:tcBorders>
            <w:gridSpan w:val="9"/>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20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tcBorders>
              <w:top w:val="single" w:sz="8" w:color="CCEEFF"/>
              <w:bottom w:val="single" w:sz="8" w:color="CCEEFF"/>
            </w:tcBorders>
            <w:gridSpan w:val="2"/>
            <w:vMerge w:val="restart"/>
          </w:tcPr>
          <w:p>
            <w:pPr>
              <w:spacing w:after="0" w:line="176" w:lineRule="exact"/>
              <w:rPr>
                <w:rFonts w:ascii="Times New Roman" w:cs="Times New Roman" w:eastAsia="Times New Roman" w:hAnsi="Times New Roman"/>
                <w:sz w:val="18"/>
                <w:szCs w:val="18"/>
                <w:color w:val="0000FF"/>
                <w:w w:val="97"/>
              </w:rPr>
            </w:pPr>
            <w:hyperlink r:id="rId397">
              <w:r>
                <w:rPr>
                  <w:rFonts w:ascii="Times New Roman" w:cs="Times New Roman" w:eastAsia="Times New Roman" w:hAnsi="Times New Roman"/>
                  <w:sz w:val="18"/>
                  <w:szCs w:val="18"/>
                  <w:color w:val="0000FF"/>
                  <w:w w:val="97"/>
                </w:rPr>
                <w:t>Credit Agreement</w:t>
              </w:r>
            </w:hyperlink>
          </w:p>
        </w:tc>
        <w:tc>
          <w:tcPr>
            <w:tcW w:w="160" w:type="dxa"/>
            <w:vAlign w:val="bottom"/>
            <w:tcBorders>
              <w:top w:val="single" w:sz="8" w:color="CCEEFF"/>
              <w:bottom w:val="single" w:sz="8" w:color="0000FF"/>
            </w:tcBorders>
          </w:tcPr>
          <w:p>
            <w:pPr>
              <w:jc w:val="right"/>
              <w:spacing w:after="0" w:line="75" w:lineRule="exact"/>
              <w:rPr>
                <w:rFonts w:ascii="Times New Roman" w:cs="Times New Roman" w:eastAsia="Times New Roman" w:hAnsi="Times New Roman"/>
                <w:sz w:val="8"/>
                <w:szCs w:val="8"/>
                <w:color w:val="0000FF"/>
              </w:rPr>
            </w:pPr>
            <w:hyperlink r:id="rId397">
              <w:r>
                <w:rPr>
                  <w:rFonts w:ascii="Times New Roman" w:cs="Times New Roman" w:eastAsia="Times New Roman" w:hAnsi="Times New Roman"/>
                  <w:sz w:val="8"/>
                  <w:szCs w:val="8"/>
                  <w:color w:val="0000FF"/>
                </w:rPr>
                <w:t>(6)</w:t>
              </w:r>
            </w:hyperlink>
          </w:p>
        </w:tc>
        <w:tc>
          <w:tcPr>
            <w:tcW w:w="8600" w:type="dxa"/>
            <w:vAlign w:val="bottom"/>
            <w:tcBorders>
              <w:top w:val="single" w:sz="8" w:color="CCEEFF"/>
              <w:bottom w:val="single" w:sz="8" w:color="CCEEFF"/>
            </w:tcBorders>
            <w:gridSpan w:val="12"/>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00" w:type="dxa"/>
            <w:vAlign w:val="bottom"/>
            <w:gridSpan w:val="2"/>
            <w:vMerge w:val="continue"/>
          </w:tcPr>
          <w:p>
            <w:pPr>
              <w:spacing w:after="0"/>
              <w:rPr>
                <w:sz w:val="5"/>
                <w:szCs w:val="5"/>
                <w:color w:val="auto"/>
              </w:rPr>
            </w:pPr>
          </w:p>
        </w:tc>
        <w:tc>
          <w:tcPr>
            <w:tcW w:w="1280" w:type="dxa"/>
            <w:vAlign w:val="bottom"/>
            <w:tcBorders>
              <w:bottom w:val="single" w:sz="8" w:color="0000FF"/>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4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4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17"/>
        </w:trPr>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Oxley Act of 2002*</w:t>
            </w:r>
          </w:p>
        </w:tc>
        <w:tc>
          <w:tcPr>
            <w:tcW w:w="8600" w:type="dxa"/>
            <w:vAlign w:val="bottom"/>
            <w:tcBorders>
              <w:bottom w:val="single" w:sz="8" w:color="CCEEFF"/>
            </w:tcBorders>
            <w:gridSpan w:val="1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(this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8"/>
        </w:trPr>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040" w:firstLine="53"/>
        <w:spacing w:after="0" w:line="486" w:lineRule="auto"/>
        <w:tabs>
          <w:tab w:leader="none" w:pos="123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herewith.</w:t>
      </w:r>
    </w:p>
    <w:p>
      <w:pPr>
        <w:spacing w:after="0" w:line="1"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3.1 of the Company’s annual report on Form 10-K/A, filed on June 30, 2022.</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3.2 of the Company’s quarterly report on Form 10-Q filed on November 8, 2024.</w:t>
      </w:r>
    </w:p>
    <w:p>
      <w:pPr>
        <w:ind w:left="520" w:hanging="512"/>
        <w:spacing w:after="0" w:line="221"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3.2 of the Company’s annual report on Form 10-K/A, filed on June 30, 2022.</w:t>
      </w:r>
    </w:p>
    <w:p>
      <w:pPr>
        <w:ind w:left="520" w:hanging="512"/>
        <w:spacing w:after="0" w:line="221"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10.2 of the Company’s current report on Form 8-K filed on February 18, 2025.</w:t>
      </w:r>
    </w:p>
    <w:p>
      <w:pPr>
        <w:ind w:left="520" w:hanging="512"/>
        <w:spacing w:after="0" w:line="221"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10.3 of the Company’s current report on Form 8-K filed on February 18, 2025.</w:t>
      </w:r>
    </w:p>
    <w:p>
      <w:pPr>
        <w:ind w:left="520" w:hanging="51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10.1 of the Company’s current report on Form 8-K filed on February 18,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 on May 14, 2026.</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Peter Sack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Thomas Geoffroy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Sack, Chief Executive Officer of Chicago Atlantic BDC, Inc.,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BDC, Inc. (the “registrant”) for the quarter ended March 31, 2026;</w:t>
      </w:r>
    </w:p>
    <w:p>
      <w:pPr>
        <w:spacing w:after="0" w:line="225" w:lineRule="exact"/>
        <w:rPr>
          <w:rFonts w:ascii="Times New Roman" w:cs="Times New Roman" w:eastAsia="Times New Roman" w:hAnsi="Times New Roman"/>
          <w:sz w:val="18"/>
          <w:szCs w:val="18"/>
          <w:color w:val="auto"/>
        </w:rPr>
      </w:pPr>
    </w:p>
    <w:p>
      <w:pPr>
        <w:ind w:right="6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right="4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i w:val="1"/>
          <w:iCs w:val="1"/>
          <w:color w:val="auto"/>
        </w:rPr>
      </w:pPr>
    </w:p>
    <w:p>
      <w:pPr>
        <w:ind w:left="520" w:right="20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i w:val="1"/>
          <w:iCs w:val="1"/>
          <w:color w:val="auto"/>
        </w:rPr>
      </w:pPr>
    </w:p>
    <w:p>
      <w:pPr>
        <w:ind w:left="520" w:right="820" w:hanging="3"/>
        <w:spacing w:after="0" w:line="312" w:lineRule="auto"/>
        <w:tabs>
          <w:tab w:leader="none" w:pos="705" w:val="left"/>
        </w:tabs>
        <w:numPr>
          <w:ilvl w:val="1"/>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i w:val="1"/>
          <w:iCs w:val="1"/>
          <w:color w:val="auto"/>
        </w:rPr>
      </w:pPr>
    </w:p>
    <w:p>
      <w:pPr>
        <w:jc w:val="both"/>
        <w:ind w:left="520" w:right="24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right="4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520" w:right="220" w:hanging="3"/>
        <w:spacing w:after="0" w:line="282"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i w:val="1"/>
          <w:iCs w:val="1"/>
          <w:color w:val="auto"/>
        </w:rPr>
      </w:pPr>
    </w:p>
    <w:p>
      <w:pPr>
        <w:ind w:left="520" w:right="180" w:hanging="3"/>
        <w:spacing w:after="0" w:line="282"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0" w:val="left"/>
          <w:tab w:leader="none" w:pos="81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Geoffroy, Interim Chief Financial Officer of Chicago Atlantic BDC, Inc.,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BDC, Inc. (the “registrant”) for the quarter ended March 31, 2026;</w:t>
      </w:r>
    </w:p>
    <w:p>
      <w:pPr>
        <w:spacing w:after="0" w:line="225"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right="20" w:hanging="3"/>
        <w:spacing w:after="0" w:line="266"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i w:val="1"/>
          <w:iCs w:val="1"/>
          <w:color w:val="auto"/>
        </w:rPr>
      </w:pPr>
    </w:p>
    <w:p>
      <w:pPr>
        <w:ind w:left="520" w:right="180" w:hanging="3"/>
        <w:spacing w:after="0" w:line="266"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i w:val="1"/>
          <w:iCs w:val="1"/>
          <w:color w:val="auto"/>
        </w:rPr>
      </w:pPr>
    </w:p>
    <w:p>
      <w:pPr>
        <w:ind w:left="520" w:right="800" w:hanging="3"/>
        <w:spacing w:after="0" w:line="312" w:lineRule="auto"/>
        <w:tabs>
          <w:tab w:leader="none" w:pos="705"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i w:val="1"/>
          <w:iCs w:val="1"/>
          <w:color w:val="auto"/>
        </w:rPr>
      </w:pPr>
    </w:p>
    <w:p>
      <w:pPr>
        <w:jc w:val="both"/>
        <w:ind w:left="520" w:right="220" w:hanging="3"/>
        <w:spacing w:after="0" w:line="266"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right="44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59" w:lineRule="exact"/>
        <w:rPr>
          <w:rFonts w:ascii="Times New Roman" w:cs="Times New Roman" w:eastAsia="Times New Roman" w:hAnsi="Times New Roman"/>
          <w:sz w:val="18"/>
          <w:szCs w:val="18"/>
          <w:color w:val="auto"/>
        </w:rPr>
      </w:pPr>
    </w:p>
    <w:p>
      <w:pPr>
        <w:ind w:left="520" w:right="100" w:hanging="3"/>
        <w:spacing w:after="0" w:line="284"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i w:val="1"/>
          <w:iCs w:val="1"/>
          <w:color w:val="auto"/>
        </w:rPr>
      </w:pPr>
    </w:p>
    <w:p>
      <w:pPr>
        <w:ind w:left="520" w:right="80" w:hanging="3"/>
        <w:spacing w:after="0" w:line="284"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Thomas Geoffroy</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Pursuant to Section 1350, Chapter 63 of Title 18, United States Code, as adopted pursuant to Section 906 of the Sarbanes-Oxley Act of 2002, the undersigned, as Chief Executive Officer of Chicago Atlantic BDC, Inc. (the “Company”), does hereby certify that to the undersigned’s knowledge:</w:t>
      </w:r>
    </w:p>
    <w:p>
      <w:pPr>
        <w:spacing w:after="0" w:line="140" w:lineRule="exact"/>
        <w:rPr>
          <w:sz w:val="20"/>
          <w:szCs w:val="20"/>
          <w:color w:val="auto"/>
        </w:rPr>
      </w:pPr>
    </w:p>
    <w:p>
      <w:pPr>
        <w:ind w:right="380" w:firstLine="8"/>
        <w:spacing w:after="0" w:line="282" w:lineRule="auto"/>
        <w:tabs>
          <w:tab w:leader="none" w:pos="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10-Q for the quarter ended March 31, 2026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10-Q for the quarter ended March 31, 2026 fairly presents, in all material respects, the financial condition and results of operations of the Company.</w:t>
      </w:r>
    </w:p>
    <w:p>
      <w:pPr>
        <w:spacing w:after="0" w:line="162" w:lineRule="exact"/>
        <w:rPr>
          <w:sz w:val="20"/>
          <w:szCs w:val="20"/>
          <w:color w:val="auto"/>
        </w:rPr>
      </w:pPr>
    </w:p>
    <w:p>
      <w:pPr>
        <w:spacing w:after="0"/>
        <w:tabs>
          <w:tab w:leader="none" w:pos="5600" w:val="left"/>
          <w:tab w:leader="none" w:pos="81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Interim Chief Financial Officer of Chicago Atlantic BDC, Inc. (the “Company”), does hereby certify that to the undersigned’s knowledge:</w:t>
      </w:r>
    </w:p>
    <w:p>
      <w:pPr>
        <w:spacing w:after="0" w:line="162" w:lineRule="exact"/>
        <w:rPr>
          <w:sz w:val="20"/>
          <w:szCs w:val="20"/>
          <w:color w:val="auto"/>
        </w:rPr>
      </w:pPr>
    </w:p>
    <w:p>
      <w:pPr>
        <w:ind w:right="380" w:firstLine="8"/>
        <w:spacing w:after="0" w:line="282" w:lineRule="auto"/>
        <w:tabs>
          <w:tab w:leader="none" w:pos="1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10-Q for the quarter ended March 31, 2026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10-Q for the quarter ended March 31, 2026 fairly presents, in all material respects, the financial condition and results of operations of the Company.</w:t>
      </w:r>
    </w:p>
    <w:p>
      <w:pPr>
        <w:spacing w:after="0" w:line="162"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Thomas Geoffroy</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4"/>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Roman"/>
      <w:start w:val="3"/>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392" Type="http://schemas.openxmlformats.org/officeDocument/2006/relationships/hyperlink" Target="https://www.sec.gov/Archives/edgar/data/1843162/000095010322011767/dp176400_ex0301.htm" TargetMode="External"/><Relationship Id="rId393" Type="http://schemas.openxmlformats.org/officeDocument/2006/relationships/hyperlink" Target="https://www.sec.gov/Archives/edgar/data/1843162/000114036124045703/ef20034548_ex3-2.htm" TargetMode="External"/><Relationship Id="rId394" Type="http://schemas.openxmlformats.org/officeDocument/2006/relationships/hyperlink" Target="https://www.sec.gov/Archives/edgar/data/1843162/000095010322011767/dp176400_ex0302.htm" TargetMode="External"/><Relationship Id="rId395" Type="http://schemas.openxmlformats.org/officeDocument/2006/relationships/hyperlink" Target="https://www.sec.gov/Archives/edgar/data/1843162/000095010325002119/dp225007_ex1002.htm" TargetMode="External"/><Relationship Id="rId396" Type="http://schemas.openxmlformats.org/officeDocument/2006/relationships/hyperlink" Target="https://www.sec.gov/Archives/edgar/data/1843162/000095010325002119/dp225007_ex1003.htm" TargetMode="External"/><Relationship Id="rId397" Type="http://schemas.openxmlformats.org/officeDocument/2006/relationships/hyperlink" Target="https://www.sec.gov/Archives/edgar/data/1843162/000095010325002119/dp22500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2026-05-14T06:08:02Z</dcterms:created>
  <dcterms:modified xsi:type="dcterms:W3CDTF">2026-05-14T06:08:02Z</dcterms:modified>
</cp:coreProperties>
</file>