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CHICAGO ATLANTIC BDC,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MADISON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Chicago Atlantic BDC, Inc.</w:t>
              </w:r>
            </w:hyperlink>
            <w:r>
              <w:rPr/>
              <w:t xml:space="preserve"> [ </w:t>
            </w:r>
            <w:r>
              <w:rPr>
                <w:rFonts w:ascii="Times;serif" w:hAnsi="Times;serif"/>
                <w:color w:val="0000FF"/>
                <w:sz w:val="24"/>
                <w:shd w:fill="FFFFFF" w:val="clear"/>
              </w:rPr>
              <w:t>LIEN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Co-Chief Investment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5"/>
        <w:gridCol w:w="904"/>
        <w:gridCol w:w="774"/>
        <w:gridCol w:w="600"/>
        <w:gridCol w:w="343"/>
        <w:gridCol w:w="917"/>
        <w:gridCol w:w="439"/>
        <w:gridCol w:w="702"/>
        <w:gridCol w:w="1260"/>
        <w:gridCol w:w="979"/>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w:t>
            </w:r>
            <w:r>
              <w:rPr>
                <w:rFonts w:ascii="Times;serif" w:hAnsi="Times;serif"/>
                <w:color w:val="008000"/>
                <w:position w:val="7"/>
                <w:sz w:val="16"/>
                <w:sz w:val="20"/>
                <w:shd w:fill="FFFFFF" w:val="clear"/>
              </w:rPr>
              <w:t>(1)</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53,324</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17,584</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w:t>
            </w:r>
            <w:r>
              <w:rPr>
                <w:rFonts w:ascii="Times;serif" w:hAnsi="Times;serif"/>
                <w:color w:val="008000"/>
                <w:position w:val="7"/>
                <w:sz w:val="16"/>
                <w:sz w:val="20"/>
                <w:shd w:fill="FFFFFF" w:val="clear"/>
              </w:rPr>
              <w:t>(2)</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70,908</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9.57</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79,108</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2,887,204</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Chicago Atlantic BDC Advisers, LLC</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reflects the weighted-average purchase price from several discrete transactions executed throughout the Transaction Date at prices that ranged from $9.53 to $9.55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reflects the weighted-average purchase price from several discrete transactions executed throughout the Transaction Date at prices that ranged from $9.50 to $9.59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Scott Gordon directly (whether through ownership or position) or indirectly through one or more intermediaries, may be deemed for purposes of Section 16 of the Securities Exchange Act of 1934, as amended, to be the indirect beneficial owner of the shares of Common Stock owned by Chicago Atlantic BDC Advisers, LLC. Mr. Gordon disclaims beneficial ownership of the shares of Common Stock owned by Chicago Atlantic BDC Advisers, LLC except to the extent of his pecuniary interest therein and this report shall not be deemed an admission that he is the beneficial owner of such securities for purposes of Section 16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84452" TargetMode="External"/><Relationship Id="rId5" Type="http://schemas.openxmlformats.org/officeDocument/2006/relationships/hyperlink" Target="http://www.sec.gov/cgi-bin/browse-edgar?action=getcompany&amp;CIK=00018431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851</Words>
  <Characters>4568</Characters>
  <CharactersWithSpaces>5329</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