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HorizontalLine"/>
        <w:jc w:val="left"/>
        <w:rPr/>
      </w:pPr>
      <w:r>
        <w:rPr/>
      </w:r>
    </w:p>
    <w:p>
      <w:pPr>
        <w:pStyle w:val="TextBody"/>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spacing w:before="0" w:after="0"/>
        <w:jc w:val="left"/>
        <w:rPr>
          <w:color w:val="000000"/>
        </w:rPr>
      </w:pPr>
      <w:r>
        <w:rPr>
          <w:color w:val="000000"/>
        </w:rPr>
        <w:t> </w:t>
      </w:r>
    </w:p>
    <w:p>
      <w:pPr>
        <w:pStyle w:val="HorizontalLine"/>
        <w:jc w:val="left"/>
        <w:rPr/>
      </w:pPr>
      <w:r>
        <w:rPr/>
      </w:r>
    </w:p>
    <w:p>
      <w:pPr>
        <w:pStyle w:val="TextBody"/>
        <w:spacing w:before="0" w:after="0"/>
        <w:jc w:val="center"/>
        <w:rPr>
          <w:rFonts w:ascii="Times New Roman" w:hAnsi="Times New Roman"/>
          <w:b/>
          <w:color w:val="000000"/>
          <w:sz w:val="36"/>
        </w:rPr>
      </w:pPr>
      <w:r>
        <w:rPr>
          <w:rFonts w:ascii="Times New Roman" w:hAnsi="Times New Roman"/>
          <w:b/>
          <w:color w:val="000000"/>
          <w:sz w:val="36"/>
        </w:rPr>
        <w:t>FORM 10-Q</w:t>
      </w:r>
    </w:p>
    <w:p>
      <w:pPr>
        <w:pStyle w:val="HorizontalLine"/>
        <w:jc w:val="left"/>
        <w:rPr/>
      </w:pPr>
      <w:r>
        <w:rPr/>
      </w:r>
    </w:p>
    <w:p>
      <w:pPr>
        <w:pStyle w:val="TextBody"/>
        <w:spacing w:before="0" w:after="0"/>
        <w:jc w:val="left"/>
        <w:rPr>
          <w:color w:val="000000"/>
        </w:rPr>
      </w:pPr>
      <w:r>
        <w:rPr>
          <w:color w:val="000000"/>
        </w:rPr>
        <w:t> </w:t>
      </w:r>
    </w:p>
    <w:p>
      <w:pPr>
        <w:pStyle w:val="TextBody"/>
        <w:spacing w:before="0" w:after="0"/>
        <w:jc w:val="left"/>
        <w:rPr>
          <w:rFonts w:ascii="Times New Roman" w:hAnsi="Times New Roman"/>
          <w:color w:val="000000"/>
          <w:sz w:val="20"/>
        </w:rPr>
      </w:pPr>
      <w:r>
        <w:rPr>
          <w:rFonts w:ascii="Times New Roman" w:hAnsi="Times New Roman"/>
          <w:color w:val="000000"/>
          <w:sz w:val="20"/>
        </w:rPr>
        <w:t>(Mark One)</w:t>
      </w:r>
    </w:p>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245"/>
        <w:gridCol w:w="10294"/>
      </w:tblGrid>
      <w:tr>
        <w:trPr/>
        <w:tc>
          <w:tcPr>
            <w:tcW w:w="245" w:type="dxa"/>
            <w:tcBorders/>
            <w:shd w:fill="auto" w:val="clear"/>
            <w:vAlign w:val="center"/>
          </w:tcPr>
          <w:p>
            <w:pPr>
              <w:pStyle w:val="TableContents"/>
              <w:spacing w:before="0" w:after="283"/>
              <w:rPr/>
            </w:pPr>
            <w:r>
              <w:rPr/>
              <w:t>☒</w:t>
            </w:r>
          </w:p>
        </w:tc>
        <w:tc>
          <w:tcPr>
            <w:tcW w:w="10294" w:type="dxa"/>
            <w:tcBorders/>
            <w:shd w:fill="auto" w:val="clear"/>
            <w:vAlign w:val="center"/>
          </w:tcPr>
          <w:p>
            <w:pPr>
              <w:pStyle w:val="TableContents"/>
              <w:spacing w:before="0" w:after="0"/>
              <w:rPr/>
            </w:pPr>
            <w:r>
              <w:rPr/>
              <w:t>QUARTERLY REPORT PURSUANT TO SECTION 13 OR 15(d) OF THE SECURITIES EXCHANGE ACT OF 1934</w:t>
            </w:r>
          </w:p>
        </w:tc>
      </w:tr>
    </w:tbl>
    <w:p>
      <w:pPr>
        <w:pStyle w:val="TextBody"/>
        <w:spacing w:before="0" w:after="0"/>
        <w:jc w:val="left"/>
        <w:rPr>
          <w:color w:val="000000"/>
        </w:rPr>
      </w:pPr>
      <w:r>
        <w:rPr>
          <w:color w:val="000000"/>
        </w:rPr>
        <w:t> </w:t>
      </w:r>
    </w:p>
    <w:p>
      <w:pPr>
        <w:pStyle w:val="TextBody"/>
        <w:spacing w:before="0" w:after="0"/>
        <w:jc w:val="center"/>
        <w:rPr>
          <w:rFonts w:ascii="Times New Roman" w:hAnsi="Times New Roman"/>
          <w:color w:val="000000"/>
          <w:sz w:val="20"/>
        </w:rPr>
      </w:pPr>
      <w:r>
        <w:rPr>
          <w:rFonts w:ascii="Times New Roman" w:hAnsi="Times New Roman"/>
          <w:color w:val="000000"/>
          <w:sz w:val="20"/>
        </w:rPr>
        <w:t>For the Quarterly Period Ended March 31, 2023</w:t>
      </w:r>
    </w:p>
    <w:p>
      <w:pPr>
        <w:pStyle w:val="TextBody"/>
        <w:spacing w:before="0" w:after="0"/>
        <w:jc w:val="left"/>
        <w:rPr>
          <w:color w:val="000000"/>
        </w:rPr>
      </w:pPr>
      <w:r>
        <w:rPr>
          <w:color w:val="000000"/>
        </w:rPr>
        <w:t> </w:t>
      </w:r>
    </w:p>
    <w:p>
      <w:pPr>
        <w:pStyle w:val="TextBody"/>
        <w:spacing w:before="0" w:after="0"/>
        <w:jc w:val="center"/>
        <w:rPr>
          <w:rFonts w:ascii="Times New Roman" w:hAnsi="Times New Roman"/>
          <w:color w:val="000000"/>
          <w:sz w:val="20"/>
        </w:rPr>
      </w:pPr>
      <w:r>
        <w:rPr>
          <w:rFonts w:ascii="Times New Roman" w:hAnsi="Times New Roman"/>
          <w:color w:val="000000"/>
          <w:sz w:val="20"/>
        </w:rPr>
        <w:t>OR</w:t>
      </w:r>
    </w:p>
    <w:tbl>
      <w:tblPr>
        <w:tblW w:w="10539" w:type="dxa"/>
        <w:jc w:val="left"/>
        <w:tblInd w:w="0" w:type="dxa"/>
        <w:tblCellMar>
          <w:top w:w="0" w:type="dxa"/>
          <w:left w:w="0" w:type="dxa"/>
          <w:bottom w:w="0" w:type="dxa"/>
          <w:right w:w="0" w:type="dxa"/>
        </w:tblCellMar>
      </w:tblPr>
      <w:tblGrid>
        <w:gridCol w:w="245"/>
        <w:gridCol w:w="10294"/>
      </w:tblGrid>
      <w:tr>
        <w:trPr/>
        <w:tc>
          <w:tcPr>
            <w:tcW w:w="245" w:type="dxa"/>
            <w:tcBorders/>
            <w:shd w:fill="auto" w:val="clear"/>
            <w:vAlign w:val="center"/>
          </w:tcPr>
          <w:p>
            <w:pPr>
              <w:pStyle w:val="TableContents"/>
              <w:spacing w:before="0" w:after="0"/>
              <w:jc w:val="left"/>
              <w:rPr>
                <w:color w:val="000000"/>
              </w:rPr>
            </w:pPr>
            <w:r>
              <w:rPr>
                <w:color w:val="000000"/>
              </w:rPr>
              <w:t>☐</w:t>
            </w:r>
          </w:p>
        </w:tc>
        <w:tc>
          <w:tcPr>
            <w:tcW w:w="10294" w:type="dxa"/>
            <w:tcBorders/>
            <w:shd w:fill="auto" w:val="clear"/>
            <w:vAlign w:val="center"/>
          </w:tcPr>
          <w:p>
            <w:pPr>
              <w:pStyle w:val="TableContents"/>
              <w:spacing w:before="0" w:after="0"/>
              <w:jc w:val="left"/>
              <w:rPr/>
            </w:pPr>
            <w:r>
              <w:rPr/>
              <w:t>TRANSITION REPORT PURSUANT TO SECTION 13 OR 15(d) OF THE SECURITIES EXCHANGE ACT OF 1934</w:t>
            </w:r>
          </w:p>
        </w:tc>
      </w:tr>
    </w:tbl>
    <w:p>
      <w:pPr>
        <w:pStyle w:val="TextBody"/>
        <w:spacing w:before="0" w:after="0"/>
        <w:jc w:val="left"/>
        <w:rPr>
          <w:color w:val="000000"/>
        </w:rPr>
      </w:pPr>
      <w:r>
        <w:rPr>
          <w:color w:val="000000"/>
        </w:rPr>
        <w:t> </w:t>
      </w:r>
    </w:p>
    <w:p>
      <w:pPr>
        <w:pStyle w:val="TextBody"/>
        <w:spacing w:before="0" w:after="0"/>
        <w:jc w:val="center"/>
        <w:rPr>
          <w:rFonts w:ascii="Times New Roman" w:hAnsi="Times New Roman"/>
          <w:color w:val="000000"/>
          <w:sz w:val="20"/>
        </w:rPr>
      </w:pPr>
      <w:r>
        <w:rPr>
          <w:rFonts w:ascii="Times New Roman" w:hAnsi="Times New Roman"/>
          <w:color w:val="000000"/>
          <w:sz w:val="20"/>
        </w:rPr>
        <w:t>Commission file number: 001-40564</w:t>
      </w:r>
    </w:p>
    <w:p>
      <w:pPr>
        <w:pStyle w:val="TextBody"/>
        <w:spacing w:before="0" w:after="0"/>
        <w:jc w:val="left"/>
        <w:rPr>
          <w:color w:val="000000"/>
        </w:rPr>
      </w:pPr>
      <w:r>
        <w:rPr>
          <w:color w:val="000000"/>
        </w:rPr>
        <w:t xml:space="preserve">  </w:t>
      </w:r>
    </w:p>
    <w:p>
      <w:pPr>
        <w:pStyle w:val="HorizontalLine"/>
        <w:jc w:val="left"/>
        <w:rPr/>
      </w:pPr>
      <w:r>
        <w:rPr/>
      </w:r>
    </w:p>
    <w:p>
      <w:pPr>
        <w:pStyle w:val="TextBody"/>
        <w:spacing w:before="0" w:after="0"/>
        <w:jc w:val="left"/>
        <w:rPr>
          <w:color w:val="000000"/>
        </w:rPr>
      </w:pPr>
      <w:r>
        <w:rPr>
          <w:color w:val="000000"/>
        </w:rPr>
        <w:t> </w:t>
      </w:r>
    </w:p>
    <w:p>
      <w:pPr>
        <w:pStyle w:val="TextBody"/>
        <w:spacing w:before="0" w:after="0"/>
        <w:jc w:val="center"/>
        <w:rPr>
          <w:rFonts w:ascii="Times New Roman" w:hAnsi="Times New Roman"/>
          <w:b/>
          <w:color w:val="000000"/>
          <w:sz w:val="48"/>
        </w:rPr>
      </w:pPr>
      <w:r>
        <w:rPr>
          <w:rFonts w:ascii="Times New Roman" w:hAnsi="Times New Roman"/>
          <w:b/>
          <w:color w:val="000000"/>
          <w:sz w:val="48"/>
        </w:rPr>
        <w:t>SILVER SPIKE INVESTMENT CORP.</w:t>
      </w:r>
    </w:p>
    <w:p>
      <w:pPr>
        <w:pStyle w:val="TextBody"/>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spacing w:before="0" w:after="0"/>
        <w:jc w:val="center"/>
        <w:rPr>
          <w:rFonts w:ascii="Times New Roman" w:hAnsi="Times New Roman"/>
          <w:sz w:val="20"/>
        </w:rPr>
      </w:pPr>
      <w:r>
        <w:rPr>
          <w:rFonts w:ascii="Times New Roman" w:hAnsi="Times New Roman"/>
          <w:sz w:val="20"/>
        </w:rPr>
      </w:r>
    </w:p>
    <w:p>
      <w:pPr>
        <w:pStyle w:val="HorizontalLine"/>
        <w:jc w:val="center"/>
        <w:rPr/>
      </w:pPr>
      <w:r>
        <w:rPr/>
      </w:r>
    </w:p>
    <w:p>
      <w:pPr>
        <w:pStyle w:val="TextBody"/>
        <w:spacing w:before="0" w:after="0"/>
        <w:jc w:val="center"/>
        <w:rPr>
          <w:rFonts w:ascii="Times New Roman" w:hAnsi="Times New Roman"/>
          <w:sz w:val="20"/>
        </w:rPr>
      </w:pPr>
      <w:r>
        <w:rPr>
          <w:rFonts w:ascii="Times New Roman" w:hAnsi="Times New Roman"/>
          <w:sz w:val="20"/>
        </w:rPr>
      </w:r>
    </w:p>
    <w:tbl>
      <w:tblPr>
        <w:tblW w:w="9033" w:type="dxa"/>
        <w:jc w:val="left"/>
        <w:tblInd w:w="0" w:type="dxa"/>
        <w:tblCellMar>
          <w:top w:w="0" w:type="dxa"/>
          <w:left w:w="0" w:type="dxa"/>
          <w:bottom w:w="0" w:type="dxa"/>
          <w:right w:w="0" w:type="dxa"/>
        </w:tblCellMar>
      </w:tblPr>
      <w:tblGrid>
        <w:gridCol w:w="5735"/>
        <w:gridCol w:w="23"/>
        <w:gridCol w:w="3275"/>
      </w:tblGrid>
      <w:tr>
        <w:trPr/>
        <w:tc>
          <w:tcPr>
            <w:tcW w:w="5735" w:type="dxa"/>
            <w:tcBorders/>
            <w:shd w:fill="auto" w:val="clear"/>
            <w:vAlign w:val="center"/>
          </w:tcPr>
          <w:p>
            <w:pPr>
              <w:pStyle w:val="TableContents"/>
              <w:spacing w:before="0" w:after="0"/>
              <w:jc w:val="center"/>
              <w:rPr>
                <w:b/>
              </w:rPr>
            </w:pPr>
            <w:r>
              <w:rPr>
                <w:b/>
              </w:rPr>
              <w:t>Maryland</w:t>
            </w:r>
          </w:p>
        </w:tc>
        <w:tc>
          <w:tcPr>
            <w:tcW w:w="23" w:type="dxa"/>
            <w:tcBorders/>
            <w:shd w:fill="auto" w:val="clear"/>
            <w:vAlign w:val="center"/>
          </w:tcPr>
          <w:p>
            <w:pPr>
              <w:pStyle w:val="TableContents"/>
              <w:spacing w:before="0" w:after="283"/>
              <w:rPr/>
            </w:pPr>
            <w:r>
              <w:rPr/>
            </w:r>
          </w:p>
        </w:tc>
        <w:tc>
          <w:tcPr>
            <w:tcW w:w="3275" w:type="dxa"/>
            <w:tcBorders/>
            <w:shd w:fill="auto" w:val="clear"/>
            <w:vAlign w:val="center"/>
          </w:tcPr>
          <w:p>
            <w:pPr>
              <w:pStyle w:val="TableContents"/>
              <w:spacing w:before="0" w:after="0"/>
              <w:jc w:val="center"/>
              <w:rPr>
                <w:b/>
              </w:rPr>
            </w:pPr>
            <w:r>
              <w:rPr>
                <w:b/>
              </w:rPr>
              <w:t>86-2872887</w:t>
            </w:r>
          </w:p>
        </w:tc>
      </w:tr>
      <w:tr>
        <w:trPr/>
        <w:tc>
          <w:tcPr>
            <w:tcW w:w="5735" w:type="dxa"/>
            <w:tcBorders/>
            <w:shd w:fill="auto" w:val="clear"/>
            <w:vAlign w:val="center"/>
          </w:tcPr>
          <w:p>
            <w:pPr>
              <w:pStyle w:val="TableContents"/>
              <w:spacing w:before="0" w:after="0"/>
              <w:jc w:val="center"/>
              <w:rPr/>
            </w:pPr>
            <w:r>
              <w:rPr/>
              <w:t>(State or other jurisdiction of incorporation or   organization)</w:t>
            </w:r>
          </w:p>
        </w:tc>
        <w:tc>
          <w:tcPr>
            <w:tcW w:w="23" w:type="dxa"/>
            <w:tcBorders/>
            <w:shd w:fill="auto" w:val="clear"/>
            <w:vAlign w:val="center"/>
          </w:tcPr>
          <w:p>
            <w:pPr>
              <w:pStyle w:val="TableContents"/>
              <w:spacing w:before="0" w:after="283"/>
              <w:rPr/>
            </w:pPr>
            <w:r>
              <w:rPr/>
            </w:r>
          </w:p>
        </w:tc>
        <w:tc>
          <w:tcPr>
            <w:tcW w:w="3275" w:type="dxa"/>
            <w:tcBorders/>
            <w:shd w:fill="auto" w:val="clear"/>
            <w:vAlign w:val="center"/>
          </w:tcPr>
          <w:p>
            <w:pPr>
              <w:pStyle w:val="TableContents"/>
              <w:spacing w:before="0" w:after="283"/>
              <w:jc w:val="center"/>
              <w:rPr/>
            </w:pPr>
            <w:r>
              <w:rPr/>
              <w:t> </w:t>
            </w:r>
          </w:p>
        </w:tc>
      </w:tr>
      <w:tr>
        <w:trPr/>
        <w:tc>
          <w:tcPr>
            <w:tcW w:w="5735" w:type="dxa"/>
            <w:tcBorders/>
            <w:shd w:fill="auto" w:val="clear"/>
            <w:vAlign w:val="center"/>
          </w:tcPr>
          <w:p>
            <w:pPr>
              <w:pStyle w:val="TableContents"/>
              <w:spacing w:before="0" w:after="283"/>
              <w:rPr/>
            </w:pPr>
            <w:r>
              <w:rPr/>
            </w:r>
          </w:p>
        </w:tc>
        <w:tc>
          <w:tcPr>
            <w:tcW w:w="23" w:type="dxa"/>
            <w:tcBorders/>
            <w:shd w:fill="auto" w:val="clear"/>
            <w:vAlign w:val="center"/>
          </w:tcPr>
          <w:p>
            <w:pPr>
              <w:pStyle w:val="TableContents"/>
              <w:spacing w:before="0" w:after="283"/>
              <w:rPr/>
            </w:pPr>
            <w:r>
              <w:rPr/>
            </w:r>
          </w:p>
        </w:tc>
        <w:tc>
          <w:tcPr>
            <w:tcW w:w="3275" w:type="dxa"/>
            <w:tcBorders/>
            <w:shd w:fill="auto" w:val="clear"/>
            <w:vAlign w:val="center"/>
          </w:tcPr>
          <w:p>
            <w:pPr>
              <w:pStyle w:val="TableContents"/>
              <w:spacing w:before="0" w:after="0"/>
              <w:jc w:val="center"/>
              <w:rPr/>
            </w:pPr>
            <w:r>
              <w:rPr/>
              <w:t>(IRS Employer Identification No.)</w:t>
            </w:r>
          </w:p>
        </w:tc>
      </w:tr>
      <w:tr>
        <w:trPr/>
        <w:tc>
          <w:tcPr>
            <w:tcW w:w="5735" w:type="dxa"/>
            <w:tcBorders/>
            <w:shd w:fill="auto" w:val="clear"/>
            <w:vAlign w:val="center"/>
          </w:tcPr>
          <w:p>
            <w:pPr>
              <w:pStyle w:val="TableContents"/>
              <w:spacing w:before="0" w:after="0"/>
              <w:jc w:val="center"/>
              <w:rPr>
                <w:b/>
              </w:rPr>
            </w:pPr>
            <w:r>
              <w:rPr>
                <w:b/>
              </w:rPr>
              <w:t>600 Madison Avenue, Suite 1800</w:t>
            </w:r>
          </w:p>
        </w:tc>
        <w:tc>
          <w:tcPr>
            <w:tcW w:w="23" w:type="dxa"/>
            <w:tcBorders/>
            <w:shd w:fill="auto" w:val="clear"/>
            <w:vAlign w:val="center"/>
          </w:tcPr>
          <w:p>
            <w:pPr>
              <w:pStyle w:val="TableContents"/>
              <w:spacing w:before="0" w:after="283"/>
              <w:rPr/>
            </w:pPr>
            <w:r>
              <w:rPr/>
            </w:r>
          </w:p>
        </w:tc>
        <w:tc>
          <w:tcPr>
            <w:tcW w:w="3275" w:type="dxa"/>
            <w:tcBorders/>
            <w:shd w:fill="auto" w:val="clear"/>
            <w:vAlign w:val="center"/>
          </w:tcPr>
          <w:p>
            <w:pPr>
              <w:pStyle w:val="TableContents"/>
              <w:spacing w:before="0" w:after="283"/>
              <w:jc w:val="center"/>
              <w:rPr/>
            </w:pPr>
            <w:r>
              <w:rPr/>
              <w:t> </w:t>
            </w:r>
          </w:p>
        </w:tc>
      </w:tr>
      <w:tr>
        <w:trPr/>
        <w:tc>
          <w:tcPr>
            <w:tcW w:w="5735" w:type="dxa"/>
            <w:tcBorders/>
            <w:shd w:fill="auto" w:val="clear"/>
            <w:vAlign w:val="center"/>
          </w:tcPr>
          <w:p>
            <w:pPr>
              <w:pStyle w:val="TableContents"/>
              <w:spacing w:before="0" w:after="0"/>
              <w:jc w:val="center"/>
              <w:rPr>
                <w:b/>
              </w:rPr>
            </w:pPr>
            <w:r>
              <w:rPr>
                <w:b/>
              </w:rPr>
              <w:t>New York, NY</w:t>
            </w:r>
          </w:p>
        </w:tc>
        <w:tc>
          <w:tcPr>
            <w:tcW w:w="23" w:type="dxa"/>
            <w:tcBorders/>
            <w:shd w:fill="auto" w:val="clear"/>
            <w:vAlign w:val="center"/>
          </w:tcPr>
          <w:p>
            <w:pPr>
              <w:pStyle w:val="TableContents"/>
              <w:spacing w:before="0" w:after="283"/>
              <w:rPr/>
            </w:pPr>
            <w:r>
              <w:rPr/>
            </w:r>
          </w:p>
        </w:tc>
        <w:tc>
          <w:tcPr>
            <w:tcW w:w="3275" w:type="dxa"/>
            <w:tcBorders/>
            <w:shd w:fill="auto" w:val="clear"/>
            <w:vAlign w:val="center"/>
          </w:tcPr>
          <w:p>
            <w:pPr>
              <w:pStyle w:val="TableContents"/>
              <w:spacing w:before="0" w:after="283"/>
              <w:jc w:val="center"/>
              <w:rPr/>
            </w:pPr>
            <w:r>
              <w:rPr/>
              <w:t> </w:t>
            </w:r>
          </w:p>
        </w:tc>
      </w:tr>
      <w:tr>
        <w:trPr/>
        <w:tc>
          <w:tcPr>
            <w:tcW w:w="5735" w:type="dxa"/>
            <w:tcBorders/>
            <w:shd w:fill="auto" w:val="clear"/>
            <w:vAlign w:val="center"/>
          </w:tcPr>
          <w:p>
            <w:pPr>
              <w:pStyle w:val="TableContents"/>
              <w:spacing w:before="0" w:after="283"/>
              <w:jc w:val="center"/>
              <w:rPr/>
            </w:pPr>
            <w:r>
              <w:rPr/>
              <w:t> </w:t>
            </w:r>
          </w:p>
        </w:tc>
        <w:tc>
          <w:tcPr>
            <w:tcW w:w="23" w:type="dxa"/>
            <w:tcBorders/>
            <w:shd w:fill="auto" w:val="clear"/>
            <w:vAlign w:val="center"/>
          </w:tcPr>
          <w:p>
            <w:pPr>
              <w:pStyle w:val="TableContents"/>
              <w:spacing w:before="0" w:after="283"/>
              <w:rPr/>
            </w:pPr>
            <w:r>
              <w:rPr/>
            </w:r>
          </w:p>
        </w:tc>
        <w:tc>
          <w:tcPr>
            <w:tcW w:w="3275" w:type="dxa"/>
            <w:tcBorders/>
            <w:shd w:fill="auto" w:val="clear"/>
            <w:vAlign w:val="center"/>
          </w:tcPr>
          <w:p>
            <w:pPr>
              <w:pStyle w:val="TableContents"/>
              <w:spacing w:before="0" w:after="0"/>
              <w:jc w:val="center"/>
              <w:rPr>
                <w:b/>
              </w:rPr>
            </w:pPr>
            <w:r>
              <w:rPr>
                <w:b/>
              </w:rPr>
              <w:t>10022</w:t>
            </w:r>
          </w:p>
        </w:tc>
      </w:tr>
      <w:tr>
        <w:trPr/>
        <w:tc>
          <w:tcPr>
            <w:tcW w:w="5735" w:type="dxa"/>
            <w:tcBorders/>
            <w:shd w:fill="auto" w:val="clear"/>
            <w:vAlign w:val="center"/>
          </w:tcPr>
          <w:p>
            <w:pPr>
              <w:pStyle w:val="TableContents"/>
              <w:spacing w:before="0" w:after="0"/>
              <w:jc w:val="center"/>
              <w:rPr/>
            </w:pPr>
            <w:r>
              <w:rPr/>
              <w:t>(Address of principal executive offices)</w:t>
            </w:r>
          </w:p>
        </w:tc>
        <w:tc>
          <w:tcPr>
            <w:tcW w:w="23" w:type="dxa"/>
            <w:tcBorders/>
            <w:shd w:fill="auto" w:val="clear"/>
            <w:vAlign w:val="center"/>
          </w:tcPr>
          <w:p>
            <w:pPr>
              <w:pStyle w:val="TableContents"/>
              <w:spacing w:before="0" w:after="283"/>
              <w:rPr/>
            </w:pPr>
            <w:r>
              <w:rPr/>
            </w:r>
          </w:p>
        </w:tc>
        <w:tc>
          <w:tcPr>
            <w:tcW w:w="3275" w:type="dxa"/>
            <w:tcBorders/>
            <w:shd w:fill="auto" w:val="clear"/>
            <w:vAlign w:val="center"/>
          </w:tcPr>
          <w:p>
            <w:pPr>
              <w:pStyle w:val="TableContents"/>
              <w:spacing w:before="0" w:after="0"/>
              <w:jc w:val="center"/>
              <w:rPr/>
            </w:pPr>
            <w:r>
              <w:rPr/>
              <w:t>(Zip Code)</w:t>
            </w:r>
          </w:p>
        </w:tc>
      </w:tr>
    </w:tbl>
    <w:p>
      <w:pPr>
        <w:pStyle w:val="TextBody"/>
        <w:spacing w:before="0" w:after="0"/>
        <w:jc w:val="left"/>
        <w:rPr>
          <w:color w:val="000000"/>
        </w:rPr>
      </w:pPr>
      <w:r>
        <w:rPr>
          <w:color w:val="000000"/>
        </w:rPr>
        <w:t> </w:t>
      </w:r>
    </w:p>
    <w:p>
      <w:pPr>
        <w:pStyle w:val="TextBody"/>
        <w:spacing w:before="0" w:after="0"/>
        <w:jc w:val="center"/>
        <w:rPr>
          <w:rFonts w:ascii="Times New Roman" w:hAnsi="Times New Roman"/>
          <w:b/>
          <w:color w:val="000000"/>
          <w:sz w:val="20"/>
        </w:rPr>
      </w:pPr>
      <w:r>
        <w:rPr>
          <w:rFonts w:ascii="Times New Roman" w:hAnsi="Times New Roman"/>
          <w:b/>
          <w:color w:val="000000"/>
          <w:sz w:val="20"/>
        </w:rPr>
        <w:t>(212) 905-4923</w:t>
      </w:r>
    </w:p>
    <w:p>
      <w:pPr>
        <w:pStyle w:val="TextBody"/>
        <w:spacing w:before="0" w:after="0"/>
        <w:jc w:val="left"/>
        <w:rPr>
          <w:color w:val="000000"/>
        </w:rPr>
      </w:pPr>
      <w:r>
        <w:rPr>
          <w:color w:val="000000"/>
        </w:rPr>
        <w:t> </w:t>
      </w:r>
    </w:p>
    <w:p>
      <w:pPr>
        <w:pStyle w:val="TextBody"/>
        <w:spacing w:before="0" w:after="0"/>
        <w:jc w:val="center"/>
        <w:rPr>
          <w:rFonts w:ascii="Times New Roman" w:hAnsi="Times New Roman"/>
          <w:color w:val="000000"/>
          <w:sz w:val="20"/>
        </w:rPr>
      </w:pPr>
      <w:r>
        <w:rPr>
          <w:rFonts w:ascii="Times New Roman" w:hAnsi="Times New Roman"/>
          <w:color w:val="000000"/>
          <w:sz w:val="20"/>
        </w:rPr>
        <w:t xml:space="preserve">(Registrant’s telephone number, including area code) </w:t>
      </w: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jc w:val="left"/>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spacing w:before="0" w:after="0"/>
        <w:jc w:val="left"/>
        <w:rPr>
          <w:color w:val="000000"/>
        </w:rPr>
      </w:pPr>
      <w:r>
        <w:rPr>
          <w:color w:val="000000"/>
        </w:rPr>
        <w:t> </w:t>
      </w:r>
    </w:p>
    <w:tbl>
      <w:tblPr>
        <w:tblW w:w="10155" w:type="dxa"/>
        <w:jc w:val="left"/>
        <w:tblInd w:w="0" w:type="dxa"/>
        <w:tblCellMar>
          <w:top w:w="0" w:type="dxa"/>
          <w:left w:w="0" w:type="dxa"/>
          <w:bottom w:w="28" w:type="dxa"/>
          <w:right w:w="0" w:type="dxa"/>
        </w:tblCellMar>
      </w:tblPr>
      <w:tblGrid>
        <w:gridCol w:w="4010"/>
        <w:gridCol w:w="60"/>
        <w:gridCol w:w="1805"/>
        <w:gridCol w:w="60"/>
        <w:gridCol w:w="4220"/>
      </w:tblGrid>
      <w:tr>
        <w:trPr/>
        <w:tc>
          <w:tcPr>
            <w:tcW w:w="4010" w:type="dxa"/>
            <w:tcBorders>
              <w:bottom w:val="single" w:sz="12" w:space="0" w:color="000000"/>
            </w:tcBorders>
            <w:shd w:fill="auto" w:val="clear"/>
            <w:vAlign w:val="center"/>
          </w:tcPr>
          <w:p>
            <w:pPr>
              <w:pStyle w:val="TableContents"/>
              <w:spacing w:before="0" w:after="0"/>
              <w:jc w:val="center"/>
              <w:rPr/>
            </w:pPr>
            <w:r>
              <w:rPr/>
              <w:t>Title of Each Class</w:t>
            </w:r>
          </w:p>
        </w:tc>
        <w:tc>
          <w:tcPr>
            <w:tcW w:w="60" w:type="dxa"/>
            <w:tcBorders/>
            <w:shd w:fill="auto" w:val="clear"/>
            <w:tcMar>
              <w:bottom w:w="0" w:type="dxa"/>
            </w:tcMar>
            <w:vAlign w:val="center"/>
          </w:tcPr>
          <w:p>
            <w:pPr>
              <w:pStyle w:val="TableContents"/>
              <w:spacing w:before="0" w:after="283"/>
              <w:rPr/>
            </w:pPr>
            <w:r>
              <w:rPr/>
              <w:t> </w:t>
            </w:r>
          </w:p>
        </w:tc>
        <w:tc>
          <w:tcPr>
            <w:tcW w:w="1805" w:type="dxa"/>
            <w:tcBorders>
              <w:bottom w:val="single" w:sz="12" w:space="0" w:color="000000"/>
            </w:tcBorders>
            <w:shd w:fill="auto" w:val="clear"/>
            <w:vAlign w:val="center"/>
          </w:tcPr>
          <w:p>
            <w:pPr>
              <w:pStyle w:val="TableContents"/>
              <w:spacing w:before="0" w:after="0"/>
              <w:jc w:val="center"/>
              <w:rPr/>
            </w:pPr>
            <w:r>
              <w:rPr/>
              <w:t>Trading Symbol(s)</w:t>
            </w:r>
          </w:p>
        </w:tc>
        <w:tc>
          <w:tcPr>
            <w:tcW w:w="60" w:type="dxa"/>
            <w:tcBorders/>
            <w:shd w:fill="auto" w:val="clear"/>
            <w:tcMar>
              <w:bottom w:w="0" w:type="dxa"/>
            </w:tcMar>
            <w:vAlign w:val="center"/>
          </w:tcPr>
          <w:p>
            <w:pPr>
              <w:pStyle w:val="TableContents"/>
              <w:spacing w:before="0" w:after="283"/>
              <w:rPr/>
            </w:pPr>
            <w:r>
              <w:rPr/>
              <w:t> </w:t>
            </w:r>
          </w:p>
        </w:tc>
        <w:tc>
          <w:tcPr>
            <w:tcW w:w="4220" w:type="dxa"/>
            <w:tcBorders>
              <w:bottom w:val="single" w:sz="12" w:space="0" w:color="000000"/>
            </w:tcBorders>
            <w:shd w:fill="auto" w:val="clear"/>
            <w:vAlign w:val="center"/>
          </w:tcPr>
          <w:p>
            <w:pPr>
              <w:pStyle w:val="TableContents"/>
              <w:spacing w:before="0" w:after="0"/>
              <w:jc w:val="center"/>
              <w:rPr/>
            </w:pPr>
            <w:r>
              <w:rPr/>
              <w:t>Name of each exchange on which registered</w:t>
            </w:r>
          </w:p>
        </w:tc>
      </w:tr>
      <w:tr>
        <w:trPr/>
        <w:tc>
          <w:tcPr>
            <w:tcW w:w="4010" w:type="dxa"/>
            <w:tcBorders/>
            <w:shd w:fill="auto" w:val="clear"/>
            <w:tcMar>
              <w:bottom w:w="0" w:type="dxa"/>
            </w:tcMar>
            <w:vAlign w:val="center"/>
          </w:tcPr>
          <w:p>
            <w:pPr>
              <w:pStyle w:val="TableContents"/>
              <w:spacing w:before="0" w:after="0"/>
              <w:jc w:val="center"/>
              <w:rPr/>
            </w:pPr>
            <w:r>
              <w:rPr/>
              <w:t>Common Stock, par value $0.01 per share</w:t>
            </w:r>
          </w:p>
        </w:tc>
        <w:tc>
          <w:tcPr>
            <w:tcW w:w="60" w:type="dxa"/>
            <w:tcBorders/>
            <w:shd w:fill="auto" w:val="clear"/>
            <w:tcMar>
              <w:bottom w:w="0" w:type="dxa"/>
            </w:tcMar>
            <w:vAlign w:val="center"/>
          </w:tcPr>
          <w:p>
            <w:pPr>
              <w:pStyle w:val="TableContents"/>
              <w:spacing w:before="0" w:after="283"/>
              <w:rPr/>
            </w:pPr>
            <w:r>
              <w:rPr/>
              <w:t> </w:t>
            </w:r>
          </w:p>
        </w:tc>
        <w:tc>
          <w:tcPr>
            <w:tcW w:w="1805" w:type="dxa"/>
            <w:tcBorders/>
            <w:shd w:fill="auto" w:val="clear"/>
            <w:tcMar>
              <w:bottom w:w="0" w:type="dxa"/>
            </w:tcMar>
            <w:vAlign w:val="center"/>
          </w:tcPr>
          <w:p>
            <w:pPr>
              <w:pStyle w:val="TableContents"/>
              <w:spacing w:before="0" w:after="0"/>
              <w:jc w:val="center"/>
              <w:rPr/>
            </w:pPr>
            <w:r>
              <w:rPr/>
              <w:t>SSIC</w:t>
            </w:r>
          </w:p>
        </w:tc>
        <w:tc>
          <w:tcPr>
            <w:tcW w:w="60" w:type="dxa"/>
            <w:tcBorders/>
            <w:shd w:fill="auto" w:val="clear"/>
            <w:tcMar>
              <w:bottom w:w="0" w:type="dxa"/>
            </w:tcMar>
            <w:vAlign w:val="center"/>
          </w:tcPr>
          <w:p>
            <w:pPr>
              <w:pStyle w:val="TableContents"/>
              <w:spacing w:before="0" w:after="283"/>
              <w:rPr/>
            </w:pPr>
            <w:r>
              <w:rPr/>
              <w:t> </w:t>
            </w:r>
          </w:p>
        </w:tc>
        <w:tc>
          <w:tcPr>
            <w:tcW w:w="4220" w:type="dxa"/>
            <w:tcBorders/>
            <w:shd w:fill="auto" w:val="clear"/>
            <w:tcMar>
              <w:bottom w:w="0" w:type="dxa"/>
            </w:tcMar>
            <w:vAlign w:val="center"/>
          </w:tcPr>
          <w:p>
            <w:pPr>
              <w:pStyle w:val="TableContents"/>
              <w:spacing w:before="0" w:after="283"/>
              <w:jc w:val="center"/>
              <w:rPr/>
            </w:pPr>
            <w:r>
              <w:rPr/>
              <w:t>The NASDAQ Stock Market LLC</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Yes ☒ No ☐</w:t>
      </w:r>
    </w:p>
    <w:p>
      <w:pPr>
        <w:pStyle w:val="TextBody"/>
        <w:spacing w:before="0" w:after="0"/>
        <w:jc w:val="left"/>
        <w:rPr>
          <w:color w:val="000000"/>
        </w:rPr>
      </w:pPr>
      <w:r>
        <w:rPr>
          <w:color w:val="000000"/>
        </w:rPr>
        <w:t> </w:t>
      </w:r>
    </w:p>
    <w:p>
      <w:pPr>
        <w:pStyle w:val="TextBody"/>
        <w:spacing w:before="0" w:after="0"/>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Yes ☒ No ☐</w:t>
      </w:r>
    </w:p>
    <w:p>
      <w:pPr>
        <w:pStyle w:val="TextBody"/>
        <w:spacing w:before="0" w:after="0"/>
        <w:jc w:val="left"/>
        <w:rPr>
          <w:color w:val="000000"/>
        </w:rPr>
      </w:pPr>
      <w:r>
        <w:rPr>
          <w:color w:val="000000"/>
        </w:rPr>
        <w:t> </w:t>
      </w:r>
    </w:p>
    <w:p>
      <w:pPr>
        <w:pStyle w:val="TextBody"/>
        <w:spacing w:before="0" w:after="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CellMar>
          <w:top w:w="0" w:type="dxa"/>
          <w:left w:w="0" w:type="dxa"/>
          <w:bottom w:w="0" w:type="dxa"/>
          <w:right w:w="0" w:type="dxa"/>
        </w:tblCellMar>
      </w:tblPr>
      <w:tblGrid>
        <w:gridCol w:w="2120"/>
        <w:gridCol w:w="230"/>
        <w:gridCol w:w="60"/>
        <w:gridCol w:w="2615"/>
        <w:gridCol w:w="230"/>
      </w:tblGrid>
      <w:tr>
        <w:trPr/>
        <w:tc>
          <w:tcPr>
            <w:tcW w:w="2120" w:type="dxa"/>
            <w:tcBorders/>
            <w:shd w:fill="auto" w:val="clear"/>
            <w:vAlign w:val="center"/>
          </w:tcPr>
          <w:p>
            <w:pPr>
              <w:pStyle w:val="TableContents"/>
              <w:spacing w:before="0" w:after="0"/>
              <w:rPr/>
            </w:pPr>
            <w:r>
              <w:rPr/>
              <w:t>Large accelerated filer</w:t>
            </w:r>
          </w:p>
        </w:tc>
        <w:tc>
          <w:tcPr>
            <w:tcW w:w="230" w:type="dxa"/>
            <w:tcBorders/>
            <w:shd w:fill="auto" w:val="clear"/>
            <w:vAlign w:val="center"/>
          </w:tcPr>
          <w:p>
            <w:pPr>
              <w:pStyle w:val="TableContents"/>
              <w:spacing w:before="0" w:after="0"/>
              <w:jc w:val="right"/>
              <w:rPr>
                <w:color w:val="000000"/>
              </w:rPr>
            </w:pPr>
            <w:r>
              <w:rPr>
                <w:color w:val="000000"/>
              </w:rPr>
              <w:t>☐</w:t>
            </w:r>
          </w:p>
        </w:tc>
        <w:tc>
          <w:tcPr>
            <w:tcW w:w="60"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0"/>
              <w:rPr/>
            </w:pPr>
            <w:r>
              <w:rPr/>
              <w:t>Accelerated filer</w:t>
            </w:r>
          </w:p>
        </w:tc>
        <w:tc>
          <w:tcPr>
            <w:tcW w:w="230" w:type="dxa"/>
            <w:tcBorders/>
            <w:shd w:fill="auto" w:val="clear"/>
            <w:vAlign w:val="center"/>
          </w:tcPr>
          <w:p>
            <w:pPr>
              <w:pStyle w:val="TableContents"/>
              <w:spacing w:before="0" w:after="0"/>
              <w:jc w:val="right"/>
              <w:rPr>
                <w:color w:val="000000"/>
              </w:rPr>
            </w:pPr>
            <w:r>
              <w:rPr>
                <w:color w:val="000000"/>
              </w:rPr>
              <w:t>☐</w:t>
            </w:r>
          </w:p>
        </w:tc>
      </w:tr>
      <w:tr>
        <w:trPr/>
        <w:tc>
          <w:tcPr>
            <w:tcW w:w="2120" w:type="dxa"/>
            <w:tcBorders/>
            <w:shd w:fill="auto" w:val="clear"/>
            <w:vAlign w:val="center"/>
          </w:tcPr>
          <w:p>
            <w:pPr>
              <w:pStyle w:val="TableContents"/>
              <w:spacing w:before="0" w:after="0"/>
              <w:jc w:val="both"/>
              <w:rPr/>
            </w:pPr>
            <w:r>
              <w:rPr/>
              <w:t>Non-accelerated filer</w:t>
            </w:r>
          </w:p>
        </w:tc>
        <w:tc>
          <w:tcPr>
            <w:tcW w:w="230"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0"/>
              <w:rPr/>
            </w:pPr>
            <w:r>
              <w:rPr/>
              <w:t>Smaller reporting company</w:t>
            </w:r>
          </w:p>
        </w:tc>
        <w:tc>
          <w:tcPr>
            <w:tcW w:w="230" w:type="dxa"/>
            <w:tcBorders/>
            <w:shd w:fill="auto" w:val="clear"/>
            <w:vAlign w:val="center"/>
          </w:tcPr>
          <w:p>
            <w:pPr>
              <w:pStyle w:val="TableContents"/>
              <w:spacing w:before="0" w:after="0"/>
              <w:jc w:val="right"/>
              <w:rPr>
                <w:color w:val="000000"/>
              </w:rPr>
            </w:pPr>
            <w:r>
              <w:rPr>
                <w:color w:val="000000"/>
              </w:rPr>
              <w:t>☐</w:t>
            </w:r>
          </w:p>
        </w:tc>
      </w:tr>
      <w:tr>
        <w:trPr/>
        <w:tc>
          <w:tcPr>
            <w:tcW w:w="2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0"/>
              <w:rPr/>
            </w:pPr>
            <w:r>
              <w:rPr/>
              <w:t>Emerging growth company</w:t>
            </w:r>
          </w:p>
        </w:tc>
        <w:tc>
          <w:tcPr>
            <w:tcW w:w="230" w:type="dxa"/>
            <w:tcBorders/>
            <w:shd w:fill="auto" w:val="clear"/>
            <w:vAlign w:val="center"/>
          </w:tcPr>
          <w:p>
            <w:pPr>
              <w:pStyle w:val="TableContents"/>
              <w:spacing w:before="0" w:after="0"/>
              <w:jc w:val="right"/>
              <w:rPr/>
            </w:pPr>
            <w:r>
              <w:rPr/>
              <w:t>☒</w:t>
            </w:r>
          </w:p>
        </w:tc>
      </w:tr>
    </w:tbl>
    <w:p>
      <w:pPr>
        <w:pStyle w:val="TextBody"/>
        <w:spacing w:before="0" w:after="0"/>
        <w:jc w:val="left"/>
        <w:rPr>
          <w:color w:val="000000"/>
        </w:rPr>
      </w:pPr>
      <w:r>
        <w:rPr>
          <w:color w:val="000000"/>
        </w:rPr>
        <w:t> </w:t>
      </w:r>
    </w:p>
    <w:p>
      <w:pPr>
        <w:pStyle w:val="TextBody"/>
        <w:spacing w:before="0" w:after="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Act). Yes ☐          No ☒</w:t>
      </w:r>
    </w:p>
    <w:p>
      <w:pPr>
        <w:pStyle w:val="TextBody"/>
        <w:spacing w:before="0" w:after="0"/>
        <w:jc w:val="left"/>
        <w:rPr>
          <w:color w:val="000000"/>
        </w:rPr>
      </w:pPr>
      <w:r>
        <w:rPr>
          <w:color w:val="000000"/>
        </w:rPr>
        <w:t> </w:t>
      </w:r>
    </w:p>
    <w:p>
      <w:pPr>
        <w:pStyle w:val="TextBody"/>
        <w:spacing w:before="0" w:after="0"/>
        <w:jc w:val="left"/>
        <w:rPr>
          <w:rFonts w:ascii="Times New Roman" w:hAnsi="Times New Roman"/>
          <w:color w:val="000000"/>
          <w:sz w:val="20"/>
        </w:rPr>
      </w:pPr>
      <w:r>
        <w:rPr>
          <w:rFonts w:ascii="Times New Roman" w:hAnsi="Times New Roman"/>
          <w:color w:val="000000"/>
          <w:sz w:val="20"/>
        </w:rPr>
        <w:t>As of May 12, 2023, the registrant had 6,214,672 shares of common stock ($0.01 par value per share) outstanding.</w:t>
      </w:r>
    </w:p>
    <w:p>
      <w:pPr>
        <w:pStyle w:val="TextBody"/>
        <w:spacing w:before="0" w:after="0"/>
        <w:jc w:val="left"/>
        <w:rPr>
          <w:rFonts w:ascii="Times New Roman" w:hAnsi="Times New Roman"/>
          <w:sz w:val="20"/>
        </w:rPr>
      </w:pPr>
      <w:r>
        <w:rPr>
          <w:rFonts w:ascii="Times New Roman" w:hAnsi="Times New Roman"/>
          <w:sz w:val="20"/>
        </w:rPr>
      </w:r>
    </w:p>
    <w:p>
      <w:pPr>
        <w:pStyle w:val="HorizontalLine"/>
        <w:jc w:val="left"/>
        <w:rPr/>
      </w:pPr>
      <w:r>
        <w:rPr/>
      </w:r>
    </w:p>
    <w:p>
      <w:pPr>
        <w:pStyle w:val="HorizontalLine"/>
        <w:spacing w:before="200" w:after="200"/>
        <w:jc w:val="left"/>
        <w:rPr/>
      </w:pPr>
      <w:r>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SILVER SPIKE</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INVESTMENT CORP. </w:t>
      </w:r>
    </w:p>
    <w:p>
      <w:pPr>
        <w:pStyle w:val="TextBody"/>
        <w:spacing w:before="0" w:after="0"/>
        <w:jc w:val="center"/>
        <w:rPr>
          <w:rFonts w:ascii="Times New Roman" w:hAnsi="Times New Roman"/>
          <w:b/>
          <w:color w:val="000000"/>
          <w:sz w:val="20"/>
        </w:rPr>
      </w:pPr>
      <w:r>
        <w:rPr>
          <w:rFonts w:ascii="Times New Roman" w:hAnsi="Times New Roman"/>
          <w:b/>
          <w:color w:val="000000"/>
          <w:sz w:val="20"/>
        </w:rPr>
        <w:t>FORM 10-Q</w:t>
      </w:r>
    </w:p>
    <w:p>
      <w:pPr>
        <w:pStyle w:val="TextBody"/>
        <w:spacing w:before="0" w:after="0"/>
        <w:jc w:val="center"/>
        <w:rPr>
          <w:rFonts w:ascii="Times New Roman" w:hAnsi="Times New Roman"/>
          <w:b/>
          <w:sz w:val="20"/>
        </w:rPr>
      </w:pPr>
      <w:r>
        <w:rPr>
          <w:rFonts w:ascii="Times New Roman" w:hAnsi="Times New Roman"/>
          <w:b/>
          <w:sz w:val="20"/>
        </w:rPr>
      </w:r>
    </w:p>
    <w:p>
      <w:pPr>
        <w:pStyle w:val="Normal"/>
        <w:spacing w:before="0" w:after="0"/>
        <w:jc w:val="left"/>
        <w:rPr>
          <w:sz w:val="4"/>
          <w:szCs w:val="4"/>
        </w:rPr>
      </w:pPr>
      <w:r>
        <w:rPr>
          <w:sz w:val="4"/>
          <w:szCs w:val="4"/>
        </w:rPr>
      </w:r>
      <w:bookmarkStart w:id="0" w:name="TABLEOFCONTENTS"/>
      <w:bookmarkStart w:id="1" w:name="TABLEOFCONTENTS"/>
      <w:bookmarkEnd w:id="1"/>
    </w:p>
    <w:tbl>
      <w:tblPr>
        <w:tblW w:w="10539" w:type="dxa"/>
        <w:jc w:val="left"/>
        <w:tblInd w:w="0" w:type="dxa"/>
        <w:tblCellMar>
          <w:top w:w="0" w:type="dxa"/>
          <w:left w:w="0" w:type="dxa"/>
          <w:bottom w:w="0" w:type="dxa"/>
          <w:right w:w="0" w:type="dxa"/>
        </w:tblCellMar>
      </w:tblPr>
      <w:tblGrid>
        <w:gridCol w:w="906"/>
        <w:gridCol w:w="8937"/>
        <w:gridCol w:w="696"/>
      </w:tblGrid>
      <w:tr>
        <w:trPr/>
        <w:tc>
          <w:tcPr>
            <w:tcW w:w="906" w:type="dxa"/>
            <w:vMerge w:val="restart"/>
            <w:tcBorders/>
            <w:shd w:fill="auto" w:val="clear"/>
            <w:vAlign w:val="center"/>
          </w:tcPr>
          <w:p>
            <w:pPr>
              <w:pStyle w:val="TableContents"/>
              <w:spacing w:before="0" w:after="283"/>
              <w:rPr/>
            </w:pPr>
            <w:r>
              <w:rPr/>
              <w:t> </w:t>
            </w:r>
          </w:p>
        </w:tc>
        <w:tc>
          <w:tcPr>
            <w:tcW w:w="8937" w:type="dxa"/>
            <w:tcBorders/>
            <w:shd w:fill="auto" w:val="clear"/>
            <w:vAlign w:val="center"/>
          </w:tcPr>
          <w:p>
            <w:pPr>
              <w:pStyle w:val="TableContents"/>
              <w:spacing w:before="0" w:after="0"/>
              <w:jc w:val="center"/>
              <w:rPr>
                <w:b/>
                <w:color w:val="000000"/>
              </w:rPr>
            </w:pPr>
            <w:r>
              <w:rPr>
                <w:b/>
                <w:color w:val="000000"/>
              </w:rPr>
              <w:t>TABLE OF CONTENTS</w:t>
            </w:r>
          </w:p>
        </w:tc>
        <w:tc>
          <w:tcPr>
            <w:tcW w:w="696" w:type="dxa"/>
            <w:tcBorders/>
            <w:shd w:fill="auto" w:val="clear"/>
            <w:vAlign w:val="center"/>
          </w:tcPr>
          <w:p>
            <w:pPr>
              <w:pStyle w:val="TableContents"/>
              <w:spacing w:before="0" w:after="283"/>
              <w:rPr/>
            </w:pPr>
            <w:r>
              <w:rPr/>
              <w:t> </w:t>
            </w:r>
          </w:p>
        </w:tc>
      </w:tr>
      <w:tr>
        <w:trPr/>
        <w:tc>
          <w:tcPr>
            <w:tcW w:w="906" w:type="dxa"/>
            <w:vMerge w:val="continue"/>
            <w:tcBorders/>
            <w:shd w:fill="auto" w:val="clear"/>
            <w:vAlign w:val="center"/>
          </w:tcPr>
          <w:p>
            <w:pPr>
              <w:pStyle w:val="Normal"/>
              <w:rPr/>
            </w:pPr>
            <w:r>
              <w:rPr/>
            </w:r>
          </w:p>
        </w:tc>
        <w:tc>
          <w:tcPr>
            <w:tcW w:w="8937" w:type="dxa"/>
            <w:tcBorders/>
            <w:shd w:fill="auto" w:val="clear"/>
            <w:vAlign w:val="center"/>
          </w:tcPr>
          <w:p>
            <w:pPr>
              <w:pStyle w:val="TableContents"/>
              <w:spacing w:before="0" w:after="283"/>
              <w:rPr/>
            </w:pPr>
            <w:r>
              <w:rPr/>
              <w:t>  </w:t>
            </w:r>
          </w:p>
        </w:tc>
        <w:tc>
          <w:tcPr>
            <w:tcW w:w="696" w:type="dxa"/>
            <w:tcBorders/>
            <w:shd w:fill="auto" w:val="clear"/>
            <w:vAlign w:val="center"/>
          </w:tcPr>
          <w:p>
            <w:pPr>
              <w:pStyle w:val="TableContents"/>
              <w:spacing w:before="0" w:after="0"/>
              <w:jc w:val="center"/>
              <w:rPr>
                <w:b/>
                <w:color w:val="000000"/>
              </w:rPr>
            </w:pPr>
            <w:r>
              <w:rPr>
                <w:b/>
                <w:color w:val="000000"/>
              </w:rPr>
              <w:t>PAGE</w:t>
            </w:r>
          </w:p>
          <w:p>
            <w:pPr>
              <w:pStyle w:val="TableContents"/>
              <w:spacing w:before="0" w:after="0"/>
              <w:jc w:val="center"/>
              <w:rPr>
                <w:b/>
                <w:color w:val="000000"/>
              </w:rPr>
            </w:pPr>
            <w:r>
              <w:rPr>
                <w:b/>
                <w:color w:val="000000"/>
              </w:rPr>
              <w:t>NO.</w:t>
            </w:r>
          </w:p>
        </w:tc>
      </w:tr>
      <w:tr>
        <w:trPr/>
        <w:tc>
          <w:tcPr>
            <w:tcW w:w="906" w:type="dxa"/>
            <w:tcBorders/>
            <w:shd w:fill="auto" w:val="clear"/>
            <w:vAlign w:val="center"/>
          </w:tcPr>
          <w:p>
            <w:pPr>
              <w:pStyle w:val="TableContents"/>
              <w:spacing w:before="0" w:after="0"/>
              <w:rPr>
                <w:b/>
                <w:color w:val="000000"/>
              </w:rPr>
            </w:pPr>
            <w:r>
              <w:rPr>
                <w:b/>
                <w:color w:val="000000"/>
              </w:rPr>
              <w:t>PART I</w:t>
            </w:r>
          </w:p>
        </w:tc>
        <w:tc>
          <w:tcPr>
            <w:tcW w:w="8937" w:type="dxa"/>
            <w:tcBorders/>
            <w:shd w:fill="auto" w:val="clear"/>
            <w:vAlign w:val="center"/>
          </w:tcPr>
          <w:p>
            <w:pPr>
              <w:pStyle w:val="TableContents"/>
              <w:spacing w:before="0" w:after="0"/>
              <w:rPr>
                <w:b/>
                <w:color w:val="000000"/>
              </w:rPr>
            </w:pPr>
            <w:r>
              <w:rPr>
                <w:b/>
                <w:color w:val="000000"/>
              </w:rPr>
              <w:t>FINANCIAL INFORMATION</w:t>
            </w:r>
          </w:p>
        </w:tc>
        <w:tc>
          <w:tcPr>
            <w:tcW w:w="696" w:type="dxa"/>
            <w:tcBorders/>
            <w:shd w:fill="auto" w:val="clear"/>
            <w:vAlign w:val="center"/>
          </w:tcPr>
          <w:p>
            <w:pPr>
              <w:pStyle w:val="TableContents"/>
              <w:spacing w:before="0" w:after="283"/>
              <w:rPr/>
            </w:pPr>
            <w:r>
              <w:rPr/>
              <w:t> </w:t>
            </w:r>
          </w:p>
        </w:tc>
      </w:tr>
      <w:tr>
        <w:trPr/>
        <w:tc>
          <w:tcPr>
            <w:tcW w:w="906" w:type="dxa"/>
            <w:tcBorders/>
            <w:shd w:fill="CCEEFF" w:val="clear"/>
            <w:vAlign w:val="center"/>
          </w:tcPr>
          <w:p>
            <w:pPr>
              <w:pStyle w:val="TableContents"/>
              <w:spacing w:before="0" w:after="0"/>
              <w:rPr>
                <w:color w:val="000000"/>
              </w:rPr>
            </w:pPr>
            <w:r>
              <w:rPr>
                <w:color w:val="000000"/>
              </w:rPr>
              <w:t>Item 1</w:t>
            </w:r>
          </w:p>
        </w:tc>
        <w:tc>
          <w:tcPr>
            <w:tcW w:w="8937" w:type="dxa"/>
            <w:tcBorders/>
            <w:shd w:fill="CCEEFF" w:val="clear"/>
            <w:vAlign w:val="center"/>
          </w:tcPr>
          <w:p>
            <w:pPr>
              <w:pStyle w:val="TableContents"/>
              <w:spacing w:before="0" w:after="0"/>
              <w:rPr/>
            </w:pPr>
            <w:hyperlink w:anchor="Item1.">
              <w:r>
                <w:rPr>
                  <w:rStyle w:val="InternetLink"/>
                  <w:color w:val="000000"/>
                </w:rPr>
                <w:t>Financial Statements</w:t>
              </w:r>
            </w:hyperlink>
          </w:p>
        </w:tc>
        <w:tc>
          <w:tcPr>
            <w:tcW w:w="696" w:type="dxa"/>
            <w:tcBorders/>
            <w:shd w:fill="CCEEFF" w:val="clear"/>
            <w:vAlign w:val="center"/>
          </w:tcPr>
          <w:p>
            <w:pPr>
              <w:pStyle w:val="TableContents"/>
              <w:spacing w:before="0" w:after="283"/>
              <w:jc w:val="center"/>
              <w:rPr/>
            </w:pPr>
            <w:r>
              <w:rPr/>
              <w:t>4</w:t>
            </w:r>
          </w:p>
        </w:tc>
      </w:tr>
      <w:tr>
        <w:trPr/>
        <w:tc>
          <w:tcPr>
            <w:tcW w:w="906" w:type="dxa"/>
            <w:tcBorders/>
            <w:shd w:fill="auto" w:val="clear"/>
            <w:vAlign w:val="center"/>
          </w:tcPr>
          <w:p>
            <w:pPr>
              <w:pStyle w:val="TableContents"/>
              <w:spacing w:before="0" w:after="283"/>
              <w:rPr/>
            </w:pPr>
            <w:r>
              <w:rPr/>
              <w:t> </w:t>
            </w:r>
          </w:p>
        </w:tc>
        <w:tc>
          <w:tcPr>
            <w:tcW w:w="8937" w:type="dxa"/>
            <w:tcBorders/>
            <w:shd w:fill="auto" w:val="clear"/>
            <w:vAlign w:val="center"/>
          </w:tcPr>
          <w:p>
            <w:pPr>
              <w:pStyle w:val="TableContents"/>
              <w:spacing w:before="0" w:after="0"/>
              <w:rPr/>
            </w:pPr>
            <w:hyperlink w:anchor="StatementsofAssetsandLiab">
              <w:r>
                <w:rPr>
                  <w:rStyle w:val="InternetLink"/>
                  <w:color w:val="000000"/>
                </w:rPr>
                <w:t>Statements of Assets and Liabilities as of March 31, 2023 (unaudited) and December 31, 2022</w:t>
              </w:r>
            </w:hyperlink>
          </w:p>
        </w:tc>
        <w:tc>
          <w:tcPr>
            <w:tcW w:w="696" w:type="dxa"/>
            <w:tcBorders/>
            <w:shd w:fill="auto" w:val="clear"/>
            <w:vAlign w:val="center"/>
          </w:tcPr>
          <w:p>
            <w:pPr>
              <w:pStyle w:val="TableContents"/>
              <w:spacing w:before="0" w:after="0"/>
              <w:jc w:val="center"/>
              <w:rPr>
                <w:color w:val="000000"/>
              </w:rPr>
            </w:pPr>
            <w:r>
              <w:rPr>
                <w:color w:val="000000"/>
              </w:rPr>
              <w:t>4</w:t>
            </w:r>
          </w:p>
        </w:tc>
      </w:tr>
      <w:tr>
        <w:trPr/>
        <w:tc>
          <w:tcPr>
            <w:tcW w:w="906" w:type="dxa"/>
            <w:tcBorders/>
            <w:shd w:fill="CCEEFF" w:val="clear"/>
            <w:vAlign w:val="center"/>
          </w:tcPr>
          <w:p>
            <w:pPr>
              <w:pStyle w:val="TableContents"/>
              <w:spacing w:before="0" w:after="283"/>
              <w:rPr/>
            </w:pPr>
            <w:r>
              <w:rPr/>
              <w:t> </w:t>
            </w:r>
          </w:p>
        </w:tc>
        <w:tc>
          <w:tcPr>
            <w:tcW w:w="8937" w:type="dxa"/>
            <w:tcBorders/>
            <w:shd w:fill="CCEEFF" w:val="clear"/>
            <w:vAlign w:val="center"/>
          </w:tcPr>
          <w:p>
            <w:pPr>
              <w:pStyle w:val="TableContents"/>
              <w:spacing w:before="0" w:after="0"/>
              <w:rPr/>
            </w:pPr>
            <w:hyperlink w:anchor="StatementsofOperations">
              <w:r>
                <w:rPr>
                  <w:rStyle w:val="InternetLink"/>
                  <w:color w:val="000000"/>
                </w:rPr>
                <w:t>Statements of Operations for the Three Months Ended March 31, 2023 and 2022 (unaudited)</w:t>
              </w:r>
            </w:hyperlink>
          </w:p>
        </w:tc>
        <w:tc>
          <w:tcPr>
            <w:tcW w:w="696" w:type="dxa"/>
            <w:tcBorders/>
            <w:shd w:fill="CCEEFF" w:val="clear"/>
            <w:vAlign w:val="center"/>
          </w:tcPr>
          <w:p>
            <w:pPr>
              <w:pStyle w:val="TableContents"/>
              <w:spacing w:before="0" w:after="0"/>
              <w:jc w:val="center"/>
              <w:rPr>
                <w:color w:val="000000"/>
              </w:rPr>
            </w:pPr>
            <w:r>
              <w:rPr>
                <w:color w:val="000000"/>
              </w:rPr>
              <w:t>5</w:t>
            </w:r>
          </w:p>
        </w:tc>
      </w:tr>
      <w:tr>
        <w:trPr/>
        <w:tc>
          <w:tcPr>
            <w:tcW w:w="906" w:type="dxa"/>
            <w:tcBorders/>
            <w:shd w:fill="auto" w:val="clear"/>
            <w:vAlign w:val="center"/>
          </w:tcPr>
          <w:p>
            <w:pPr>
              <w:pStyle w:val="TableContents"/>
              <w:spacing w:before="0" w:after="283"/>
              <w:rPr/>
            </w:pPr>
            <w:r>
              <w:rPr/>
              <w:t> </w:t>
            </w:r>
          </w:p>
        </w:tc>
        <w:tc>
          <w:tcPr>
            <w:tcW w:w="8937" w:type="dxa"/>
            <w:tcBorders/>
            <w:shd w:fill="auto" w:val="clear"/>
            <w:vAlign w:val="center"/>
          </w:tcPr>
          <w:p>
            <w:pPr>
              <w:pStyle w:val="TableContents"/>
              <w:spacing w:before="0" w:after="0"/>
              <w:rPr/>
            </w:pPr>
            <w:hyperlink w:anchor="StatementsofChangesinNetA">
              <w:r>
                <w:rPr>
                  <w:rStyle w:val="InternetLink"/>
                  <w:color w:val="000000"/>
                </w:rPr>
                <w:t>Statements of Changes in Net Assets for the Three Months Ended March 31, 2023 and 2022 (unaudited)</w:t>
              </w:r>
            </w:hyperlink>
          </w:p>
        </w:tc>
        <w:tc>
          <w:tcPr>
            <w:tcW w:w="696" w:type="dxa"/>
            <w:tcBorders/>
            <w:shd w:fill="auto" w:val="clear"/>
            <w:vAlign w:val="center"/>
          </w:tcPr>
          <w:p>
            <w:pPr>
              <w:pStyle w:val="TableContents"/>
              <w:spacing w:before="0" w:after="0"/>
              <w:jc w:val="center"/>
              <w:rPr>
                <w:color w:val="000000"/>
              </w:rPr>
            </w:pPr>
            <w:r>
              <w:rPr>
                <w:color w:val="000000"/>
              </w:rPr>
              <w:t>6</w:t>
            </w:r>
          </w:p>
        </w:tc>
      </w:tr>
      <w:tr>
        <w:trPr/>
        <w:tc>
          <w:tcPr>
            <w:tcW w:w="906" w:type="dxa"/>
            <w:tcBorders/>
            <w:shd w:fill="CCEEFF" w:val="clear"/>
            <w:vAlign w:val="center"/>
          </w:tcPr>
          <w:p>
            <w:pPr>
              <w:pStyle w:val="TableContents"/>
              <w:spacing w:before="0" w:after="283"/>
              <w:rPr/>
            </w:pPr>
            <w:r>
              <w:rPr/>
              <w:t> </w:t>
            </w:r>
          </w:p>
        </w:tc>
        <w:tc>
          <w:tcPr>
            <w:tcW w:w="8937" w:type="dxa"/>
            <w:tcBorders/>
            <w:shd w:fill="CCEEFF" w:val="clear"/>
            <w:vAlign w:val="center"/>
          </w:tcPr>
          <w:p>
            <w:pPr>
              <w:pStyle w:val="TableContents"/>
              <w:spacing w:before="0" w:after="0"/>
              <w:rPr/>
            </w:pPr>
            <w:hyperlink w:anchor="StatementsofCashFlows">
              <w:r>
                <w:rPr>
                  <w:rStyle w:val="InternetLink"/>
                  <w:color w:val="000000"/>
                </w:rPr>
                <w:t>Statements of Cash Flows for the Three Months Ended March 31, 2023 and 2022 (unaudited)</w:t>
              </w:r>
            </w:hyperlink>
          </w:p>
        </w:tc>
        <w:tc>
          <w:tcPr>
            <w:tcW w:w="696" w:type="dxa"/>
            <w:tcBorders/>
            <w:shd w:fill="CCEEFF" w:val="clear"/>
            <w:vAlign w:val="center"/>
          </w:tcPr>
          <w:p>
            <w:pPr>
              <w:pStyle w:val="TableContents"/>
              <w:spacing w:before="0" w:after="0"/>
              <w:jc w:val="center"/>
              <w:rPr>
                <w:color w:val="000000"/>
              </w:rPr>
            </w:pPr>
            <w:r>
              <w:rPr>
                <w:color w:val="000000"/>
              </w:rPr>
              <w:t>7</w:t>
            </w:r>
          </w:p>
        </w:tc>
      </w:tr>
      <w:tr>
        <w:trPr/>
        <w:tc>
          <w:tcPr>
            <w:tcW w:w="906" w:type="dxa"/>
            <w:tcBorders/>
            <w:shd w:fill="auto" w:val="clear"/>
            <w:vAlign w:val="center"/>
          </w:tcPr>
          <w:p>
            <w:pPr>
              <w:pStyle w:val="TableContents"/>
              <w:spacing w:before="0" w:after="283"/>
              <w:rPr/>
            </w:pPr>
            <w:r>
              <w:rPr/>
              <w:t> </w:t>
            </w:r>
          </w:p>
        </w:tc>
        <w:tc>
          <w:tcPr>
            <w:tcW w:w="8937" w:type="dxa"/>
            <w:tcBorders/>
            <w:shd w:fill="auto" w:val="clear"/>
            <w:vAlign w:val="center"/>
          </w:tcPr>
          <w:p>
            <w:pPr>
              <w:pStyle w:val="TableContents"/>
              <w:spacing w:before="0" w:after="0"/>
              <w:rPr/>
            </w:pPr>
            <w:hyperlink w:anchor="ScheduleofInvestments">
              <w:r>
                <w:rPr>
                  <w:rStyle w:val="InternetLink"/>
                  <w:color w:val="000000"/>
                </w:rPr>
                <w:t>Schedule of Investments as of March 31, 2023 (unaudited) and December 31, 2022</w:t>
              </w:r>
            </w:hyperlink>
          </w:p>
        </w:tc>
        <w:tc>
          <w:tcPr>
            <w:tcW w:w="696" w:type="dxa"/>
            <w:tcBorders/>
            <w:shd w:fill="auto" w:val="clear"/>
            <w:vAlign w:val="center"/>
          </w:tcPr>
          <w:p>
            <w:pPr>
              <w:pStyle w:val="TableContents"/>
              <w:spacing w:before="0" w:after="0"/>
              <w:jc w:val="center"/>
              <w:rPr>
                <w:color w:val="000000"/>
              </w:rPr>
            </w:pPr>
            <w:r>
              <w:rPr>
                <w:color w:val="000000"/>
              </w:rPr>
              <w:t>8</w:t>
            </w:r>
          </w:p>
        </w:tc>
      </w:tr>
      <w:tr>
        <w:trPr/>
        <w:tc>
          <w:tcPr>
            <w:tcW w:w="906" w:type="dxa"/>
            <w:tcBorders/>
            <w:shd w:fill="CCEEFF" w:val="clear"/>
            <w:vAlign w:val="center"/>
          </w:tcPr>
          <w:p>
            <w:pPr>
              <w:pStyle w:val="TableContents"/>
              <w:spacing w:before="0" w:after="283"/>
              <w:rPr/>
            </w:pPr>
            <w:r>
              <w:rPr/>
              <w:t> </w:t>
            </w:r>
          </w:p>
        </w:tc>
        <w:tc>
          <w:tcPr>
            <w:tcW w:w="8937" w:type="dxa"/>
            <w:tcBorders/>
            <w:shd w:fill="CCEEFF" w:val="clear"/>
            <w:vAlign w:val="center"/>
          </w:tcPr>
          <w:p>
            <w:pPr>
              <w:pStyle w:val="TableContents"/>
              <w:spacing w:before="0" w:after="0"/>
              <w:rPr/>
            </w:pPr>
            <w:hyperlink w:anchor="Notes">
              <w:r>
                <w:rPr>
                  <w:rStyle w:val="InternetLink"/>
                  <w:color w:val="000000"/>
                </w:rPr>
                <w:t>Notes to Financial Statements (unaudited)</w:t>
              </w:r>
            </w:hyperlink>
          </w:p>
        </w:tc>
        <w:tc>
          <w:tcPr>
            <w:tcW w:w="696" w:type="dxa"/>
            <w:tcBorders/>
            <w:shd w:fill="CCEEFF" w:val="clear"/>
            <w:vAlign w:val="center"/>
          </w:tcPr>
          <w:p>
            <w:pPr>
              <w:pStyle w:val="TableContents"/>
              <w:spacing w:before="0" w:after="0"/>
              <w:jc w:val="center"/>
              <w:rPr>
                <w:color w:val="000000"/>
              </w:rPr>
            </w:pPr>
            <w:r>
              <w:rPr>
                <w:color w:val="000000"/>
              </w:rPr>
              <w:t>10</w:t>
            </w:r>
          </w:p>
        </w:tc>
      </w:tr>
      <w:tr>
        <w:trPr/>
        <w:tc>
          <w:tcPr>
            <w:tcW w:w="906" w:type="dxa"/>
            <w:tcBorders/>
            <w:shd w:fill="auto" w:val="clear"/>
            <w:vAlign w:val="center"/>
          </w:tcPr>
          <w:p>
            <w:pPr>
              <w:pStyle w:val="TableContents"/>
              <w:spacing w:before="0" w:after="0"/>
              <w:rPr>
                <w:color w:val="000000"/>
              </w:rPr>
            </w:pPr>
            <w:r>
              <w:rPr>
                <w:color w:val="000000"/>
              </w:rPr>
              <w:t>Item 2</w:t>
            </w:r>
          </w:p>
        </w:tc>
        <w:tc>
          <w:tcPr>
            <w:tcW w:w="8937" w:type="dxa"/>
            <w:tcBorders/>
            <w:shd w:fill="auto" w:val="clear"/>
            <w:vAlign w:val="center"/>
          </w:tcPr>
          <w:p>
            <w:pPr>
              <w:pStyle w:val="TableContents"/>
              <w:spacing w:before="0" w:after="0"/>
              <w:rPr/>
            </w:pPr>
            <w:hyperlink w:anchor="Item2.">
              <w:r>
                <w:rPr>
                  <w:rStyle w:val="InternetLink"/>
                  <w:color w:val="000000"/>
                </w:rPr>
                <w:t>Management’s Discussion and Analysis of Financial Condition and Results of Operations</w:t>
              </w:r>
            </w:hyperlink>
          </w:p>
        </w:tc>
        <w:tc>
          <w:tcPr>
            <w:tcW w:w="696" w:type="dxa"/>
            <w:tcBorders/>
            <w:shd w:fill="auto" w:val="clear"/>
            <w:vAlign w:val="center"/>
          </w:tcPr>
          <w:p>
            <w:pPr>
              <w:pStyle w:val="TableContents"/>
              <w:spacing w:before="0" w:after="0"/>
              <w:jc w:val="center"/>
              <w:rPr>
                <w:color w:val="000000"/>
              </w:rPr>
            </w:pPr>
            <w:r>
              <w:rPr>
                <w:color w:val="000000"/>
              </w:rPr>
              <w:t>21</w:t>
            </w:r>
          </w:p>
        </w:tc>
      </w:tr>
      <w:tr>
        <w:trPr/>
        <w:tc>
          <w:tcPr>
            <w:tcW w:w="906" w:type="dxa"/>
            <w:tcBorders/>
            <w:shd w:fill="CCEEFF" w:val="clear"/>
            <w:vAlign w:val="center"/>
          </w:tcPr>
          <w:p>
            <w:pPr>
              <w:pStyle w:val="TableContents"/>
              <w:spacing w:before="0" w:after="0"/>
              <w:rPr>
                <w:color w:val="000000"/>
              </w:rPr>
            </w:pPr>
            <w:r>
              <w:rPr>
                <w:color w:val="000000"/>
              </w:rPr>
              <w:t>Item 3</w:t>
            </w:r>
          </w:p>
        </w:tc>
        <w:tc>
          <w:tcPr>
            <w:tcW w:w="8937" w:type="dxa"/>
            <w:tcBorders/>
            <w:shd w:fill="CCEEFF" w:val="clear"/>
            <w:vAlign w:val="center"/>
          </w:tcPr>
          <w:p>
            <w:pPr>
              <w:pStyle w:val="TableContents"/>
              <w:spacing w:before="0" w:after="0"/>
              <w:rPr/>
            </w:pPr>
            <w:hyperlink w:anchor="Item3.">
              <w:r>
                <w:rPr>
                  <w:rStyle w:val="InternetLink"/>
                  <w:color w:val="000000"/>
                </w:rPr>
                <w:t>Quantitative and Qualitative Disclosures About Market Risk</w:t>
              </w:r>
            </w:hyperlink>
          </w:p>
        </w:tc>
        <w:tc>
          <w:tcPr>
            <w:tcW w:w="696" w:type="dxa"/>
            <w:tcBorders/>
            <w:shd w:fill="CCEEFF" w:val="clear"/>
            <w:vAlign w:val="center"/>
          </w:tcPr>
          <w:p>
            <w:pPr>
              <w:pStyle w:val="TableContents"/>
              <w:spacing w:before="0" w:after="0"/>
              <w:jc w:val="center"/>
              <w:rPr>
                <w:color w:val="000000"/>
              </w:rPr>
            </w:pPr>
            <w:r>
              <w:rPr>
                <w:color w:val="000000"/>
              </w:rPr>
              <w:t>31</w:t>
            </w:r>
          </w:p>
        </w:tc>
      </w:tr>
      <w:tr>
        <w:trPr/>
        <w:tc>
          <w:tcPr>
            <w:tcW w:w="906" w:type="dxa"/>
            <w:tcBorders/>
            <w:shd w:fill="auto" w:val="clear"/>
            <w:vAlign w:val="center"/>
          </w:tcPr>
          <w:p>
            <w:pPr>
              <w:pStyle w:val="TableContents"/>
              <w:spacing w:before="0" w:after="0"/>
              <w:rPr>
                <w:color w:val="000000"/>
              </w:rPr>
            </w:pPr>
            <w:r>
              <w:rPr>
                <w:color w:val="000000"/>
              </w:rPr>
              <w:t>Item 4</w:t>
            </w:r>
          </w:p>
        </w:tc>
        <w:tc>
          <w:tcPr>
            <w:tcW w:w="8937" w:type="dxa"/>
            <w:tcBorders/>
            <w:shd w:fill="auto" w:val="clear"/>
            <w:vAlign w:val="center"/>
          </w:tcPr>
          <w:p>
            <w:pPr>
              <w:pStyle w:val="TableContents"/>
              <w:spacing w:before="0" w:after="0"/>
              <w:rPr/>
            </w:pPr>
            <w:hyperlink w:anchor="Item4.">
              <w:r>
                <w:rPr>
                  <w:rStyle w:val="InternetLink"/>
                  <w:color w:val="000000"/>
                </w:rPr>
                <w:t>Controls and Procedures</w:t>
              </w:r>
            </w:hyperlink>
          </w:p>
        </w:tc>
        <w:tc>
          <w:tcPr>
            <w:tcW w:w="696" w:type="dxa"/>
            <w:tcBorders/>
            <w:shd w:fill="auto" w:val="clear"/>
            <w:vAlign w:val="center"/>
          </w:tcPr>
          <w:p>
            <w:pPr>
              <w:pStyle w:val="TableContents"/>
              <w:spacing w:before="0" w:after="0"/>
              <w:jc w:val="center"/>
              <w:rPr>
                <w:color w:val="000000"/>
              </w:rPr>
            </w:pPr>
            <w:r>
              <w:rPr>
                <w:color w:val="000000"/>
              </w:rPr>
              <w:t>32</w:t>
            </w:r>
          </w:p>
        </w:tc>
      </w:tr>
      <w:tr>
        <w:trPr/>
        <w:tc>
          <w:tcPr>
            <w:tcW w:w="906" w:type="dxa"/>
            <w:tcBorders/>
            <w:shd w:fill="CCEEFF" w:val="clear"/>
            <w:vAlign w:val="center"/>
          </w:tcPr>
          <w:p>
            <w:pPr>
              <w:pStyle w:val="TableContents"/>
              <w:spacing w:before="0" w:after="0"/>
              <w:rPr>
                <w:b/>
                <w:color w:val="000000"/>
              </w:rPr>
            </w:pPr>
            <w:r>
              <w:rPr>
                <w:b/>
                <w:color w:val="000000"/>
              </w:rPr>
              <w:t>PART II</w:t>
            </w:r>
          </w:p>
        </w:tc>
        <w:tc>
          <w:tcPr>
            <w:tcW w:w="8937" w:type="dxa"/>
            <w:tcBorders/>
            <w:shd w:fill="CCEEFF" w:val="clear"/>
            <w:vAlign w:val="center"/>
          </w:tcPr>
          <w:p>
            <w:pPr>
              <w:pStyle w:val="TableContents"/>
              <w:spacing w:before="0" w:after="0"/>
              <w:rPr>
                <w:b/>
                <w:color w:val="000000"/>
              </w:rPr>
            </w:pPr>
            <w:r>
              <w:rPr>
                <w:b/>
                <w:color w:val="000000"/>
              </w:rPr>
              <w:t>OTHER INFORMATION</w:t>
            </w:r>
          </w:p>
        </w:tc>
        <w:tc>
          <w:tcPr>
            <w:tcW w:w="696" w:type="dxa"/>
            <w:tcBorders/>
            <w:shd w:fill="CCEEFF" w:val="clear"/>
            <w:vAlign w:val="center"/>
          </w:tcPr>
          <w:p>
            <w:pPr>
              <w:pStyle w:val="TableContents"/>
              <w:spacing w:before="0" w:after="283"/>
              <w:rPr/>
            </w:pPr>
            <w:r>
              <w:rPr/>
              <w:t> </w:t>
            </w:r>
          </w:p>
        </w:tc>
      </w:tr>
      <w:tr>
        <w:trPr/>
        <w:tc>
          <w:tcPr>
            <w:tcW w:w="906" w:type="dxa"/>
            <w:tcBorders/>
            <w:shd w:fill="auto" w:val="clear"/>
            <w:vAlign w:val="center"/>
          </w:tcPr>
          <w:p>
            <w:pPr>
              <w:pStyle w:val="TableContents"/>
              <w:spacing w:before="0" w:after="0"/>
              <w:rPr>
                <w:color w:val="000000"/>
              </w:rPr>
            </w:pPr>
            <w:r>
              <w:rPr>
                <w:color w:val="000000"/>
              </w:rPr>
              <w:t>Item 1</w:t>
            </w:r>
          </w:p>
        </w:tc>
        <w:tc>
          <w:tcPr>
            <w:tcW w:w="8937" w:type="dxa"/>
            <w:tcBorders/>
            <w:shd w:fill="auto" w:val="clear"/>
            <w:vAlign w:val="center"/>
          </w:tcPr>
          <w:p>
            <w:pPr>
              <w:pStyle w:val="TableContents"/>
              <w:spacing w:before="0" w:after="0"/>
              <w:rPr/>
            </w:pPr>
            <w:hyperlink w:anchor="LegalProceedings">
              <w:r>
                <w:rPr>
                  <w:rStyle w:val="InternetLink"/>
                  <w:color w:val="000000"/>
                </w:rPr>
                <w:t>Legal Proceedings</w:t>
              </w:r>
            </w:hyperlink>
          </w:p>
        </w:tc>
        <w:tc>
          <w:tcPr>
            <w:tcW w:w="696" w:type="dxa"/>
            <w:tcBorders/>
            <w:shd w:fill="auto" w:val="clear"/>
            <w:vAlign w:val="center"/>
          </w:tcPr>
          <w:p>
            <w:pPr>
              <w:pStyle w:val="TableContents"/>
              <w:spacing w:before="0" w:after="0"/>
              <w:jc w:val="center"/>
              <w:rPr>
                <w:color w:val="000000"/>
              </w:rPr>
            </w:pPr>
            <w:r>
              <w:rPr>
                <w:color w:val="000000"/>
              </w:rPr>
              <w:t>32</w:t>
            </w:r>
          </w:p>
        </w:tc>
      </w:tr>
      <w:tr>
        <w:trPr/>
        <w:tc>
          <w:tcPr>
            <w:tcW w:w="906" w:type="dxa"/>
            <w:tcBorders/>
            <w:shd w:fill="CCEEFF" w:val="clear"/>
            <w:vAlign w:val="center"/>
          </w:tcPr>
          <w:p>
            <w:pPr>
              <w:pStyle w:val="TableContents"/>
              <w:spacing w:before="0" w:after="0"/>
              <w:rPr>
                <w:color w:val="000000"/>
              </w:rPr>
            </w:pPr>
            <w:r>
              <w:rPr>
                <w:color w:val="000000"/>
              </w:rPr>
              <w:t>Item 1A</w:t>
            </w:r>
          </w:p>
        </w:tc>
        <w:tc>
          <w:tcPr>
            <w:tcW w:w="8937" w:type="dxa"/>
            <w:tcBorders/>
            <w:shd w:fill="CCEEFF" w:val="clear"/>
            <w:vAlign w:val="center"/>
          </w:tcPr>
          <w:p>
            <w:pPr>
              <w:pStyle w:val="TableContents"/>
              <w:spacing w:before="0" w:after="0"/>
              <w:rPr/>
            </w:pPr>
            <w:hyperlink w:anchor="RiskFactors">
              <w:r>
                <w:rPr>
                  <w:rStyle w:val="InternetLink"/>
                  <w:color w:val="000000"/>
                </w:rPr>
                <w:t>Risk Factors</w:t>
              </w:r>
            </w:hyperlink>
          </w:p>
        </w:tc>
        <w:tc>
          <w:tcPr>
            <w:tcW w:w="696" w:type="dxa"/>
            <w:tcBorders/>
            <w:shd w:fill="CCEEFF" w:val="clear"/>
            <w:vAlign w:val="center"/>
          </w:tcPr>
          <w:p>
            <w:pPr>
              <w:pStyle w:val="TableContents"/>
              <w:spacing w:before="0" w:after="0"/>
              <w:jc w:val="center"/>
              <w:rPr>
                <w:color w:val="000000"/>
              </w:rPr>
            </w:pPr>
            <w:r>
              <w:rPr>
                <w:color w:val="000000"/>
              </w:rPr>
              <w:t>32</w:t>
            </w:r>
          </w:p>
        </w:tc>
      </w:tr>
      <w:tr>
        <w:trPr/>
        <w:tc>
          <w:tcPr>
            <w:tcW w:w="906" w:type="dxa"/>
            <w:tcBorders/>
            <w:shd w:fill="auto" w:val="clear"/>
            <w:vAlign w:val="center"/>
          </w:tcPr>
          <w:p>
            <w:pPr>
              <w:pStyle w:val="TableContents"/>
              <w:spacing w:before="0" w:after="0"/>
              <w:rPr>
                <w:color w:val="000000"/>
              </w:rPr>
            </w:pPr>
            <w:r>
              <w:rPr>
                <w:color w:val="000000"/>
              </w:rPr>
              <w:t>Item 2</w:t>
            </w:r>
          </w:p>
        </w:tc>
        <w:tc>
          <w:tcPr>
            <w:tcW w:w="8937" w:type="dxa"/>
            <w:tcBorders/>
            <w:shd w:fill="auto" w:val="clear"/>
            <w:vAlign w:val="center"/>
          </w:tcPr>
          <w:p>
            <w:pPr>
              <w:pStyle w:val="TableContents"/>
              <w:spacing w:before="0" w:after="0"/>
              <w:rPr/>
            </w:pPr>
            <w:hyperlink w:anchor="UnregisteredSalesofEquity">
              <w:r>
                <w:rPr>
                  <w:rStyle w:val="InternetLink"/>
                  <w:color w:val="000000"/>
                </w:rPr>
                <w:t>Unregistered Sales of Equity Securities and Use of Proceeds</w:t>
              </w:r>
            </w:hyperlink>
          </w:p>
        </w:tc>
        <w:tc>
          <w:tcPr>
            <w:tcW w:w="696" w:type="dxa"/>
            <w:tcBorders/>
            <w:shd w:fill="auto" w:val="clear"/>
            <w:vAlign w:val="center"/>
          </w:tcPr>
          <w:p>
            <w:pPr>
              <w:pStyle w:val="TableContents"/>
              <w:spacing w:before="0" w:after="0"/>
              <w:jc w:val="center"/>
              <w:rPr>
                <w:color w:val="000000"/>
              </w:rPr>
            </w:pPr>
            <w:r>
              <w:rPr>
                <w:color w:val="000000"/>
              </w:rPr>
              <w:t>32</w:t>
            </w:r>
          </w:p>
        </w:tc>
      </w:tr>
      <w:tr>
        <w:trPr/>
        <w:tc>
          <w:tcPr>
            <w:tcW w:w="906" w:type="dxa"/>
            <w:tcBorders/>
            <w:shd w:fill="CCEEFF" w:val="clear"/>
            <w:vAlign w:val="center"/>
          </w:tcPr>
          <w:p>
            <w:pPr>
              <w:pStyle w:val="TableContents"/>
              <w:spacing w:before="0" w:after="0"/>
              <w:rPr>
                <w:color w:val="000000"/>
              </w:rPr>
            </w:pPr>
            <w:r>
              <w:rPr>
                <w:color w:val="000000"/>
              </w:rPr>
              <w:t>Item 3</w:t>
            </w:r>
          </w:p>
        </w:tc>
        <w:tc>
          <w:tcPr>
            <w:tcW w:w="8937" w:type="dxa"/>
            <w:tcBorders/>
            <w:shd w:fill="CCEEFF" w:val="clear"/>
            <w:vAlign w:val="center"/>
          </w:tcPr>
          <w:p>
            <w:pPr>
              <w:pStyle w:val="TableContents"/>
              <w:spacing w:before="0" w:after="0"/>
              <w:rPr/>
            </w:pPr>
            <w:hyperlink w:anchor="DefaultsUponSeniorSecurit">
              <w:r>
                <w:rPr>
                  <w:rStyle w:val="InternetLink"/>
                  <w:color w:val="000000"/>
                </w:rPr>
                <w:t>Defaults Upon Senior Securities</w:t>
              </w:r>
            </w:hyperlink>
          </w:p>
        </w:tc>
        <w:tc>
          <w:tcPr>
            <w:tcW w:w="696" w:type="dxa"/>
            <w:tcBorders/>
            <w:shd w:fill="CCEEFF" w:val="clear"/>
            <w:vAlign w:val="center"/>
          </w:tcPr>
          <w:p>
            <w:pPr>
              <w:pStyle w:val="TableContents"/>
              <w:spacing w:before="0" w:after="0"/>
              <w:jc w:val="center"/>
              <w:rPr>
                <w:color w:val="000000"/>
              </w:rPr>
            </w:pPr>
            <w:r>
              <w:rPr>
                <w:color w:val="000000"/>
              </w:rPr>
              <w:t>32</w:t>
            </w:r>
          </w:p>
        </w:tc>
      </w:tr>
      <w:tr>
        <w:trPr/>
        <w:tc>
          <w:tcPr>
            <w:tcW w:w="906" w:type="dxa"/>
            <w:tcBorders/>
            <w:shd w:fill="auto" w:val="clear"/>
            <w:vAlign w:val="center"/>
          </w:tcPr>
          <w:p>
            <w:pPr>
              <w:pStyle w:val="TableContents"/>
              <w:spacing w:before="0" w:after="0"/>
              <w:rPr>
                <w:color w:val="000000"/>
              </w:rPr>
            </w:pPr>
            <w:r>
              <w:rPr>
                <w:color w:val="000000"/>
              </w:rPr>
              <w:t>Item 4</w:t>
            </w:r>
          </w:p>
        </w:tc>
        <w:tc>
          <w:tcPr>
            <w:tcW w:w="8937" w:type="dxa"/>
            <w:tcBorders/>
            <w:shd w:fill="auto" w:val="clear"/>
            <w:vAlign w:val="center"/>
          </w:tcPr>
          <w:p>
            <w:pPr>
              <w:pStyle w:val="TableContents"/>
              <w:spacing w:before="0" w:after="0"/>
              <w:rPr/>
            </w:pPr>
            <w:hyperlink w:anchor="MineSafetyDisclosures">
              <w:r>
                <w:rPr>
                  <w:rStyle w:val="InternetLink"/>
                  <w:color w:val="000000"/>
                </w:rPr>
                <w:t>Mine Safety Disclosures</w:t>
              </w:r>
            </w:hyperlink>
          </w:p>
        </w:tc>
        <w:tc>
          <w:tcPr>
            <w:tcW w:w="696" w:type="dxa"/>
            <w:tcBorders/>
            <w:shd w:fill="auto" w:val="clear"/>
            <w:vAlign w:val="center"/>
          </w:tcPr>
          <w:p>
            <w:pPr>
              <w:pStyle w:val="TableContents"/>
              <w:spacing w:before="0" w:after="0"/>
              <w:jc w:val="center"/>
              <w:rPr>
                <w:color w:val="000000"/>
              </w:rPr>
            </w:pPr>
            <w:r>
              <w:rPr>
                <w:color w:val="000000"/>
              </w:rPr>
              <w:t>33</w:t>
            </w:r>
          </w:p>
        </w:tc>
      </w:tr>
      <w:tr>
        <w:trPr/>
        <w:tc>
          <w:tcPr>
            <w:tcW w:w="906" w:type="dxa"/>
            <w:tcBorders/>
            <w:shd w:fill="CCEEFF" w:val="clear"/>
            <w:vAlign w:val="center"/>
          </w:tcPr>
          <w:p>
            <w:pPr>
              <w:pStyle w:val="TableContents"/>
              <w:spacing w:before="0" w:after="0"/>
              <w:rPr>
                <w:color w:val="000000"/>
              </w:rPr>
            </w:pPr>
            <w:r>
              <w:rPr>
                <w:color w:val="000000"/>
              </w:rPr>
              <w:t>Item 5</w:t>
            </w:r>
          </w:p>
        </w:tc>
        <w:tc>
          <w:tcPr>
            <w:tcW w:w="8937" w:type="dxa"/>
            <w:tcBorders/>
            <w:shd w:fill="CCEEFF" w:val="clear"/>
            <w:vAlign w:val="center"/>
          </w:tcPr>
          <w:p>
            <w:pPr>
              <w:pStyle w:val="TableContents"/>
              <w:spacing w:before="0" w:after="0"/>
              <w:rPr/>
            </w:pPr>
            <w:hyperlink w:anchor="OtherInformation">
              <w:r>
                <w:rPr>
                  <w:rStyle w:val="InternetLink"/>
                  <w:color w:val="000000"/>
                </w:rPr>
                <w:t>Other Information</w:t>
              </w:r>
            </w:hyperlink>
          </w:p>
        </w:tc>
        <w:tc>
          <w:tcPr>
            <w:tcW w:w="696" w:type="dxa"/>
            <w:tcBorders/>
            <w:shd w:fill="CCEEFF" w:val="clear"/>
            <w:vAlign w:val="center"/>
          </w:tcPr>
          <w:p>
            <w:pPr>
              <w:pStyle w:val="TableContents"/>
              <w:spacing w:before="0" w:after="0"/>
              <w:jc w:val="center"/>
              <w:rPr>
                <w:color w:val="000000"/>
              </w:rPr>
            </w:pPr>
            <w:r>
              <w:rPr>
                <w:color w:val="000000"/>
              </w:rPr>
              <w:t>33</w:t>
            </w:r>
          </w:p>
        </w:tc>
      </w:tr>
      <w:tr>
        <w:trPr/>
        <w:tc>
          <w:tcPr>
            <w:tcW w:w="906" w:type="dxa"/>
            <w:tcBorders/>
            <w:shd w:fill="auto" w:val="clear"/>
            <w:vAlign w:val="center"/>
          </w:tcPr>
          <w:p>
            <w:pPr>
              <w:pStyle w:val="TableContents"/>
              <w:spacing w:before="0" w:after="0"/>
              <w:rPr>
                <w:color w:val="000000"/>
              </w:rPr>
            </w:pPr>
            <w:r>
              <w:rPr>
                <w:color w:val="000000"/>
              </w:rPr>
              <w:t>Item 6</w:t>
            </w:r>
          </w:p>
        </w:tc>
        <w:tc>
          <w:tcPr>
            <w:tcW w:w="8937" w:type="dxa"/>
            <w:tcBorders/>
            <w:shd w:fill="auto" w:val="clear"/>
            <w:vAlign w:val="center"/>
          </w:tcPr>
          <w:p>
            <w:pPr>
              <w:pStyle w:val="TableContents"/>
              <w:spacing w:before="0" w:after="0"/>
              <w:rPr/>
            </w:pPr>
            <w:hyperlink w:anchor="Exhibits">
              <w:r>
                <w:rPr>
                  <w:rStyle w:val="InternetLink"/>
                  <w:color w:val="000000"/>
                </w:rPr>
                <w:t>Exhibits</w:t>
              </w:r>
            </w:hyperlink>
          </w:p>
        </w:tc>
        <w:tc>
          <w:tcPr>
            <w:tcW w:w="696" w:type="dxa"/>
            <w:tcBorders/>
            <w:shd w:fill="auto" w:val="clear"/>
            <w:vAlign w:val="center"/>
          </w:tcPr>
          <w:p>
            <w:pPr>
              <w:pStyle w:val="TableContents"/>
              <w:spacing w:before="0" w:after="0"/>
              <w:jc w:val="center"/>
              <w:rPr>
                <w:color w:val="000000"/>
              </w:rPr>
            </w:pPr>
            <w:r>
              <w:rPr>
                <w:color w:val="000000"/>
              </w:rPr>
              <w:t>33</w:t>
            </w:r>
          </w:p>
        </w:tc>
      </w:tr>
      <w:tr>
        <w:trPr/>
        <w:tc>
          <w:tcPr>
            <w:tcW w:w="9843" w:type="dxa"/>
            <w:gridSpan w:val="2"/>
            <w:tcBorders/>
            <w:shd w:fill="CCEEFF" w:val="clear"/>
            <w:vAlign w:val="center"/>
          </w:tcPr>
          <w:p>
            <w:pPr>
              <w:pStyle w:val="TableContents"/>
              <w:spacing w:before="0" w:after="0"/>
              <w:rPr/>
            </w:pPr>
            <w:hyperlink w:anchor="SIGNATURES">
              <w:r>
                <w:rPr>
                  <w:rStyle w:val="InternetLink"/>
                  <w:b/>
                  <w:color w:val="000000"/>
                </w:rPr>
                <w:t>SIGNATURES</w:t>
              </w:r>
            </w:hyperlink>
          </w:p>
        </w:tc>
        <w:tc>
          <w:tcPr>
            <w:tcW w:w="696" w:type="dxa"/>
            <w:tcBorders/>
            <w:shd w:fill="CCEEFF" w:val="clear"/>
            <w:vAlign w:val="center"/>
          </w:tcPr>
          <w:p>
            <w:pPr>
              <w:pStyle w:val="TableContents"/>
              <w:spacing w:before="0" w:after="0"/>
              <w:jc w:val="center"/>
              <w:rPr>
                <w:color w:val="000000"/>
              </w:rPr>
            </w:pPr>
            <w:r>
              <w:rPr>
                <w:color w:val="000000"/>
              </w:rPr>
              <w:t>34</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both"/>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i/>
          <w:color w:val="000000"/>
          <w:sz w:val="20"/>
        </w:rPr>
      </w:pPr>
      <w:r>
        <w:rPr>
          <w:rFonts w:ascii="Times New Roman" w:hAnsi="Times New Roman"/>
          <w:i/>
          <w:color w:val="000000"/>
          <w:sz w:val="20"/>
        </w:rPr>
        <w:t>Except where the context suggests otherwise, the terms “we,” “us,” “our,” “the Company,” and “SSIC” refer to Silver Spike Investment Corp. In addition, the terms “SSC,” “Adviser,” “investment adviser” and “administrator” refer to Silver Spike Capital, LLC, our external investment adviser and administrator.</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Some of the statements in this quarterly report on Form 10-Q constitute forward-looking statements because they relate to future events or our future performance or financial condition. The forward-looking statements contained in this quarterly report on Form 10-Q may include statements as to:</w:t>
      </w:r>
    </w:p>
    <w:p>
      <w:pPr>
        <w:pStyle w:val="TextBody"/>
        <w:spacing w:before="0" w:after="0"/>
        <w:jc w:val="left"/>
        <w:rPr>
          <w:color w:val="000000"/>
        </w:rPr>
      </w:pPr>
      <w:r>
        <w:rPr>
          <w:color w:val="000000"/>
        </w:rPr>
        <w:t> </w:t>
      </w:r>
    </w:p>
    <w:tbl>
      <w:tblPr>
        <w:tblW w:w="5380" w:type="dxa"/>
        <w:jc w:val="left"/>
        <w:tblInd w:w="0" w:type="dxa"/>
        <w:tblCellMar>
          <w:top w:w="0" w:type="dxa"/>
          <w:left w:w="0" w:type="dxa"/>
          <w:bottom w:w="0" w:type="dxa"/>
          <w:right w:w="0" w:type="dxa"/>
        </w:tblCellMar>
      </w:tblPr>
      <w:tblGrid>
        <w:gridCol w:w="125"/>
        <w:gridCol w:w="5255"/>
      </w:tblGrid>
      <w:tr>
        <w:trPr/>
        <w:tc>
          <w:tcPr>
            <w:tcW w:w="125" w:type="dxa"/>
            <w:tcBorders/>
            <w:shd w:fill="auto" w:val="clear"/>
            <w:vAlign w:val="center"/>
          </w:tcPr>
          <w:p>
            <w:pPr>
              <w:pStyle w:val="TableContents"/>
              <w:spacing w:before="0" w:after="0"/>
              <w:jc w:val="both"/>
              <w:rPr/>
            </w:pPr>
            <w:r>
              <w:rPr/>
              <w:t>•</w:t>
            </w:r>
          </w:p>
        </w:tc>
        <w:tc>
          <w:tcPr>
            <w:tcW w:w="5255" w:type="dxa"/>
            <w:tcBorders/>
            <w:shd w:fill="auto" w:val="clear"/>
            <w:vAlign w:val="center"/>
          </w:tcPr>
          <w:p>
            <w:pPr>
              <w:pStyle w:val="TableContents"/>
              <w:spacing w:before="0" w:after="0"/>
              <w:jc w:val="both"/>
              <w:rPr/>
            </w:pPr>
            <w:r>
              <w:rPr/>
              <w:t>our future operating results and distribution projections;</w:t>
            </w:r>
          </w:p>
        </w:tc>
      </w:tr>
    </w:tbl>
    <w:p>
      <w:pPr>
        <w:pStyle w:val="TextBody"/>
        <w:spacing w:before="0" w:after="0"/>
        <w:jc w:val="left"/>
        <w:rPr>
          <w:color w:val="000000"/>
        </w:rPr>
      </w:pPr>
      <w:r>
        <w:rPr>
          <w:color w:val="000000"/>
        </w:rPr>
        <w:t> </w:t>
      </w:r>
    </w:p>
    <w:tbl>
      <w:tblPr>
        <w:tblW w:w="9400" w:type="dxa"/>
        <w:jc w:val="left"/>
        <w:tblInd w:w="0" w:type="dxa"/>
        <w:tblCellMar>
          <w:top w:w="0" w:type="dxa"/>
          <w:left w:w="0" w:type="dxa"/>
          <w:bottom w:w="0" w:type="dxa"/>
          <w:right w:w="0" w:type="dxa"/>
        </w:tblCellMar>
      </w:tblPr>
      <w:tblGrid>
        <w:gridCol w:w="125"/>
        <w:gridCol w:w="9275"/>
      </w:tblGrid>
      <w:tr>
        <w:trPr/>
        <w:tc>
          <w:tcPr>
            <w:tcW w:w="125" w:type="dxa"/>
            <w:tcBorders/>
            <w:shd w:fill="auto" w:val="clear"/>
            <w:vAlign w:val="center"/>
          </w:tcPr>
          <w:p>
            <w:pPr>
              <w:pStyle w:val="TableContents"/>
              <w:spacing w:before="0" w:after="0"/>
              <w:jc w:val="both"/>
              <w:rPr/>
            </w:pPr>
            <w:r>
              <w:rPr/>
              <w:t>•</w:t>
            </w:r>
          </w:p>
        </w:tc>
        <w:tc>
          <w:tcPr>
            <w:tcW w:w="9275" w:type="dxa"/>
            <w:tcBorders/>
            <w:shd w:fill="auto" w:val="clear"/>
            <w:vAlign w:val="center"/>
          </w:tcPr>
          <w:p>
            <w:pPr>
              <w:pStyle w:val="TableContents"/>
              <w:spacing w:before="0" w:after="0"/>
              <w:jc w:val="both"/>
              <w:rPr/>
            </w:pPr>
            <w:r>
              <w:rPr/>
              <w:t>the ability of Silver Spike Capital, LLC (“SSC”) to attract and retain highly talented professionals;</w:t>
            </w:r>
          </w:p>
        </w:tc>
      </w:tr>
    </w:tbl>
    <w:p>
      <w:pPr>
        <w:pStyle w:val="TextBody"/>
        <w:spacing w:before="0" w:after="0"/>
        <w:jc w:val="left"/>
        <w:rPr>
          <w:color w:val="000000"/>
        </w:rPr>
      </w:pPr>
      <w:r>
        <w:rPr>
          <w:color w:val="000000"/>
        </w:rPr>
        <w:t> </w:t>
      </w:r>
    </w:p>
    <w:tbl>
      <w:tblPr>
        <w:tblW w:w="6595" w:type="dxa"/>
        <w:jc w:val="left"/>
        <w:tblInd w:w="0" w:type="dxa"/>
        <w:tblCellMar>
          <w:top w:w="0" w:type="dxa"/>
          <w:left w:w="0" w:type="dxa"/>
          <w:bottom w:w="0" w:type="dxa"/>
          <w:right w:w="0" w:type="dxa"/>
        </w:tblCellMar>
      </w:tblPr>
      <w:tblGrid>
        <w:gridCol w:w="125"/>
        <w:gridCol w:w="6470"/>
      </w:tblGrid>
      <w:tr>
        <w:trPr/>
        <w:tc>
          <w:tcPr>
            <w:tcW w:w="125" w:type="dxa"/>
            <w:tcBorders/>
            <w:shd w:fill="auto" w:val="clear"/>
            <w:vAlign w:val="center"/>
          </w:tcPr>
          <w:p>
            <w:pPr>
              <w:pStyle w:val="TableContents"/>
              <w:spacing w:before="0" w:after="0"/>
              <w:jc w:val="both"/>
              <w:rPr/>
            </w:pPr>
            <w:r>
              <w:rPr/>
              <w:t>•</w:t>
            </w:r>
          </w:p>
        </w:tc>
        <w:tc>
          <w:tcPr>
            <w:tcW w:w="6470" w:type="dxa"/>
            <w:tcBorders/>
            <w:shd w:fill="auto" w:val="clear"/>
            <w:vAlign w:val="center"/>
          </w:tcPr>
          <w:p>
            <w:pPr>
              <w:pStyle w:val="TableContents"/>
              <w:spacing w:before="0" w:after="0"/>
              <w:jc w:val="both"/>
              <w:rPr/>
            </w:pPr>
            <w:r>
              <w:rPr/>
              <w:t>our business prospects and the prospects of our portfolio companies;</w:t>
            </w:r>
          </w:p>
        </w:tc>
      </w:tr>
    </w:tbl>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125"/>
        <w:gridCol w:w="10414"/>
      </w:tblGrid>
      <w:tr>
        <w:trPr/>
        <w:tc>
          <w:tcPr>
            <w:tcW w:w="125" w:type="dxa"/>
            <w:tcBorders/>
            <w:shd w:fill="auto" w:val="clear"/>
            <w:vAlign w:val="center"/>
          </w:tcPr>
          <w:p>
            <w:pPr>
              <w:pStyle w:val="TableContents"/>
              <w:spacing w:before="0" w:after="0"/>
              <w:jc w:val="both"/>
              <w:rPr/>
            </w:pPr>
            <w:r>
              <w:rPr/>
              <w:t>•</w:t>
            </w:r>
          </w:p>
        </w:tc>
        <w:tc>
          <w:tcPr>
            <w:tcW w:w="10414" w:type="dxa"/>
            <w:tcBorders/>
            <w:shd w:fill="auto" w:val="clear"/>
            <w:vAlign w:val="center"/>
          </w:tcPr>
          <w:p>
            <w:pPr>
              <w:pStyle w:val="TableContents"/>
              <w:spacing w:before="0" w:after="0"/>
              <w:jc w:val="both"/>
              <w:rPr>
                <w:color w:val="000000"/>
              </w:rPr>
            </w:pPr>
            <w:r>
              <w:rPr>
                <w:color w:val="000000"/>
              </w:rPr>
              <w:t>the impact of interest and inflation rates on our business prospects and the prospects of our portfolio companies;</w:t>
            </w:r>
          </w:p>
        </w:tc>
      </w:tr>
    </w:tbl>
    <w:p>
      <w:pPr>
        <w:pStyle w:val="TextBody"/>
        <w:spacing w:before="0" w:after="0"/>
        <w:jc w:val="left"/>
        <w:rPr>
          <w:color w:val="000000"/>
        </w:rPr>
      </w:pPr>
      <w:r>
        <w:rPr>
          <w:color w:val="000000"/>
        </w:rPr>
        <w:t> </w:t>
      </w:r>
    </w:p>
    <w:tbl>
      <w:tblPr>
        <w:tblW w:w="5200" w:type="dxa"/>
        <w:jc w:val="left"/>
        <w:tblInd w:w="0" w:type="dxa"/>
        <w:tblCellMar>
          <w:top w:w="0" w:type="dxa"/>
          <w:left w:w="0" w:type="dxa"/>
          <w:bottom w:w="0" w:type="dxa"/>
          <w:right w:w="0" w:type="dxa"/>
        </w:tblCellMar>
      </w:tblPr>
      <w:tblGrid>
        <w:gridCol w:w="125"/>
        <w:gridCol w:w="5075"/>
      </w:tblGrid>
      <w:tr>
        <w:trPr/>
        <w:tc>
          <w:tcPr>
            <w:tcW w:w="125" w:type="dxa"/>
            <w:tcBorders/>
            <w:shd w:fill="auto" w:val="clear"/>
            <w:vAlign w:val="center"/>
          </w:tcPr>
          <w:p>
            <w:pPr>
              <w:pStyle w:val="TableContents"/>
              <w:spacing w:before="0" w:after="0"/>
              <w:jc w:val="both"/>
              <w:rPr/>
            </w:pPr>
            <w:r>
              <w:rPr/>
              <w:t>•</w:t>
            </w:r>
          </w:p>
        </w:tc>
        <w:tc>
          <w:tcPr>
            <w:tcW w:w="5075" w:type="dxa"/>
            <w:tcBorders/>
            <w:shd w:fill="auto" w:val="clear"/>
            <w:vAlign w:val="center"/>
          </w:tcPr>
          <w:p>
            <w:pPr>
              <w:pStyle w:val="TableContents"/>
              <w:spacing w:before="0" w:after="0"/>
              <w:jc w:val="both"/>
              <w:rPr/>
            </w:pPr>
            <w:r>
              <w:rPr/>
              <w:t>the impact of the investments that we expect to make;</w:t>
            </w:r>
          </w:p>
        </w:tc>
      </w:tr>
    </w:tbl>
    <w:p>
      <w:pPr>
        <w:pStyle w:val="TextBody"/>
        <w:spacing w:before="0" w:after="0"/>
        <w:jc w:val="left"/>
        <w:rPr>
          <w:color w:val="000000"/>
        </w:rPr>
      </w:pPr>
      <w:r>
        <w:rPr>
          <w:color w:val="000000"/>
        </w:rPr>
        <w:t> </w:t>
      </w:r>
    </w:p>
    <w:tbl>
      <w:tblPr>
        <w:tblW w:w="6220" w:type="dxa"/>
        <w:jc w:val="left"/>
        <w:tblInd w:w="0" w:type="dxa"/>
        <w:tblCellMar>
          <w:top w:w="0" w:type="dxa"/>
          <w:left w:w="0" w:type="dxa"/>
          <w:bottom w:w="0" w:type="dxa"/>
          <w:right w:w="0" w:type="dxa"/>
        </w:tblCellMar>
      </w:tblPr>
      <w:tblGrid>
        <w:gridCol w:w="125"/>
        <w:gridCol w:w="6095"/>
      </w:tblGrid>
      <w:tr>
        <w:trPr/>
        <w:tc>
          <w:tcPr>
            <w:tcW w:w="125" w:type="dxa"/>
            <w:tcBorders/>
            <w:shd w:fill="auto" w:val="clear"/>
            <w:vAlign w:val="center"/>
          </w:tcPr>
          <w:p>
            <w:pPr>
              <w:pStyle w:val="TableContents"/>
              <w:spacing w:before="0" w:after="0"/>
              <w:jc w:val="both"/>
              <w:rPr/>
            </w:pPr>
            <w:r>
              <w:rPr/>
              <w:t>•</w:t>
            </w:r>
          </w:p>
        </w:tc>
        <w:tc>
          <w:tcPr>
            <w:tcW w:w="6095" w:type="dxa"/>
            <w:tcBorders/>
            <w:shd w:fill="auto" w:val="clear"/>
            <w:vAlign w:val="center"/>
          </w:tcPr>
          <w:p>
            <w:pPr>
              <w:pStyle w:val="TableContents"/>
              <w:spacing w:before="0" w:after="0"/>
              <w:jc w:val="both"/>
              <w:rPr/>
            </w:pPr>
            <w:r>
              <w:rPr/>
              <w:t>the ability of our portfolio companies to achieve their objectives;</w:t>
            </w:r>
          </w:p>
        </w:tc>
      </w:tr>
    </w:tbl>
    <w:p>
      <w:pPr>
        <w:pStyle w:val="TextBody"/>
        <w:spacing w:before="0" w:after="0"/>
        <w:jc w:val="left"/>
        <w:rPr>
          <w:color w:val="000000"/>
        </w:rPr>
      </w:pPr>
      <w:r>
        <w:rPr>
          <w:color w:val="000000"/>
        </w:rPr>
        <w:t> </w:t>
      </w:r>
    </w:p>
    <w:tbl>
      <w:tblPr>
        <w:tblW w:w="9325" w:type="dxa"/>
        <w:jc w:val="left"/>
        <w:tblInd w:w="0" w:type="dxa"/>
        <w:tblCellMar>
          <w:top w:w="0" w:type="dxa"/>
          <w:left w:w="0" w:type="dxa"/>
          <w:bottom w:w="0" w:type="dxa"/>
          <w:right w:w="0" w:type="dxa"/>
        </w:tblCellMar>
      </w:tblPr>
      <w:tblGrid>
        <w:gridCol w:w="125"/>
        <w:gridCol w:w="9200"/>
      </w:tblGrid>
      <w:tr>
        <w:trPr/>
        <w:tc>
          <w:tcPr>
            <w:tcW w:w="125" w:type="dxa"/>
            <w:tcBorders/>
            <w:shd w:fill="auto" w:val="clear"/>
            <w:vAlign w:val="center"/>
          </w:tcPr>
          <w:p>
            <w:pPr>
              <w:pStyle w:val="TableContents"/>
              <w:spacing w:before="0" w:after="0"/>
              <w:jc w:val="both"/>
              <w:rPr/>
            </w:pPr>
            <w:r>
              <w:rPr/>
              <w:t>•</w:t>
            </w:r>
          </w:p>
        </w:tc>
        <w:tc>
          <w:tcPr>
            <w:tcW w:w="9200" w:type="dxa"/>
            <w:tcBorders/>
            <w:shd w:fill="auto" w:val="clear"/>
            <w:vAlign w:val="center"/>
          </w:tcPr>
          <w:p>
            <w:pPr>
              <w:pStyle w:val="TableContents"/>
              <w:spacing w:before="0" w:after="0"/>
              <w:jc w:val="both"/>
              <w:rPr/>
            </w:pPr>
            <w:r>
              <w:rPr/>
              <w:t>our expected financings and investments and the timing of our investments in our initial portfolio;</w:t>
            </w:r>
          </w:p>
        </w:tc>
      </w:tr>
    </w:tbl>
    <w:p>
      <w:pPr>
        <w:pStyle w:val="TextBody"/>
        <w:spacing w:before="0" w:after="0"/>
        <w:jc w:val="left"/>
        <w:rPr>
          <w:color w:val="000000"/>
        </w:rPr>
      </w:pPr>
      <w:r>
        <w:rPr>
          <w:color w:val="000000"/>
        </w:rPr>
        <w:t> </w:t>
      </w:r>
    </w:p>
    <w:tbl>
      <w:tblPr>
        <w:tblW w:w="5275" w:type="dxa"/>
        <w:jc w:val="left"/>
        <w:tblInd w:w="0" w:type="dxa"/>
        <w:tblCellMar>
          <w:top w:w="0" w:type="dxa"/>
          <w:left w:w="0" w:type="dxa"/>
          <w:bottom w:w="0" w:type="dxa"/>
          <w:right w:w="0" w:type="dxa"/>
        </w:tblCellMar>
      </w:tblPr>
      <w:tblGrid>
        <w:gridCol w:w="125"/>
        <w:gridCol w:w="5150"/>
      </w:tblGrid>
      <w:tr>
        <w:trPr/>
        <w:tc>
          <w:tcPr>
            <w:tcW w:w="125" w:type="dxa"/>
            <w:tcBorders/>
            <w:shd w:fill="auto" w:val="clear"/>
            <w:vAlign w:val="center"/>
          </w:tcPr>
          <w:p>
            <w:pPr>
              <w:pStyle w:val="TableContents"/>
              <w:spacing w:before="0" w:after="0"/>
              <w:jc w:val="both"/>
              <w:rPr/>
            </w:pPr>
            <w:r>
              <w:rPr/>
              <w:t>•</w:t>
            </w:r>
          </w:p>
        </w:tc>
        <w:tc>
          <w:tcPr>
            <w:tcW w:w="5150" w:type="dxa"/>
            <w:tcBorders/>
            <w:shd w:fill="auto" w:val="clear"/>
            <w:vAlign w:val="center"/>
          </w:tcPr>
          <w:p>
            <w:pPr>
              <w:pStyle w:val="TableContents"/>
              <w:spacing w:before="0" w:after="0"/>
              <w:jc w:val="both"/>
              <w:rPr/>
            </w:pPr>
            <w:r>
              <w:rPr/>
              <w:t>changes in regulation impacting the cannabis industry;</w:t>
            </w:r>
          </w:p>
        </w:tc>
      </w:tr>
    </w:tbl>
    <w:p>
      <w:pPr>
        <w:pStyle w:val="TextBody"/>
        <w:spacing w:before="0" w:after="0"/>
        <w:jc w:val="left"/>
        <w:rPr>
          <w:color w:val="000000"/>
        </w:rPr>
      </w:pPr>
      <w:r>
        <w:rPr>
          <w:color w:val="000000"/>
        </w:rPr>
        <w:t> </w:t>
      </w:r>
    </w:p>
    <w:tbl>
      <w:tblPr>
        <w:tblW w:w="5455" w:type="dxa"/>
        <w:jc w:val="left"/>
        <w:tblInd w:w="0" w:type="dxa"/>
        <w:tblCellMar>
          <w:top w:w="0" w:type="dxa"/>
          <w:left w:w="0" w:type="dxa"/>
          <w:bottom w:w="0" w:type="dxa"/>
          <w:right w:w="0" w:type="dxa"/>
        </w:tblCellMar>
      </w:tblPr>
      <w:tblGrid>
        <w:gridCol w:w="125"/>
        <w:gridCol w:w="5330"/>
      </w:tblGrid>
      <w:tr>
        <w:trPr/>
        <w:tc>
          <w:tcPr>
            <w:tcW w:w="125" w:type="dxa"/>
            <w:tcBorders/>
            <w:shd w:fill="auto" w:val="clear"/>
            <w:vAlign w:val="center"/>
          </w:tcPr>
          <w:p>
            <w:pPr>
              <w:pStyle w:val="TableContents"/>
              <w:spacing w:before="0" w:after="0"/>
              <w:jc w:val="both"/>
              <w:rPr/>
            </w:pPr>
            <w:r>
              <w:rPr/>
              <w:t>•</w:t>
            </w:r>
          </w:p>
        </w:tc>
        <w:tc>
          <w:tcPr>
            <w:tcW w:w="5330" w:type="dxa"/>
            <w:tcBorders/>
            <w:shd w:fill="auto" w:val="clear"/>
            <w:vAlign w:val="center"/>
          </w:tcPr>
          <w:p>
            <w:pPr>
              <w:pStyle w:val="TableContents"/>
              <w:spacing w:before="0" w:after="0"/>
              <w:jc w:val="both"/>
              <w:rPr/>
            </w:pPr>
            <w:r>
              <w:rPr/>
              <w:t>the adequacy of our cash resources and working capital;</w:t>
            </w:r>
          </w:p>
        </w:tc>
      </w:tr>
    </w:tbl>
    <w:p>
      <w:pPr>
        <w:pStyle w:val="TextBody"/>
        <w:spacing w:before="0" w:after="0"/>
        <w:rPr>
          <w:rFonts w:ascii="Times New Roman" w:hAnsi="Times New Roman"/>
          <w:sz w:val="20"/>
        </w:rPr>
      </w:pPr>
      <w:r>
        <w:rPr>
          <w:rFonts w:ascii="Times New Roman" w:hAnsi="Times New Roman"/>
          <w:sz w:val="20"/>
        </w:rPr>
      </w:r>
    </w:p>
    <w:tbl>
      <w:tblPr>
        <w:tblW w:w="9340" w:type="dxa"/>
        <w:jc w:val="left"/>
        <w:tblInd w:w="0" w:type="dxa"/>
        <w:tblCellMar>
          <w:top w:w="0" w:type="dxa"/>
          <w:left w:w="0" w:type="dxa"/>
          <w:bottom w:w="0" w:type="dxa"/>
          <w:right w:w="0" w:type="dxa"/>
        </w:tblCellMar>
      </w:tblPr>
      <w:tblGrid>
        <w:gridCol w:w="125"/>
        <w:gridCol w:w="9215"/>
      </w:tblGrid>
      <w:tr>
        <w:trPr/>
        <w:tc>
          <w:tcPr>
            <w:tcW w:w="125" w:type="dxa"/>
            <w:tcBorders/>
            <w:shd w:fill="auto" w:val="clear"/>
            <w:vAlign w:val="center"/>
          </w:tcPr>
          <w:p>
            <w:pPr>
              <w:pStyle w:val="TableContents"/>
              <w:spacing w:before="0" w:after="0"/>
              <w:jc w:val="both"/>
              <w:rPr/>
            </w:pPr>
            <w:r>
              <w:rPr/>
              <w:t>•</w:t>
            </w:r>
          </w:p>
        </w:tc>
        <w:tc>
          <w:tcPr>
            <w:tcW w:w="9215" w:type="dxa"/>
            <w:tcBorders/>
            <w:shd w:fill="auto" w:val="clear"/>
            <w:vAlign w:val="center"/>
          </w:tcPr>
          <w:p>
            <w:pPr>
              <w:pStyle w:val="TableContents"/>
              <w:spacing w:before="0" w:after="0"/>
              <w:jc w:val="both"/>
              <w:rPr/>
            </w:pPr>
            <w:r>
              <w:rPr/>
              <w:t>the current and future effects of the COVID-19 pandemic on us and our portfolio companies; and</w:t>
            </w:r>
          </w:p>
        </w:tc>
      </w:tr>
    </w:tbl>
    <w:p>
      <w:pPr>
        <w:pStyle w:val="TextBody"/>
        <w:spacing w:before="0" w:after="0"/>
        <w:jc w:val="left"/>
        <w:rPr>
          <w:color w:val="000000"/>
        </w:rPr>
      </w:pPr>
      <w:r>
        <w:rPr>
          <w:color w:val="000000"/>
        </w:rPr>
        <w:t> </w:t>
      </w:r>
    </w:p>
    <w:tbl>
      <w:tblPr>
        <w:tblW w:w="7660" w:type="dxa"/>
        <w:jc w:val="left"/>
        <w:tblInd w:w="0" w:type="dxa"/>
        <w:tblCellMar>
          <w:top w:w="0" w:type="dxa"/>
          <w:left w:w="0" w:type="dxa"/>
          <w:bottom w:w="0" w:type="dxa"/>
          <w:right w:w="0" w:type="dxa"/>
        </w:tblCellMar>
      </w:tblPr>
      <w:tblGrid>
        <w:gridCol w:w="125"/>
        <w:gridCol w:w="7535"/>
      </w:tblGrid>
      <w:tr>
        <w:trPr/>
        <w:tc>
          <w:tcPr>
            <w:tcW w:w="125" w:type="dxa"/>
            <w:tcBorders/>
            <w:shd w:fill="auto" w:val="clear"/>
            <w:vAlign w:val="center"/>
          </w:tcPr>
          <w:p>
            <w:pPr>
              <w:pStyle w:val="TableContents"/>
              <w:spacing w:before="0" w:after="0"/>
              <w:jc w:val="both"/>
              <w:rPr/>
            </w:pPr>
            <w:r>
              <w:rPr/>
              <w:t>•</w:t>
            </w:r>
          </w:p>
        </w:tc>
        <w:tc>
          <w:tcPr>
            <w:tcW w:w="7535" w:type="dxa"/>
            <w:tcBorders/>
            <w:shd w:fill="auto" w:val="clear"/>
            <w:vAlign w:val="center"/>
          </w:tcPr>
          <w:p>
            <w:pPr>
              <w:pStyle w:val="TableContents"/>
              <w:spacing w:before="0" w:after="0"/>
              <w:jc w:val="both"/>
              <w:rPr/>
            </w:pPr>
            <w:r>
              <w:rPr/>
              <w:t>the timing of cash flows, if any, from the operations of our portfolio companies.</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In addition, words such as “anticipate,” “believe,” “expect,” “seek,” “plan,” “should,” “estimate,” “project” and “intend” indicate forward-looking statements, although not all forward-looking statements include these words. The forward-looking statements contained in this quarterly report on Form 10-Q involve risks and uncertainties. Our actual results could differ materially from those implied or expressed in the forward-looking statements for any reason, including the factors set forth in “Item 1A. Risk Factors” in our transition report on Form 10-K for the transition period from April 1, 2022 to December 31, 2022 and elsewhere in this quarterly report on Form 10-Q. Other factors that could cause actual results to differ materially include:</w:t>
      </w:r>
    </w:p>
    <w:p>
      <w:pPr>
        <w:pStyle w:val="TextBody"/>
        <w:spacing w:before="0" w:after="0"/>
        <w:jc w:val="left"/>
        <w:rPr>
          <w:color w:val="000000"/>
        </w:rPr>
      </w:pPr>
      <w:r>
        <w:rPr>
          <w:color w:val="000000"/>
        </w:rPr>
        <w:t> </w:t>
      </w:r>
    </w:p>
    <w:tbl>
      <w:tblPr>
        <w:tblW w:w="2890" w:type="dxa"/>
        <w:jc w:val="left"/>
        <w:tblInd w:w="0" w:type="dxa"/>
        <w:tblCellMar>
          <w:top w:w="0" w:type="dxa"/>
          <w:left w:w="0" w:type="dxa"/>
          <w:bottom w:w="0" w:type="dxa"/>
          <w:right w:w="0" w:type="dxa"/>
        </w:tblCellMar>
      </w:tblPr>
      <w:tblGrid>
        <w:gridCol w:w="125"/>
        <w:gridCol w:w="2765"/>
      </w:tblGrid>
      <w:tr>
        <w:trPr/>
        <w:tc>
          <w:tcPr>
            <w:tcW w:w="125" w:type="dxa"/>
            <w:tcBorders/>
            <w:shd w:fill="auto" w:val="clear"/>
            <w:vAlign w:val="center"/>
          </w:tcPr>
          <w:p>
            <w:pPr>
              <w:pStyle w:val="TableContents"/>
              <w:spacing w:before="0" w:after="0"/>
              <w:jc w:val="both"/>
              <w:rPr/>
            </w:pPr>
            <w:r>
              <w:rPr/>
              <w:t>•</w:t>
            </w:r>
          </w:p>
        </w:tc>
        <w:tc>
          <w:tcPr>
            <w:tcW w:w="2765" w:type="dxa"/>
            <w:tcBorders/>
            <w:shd w:fill="auto" w:val="clear"/>
            <w:vAlign w:val="center"/>
          </w:tcPr>
          <w:p>
            <w:pPr>
              <w:pStyle w:val="TableContents"/>
              <w:spacing w:before="0" w:after="0"/>
              <w:jc w:val="both"/>
              <w:rPr/>
            </w:pPr>
            <w:r>
              <w:rPr/>
              <w:t>our limited operating history;</w:t>
            </w:r>
          </w:p>
        </w:tc>
      </w:tr>
    </w:tbl>
    <w:p>
      <w:pPr>
        <w:pStyle w:val="TextBody"/>
        <w:spacing w:before="0" w:after="0"/>
        <w:rPr>
          <w:rFonts w:ascii="Times New Roman" w:hAnsi="Times New Roman"/>
          <w:sz w:val="20"/>
        </w:rPr>
      </w:pPr>
      <w:r>
        <w:rPr>
          <w:rFonts w:ascii="Times New Roman" w:hAnsi="Times New Roman"/>
          <w:sz w:val="20"/>
        </w:rPr>
      </w:r>
    </w:p>
    <w:tbl>
      <w:tblPr>
        <w:tblW w:w="10225" w:type="dxa"/>
        <w:jc w:val="left"/>
        <w:tblInd w:w="0" w:type="dxa"/>
        <w:tblCellMar>
          <w:top w:w="0" w:type="dxa"/>
          <w:left w:w="0" w:type="dxa"/>
          <w:bottom w:w="0" w:type="dxa"/>
          <w:right w:w="0" w:type="dxa"/>
        </w:tblCellMar>
      </w:tblPr>
      <w:tblGrid>
        <w:gridCol w:w="125"/>
        <w:gridCol w:w="10100"/>
      </w:tblGrid>
      <w:tr>
        <w:trPr/>
        <w:tc>
          <w:tcPr>
            <w:tcW w:w="125" w:type="dxa"/>
            <w:tcBorders/>
            <w:shd w:fill="auto" w:val="clear"/>
            <w:vAlign w:val="center"/>
          </w:tcPr>
          <w:p>
            <w:pPr>
              <w:pStyle w:val="TableContents"/>
              <w:spacing w:before="0" w:after="0"/>
              <w:jc w:val="both"/>
              <w:rPr/>
            </w:pPr>
            <w:r>
              <w:rPr/>
              <w:t>•</w:t>
            </w:r>
          </w:p>
        </w:tc>
        <w:tc>
          <w:tcPr>
            <w:tcW w:w="10100" w:type="dxa"/>
            <w:tcBorders/>
            <w:shd w:fill="auto" w:val="clear"/>
            <w:vAlign w:val="center"/>
          </w:tcPr>
          <w:p>
            <w:pPr>
              <w:pStyle w:val="TableContents"/>
              <w:spacing w:before="0" w:after="0"/>
              <w:jc w:val="both"/>
              <w:rPr/>
            </w:pPr>
            <w:r>
              <w:rPr/>
              <w:t>changes or potential disruptions in our operations, the economy, financial markets or political environment;</w:t>
            </w:r>
          </w:p>
        </w:tc>
      </w:tr>
    </w:tbl>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125"/>
        <w:gridCol w:w="10414"/>
      </w:tblGrid>
      <w:tr>
        <w:trPr/>
        <w:tc>
          <w:tcPr>
            <w:tcW w:w="125" w:type="dxa"/>
            <w:tcBorders/>
            <w:shd w:fill="auto" w:val="clear"/>
            <w:vAlign w:val="center"/>
          </w:tcPr>
          <w:p>
            <w:pPr>
              <w:pStyle w:val="TableContents"/>
              <w:spacing w:before="0" w:after="0"/>
              <w:jc w:val="both"/>
              <w:rPr/>
            </w:pPr>
            <w:r>
              <w:rPr/>
              <w:t>•</w:t>
            </w:r>
          </w:p>
        </w:tc>
        <w:tc>
          <w:tcPr>
            <w:tcW w:w="10414" w:type="dxa"/>
            <w:tcBorders/>
            <w:shd w:fill="auto" w:val="clear"/>
            <w:vAlign w:val="center"/>
          </w:tcPr>
          <w:p>
            <w:pPr>
              <w:pStyle w:val="TableContents"/>
              <w:spacing w:before="0" w:after="0"/>
              <w:jc w:val="both"/>
              <w:rPr/>
            </w:pPr>
            <w:r>
              <w:rPr/>
              <w:t>risks associated with possible disruption in our operations or the economy generally due to terrorism, natural disasters or the COVID-19 pandemic;</w:t>
            </w:r>
          </w:p>
        </w:tc>
      </w:tr>
    </w:tbl>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125"/>
        <w:gridCol w:w="10414"/>
      </w:tblGrid>
      <w:tr>
        <w:trPr/>
        <w:tc>
          <w:tcPr>
            <w:tcW w:w="125" w:type="dxa"/>
            <w:tcBorders/>
            <w:shd w:fill="auto" w:val="clear"/>
            <w:vAlign w:val="center"/>
          </w:tcPr>
          <w:p>
            <w:pPr>
              <w:pStyle w:val="TableContents"/>
              <w:spacing w:before="0" w:after="0"/>
              <w:jc w:val="both"/>
              <w:rPr/>
            </w:pPr>
            <w:r>
              <w:rPr/>
              <w:t>•</w:t>
            </w:r>
          </w:p>
        </w:tc>
        <w:tc>
          <w:tcPr>
            <w:tcW w:w="10414" w:type="dxa"/>
            <w:tcBorders/>
            <w:shd w:fill="auto" w:val="clear"/>
            <w:vAlign w:val="center"/>
          </w:tcPr>
          <w:p>
            <w:pPr>
              <w:pStyle w:val="TableContents"/>
              <w:spacing w:before="0" w:after="0"/>
              <w:jc w:val="both"/>
              <w:rPr/>
            </w:pPr>
            <w:r>
              <w:rPr/>
              <w:t>future changes in laws or regulations (including the interpretation of these laws and regulations by regulatory authorities) and conditions in our operating areas, particularly with respect to business development companies (“BDCs”) or regulated investment companies (“RICs”); and</w:t>
            </w:r>
          </w:p>
        </w:tc>
      </w:tr>
    </w:tbl>
    <w:p>
      <w:pPr>
        <w:pStyle w:val="TextBody"/>
        <w:spacing w:before="0" w:after="0"/>
        <w:rPr>
          <w:rFonts w:ascii="Times New Roman" w:hAnsi="Times New Roman"/>
          <w:sz w:val="20"/>
        </w:rPr>
      </w:pPr>
      <w:r>
        <w:rPr>
          <w:rFonts w:ascii="Times New Roman" w:hAnsi="Times New Roman"/>
          <w:sz w:val="20"/>
        </w:rPr>
      </w:r>
    </w:p>
    <w:tbl>
      <w:tblPr>
        <w:tblW w:w="10539" w:type="dxa"/>
        <w:jc w:val="left"/>
        <w:tblInd w:w="0" w:type="dxa"/>
        <w:tblCellMar>
          <w:top w:w="0" w:type="dxa"/>
          <w:left w:w="0" w:type="dxa"/>
          <w:bottom w:w="0" w:type="dxa"/>
          <w:right w:w="0" w:type="dxa"/>
        </w:tblCellMar>
      </w:tblPr>
      <w:tblGrid>
        <w:gridCol w:w="125"/>
        <w:gridCol w:w="10414"/>
      </w:tblGrid>
      <w:tr>
        <w:trPr/>
        <w:tc>
          <w:tcPr>
            <w:tcW w:w="125" w:type="dxa"/>
            <w:tcBorders/>
            <w:shd w:fill="auto" w:val="clear"/>
            <w:vAlign w:val="center"/>
          </w:tcPr>
          <w:p>
            <w:pPr>
              <w:pStyle w:val="TableContents"/>
              <w:spacing w:before="0" w:after="0"/>
              <w:jc w:val="both"/>
              <w:rPr/>
            </w:pPr>
            <w:r>
              <w:rPr/>
              <w:t>•</w:t>
            </w:r>
          </w:p>
        </w:tc>
        <w:tc>
          <w:tcPr>
            <w:tcW w:w="10414" w:type="dxa"/>
            <w:tcBorders/>
            <w:shd w:fill="auto" w:val="clear"/>
            <w:vAlign w:val="center"/>
          </w:tcPr>
          <w:p>
            <w:pPr>
              <w:pStyle w:val="TableContents"/>
              <w:spacing w:before="0" w:after="0"/>
              <w:jc w:val="both"/>
              <w:rPr/>
            </w:pPr>
            <w:r>
              <w:rPr/>
              <w:t>other considerations that may be disclosed from time to time in our publicly disseminated documents and filings.</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have based the forward-looking statements included in this quarterly report on Form 10-Q on information available to us on the date of this quarterly report on Form 10-Q,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 The forward-looking statements contained in this quarterly report on Form 10-Q are excluded from the safe harbor protection provided by Section 21E of the Securities Exchange Act of 1934, as amended (the “Exchange Act”).</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PART I: FINANCIAL INFORMATION</w:t>
      </w:r>
    </w:p>
    <w:p>
      <w:pPr>
        <w:pStyle w:val="TextBody"/>
        <w:spacing w:before="0" w:after="0"/>
        <w:jc w:val="left"/>
        <w:rPr>
          <w:color w:val="000000"/>
        </w:rPr>
      </w:pPr>
      <w:r>
        <w:rPr>
          <w:color w:val="000000"/>
        </w:rPr>
        <w:t> </w:t>
      </w:r>
    </w:p>
    <w:p>
      <w:pPr>
        <w:pStyle w:val="Normal"/>
        <w:spacing w:before="0" w:after="0"/>
        <w:jc w:val="left"/>
        <w:rPr>
          <w:sz w:val="4"/>
          <w:szCs w:val="4"/>
        </w:rPr>
      </w:pPr>
      <w:r>
        <w:rPr>
          <w:sz w:val="4"/>
          <w:szCs w:val="4"/>
        </w:rPr>
      </w:r>
      <w:bookmarkStart w:id="2" w:name="Item1."/>
      <w:bookmarkStart w:id="3" w:name="Item1."/>
      <w:bookmarkEnd w:id="3"/>
    </w:p>
    <w:tbl>
      <w:tblPr>
        <w:tblW w:w="2890" w:type="dxa"/>
        <w:jc w:val="left"/>
        <w:tblInd w:w="0" w:type="dxa"/>
        <w:tblCellMar>
          <w:top w:w="0" w:type="dxa"/>
          <w:left w:w="0" w:type="dxa"/>
          <w:bottom w:w="0" w:type="dxa"/>
          <w:right w:w="0" w:type="dxa"/>
        </w:tblCellMar>
      </w:tblPr>
      <w:tblGrid>
        <w:gridCol w:w="740"/>
        <w:gridCol w:w="2150"/>
      </w:tblGrid>
      <w:tr>
        <w:trPr/>
        <w:tc>
          <w:tcPr>
            <w:tcW w:w="740" w:type="dxa"/>
            <w:tcBorders/>
            <w:shd w:fill="auto" w:val="clear"/>
            <w:vAlign w:val="center"/>
          </w:tcPr>
          <w:p>
            <w:pPr>
              <w:pStyle w:val="TableContents"/>
              <w:spacing w:before="0" w:after="0"/>
              <w:jc w:val="left"/>
              <w:rPr>
                <w:b/>
              </w:rPr>
            </w:pPr>
            <w:r>
              <w:rPr>
                <w:b/>
              </w:rPr>
              <w:t>Item 1.</w:t>
            </w:r>
          </w:p>
        </w:tc>
        <w:tc>
          <w:tcPr>
            <w:tcW w:w="2150" w:type="dxa"/>
            <w:tcBorders/>
            <w:shd w:fill="auto" w:val="clear"/>
            <w:vAlign w:val="center"/>
          </w:tcPr>
          <w:p>
            <w:pPr>
              <w:pStyle w:val="TableContents"/>
              <w:spacing w:before="0" w:after="0"/>
              <w:jc w:val="left"/>
              <w:rPr>
                <w:b/>
              </w:rPr>
            </w:pPr>
            <w:r>
              <w:rPr>
                <w:b/>
              </w:rPr>
              <w:t>Financial Statements</w:t>
            </w:r>
          </w:p>
        </w:tc>
      </w:tr>
    </w:tbl>
    <w:p>
      <w:pPr>
        <w:pStyle w:val="TextBody"/>
        <w:spacing w:before="0" w:after="0"/>
        <w:jc w:val="center"/>
        <w:rPr>
          <w:rFonts w:ascii="Times New Roman" w:hAnsi="Times New Roman"/>
          <w:b/>
          <w:color w:val="000000"/>
          <w:sz w:val="20"/>
        </w:rPr>
      </w:pPr>
      <w:r>
        <w:rPr>
          <w:rFonts w:ascii="Times New Roman" w:hAnsi="Times New Roman"/>
          <w:b/>
          <w:color w:val="000000"/>
          <w:sz w:val="20"/>
        </w:rPr>
        <w:t>SILVER SPIKE INVESTMENT CORP.</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20"/>
        </w:rPr>
      </w:pPr>
      <w:bookmarkStart w:id="4" w:name="StatementsofAssetsandLiab"/>
      <w:bookmarkEnd w:id="4"/>
      <w:r>
        <w:rPr>
          <w:rFonts w:ascii="Times New Roman" w:hAnsi="Times New Roman"/>
          <w:b/>
          <w:color w:val="000000"/>
          <w:sz w:val="20"/>
        </w:rPr>
        <w:t>Statements of Assets and Liabilities</w:t>
      </w:r>
    </w:p>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7245"/>
        <w:gridCol w:w="60"/>
        <w:gridCol w:w="161"/>
        <w:gridCol w:w="1269"/>
        <w:gridCol w:w="60"/>
        <w:gridCol w:w="60"/>
        <w:gridCol w:w="181"/>
        <w:gridCol w:w="1426"/>
        <w:gridCol w:w="77"/>
      </w:tblGrid>
      <w:tr>
        <w:trPr/>
        <w:tc>
          <w:tcPr>
            <w:tcW w:w="7245" w:type="dxa"/>
            <w:tcBorders/>
            <w:shd w:fill="auto" w:val="clear"/>
            <w:vAlign w:val="bottom"/>
          </w:tcPr>
          <w:p>
            <w:pPr>
              <w:pStyle w:val="TableContents"/>
              <w:spacing w:before="0" w:after="0"/>
              <w:ind w:left="180" w:right="0" w:hanging="180"/>
              <w:rPr/>
            </w:pPr>
            <w:r>
              <w:rPr/>
              <w:t> </w:t>
            </w:r>
          </w:p>
        </w:tc>
        <w:tc>
          <w:tcPr>
            <w:tcW w:w="60" w:type="dxa"/>
            <w:tcBorders/>
            <w:shd w:fill="auto" w:val="clear"/>
            <w:vAlign w:val="bottom"/>
          </w:tcPr>
          <w:p>
            <w:pPr>
              <w:pStyle w:val="TableContents"/>
              <w:spacing w:before="0" w:after="283"/>
              <w:jc w:val="center"/>
              <w:rPr/>
            </w:pPr>
            <w:r>
              <w:rPr/>
              <w:t> </w:t>
            </w:r>
          </w:p>
        </w:tc>
        <w:tc>
          <w:tcPr>
            <w:tcW w:w="1430" w:type="dxa"/>
            <w:gridSpan w:val="2"/>
            <w:tcBorders>
              <w:bottom w:val="single" w:sz="12" w:space="0" w:color="000000"/>
            </w:tcBorders>
            <w:shd w:fill="auto" w:val="clear"/>
            <w:tcMar>
              <w:bottom w:w="28" w:type="dxa"/>
            </w:tcMar>
            <w:vAlign w:val="bottom"/>
          </w:tcPr>
          <w:p>
            <w:pPr>
              <w:pStyle w:val="TableContents"/>
              <w:spacing w:before="0" w:after="283"/>
              <w:jc w:val="center"/>
              <w:rPr>
                <w:b/>
              </w:rPr>
            </w:pPr>
            <w:r>
              <w:rPr>
                <w:b/>
              </w:rPr>
              <w:t>March 31, 2023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07"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December 31, 2022</w:t>
            </w:r>
          </w:p>
        </w:tc>
        <w:tc>
          <w:tcPr>
            <w:tcW w:w="77" w:type="dxa"/>
            <w:tcBorders/>
            <w:shd w:fill="auto" w:val="clear"/>
            <w:vAlign w:val="bottom"/>
          </w:tcPr>
          <w:p>
            <w:pPr>
              <w:pStyle w:val="TableContents"/>
              <w:spacing w:before="0" w:after="283"/>
              <w:jc w:val="left"/>
              <w:rPr/>
            </w:pPr>
            <w:r>
              <w:rPr/>
              <w:t> </w:t>
            </w:r>
          </w:p>
        </w:tc>
      </w:tr>
      <w:tr>
        <w:trPr/>
        <w:tc>
          <w:tcPr>
            <w:tcW w:w="7245" w:type="dxa"/>
            <w:tcBorders/>
            <w:shd w:fill="auto" w:val="clear"/>
            <w:vAlign w:val="bottom"/>
          </w:tcPr>
          <w:p>
            <w:pPr>
              <w:pStyle w:val="TableContents"/>
              <w:spacing w:before="0" w:after="0"/>
              <w:ind w:left="180" w:right="0" w:hanging="180"/>
              <w:rPr/>
            </w:pPr>
            <w:r>
              <w:rPr/>
              <w:t> </w:t>
            </w:r>
          </w:p>
        </w:tc>
        <w:tc>
          <w:tcPr>
            <w:tcW w:w="60" w:type="dxa"/>
            <w:tcBorders/>
            <w:shd w:fill="auto" w:val="clear"/>
            <w:vAlign w:val="bottom"/>
          </w:tcPr>
          <w:p>
            <w:pPr>
              <w:pStyle w:val="TableContents"/>
              <w:spacing w:before="0" w:after="283"/>
              <w:rPr/>
            </w:pPr>
            <w:r>
              <w:rPr/>
              <w:t> </w:t>
            </w:r>
          </w:p>
        </w:tc>
        <w:tc>
          <w:tcPr>
            <w:tcW w:w="1430" w:type="dxa"/>
            <w:gridSpan w:val="2"/>
            <w:tcBorders/>
            <w:shd w:fill="auto" w:val="clear"/>
            <w:vAlign w:val="bottom"/>
          </w:tcPr>
          <w:p>
            <w:pPr>
              <w:pStyle w:val="TableContents"/>
              <w:spacing w:before="0" w:after="0"/>
              <w:jc w:val="center"/>
              <w:rPr>
                <w:b/>
                <w:color w:val="000000"/>
              </w:rPr>
            </w:pPr>
            <w:r>
              <w:rPr>
                <w:b/>
                <w:color w:val="000000"/>
              </w:rPr>
              <w:t>(unaudited)</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07" w:type="dxa"/>
            <w:gridSpan w:val="2"/>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jc w:val="left"/>
              <w:rPr/>
            </w:pPr>
            <w:r>
              <w:rPr/>
              <w:t> </w:t>
            </w:r>
          </w:p>
        </w:tc>
      </w:tr>
      <w:tr>
        <w:trPr/>
        <w:tc>
          <w:tcPr>
            <w:tcW w:w="7245" w:type="dxa"/>
            <w:tcBorders/>
            <w:shd w:fill="auto" w:val="clear"/>
            <w:vAlign w:val="bottom"/>
          </w:tcPr>
          <w:p>
            <w:pPr>
              <w:pStyle w:val="TableContents"/>
              <w:spacing w:before="0" w:after="0"/>
              <w:ind w:left="180" w:right="0" w:hanging="180"/>
              <w:rPr>
                <w:b/>
              </w:rPr>
            </w:pPr>
            <w:r>
              <w:rPr>
                <w:b/>
              </w:rPr>
              <w:t>ASSETS</w:t>
            </w:r>
          </w:p>
        </w:tc>
        <w:tc>
          <w:tcPr>
            <w:tcW w:w="60" w:type="dxa"/>
            <w:tcBorders/>
            <w:shd w:fill="auto" w:val="clear"/>
            <w:vAlign w:val="bottom"/>
          </w:tcPr>
          <w:p>
            <w:pPr>
              <w:pStyle w:val="TableContents"/>
              <w:spacing w:before="0" w:after="283"/>
              <w:rPr/>
            </w:pPr>
            <w:r>
              <w:rPr/>
              <w:t> </w:t>
            </w:r>
          </w:p>
        </w:tc>
        <w:tc>
          <w:tcPr>
            <w:tcW w:w="143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07" w:type="dxa"/>
            <w:gridSpan w:val="2"/>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jc w:val="left"/>
              <w:rPr/>
            </w:pPr>
            <w:r>
              <w:rPr/>
              <w:t> </w:t>
            </w:r>
          </w:p>
        </w:tc>
      </w:tr>
      <w:tr>
        <w:trPr/>
        <w:tc>
          <w:tcPr>
            <w:tcW w:w="7245" w:type="dxa"/>
            <w:tcBorders/>
            <w:shd w:fill="auto" w:val="clear"/>
            <w:vAlign w:val="bottom"/>
          </w:tcPr>
          <w:p>
            <w:pPr>
              <w:pStyle w:val="TableContents"/>
              <w:spacing w:before="0" w:after="0"/>
              <w:ind w:left="180" w:right="0" w:hanging="180"/>
              <w:rPr/>
            </w:pPr>
            <w:r>
              <w:rPr/>
              <w:t>Investments at fair value:</w:t>
            </w:r>
          </w:p>
        </w:tc>
        <w:tc>
          <w:tcPr>
            <w:tcW w:w="60" w:type="dxa"/>
            <w:tcBorders/>
            <w:shd w:fill="auto" w:val="clear"/>
            <w:vAlign w:val="bottom"/>
          </w:tcPr>
          <w:p>
            <w:pPr>
              <w:pStyle w:val="TableContents"/>
              <w:spacing w:before="0" w:after="283"/>
              <w:rPr/>
            </w:pPr>
            <w:r>
              <w:rPr/>
              <w:t> </w:t>
            </w:r>
          </w:p>
        </w:tc>
        <w:tc>
          <w:tcPr>
            <w:tcW w:w="143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07" w:type="dxa"/>
            <w:gridSpan w:val="2"/>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jc w:val="left"/>
              <w:rPr/>
            </w:pPr>
            <w:r>
              <w:rPr/>
              <w:t> </w:t>
            </w:r>
          </w:p>
        </w:tc>
      </w:tr>
      <w:tr>
        <w:trPr/>
        <w:tc>
          <w:tcPr>
            <w:tcW w:w="7245" w:type="dxa"/>
            <w:tcBorders/>
            <w:shd w:fill="CCEEFF" w:val="clear"/>
            <w:vAlign w:val="bottom"/>
          </w:tcPr>
          <w:p>
            <w:pPr>
              <w:pStyle w:val="TableContents"/>
              <w:spacing w:before="0" w:after="0"/>
              <w:ind w:left="360" w:right="0" w:hanging="0"/>
              <w:rPr/>
            </w:pPr>
            <w:r>
              <w:rPr/>
              <w:t>Non-control/non-affiliate investments at fair value (amortized cost of $54,910,290 and $50,527,898, respectively)</w:t>
            </w:r>
          </w:p>
        </w:tc>
        <w:tc>
          <w:tcPr>
            <w:tcW w:w="60"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0"/>
              <w:jc w:val="left"/>
              <w:rPr/>
            </w:pPr>
            <w:r>
              <w:rPr/>
              <w:t>$</w:t>
            </w:r>
          </w:p>
        </w:tc>
        <w:tc>
          <w:tcPr>
            <w:tcW w:w="1269" w:type="dxa"/>
            <w:tcBorders/>
            <w:shd w:fill="CCEEFF" w:val="clear"/>
            <w:vAlign w:val="bottom"/>
          </w:tcPr>
          <w:p>
            <w:pPr>
              <w:pStyle w:val="TableContents"/>
              <w:spacing w:before="0" w:after="0"/>
              <w:jc w:val="right"/>
              <w:rPr/>
            </w:pPr>
            <w:r>
              <w:rPr/>
              <w:t>55,623,299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0"/>
              <w:jc w:val="left"/>
              <w:rPr/>
            </w:pPr>
            <w:r>
              <w:rPr/>
              <w:t>$</w:t>
            </w:r>
          </w:p>
        </w:tc>
        <w:tc>
          <w:tcPr>
            <w:tcW w:w="1426" w:type="dxa"/>
            <w:tcBorders/>
            <w:shd w:fill="CCEEFF" w:val="clear"/>
            <w:vAlign w:val="bottom"/>
          </w:tcPr>
          <w:p>
            <w:pPr>
              <w:pStyle w:val="TableContents"/>
              <w:spacing w:before="0" w:after="0"/>
              <w:jc w:val="right"/>
              <w:rPr/>
            </w:pPr>
            <w:r>
              <w:rPr/>
              <w:t>50,254,550</w:t>
            </w:r>
          </w:p>
        </w:tc>
        <w:tc>
          <w:tcPr>
            <w:tcW w:w="77" w:type="dxa"/>
            <w:tcBorders/>
            <w:shd w:fill="CCEEFF" w:val="clear"/>
            <w:vAlign w:val="bottom"/>
          </w:tcPr>
          <w:p>
            <w:pPr>
              <w:pStyle w:val="TableContents"/>
              <w:spacing w:before="0" w:after="283"/>
              <w:jc w:val="left"/>
              <w:rPr/>
            </w:pPr>
            <w:r>
              <w:rPr/>
              <w:t> </w:t>
            </w:r>
          </w:p>
        </w:tc>
      </w:tr>
      <w:tr>
        <w:trPr/>
        <w:tc>
          <w:tcPr>
            <w:tcW w:w="7245" w:type="dxa"/>
            <w:tcBorders/>
            <w:shd w:fill="auto" w:val="clear"/>
            <w:vAlign w:val="bottom"/>
          </w:tcPr>
          <w:p>
            <w:pPr>
              <w:pStyle w:val="TableContents"/>
              <w:spacing w:before="0" w:after="0"/>
              <w:ind w:left="180" w:right="0" w:hanging="180"/>
              <w:rPr/>
            </w:pPr>
            <w:r>
              <w:rPr/>
              <w:t>Cash and cash equivalents</w:t>
            </w:r>
          </w:p>
        </w:tc>
        <w:tc>
          <w:tcPr>
            <w:tcW w:w="60"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jc w:val="left"/>
              <w:rPr/>
            </w:pPr>
            <w:r>
              <w:rPr/>
              <w:t> </w:t>
            </w:r>
          </w:p>
        </w:tc>
        <w:tc>
          <w:tcPr>
            <w:tcW w:w="1269" w:type="dxa"/>
            <w:tcBorders/>
            <w:shd w:fill="auto" w:val="clear"/>
            <w:vAlign w:val="bottom"/>
          </w:tcPr>
          <w:p>
            <w:pPr>
              <w:pStyle w:val="TableContents"/>
              <w:spacing w:before="0" w:after="0"/>
              <w:jc w:val="right"/>
              <w:rPr/>
            </w:pPr>
            <w:r>
              <w:rPr/>
              <w:t>32,544,027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283"/>
              <w:jc w:val="left"/>
              <w:rPr/>
            </w:pPr>
            <w:r>
              <w:rPr/>
              <w:t> </w:t>
            </w:r>
          </w:p>
        </w:tc>
        <w:tc>
          <w:tcPr>
            <w:tcW w:w="1426" w:type="dxa"/>
            <w:tcBorders/>
            <w:shd w:fill="auto" w:val="clear"/>
            <w:vAlign w:val="bottom"/>
          </w:tcPr>
          <w:p>
            <w:pPr>
              <w:pStyle w:val="TableContents"/>
              <w:spacing w:before="0" w:after="0"/>
              <w:jc w:val="right"/>
              <w:rPr/>
            </w:pPr>
            <w:r>
              <w:rPr/>
              <w:t>35,125,320</w:t>
            </w:r>
          </w:p>
        </w:tc>
        <w:tc>
          <w:tcPr>
            <w:tcW w:w="77" w:type="dxa"/>
            <w:tcBorders/>
            <w:shd w:fill="auto" w:val="clear"/>
            <w:vAlign w:val="bottom"/>
          </w:tcPr>
          <w:p>
            <w:pPr>
              <w:pStyle w:val="TableContents"/>
              <w:spacing w:before="0" w:after="283"/>
              <w:jc w:val="left"/>
              <w:rPr/>
            </w:pPr>
            <w:r>
              <w:rPr/>
              <w:t> </w:t>
            </w:r>
          </w:p>
        </w:tc>
      </w:tr>
      <w:tr>
        <w:trPr/>
        <w:tc>
          <w:tcPr>
            <w:tcW w:w="7245" w:type="dxa"/>
            <w:tcBorders/>
            <w:shd w:fill="CCEEFF" w:val="clear"/>
            <w:vAlign w:val="bottom"/>
          </w:tcPr>
          <w:p>
            <w:pPr>
              <w:pStyle w:val="TableContents"/>
              <w:spacing w:before="0" w:after="0"/>
              <w:ind w:left="180" w:right="0" w:hanging="180"/>
              <w:rPr/>
            </w:pPr>
            <w:r>
              <w:rPr/>
              <w:t>Interest receivable</w:t>
            </w:r>
          </w:p>
        </w:tc>
        <w:tc>
          <w:tcPr>
            <w:tcW w:w="60"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jc w:val="left"/>
              <w:rPr/>
            </w:pPr>
            <w:r>
              <w:rPr/>
              <w:t> </w:t>
            </w:r>
          </w:p>
        </w:tc>
        <w:tc>
          <w:tcPr>
            <w:tcW w:w="1269" w:type="dxa"/>
            <w:tcBorders/>
            <w:shd w:fill="CCEEFF" w:val="clear"/>
            <w:vAlign w:val="bottom"/>
          </w:tcPr>
          <w:p>
            <w:pPr>
              <w:pStyle w:val="TableContents"/>
              <w:spacing w:before="0" w:after="0"/>
              <w:jc w:val="right"/>
              <w:rPr/>
            </w:pPr>
            <w:r>
              <w:rPr/>
              <w:t>1,568,026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426" w:type="dxa"/>
            <w:tcBorders/>
            <w:shd w:fill="CCEEFF" w:val="clear"/>
            <w:vAlign w:val="bottom"/>
          </w:tcPr>
          <w:p>
            <w:pPr>
              <w:pStyle w:val="TableContents"/>
              <w:spacing w:before="0" w:after="0"/>
              <w:jc w:val="right"/>
              <w:rPr/>
            </w:pPr>
            <w:r>
              <w:rPr/>
              <w:t>1,559,081</w:t>
            </w:r>
          </w:p>
        </w:tc>
        <w:tc>
          <w:tcPr>
            <w:tcW w:w="77" w:type="dxa"/>
            <w:tcBorders/>
            <w:shd w:fill="CCEEFF" w:val="clear"/>
            <w:vAlign w:val="bottom"/>
          </w:tcPr>
          <w:p>
            <w:pPr>
              <w:pStyle w:val="TableContents"/>
              <w:spacing w:before="0" w:after="283"/>
              <w:jc w:val="left"/>
              <w:rPr/>
            </w:pPr>
            <w:r>
              <w:rPr/>
              <w:t> </w:t>
            </w:r>
          </w:p>
        </w:tc>
      </w:tr>
      <w:tr>
        <w:trPr/>
        <w:tc>
          <w:tcPr>
            <w:tcW w:w="7245" w:type="dxa"/>
            <w:tcBorders/>
            <w:shd w:fill="auto" w:val="clear"/>
            <w:vAlign w:val="bottom"/>
          </w:tcPr>
          <w:p>
            <w:pPr>
              <w:pStyle w:val="TableContents"/>
              <w:spacing w:before="0" w:after="0"/>
              <w:ind w:left="180" w:right="0" w:hanging="180"/>
              <w:rPr/>
            </w:pPr>
            <w:r>
              <w:rPr/>
              <w:t>Prepaid expenses</w:t>
            </w:r>
          </w:p>
        </w:tc>
        <w:tc>
          <w:tcPr>
            <w:tcW w:w="60" w:type="dxa"/>
            <w:tcBorders/>
            <w:shd w:fill="auto" w:val="clear"/>
            <w:vAlign w:val="bottom"/>
          </w:tcPr>
          <w:p>
            <w:pPr>
              <w:pStyle w:val="TableContents"/>
              <w:spacing w:before="0" w:after="283"/>
              <w:jc w:val="right"/>
              <w:rPr/>
            </w:pPr>
            <w:r>
              <w:rPr/>
              <w:t> </w:t>
            </w:r>
          </w:p>
        </w:tc>
        <w:tc>
          <w:tcPr>
            <w:tcW w:w="16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69" w:type="dxa"/>
            <w:tcBorders>
              <w:bottom w:val="single" w:sz="12" w:space="0" w:color="000000"/>
            </w:tcBorders>
            <w:shd w:fill="auto" w:val="clear"/>
            <w:tcMar>
              <w:bottom w:w="28" w:type="dxa"/>
            </w:tcMar>
            <w:vAlign w:val="bottom"/>
          </w:tcPr>
          <w:p>
            <w:pPr>
              <w:pStyle w:val="TableContents"/>
              <w:spacing w:before="0" w:after="0"/>
              <w:jc w:val="right"/>
              <w:rPr/>
            </w:pPr>
            <w:r>
              <w:rPr/>
              <w:t>254,651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426" w:type="dxa"/>
            <w:tcBorders>
              <w:bottom w:val="single" w:sz="12" w:space="0" w:color="000000"/>
            </w:tcBorders>
            <w:shd w:fill="auto" w:val="clear"/>
            <w:tcMar>
              <w:bottom w:w="28" w:type="dxa"/>
            </w:tcMar>
            <w:vAlign w:val="bottom"/>
          </w:tcPr>
          <w:p>
            <w:pPr>
              <w:pStyle w:val="TableContents"/>
              <w:spacing w:before="0" w:after="0"/>
              <w:jc w:val="right"/>
              <w:rPr/>
            </w:pPr>
            <w:r>
              <w:rPr/>
              <w:t>32,323</w:t>
            </w:r>
          </w:p>
        </w:tc>
        <w:tc>
          <w:tcPr>
            <w:tcW w:w="77" w:type="dxa"/>
            <w:tcBorders/>
            <w:shd w:fill="auto" w:val="clear"/>
            <w:vAlign w:val="bottom"/>
          </w:tcPr>
          <w:p>
            <w:pPr>
              <w:pStyle w:val="TableContents"/>
              <w:spacing w:before="0" w:after="283"/>
              <w:jc w:val="left"/>
              <w:rPr/>
            </w:pPr>
            <w:r>
              <w:rPr/>
              <w:t> </w:t>
            </w:r>
          </w:p>
        </w:tc>
      </w:tr>
      <w:tr>
        <w:trPr/>
        <w:tc>
          <w:tcPr>
            <w:tcW w:w="7245" w:type="dxa"/>
            <w:tcBorders/>
            <w:shd w:fill="CCEEFF" w:val="clear"/>
            <w:vAlign w:val="bottom"/>
          </w:tcPr>
          <w:p>
            <w:pPr>
              <w:pStyle w:val="TableContents"/>
              <w:spacing w:before="0" w:after="0"/>
              <w:ind w:left="360" w:right="0" w:hanging="180"/>
              <w:rPr>
                <w:b/>
              </w:rPr>
            </w:pPr>
            <w:r>
              <w:rPr>
                <w:b/>
              </w:rPr>
              <w:t>Total assets</w:t>
            </w:r>
          </w:p>
        </w:tc>
        <w:tc>
          <w:tcPr>
            <w:tcW w:w="60" w:type="dxa"/>
            <w:tcBorders/>
            <w:shd w:fill="CCEEFF" w:val="clear"/>
            <w:vAlign w:val="bottom"/>
          </w:tcPr>
          <w:p>
            <w:pPr>
              <w:pStyle w:val="TableContents"/>
              <w:spacing w:before="0" w:after="283"/>
              <w:jc w:val="right"/>
              <w:rPr/>
            </w:pPr>
            <w:r>
              <w:rPr/>
              <w:t> </w:t>
            </w:r>
          </w:p>
        </w:tc>
        <w:tc>
          <w:tcPr>
            <w:tcW w:w="161"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1269" w:type="dxa"/>
            <w:tcBorders>
              <w:bottom w:val="single" w:sz="12" w:space="0" w:color="000000"/>
            </w:tcBorders>
            <w:shd w:fill="CCEEFF" w:val="clear"/>
            <w:tcMar>
              <w:bottom w:w="28" w:type="dxa"/>
            </w:tcMar>
            <w:vAlign w:val="bottom"/>
          </w:tcPr>
          <w:p>
            <w:pPr>
              <w:pStyle w:val="TableContents"/>
              <w:spacing w:before="0" w:after="0"/>
              <w:jc w:val="right"/>
              <w:rPr/>
            </w:pPr>
            <w:r>
              <w:rPr/>
              <w:t>89,990,003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1426" w:type="dxa"/>
            <w:tcBorders>
              <w:bottom w:val="single" w:sz="12" w:space="0" w:color="000000"/>
            </w:tcBorders>
            <w:shd w:fill="CCEEFF" w:val="clear"/>
            <w:tcMar>
              <w:bottom w:w="28" w:type="dxa"/>
            </w:tcMar>
            <w:vAlign w:val="bottom"/>
          </w:tcPr>
          <w:p>
            <w:pPr>
              <w:pStyle w:val="TableContents"/>
              <w:spacing w:before="0" w:after="0"/>
              <w:jc w:val="right"/>
              <w:rPr/>
            </w:pPr>
            <w:r>
              <w:rPr/>
              <w:t>86,971,274</w:t>
            </w:r>
          </w:p>
        </w:tc>
        <w:tc>
          <w:tcPr>
            <w:tcW w:w="77" w:type="dxa"/>
            <w:tcBorders/>
            <w:shd w:fill="CCEEFF" w:val="clear"/>
            <w:vAlign w:val="bottom"/>
          </w:tcPr>
          <w:p>
            <w:pPr>
              <w:pStyle w:val="TableContents"/>
              <w:spacing w:before="0" w:after="283"/>
              <w:jc w:val="left"/>
              <w:rPr/>
            </w:pPr>
            <w:r>
              <w:rPr/>
              <w:t> </w:t>
            </w:r>
          </w:p>
        </w:tc>
      </w:tr>
      <w:tr>
        <w:trPr/>
        <w:tc>
          <w:tcPr>
            <w:tcW w:w="7245" w:type="dxa"/>
            <w:tcBorders/>
            <w:shd w:fill="auto" w:val="clear"/>
            <w:vAlign w:val="bottom"/>
          </w:tcPr>
          <w:p>
            <w:pPr>
              <w:pStyle w:val="TableContents"/>
              <w:spacing w:before="0" w:after="0"/>
              <w:ind w:left="180" w:right="0" w:hanging="180"/>
              <w:rPr/>
            </w:pPr>
            <w:r>
              <w:rPr/>
              <w:t> </w:t>
            </w:r>
          </w:p>
        </w:tc>
        <w:tc>
          <w:tcPr>
            <w:tcW w:w="60"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jc w:val="left"/>
              <w:rPr/>
            </w:pPr>
            <w:r>
              <w:rPr/>
              <w:t> </w:t>
            </w:r>
          </w:p>
        </w:tc>
        <w:tc>
          <w:tcPr>
            <w:tcW w:w="126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283"/>
              <w:jc w:val="left"/>
              <w:rPr/>
            </w:pPr>
            <w:r>
              <w:rPr/>
              <w:t> </w:t>
            </w:r>
          </w:p>
        </w:tc>
        <w:tc>
          <w:tcPr>
            <w:tcW w:w="1426" w:type="dxa"/>
            <w:tcBorders/>
            <w:shd w:fill="auto" w:val="clear"/>
            <w:vAlign w:val="bottom"/>
          </w:tcPr>
          <w:p>
            <w:pPr>
              <w:pStyle w:val="TableContents"/>
              <w:spacing w:before="0" w:after="283"/>
              <w:jc w:val="right"/>
              <w:rPr/>
            </w:pPr>
            <w:r>
              <w:rPr/>
              <w:t> </w:t>
            </w:r>
          </w:p>
        </w:tc>
        <w:tc>
          <w:tcPr>
            <w:tcW w:w="77" w:type="dxa"/>
            <w:tcBorders/>
            <w:shd w:fill="auto" w:val="clear"/>
            <w:vAlign w:val="bottom"/>
          </w:tcPr>
          <w:p>
            <w:pPr>
              <w:pStyle w:val="TableContents"/>
              <w:spacing w:before="0" w:after="283"/>
              <w:jc w:val="left"/>
              <w:rPr/>
            </w:pPr>
            <w:r>
              <w:rPr/>
              <w:t> </w:t>
            </w:r>
          </w:p>
        </w:tc>
      </w:tr>
      <w:tr>
        <w:trPr/>
        <w:tc>
          <w:tcPr>
            <w:tcW w:w="7245" w:type="dxa"/>
            <w:tcBorders/>
            <w:shd w:fill="CCEEFF" w:val="clear"/>
            <w:vAlign w:val="bottom"/>
          </w:tcPr>
          <w:p>
            <w:pPr>
              <w:pStyle w:val="TableContents"/>
              <w:spacing w:before="0" w:after="0"/>
              <w:ind w:left="180" w:right="0" w:hanging="180"/>
              <w:rPr>
                <w:b/>
              </w:rPr>
            </w:pPr>
            <w:r>
              <w:rPr>
                <w:b/>
              </w:rPr>
              <w:t>LIABILITIES</w:t>
            </w:r>
          </w:p>
        </w:tc>
        <w:tc>
          <w:tcPr>
            <w:tcW w:w="60"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jc w:val="left"/>
              <w:rPr/>
            </w:pPr>
            <w:r>
              <w:rPr/>
              <w:t> </w:t>
            </w:r>
          </w:p>
        </w:tc>
        <w:tc>
          <w:tcPr>
            <w:tcW w:w="126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426" w:type="dxa"/>
            <w:tcBorders/>
            <w:shd w:fill="CCEEFF" w:val="cle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jc w:val="left"/>
              <w:rPr/>
            </w:pPr>
            <w:r>
              <w:rPr/>
              <w:t> </w:t>
            </w:r>
          </w:p>
        </w:tc>
      </w:tr>
      <w:tr>
        <w:trPr/>
        <w:tc>
          <w:tcPr>
            <w:tcW w:w="7245" w:type="dxa"/>
            <w:tcBorders/>
            <w:shd w:fill="auto" w:val="clear"/>
            <w:vAlign w:val="bottom"/>
          </w:tcPr>
          <w:p>
            <w:pPr>
              <w:pStyle w:val="TableContents"/>
              <w:spacing w:before="0" w:after="0"/>
              <w:ind w:left="180" w:right="0" w:hanging="180"/>
              <w:rPr/>
            </w:pPr>
            <w:r>
              <w:rPr/>
              <w:t> </w:t>
            </w:r>
          </w:p>
        </w:tc>
        <w:tc>
          <w:tcPr>
            <w:tcW w:w="60"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jc w:val="left"/>
              <w:rPr/>
            </w:pPr>
            <w:r>
              <w:rPr/>
              <w:t> </w:t>
            </w:r>
          </w:p>
        </w:tc>
        <w:tc>
          <w:tcPr>
            <w:tcW w:w="126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283"/>
              <w:jc w:val="left"/>
              <w:rPr/>
            </w:pPr>
            <w:r>
              <w:rPr/>
              <w:t> </w:t>
            </w:r>
          </w:p>
        </w:tc>
        <w:tc>
          <w:tcPr>
            <w:tcW w:w="1426" w:type="dxa"/>
            <w:tcBorders/>
            <w:shd w:fill="auto" w:val="clear"/>
            <w:vAlign w:val="bottom"/>
          </w:tcPr>
          <w:p>
            <w:pPr>
              <w:pStyle w:val="TableContents"/>
              <w:spacing w:before="0" w:after="283"/>
              <w:jc w:val="right"/>
              <w:rPr/>
            </w:pPr>
            <w:r>
              <w:rPr/>
              <w:t> </w:t>
            </w:r>
          </w:p>
        </w:tc>
        <w:tc>
          <w:tcPr>
            <w:tcW w:w="77" w:type="dxa"/>
            <w:tcBorders/>
            <w:shd w:fill="auto" w:val="clear"/>
            <w:vAlign w:val="bottom"/>
          </w:tcPr>
          <w:p>
            <w:pPr>
              <w:pStyle w:val="TableContents"/>
              <w:spacing w:before="0" w:after="283"/>
              <w:jc w:val="left"/>
              <w:rPr/>
            </w:pPr>
            <w:r>
              <w:rPr/>
              <w:t> </w:t>
            </w:r>
          </w:p>
        </w:tc>
      </w:tr>
      <w:tr>
        <w:trPr/>
        <w:tc>
          <w:tcPr>
            <w:tcW w:w="7245" w:type="dxa"/>
            <w:tcBorders/>
            <w:shd w:fill="CCEEFF" w:val="clear"/>
            <w:vAlign w:val="bottom"/>
          </w:tcPr>
          <w:p>
            <w:pPr>
              <w:pStyle w:val="TableContents"/>
              <w:spacing w:before="0" w:after="0"/>
              <w:ind w:left="180" w:right="0" w:hanging="180"/>
              <w:rPr/>
            </w:pPr>
            <w:r>
              <w:rPr/>
              <w:t>Management fee payable</w:t>
            </w:r>
          </w:p>
        </w:tc>
        <w:tc>
          <w:tcPr>
            <w:tcW w:w="60"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0"/>
              <w:jc w:val="left"/>
              <w:rPr/>
            </w:pPr>
            <w:r>
              <w:rPr/>
              <w:t>$</w:t>
            </w:r>
          </w:p>
        </w:tc>
        <w:tc>
          <w:tcPr>
            <w:tcW w:w="1269" w:type="dxa"/>
            <w:tcBorders/>
            <w:shd w:fill="CCEEFF" w:val="clear"/>
            <w:vAlign w:val="bottom"/>
          </w:tcPr>
          <w:p>
            <w:pPr>
              <w:pStyle w:val="TableContents"/>
              <w:spacing w:before="0" w:after="0"/>
              <w:jc w:val="right"/>
              <w:rPr/>
            </w:pPr>
            <w:r>
              <w:rPr/>
              <w:t>409,384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0"/>
              <w:jc w:val="left"/>
              <w:rPr/>
            </w:pPr>
            <w:r>
              <w:rPr/>
              <w:t>$</w:t>
            </w:r>
          </w:p>
        </w:tc>
        <w:tc>
          <w:tcPr>
            <w:tcW w:w="1426" w:type="dxa"/>
            <w:tcBorders/>
            <w:shd w:fill="CCEEFF" w:val="clear"/>
            <w:vAlign w:val="bottom"/>
          </w:tcPr>
          <w:p>
            <w:pPr>
              <w:pStyle w:val="TableContents"/>
              <w:spacing w:before="0" w:after="0"/>
              <w:jc w:val="right"/>
              <w:rPr/>
            </w:pPr>
            <w:r>
              <w:rPr/>
              <w:t>170,965</w:t>
            </w:r>
          </w:p>
        </w:tc>
        <w:tc>
          <w:tcPr>
            <w:tcW w:w="77" w:type="dxa"/>
            <w:tcBorders/>
            <w:shd w:fill="CCEEFF" w:val="clear"/>
            <w:vAlign w:val="bottom"/>
          </w:tcPr>
          <w:p>
            <w:pPr>
              <w:pStyle w:val="TableContents"/>
              <w:spacing w:before="0" w:after="283"/>
              <w:jc w:val="left"/>
              <w:rPr/>
            </w:pPr>
            <w:r>
              <w:rPr/>
              <w:t> </w:t>
            </w:r>
          </w:p>
        </w:tc>
      </w:tr>
      <w:tr>
        <w:trPr/>
        <w:tc>
          <w:tcPr>
            <w:tcW w:w="7245" w:type="dxa"/>
            <w:tcBorders/>
            <w:shd w:fill="auto" w:val="clear"/>
            <w:vAlign w:val="bottom"/>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Income-based incentive fee payable</w:t>
            </w:r>
          </w:p>
        </w:tc>
        <w:tc>
          <w:tcPr>
            <w:tcW w:w="60"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jc w:val="left"/>
              <w:rPr/>
            </w:pPr>
            <w:r>
              <w:rPr/>
              <w:t> </w:t>
            </w:r>
          </w:p>
        </w:tc>
        <w:tc>
          <w:tcPr>
            <w:tcW w:w="1269" w:type="dxa"/>
            <w:tcBorders/>
            <w:shd w:fill="auto" w:val="clear"/>
            <w:vAlign w:val="bottom"/>
          </w:tcPr>
          <w:p>
            <w:pPr>
              <w:pStyle w:val="TableContents"/>
              <w:spacing w:before="0" w:after="283"/>
              <w:jc w:val="right"/>
              <w:rPr/>
            </w:pPr>
            <w:r>
              <w:rPr/>
              <w:t>203,821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283"/>
              <w:jc w:val="left"/>
              <w:rPr/>
            </w:pPr>
            <w:r>
              <w:rPr/>
              <w:t> </w:t>
            </w:r>
          </w:p>
        </w:tc>
        <w:tc>
          <w:tcPr>
            <w:tcW w:w="1426" w:type="dxa"/>
            <w:tcBorders/>
            <w:shd w:fill="auto" w:val="clear"/>
            <w:vAlign w:val="bottom"/>
          </w:tcPr>
          <w:p>
            <w:pPr>
              <w:pStyle w:val="TableContents"/>
              <w:spacing w:before="0" w:after="283"/>
              <w:jc w:val="right"/>
              <w:rPr/>
            </w:pPr>
            <w:r>
              <w:rPr/>
              <w:t>-</w:t>
            </w:r>
          </w:p>
        </w:tc>
        <w:tc>
          <w:tcPr>
            <w:tcW w:w="77" w:type="dxa"/>
            <w:tcBorders/>
            <w:shd w:fill="auto" w:val="clear"/>
            <w:vAlign w:val="bottom"/>
          </w:tcPr>
          <w:p>
            <w:pPr>
              <w:pStyle w:val="TableContents"/>
              <w:spacing w:before="0" w:after="283"/>
              <w:jc w:val="left"/>
              <w:rPr/>
            </w:pPr>
            <w:r>
              <w:rPr/>
              <w:t> </w:t>
            </w:r>
          </w:p>
        </w:tc>
      </w:tr>
      <w:tr>
        <w:trPr/>
        <w:tc>
          <w:tcPr>
            <w:tcW w:w="7245" w:type="dxa"/>
            <w:tcBorders/>
            <w:shd w:fill="CCEEFF" w:val="clear"/>
            <w:vAlign w:val="bottom"/>
          </w:tcPr>
          <w:p>
            <w:pPr>
              <w:pStyle w:val="TableContents"/>
              <w:spacing w:before="0" w:after="0"/>
              <w:jc w:val="left"/>
              <w:rPr>
                <w:rFonts w:ascii="Times New Roman;serif" w:hAnsi="Times New Roman;serif"/>
                <w:color w:val="000000"/>
                <w:sz w:val="20"/>
              </w:rPr>
            </w:pPr>
            <w:r>
              <w:rPr>
                <w:rFonts w:ascii="Times New Roman;serif" w:hAnsi="Times New Roman;serif"/>
                <w:color w:val="000000"/>
                <w:sz w:val="20"/>
              </w:rPr>
              <w:t>Capital gains incentive fee payable</w:t>
            </w:r>
          </w:p>
        </w:tc>
        <w:tc>
          <w:tcPr>
            <w:tcW w:w="60"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jc w:val="left"/>
              <w:rPr/>
            </w:pPr>
            <w:r>
              <w:rPr/>
              <w:t> </w:t>
            </w:r>
          </w:p>
        </w:tc>
        <w:tc>
          <w:tcPr>
            <w:tcW w:w="1269" w:type="dxa"/>
            <w:tcBorders/>
            <w:shd w:fill="CCEEFF" w:val="clear"/>
            <w:vAlign w:val="bottom"/>
          </w:tcPr>
          <w:p>
            <w:pPr>
              <w:pStyle w:val="TableContents"/>
              <w:spacing w:before="0" w:after="283"/>
              <w:jc w:val="right"/>
              <w:rPr/>
            </w:pPr>
            <w:r>
              <w:rPr/>
              <w:t>142,602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426" w:type="dxa"/>
            <w:tcBorders/>
            <w:shd w:fill="CCEEFF" w:val="clear"/>
            <w:vAlign w:val="bottom"/>
          </w:tcPr>
          <w:p>
            <w:pPr>
              <w:pStyle w:val="TableContents"/>
              <w:spacing w:before="0" w:after="283"/>
              <w:jc w:val="right"/>
              <w:rPr/>
            </w:pPr>
            <w:r>
              <w:rPr/>
              <w:t>-</w:t>
            </w:r>
          </w:p>
        </w:tc>
        <w:tc>
          <w:tcPr>
            <w:tcW w:w="77" w:type="dxa"/>
            <w:tcBorders/>
            <w:shd w:fill="CCEEFF" w:val="clear"/>
            <w:vAlign w:val="bottom"/>
          </w:tcPr>
          <w:p>
            <w:pPr>
              <w:pStyle w:val="TableContents"/>
              <w:spacing w:before="0" w:after="283"/>
              <w:jc w:val="left"/>
              <w:rPr/>
            </w:pPr>
            <w:r>
              <w:rPr/>
              <w:t> </w:t>
            </w:r>
          </w:p>
        </w:tc>
      </w:tr>
      <w:tr>
        <w:trPr/>
        <w:tc>
          <w:tcPr>
            <w:tcW w:w="7245" w:type="dxa"/>
            <w:tcBorders/>
            <w:shd w:fill="auto" w:val="clear"/>
            <w:vAlign w:val="bottom"/>
          </w:tcPr>
          <w:p>
            <w:pPr>
              <w:pStyle w:val="TableContents"/>
              <w:spacing w:before="0" w:after="0"/>
              <w:ind w:left="180" w:right="0" w:hanging="180"/>
              <w:rPr/>
            </w:pPr>
            <w:r>
              <w:rPr/>
              <w:t>Legal fees payable</w:t>
            </w:r>
          </w:p>
        </w:tc>
        <w:tc>
          <w:tcPr>
            <w:tcW w:w="60"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jc w:val="left"/>
              <w:rPr/>
            </w:pPr>
            <w:r>
              <w:rPr/>
              <w:t> </w:t>
            </w:r>
          </w:p>
        </w:tc>
        <w:tc>
          <w:tcPr>
            <w:tcW w:w="1269" w:type="dxa"/>
            <w:tcBorders/>
            <w:shd w:fill="auto" w:val="clear"/>
            <w:vAlign w:val="bottom"/>
          </w:tcPr>
          <w:p>
            <w:pPr>
              <w:pStyle w:val="TableContents"/>
              <w:spacing w:before="0" w:after="0"/>
              <w:jc w:val="right"/>
              <w:rPr/>
            </w:pPr>
            <w:r>
              <w:rPr/>
              <w:t>99,988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283"/>
              <w:jc w:val="left"/>
              <w:rPr/>
            </w:pPr>
            <w:r>
              <w:rPr/>
              <w:t> </w:t>
            </w:r>
          </w:p>
        </w:tc>
        <w:tc>
          <w:tcPr>
            <w:tcW w:w="1426" w:type="dxa"/>
            <w:tcBorders/>
            <w:shd w:fill="auto" w:val="clear"/>
            <w:vAlign w:val="bottom"/>
          </w:tcPr>
          <w:p>
            <w:pPr>
              <w:pStyle w:val="TableContents"/>
              <w:spacing w:before="0" w:after="0"/>
              <w:jc w:val="right"/>
              <w:rPr/>
            </w:pPr>
            <w:r>
              <w:rPr/>
              <w:t>42,215</w:t>
            </w:r>
          </w:p>
        </w:tc>
        <w:tc>
          <w:tcPr>
            <w:tcW w:w="77" w:type="dxa"/>
            <w:tcBorders/>
            <w:shd w:fill="auto" w:val="clear"/>
            <w:vAlign w:val="bottom"/>
          </w:tcPr>
          <w:p>
            <w:pPr>
              <w:pStyle w:val="TableContents"/>
              <w:spacing w:before="0" w:after="283"/>
              <w:jc w:val="left"/>
              <w:rPr/>
            </w:pPr>
            <w:r>
              <w:rPr/>
              <w:t> </w:t>
            </w:r>
          </w:p>
        </w:tc>
      </w:tr>
      <w:tr>
        <w:trPr/>
        <w:tc>
          <w:tcPr>
            <w:tcW w:w="7245" w:type="dxa"/>
            <w:tcBorders/>
            <w:shd w:fill="CCEEFF" w:val="clear"/>
            <w:vAlign w:val="bottom"/>
          </w:tcPr>
          <w:p>
            <w:pPr>
              <w:pStyle w:val="TableContents"/>
              <w:spacing w:before="0" w:after="0"/>
              <w:ind w:left="180" w:right="0" w:hanging="180"/>
              <w:rPr/>
            </w:pPr>
            <w:r>
              <w:rPr/>
              <w:t>Administrator fees payable</w:t>
            </w:r>
          </w:p>
        </w:tc>
        <w:tc>
          <w:tcPr>
            <w:tcW w:w="60"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jc w:val="left"/>
              <w:rPr/>
            </w:pPr>
            <w:r>
              <w:rPr/>
              <w:t> </w:t>
            </w:r>
          </w:p>
        </w:tc>
        <w:tc>
          <w:tcPr>
            <w:tcW w:w="1269" w:type="dxa"/>
            <w:tcBorders/>
            <w:shd w:fill="CCEEFF" w:val="clear"/>
            <w:vAlign w:val="bottom"/>
          </w:tcPr>
          <w:p>
            <w:pPr>
              <w:pStyle w:val="TableContents"/>
              <w:spacing w:before="0" w:after="0"/>
              <w:jc w:val="right"/>
              <w:rPr/>
            </w:pPr>
            <w:r>
              <w:rPr/>
              <w:t>82,936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426" w:type="dxa"/>
            <w:tcBorders/>
            <w:shd w:fill="CCEEFF" w:val="clear"/>
            <w:vAlign w:val="bottom"/>
          </w:tcPr>
          <w:p>
            <w:pPr>
              <w:pStyle w:val="TableContents"/>
              <w:spacing w:before="0" w:after="0"/>
              <w:jc w:val="right"/>
              <w:rPr/>
            </w:pPr>
            <w:r>
              <w:rPr/>
              <w:t>57,306</w:t>
            </w:r>
          </w:p>
        </w:tc>
        <w:tc>
          <w:tcPr>
            <w:tcW w:w="77" w:type="dxa"/>
            <w:tcBorders/>
            <w:shd w:fill="CCEEFF" w:val="clear"/>
            <w:vAlign w:val="bottom"/>
          </w:tcPr>
          <w:p>
            <w:pPr>
              <w:pStyle w:val="TableContents"/>
              <w:spacing w:before="0" w:after="283"/>
              <w:jc w:val="left"/>
              <w:rPr/>
            </w:pPr>
            <w:r>
              <w:rPr/>
              <w:t> </w:t>
            </w:r>
          </w:p>
        </w:tc>
      </w:tr>
      <w:tr>
        <w:trPr/>
        <w:tc>
          <w:tcPr>
            <w:tcW w:w="7245" w:type="dxa"/>
            <w:tcBorders/>
            <w:shd w:fill="auto" w:val="clear"/>
            <w:vAlign w:val="bottom"/>
          </w:tcPr>
          <w:p>
            <w:pPr>
              <w:pStyle w:val="TableContents"/>
              <w:spacing w:before="0" w:after="0"/>
              <w:ind w:left="180" w:right="0" w:hanging="180"/>
              <w:rPr/>
            </w:pPr>
            <w:r>
              <w:rPr/>
              <w:t>Valuation fees payables</w:t>
            </w:r>
          </w:p>
        </w:tc>
        <w:tc>
          <w:tcPr>
            <w:tcW w:w="60"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jc w:val="left"/>
              <w:rPr/>
            </w:pPr>
            <w:r>
              <w:rPr/>
              <w:t> </w:t>
            </w:r>
          </w:p>
        </w:tc>
        <w:tc>
          <w:tcPr>
            <w:tcW w:w="1269" w:type="dxa"/>
            <w:tcBorders/>
            <w:shd w:fill="auto" w:val="clear"/>
            <w:vAlign w:val="bottom"/>
          </w:tcPr>
          <w:p>
            <w:pPr>
              <w:pStyle w:val="TableContents"/>
              <w:spacing w:before="0" w:after="0"/>
              <w:jc w:val="right"/>
              <w:rPr/>
            </w:pPr>
            <w:r>
              <w:rPr/>
              <w:t>72,185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283"/>
              <w:jc w:val="left"/>
              <w:rPr/>
            </w:pPr>
            <w:r>
              <w:rPr/>
              <w:t> </w:t>
            </w:r>
          </w:p>
        </w:tc>
        <w:tc>
          <w:tcPr>
            <w:tcW w:w="1426" w:type="dxa"/>
            <w:tcBorders/>
            <w:shd w:fill="auto" w:val="clear"/>
            <w:vAlign w:val="bottom"/>
          </w:tcPr>
          <w:p>
            <w:pPr>
              <w:pStyle w:val="TableContents"/>
              <w:spacing w:before="0" w:after="0"/>
              <w:jc w:val="right"/>
              <w:rPr/>
            </w:pPr>
            <w:r>
              <w:rPr/>
              <w:t>-</w:t>
            </w:r>
          </w:p>
        </w:tc>
        <w:tc>
          <w:tcPr>
            <w:tcW w:w="77" w:type="dxa"/>
            <w:tcBorders/>
            <w:shd w:fill="auto" w:val="clear"/>
            <w:vAlign w:val="bottom"/>
          </w:tcPr>
          <w:p>
            <w:pPr>
              <w:pStyle w:val="TableContents"/>
              <w:spacing w:before="0" w:after="283"/>
              <w:jc w:val="left"/>
              <w:rPr/>
            </w:pPr>
            <w:r>
              <w:rPr/>
              <w:t> </w:t>
            </w:r>
          </w:p>
        </w:tc>
      </w:tr>
      <w:tr>
        <w:trPr/>
        <w:tc>
          <w:tcPr>
            <w:tcW w:w="7245" w:type="dxa"/>
            <w:tcBorders/>
            <w:shd w:fill="CCEEFF" w:val="clear"/>
            <w:vAlign w:val="bottom"/>
          </w:tcPr>
          <w:p>
            <w:pPr>
              <w:pStyle w:val="TableContents"/>
              <w:spacing w:before="0" w:after="0"/>
              <w:ind w:left="180" w:right="0" w:hanging="180"/>
              <w:rPr/>
            </w:pPr>
            <w:r>
              <w:rPr/>
              <w:t>Audit fees payable</w:t>
            </w:r>
          </w:p>
        </w:tc>
        <w:tc>
          <w:tcPr>
            <w:tcW w:w="60"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jc w:val="left"/>
              <w:rPr/>
            </w:pPr>
            <w:r>
              <w:rPr/>
              <w:t> </w:t>
            </w:r>
          </w:p>
        </w:tc>
        <w:tc>
          <w:tcPr>
            <w:tcW w:w="1269" w:type="dxa"/>
            <w:tcBorders/>
            <w:shd w:fill="CCEEFF" w:val="clear"/>
            <w:vAlign w:val="bottom"/>
          </w:tcPr>
          <w:p>
            <w:pPr>
              <w:pStyle w:val="TableContents"/>
              <w:spacing w:before="0" w:after="0"/>
              <w:jc w:val="right"/>
              <w:rPr/>
            </w:pPr>
            <w:r>
              <w:rPr/>
              <w:t>47,883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426" w:type="dxa"/>
            <w:tcBorders/>
            <w:shd w:fill="CCEEFF" w:val="clear"/>
            <w:vAlign w:val="bottom"/>
          </w:tcPr>
          <w:p>
            <w:pPr>
              <w:pStyle w:val="TableContents"/>
              <w:spacing w:before="0" w:after="0"/>
              <w:jc w:val="right"/>
              <w:rPr/>
            </w:pPr>
            <w:r>
              <w:rPr/>
              <w:t>50,000</w:t>
            </w:r>
          </w:p>
        </w:tc>
        <w:tc>
          <w:tcPr>
            <w:tcW w:w="77" w:type="dxa"/>
            <w:tcBorders/>
            <w:shd w:fill="CCEEFF" w:val="clear"/>
            <w:vAlign w:val="bottom"/>
          </w:tcPr>
          <w:p>
            <w:pPr>
              <w:pStyle w:val="TableContents"/>
              <w:spacing w:before="0" w:after="283"/>
              <w:jc w:val="left"/>
              <w:rPr/>
            </w:pPr>
            <w:r>
              <w:rPr/>
              <w:t> </w:t>
            </w:r>
          </w:p>
        </w:tc>
      </w:tr>
      <w:tr>
        <w:trPr/>
        <w:tc>
          <w:tcPr>
            <w:tcW w:w="7245" w:type="dxa"/>
            <w:tcBorders/>
            <w:shd w:fill="auto" w:val="clear"/>
            <w:vAlign w:val="bottom"/>
          </w:tcPr>
          <w:p>
            <w:pPr>
              <w:pStyle w:val="TableContents"/>
              <w:spacing w:before="0" w:after="0"/>
              <w:ind w:left="180" w:right="0" w:hanging="180"/>
              <w:rPr/>
            </w:pPr>
            <w:r>
              <w:rPr/>
              <w:t>Professional fees payable</w:t>
            </w:r>
          </w:p>
        </w:tc>
        <w:tc>
          <w:tcPr>
            <w:tcW w:w="60"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jc w:val="left"/>
              <w:rPr/>
            </w:pPr>
            <w:r>
              <w:rPr/>
              <w:t> </w:t>
            </w:r>
          </w:p>
        </w:tc>
        <w:tc>
          <w:tcPr>
            <w:tcW w:w="1269" w:type="dxa"/>
            <w:tcBorders/>
            <w:shd w:fill="auto" w:val="clear"/>
            <w:vAlign w:val="bottom"/>
          </w:tcPr>
          <w:p>
            <w:pPr>
              <w:pStyle w:val="TableContents"/>
              <w:spacing w:before="0" w:after="0"/>
              <w:jc w:val="right"/>
              <w:rPr/>
            </w:pPr>
            <w:r>
              <w:rPr/>
              <w:t>46,936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283"/>
              <w:jc w:val="left"/>
              <w:rPr/>
            </w:pPr>
            <w:r>
              <w:rPr/>
              <w:t> </w:t>
            </w:r>
          </w:p>
        </w:tc>
        <w:tc>
          <w:tcPr>
            <w:tcW w:w="1426" w:type="dxa"/>
            <w:tcBorders/>
            <w:shd w:fill="auto" w:val="clear"/>
            <w:vAlign w:val="bottom"/>
          </w:tcPr>
          <w:p>
            <w:pPr>
              <w:pStyle w:val="TableContents"/>
              <w:spacing w:before="0" w:after="0"/>
              <w:jc w:val="right"/>
              <w:rPr/>
            </w:pPr>
            <w:r>
              <w:rPr/>
              <w:t>28,744</w:t>
            </w:r>
          </w:p>
        </w:tc>
        <w:tc>
          <w:tcPr>
            <w:tcW w:w="77" w:type="dxa"/>
            <w:tcBorders/>
            <w:shd w:fill="auto" w:val="clear"/>
            <w:vAlign w:val="bottom"/>
          </w:tcPr>
          <w:p>
            <w:pPr>
              <w:pStyle w:val="TableContents"/>
              <w:spacing w:before="0" w:after="283"/>
              <w:jc w:val="left"/>
              <w:rPr/>
            </w:pPr>
            <w:r>
              <w:rPr/>
              <w:t> </w:t>
            </w:r>
          </w:p>
        </w:tc>
      </w:tr>
      <w:tr>
        <w:trPr/>
        <w:tc>
          <w:tcPr>
            <w:tcW w:w="7245" w:type="dxa"/>
            <w:tcBorders/>
            <w:shd w:fill="CCEEFF" w:val="clear"/>
            <w:vAlign w:val="bottom"/>
          </w:tcPr>
          <w:p>
            <w:pPr>
              <w:pStyle w:val="TableContents"/>
              <w:spacing w:before="0" w:after="0"/>
              <w:ind w:left="180" w:right="0" w:hanging="180"/>
              <w:rPr/>
            </w:pPr>
            <w:r>
              <w:rPr/>
              <w:t>Director’s fee payable</w:t>
            </w:r>
          </w:p>
        </w:tc>
        <w:tc>
          <w:tcPr>
            <w:tcW w:w="60"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jc w:val="left"/>
              <w:rPr/>
            </w:pPr>
            <w:r>
              <w:rPr/>
              <w:t> </w:t>
            </w:r>
          </w:p>
        </w:tc>
        <w:tc>
          <w:tcPr>
            <w:tcW w:w="1269" w:type="dxa"/>
            <w:tcBorders/>
            <w:shd w:fill="CCEEFF" w:val="clear"/>
            <w:vAlign w:val="bottom"/>
          </w:tcPr>
          <w:p>
            <w:pPr>
              <w:pStyle w:val="TableContents"/>
              <w:spacing w:before="0" w:after="0"/>
              <w:jc w:val="right"/>
              <w:rPr/>
            </w:pPr>
            <w:r>
              <w:rPr/>
              <w:t>35,944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426" w:type="dxa"/>
            <w:tcBorders/>
            <w:shd w:fill="CCEEFF" w:val="clear"/>
            <w:vAlign w:val="bottom"/>
          </w:tcPr>
          <w:p>
            <w:pPr>
              <w:pStyle w:val="TableContents"/>
              <w:spacing w:before="0" w:after="0"/>
              <w:jc w:val="right"/>
              <w:rPr/>
            </w:pPr>
            <w:r>
              <w:rPr/>
              <w:t>32,049</w:t>
            </w:r>
          </w:p>
        </w:tc>
        <w:tc>
          <w:tcPr>
            <w:tcW w:w="77" w:type="dxa"/>
            <w:tcBorders/>
            <w:shd w:fill="CCEEFF" w:val="clear"/>
            <w:vAlign w:val="bottom"/>
          </w:tcPr>
          <w:p>
            <w:pPr>
              <w:pStyle w:val="TableContents"/>
              <w:spacing w:before="0" w:after="283"/>
              <w:jc w:val="left"/>
              <w:rPr/>
            </w:pPr>
            <w:r>
              <w:rPr/>
              <w:t> </w:t>
            </w:r>
          </w:p>
        </w:tc>
      </w:tr>
      <w:tr>
        <w:trPr/>
        <w:tc>
          <w:tcPr>
            <w:tcW w:w="7245" w:type="dxa"/>
            <w:tcBorders/>
            <w:shd w:fill="auto" w:val="clear"/>
            <w:vAlign w:val="bottom"/>
          </w:tcPr>
          <w:p>
            <w:pPr>
              <w:pStyle w:val="TableContents"/>
              <w:spacing w:before="0" w:after="0"/>
              <w:ind w:left="180" w:right="0" w:hanging="180"/>
              <w:rPr/>
            </w:pPr>
            <w:r>
              <w:rPr/>
              <w:t>Excise tax payable</w:t>
            </w:r>
          </w:p>
        </w:tc>
        <w:tc>
          <w:tcPr>
            <w:tcW w:w="60"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jc w:val="left"/>
              <w:rPr/>
            </w:pPr>
            <w:r>
              <w:rPr/>
              <w:t> </w:t>
            </w:r>
          </w:p>
        </w:tc>
        <w:tc>
          <w:tcPr>
            <w:tcW w:w="1269"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283"/>
              <w:jc w:val="left"/>
              <w:rPr/>
            </w:pPr>
            <w:r>
              <w:rPr/>
              <w:t> </w:t>
            </w:r>
          </w:p>
        </w:tc>
        <w:tc>
          <w:tcPr>
            <w:tcW w:w="1426" w:type="dxa"/>
            <w:tcBorders/>
            <w:shd w:fill="auto" w:val="clear"/>
            <w:vAlign w:val="bottom"/>
          </w:tcPr>
          <w:p>
            <w:pPr>
              <w:pStyle w:val="TableContents"/>
              <w:spacing w:before="0" w:after="0"/>
              <w:jc w:val="right"/>
              <w:rPr/>
            </w:pPr>
            <w:r>
              <w:rPr/>
              <w:t>80,566</w:t>
            </w:r>
          </w:p>
        </w:tc>
        <w:tc>
          <w:tcPr>
            <w:tcW w:w="77" w:type="dxa"/>
            <w:tcBorders/>
            <w:shd w:fill="auto" w:val="clear"/>
            <w:vAlign w:val="bottom"/>
          </w:tcPr>
          <w:p>
            <w:pPr>
              <w:pStyle w:val="TableContents"/>
              <w:spacing w:before="0" w:after="283"/>
              <w:jc w:val="left"/>
              <w:rPr/>
            </w:pPr>
            <w:r>
              <w:rPr/>
              <w:t> </w:t>
            </w:r>
          </w:p>
        </w:tc>
      </w:tr>
      <w:tr>
        <w:trPr/>
        <w:tc>
          <w:tcPr>
            <w:tcW w:w="7245" w:type="dxa"/>
            <w:tcBorders/>
            <w:shd w:fill="CCEEFF" w:val="clear"/>
            <w:vAlign w:val="bottom"/>
          </w:tcPr>
          <w:p>
            <w:pPr>
              <w:pStyle w:val="TableContents"/>
              <w:spacing w:before="0" w:after="0"/>
              <w:ind w:left="180" w:right="0" w:hanging="180"/>
              <w:rPr/>
            </w:pPr>
            <w:r>
              <w:rPr/>
              <w:t>Due to affiliate</w:t>
            </w:r>
          </w:p>
        </w:tc>
        <w:tc>
          <w:tcPr>
            <w:tcW w:w="60"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jc w:val="left"/>
              <w:rPr/>
            </w:pPr>
            <w:r>
              <w:rPr/>
              <w:t> </w:t>
            </w:r>
          </w:p>
        </w:tc>
        <w:tc>
          <w:tcPr>
            <w:tcW w:w="1269"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426" w:type="dxa"/>
            <w:tcBorders/>
            <w:shd w:fill="CCEEFF" w:val="clear"/>
            <w:vAlign w:val="bottom"/>
          </w:tcPr>
          <w:p>
            <w:pPr>
              <w:pStyle w:val="TableContents"/>
              <w:spacing w:before="0" w:after="0"/>
              <w:jc w:val="right"/>
              <w:rPr/>
            </w:pPr>
            <w:r>
              <w:rPr/>
              <w:t>37</w:t>
            </w:r>
          </w:p>
        </w:tc>
        <w:tc>
          <w:tcPr>
            <w:tcW w:w="77" w:type="dxa"/>
            <w:tcBorders/>
            <w:shd w:fill="CCEEFF" w:val="clear"/>
            <w:vAlign w:val="bottom"/>
          </w:tcPr>
          <w:p>
            <w:pPr>
              <w:pStyle w:val="TableContents"/>
              <w:spacing w:before="0" w:after="283"/>
              <w:jc w:val="left"/>
              <w:rPr/>
            </w:pPr>
            <w:r>
              <w:rPr/>
              <w:t> </w:t>
            </w:r>
          </w:p>
        </w:tc>
      </w:tr>
      <w:tr>
        <w:trPr/>
        <w:tc>
          <w:tcPr>
            <w:tcW w:w="7245" w:type="dxa"/>
            <w:tcBorders/>
            <w:shd w:fill="auto" w:val="clear"/>
            <w:vAlign w:val="bottom"/>
          </w:tcPr>
          <w:p>
            <w:pPr>
              <w:pStyle w:val="TableContents"/>
              <w:spacing w:before="0" w:after="0"/>
              <w:ind w:left="180" w:right="0" w:hanging="180"/>
              <w:rPr/>
            </w:pPr>
            <w:r>
              <w:rPr/>
              <w:t>Other payables</w:t>
            </w:r>
          </w:p>
        </w:tc>
        <w:tc>
          <w:tcPr>
            <w:tcW w:w="60" w:type="dxa"/>
            <w:tcBorders/>
            <w:shd w:fill="auto" w:val="clear"/>
            <w:vAlign w:val="bottom"/>
          </w:tcPr>
          <w:p>
            <w:pPr>
              <w:pStyle w:val="TableContents"/>
              <w:spacing w:before="0" w:after="283"/>
              <w:jc w:val="right"/>
              <w:rPr/>
            </w:pPr>
            <w:r>
              <w:rPr/>
              <w:t> </w:t>
            </w:r>
          </w:p>
        </w:tc>
        <w:tc>
          <w:tcPr>
            <w:tcW w:w="16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69" w:type="dxa"/>
            <w:tcBorders>
              <w:bottom w:val="single" w:sz="12" w:space="0" w:color="000000"/>
            </w:tcBorders>
            <w:shd w:fill="auto" w:val="clear"/>
            <w:tcMar>
              <w:bottom w:w="28" w:type="dxa"/>
            </w:tcMar>
            <w:vAlign w:val="bottom"/>
          </w:tcPr>
          <w:p>
            <w:pPr>
              <w:pStyle w:val="TableContents"/>
              <w:spacing w:before="0" w:after="0"/>
              <w:jc w:val="right"/>
              <w:rPr/>
            </w:pPr>
            <w:r>
              <w:rPr/>
              <w:t>15,515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426" w:type="dxa"/>
            <w:tcBorders>
              <w:bottom w:val="single" w:sz="12" w:space="0" w:color="000000"/>
            </w:tcBorders>
            <w:shd w:fill="auto" w:val="clear"/>
            <w:tcMar>
              <w:bottom w:w="28" w:type="dxa"/>
            </w:tcMar>
            <w:vAlign w:val="bottom"/>
          </w:tcPr>
          <w:p>
            <w:pPr>
              <w:pStyle w:val="TableContents"/>
              <w:spacing w:before="0" w:after="0"/>
              <w:jc w:val="right"/>
              <w:rPr/>
            </w:pPr>
            <w:r>
              <w:rPr/>
              <w:t>33,663</w:t>
            </w:r>
          </w:p>
        </w:tc>
        <w:tc>
          <w:tcPr>
            <w:tcW w:w="77" w:type="dxa"/>
            <w:tcBorders/>
            <w:shd w:fill="auto" w:val="clear"/>
            <w:vAlign w:val="bottom"/>
          </w:tcPr>
          <w:p>
            <w:pPr>
              <w:pStyle w:val="TableContents"/>
              <w:spacing w:before="0" w:after="283"/>
              <w:jc w:val="left"/>
              <w:rPr/>
            </w:pPr>
            <w:r>
              <w:rPr/>
              <w:t> </w:t>
            </w:r>
          </w:p>
        </w:tc>
      </w:tr>
      <w:tr>
        <w:trPr/>
        <w:tc>
          <w:tcPr>
            <w:tcW w:w="7245" w:type="dxa"/>
            <w:tcBorders/>
            <w:shd w:fill="CCEEFF" w:val="clear"/>
            <w:vAlign w:val="bottom"/>
          </w:tcPr>
          <w:p>
            <w:pPr>
              <w:pStyle w:val="TableContents"/>
              <w:spacing w:before="0" w:after="0"/>
              <w:ind w:left="360" w:right="0" w:hanging="180"/>
              <w:rPr>
                <w:b/>
              </w:rPr>
            </w:pPr>
            <w:r>
              <w:rPr>
                <w:b/>
              </w:rPr>
              <w:t>Total liabilities</w:t>
            </w:r>
          </w:p>
        </w:tc>
        <w:tc>
          <w:tcPr>
            <w:tcW w:w="60" w:type="dxa"/>
            <w:tcBorders/>
            <w:shd w:fill="CCEEFF" w:val="clear"/>
            <w:vAlign w:val="bottom"/>
          </w:tcPr>
          <w:p>
            <w:pPr>
              <w:pStyle w:val="TableContents"/>
              <w:spacing w:before="0" w:after="283"/>
              <w:jc w:val="right"/>
              <w:rPr/>
            </w:pPr>
            <w:r>
              <w:rPr/>
              <w:t> </w:t>
            </w:r>
          </w:p>
        </w:tc>
        <w:tc>
          <w:tcPr>
            <w:tcW w:w="161"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1269" w:type="dxa"/>
            <w:tcBorders>
              <w:bottom w:val="single" w:sz="12" w:space="0" w:color="000000"/>
            </w:tcBorders>
            <w:shd w:fill="CCEEFF" w:val="clear"/>
            <w:tcMar>
              <w:bottom w:w="28" w:type="dxa"/>
            </w:tcMar>
            <w:vAlign w:val="bottom"/>
          </w:tcPr>
          <w:p>
            <w:pPr>
              <w:pStyle w:val="TableContents"/>
              <w:spacing w:before="0" w:after="0"/>
              <w:jc w:val="right"/>
              <w:rPr/>
            </w:pPr>
            <w:r>
              <w:rPr/>
              <w:t>1,157,194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1426" w:type="dxa"/>
            <w:tcBorders>
              <w:bottom w:val="single" w:sz="12" w:space="0" w:color="000000"/>
            </w:tcBorders>
            <w:shd w:fill="CCEEFF" w:val="clear"/>
            <w:tcMar>
              <w:bottom w:w="28" w:type="dxa"/>
            </w:tcMar>
            <w:vAlign w:val="bottom"/>
          </w:tcPr>
          <w:p>
            <w:pPr>
              <w:pStyle w:val="TableContents"/>
              <w:spacing w:before="0" w:after="0"/>
              <w:jc w:val="right"/>
              <w:rPr/>
            </w:pPr>
            <w:r>
              <w:rPr/>
              <w:t>495,545</w:t>
            </w:r>
          </w:p>
        </w:tc>
        <w:tc>
          <w:tcPr>
            <w:tcW w:w="77" w:type="dxa"/>
            <w:tcBorders/>
            <w:shd w:fill="CCEEFF" w:val="clear"/>
            <w:vAlign w:val="bottom"/>
          </w:tcPr>
          <w:p>
            <w:pPr>
              <w:pStyle w:val="TableContents"/>
              <w:spacing w:before="0" w:after="283"/>
              <w:jc w:val="left"/>
              <w:rPr/>
            </w:pPr>
            <w:r>
              <w:rPr/>
              <w:t> </w:t>
            </w:r>
          </w:p>
        </w:tc>
      </w:tr>
      <w:tr>
        <w:trPr/>
        <w:tc>
          <w:tcPr>
            <w:tcW w:w="7245" w:type="dxa"/>
            <w:tcBorders/>
            <w:shd w:fill="auto" w:val="clear"/>
            <w:vAlign w:val="bottom"/>
          </w:tcPr>
          <w:p>
            <w:pPr>
              <w:pStyle w:val="TableContents"/>
              <w:spacing w:before="0" w:after="0"/>
              <w:ind w:left="180" w:right="0" w:hanging="180"/>
              <w:rPr/>
            </w:pPr>
            <w:r>
              <w:rPr/>
              <w:t> </w:t>
            </w:r>
          </w:p>
        </w:tc>
        <w:tc>
          <w:tcPr>
            <w:tcW w:w="60"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jc w:val="left"/>
              <w:rPr/>
            </w:pPr>
            <w:r>
              <w:rPr/>
              <w:t> </w:t>
            </w:r>
          </w:p>
        </w:tc>
        <w:tc>
          <w:tcPr>
            <w:tcW w:w="126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283"/>
              <w:jc w:val="left"/>
              <w:rPr/>
            </w:pPr>
            <w:r>
              <w:rPr/>
              <w:t> </w:t>
            </w:r>
          </w:p>
        </w:tc>
        <w:tc>
          <w:tcPr>
            <w:tcW w:w="1426" w:type="dxa"/>
            <w:tcBorders/>
            <w:shd w:fill="auto" w:val="clear"/>
            <w:vAlign w:val="bottom"/>
          </w:tcPr>
          <w:p>
            <w:pPr>
              <w:pStyle w:val="TableContents"/>
              <w:spacing w:before="0" w:after="283"/>
              <w:jc w:val="right"/>
              <w:rPr/>
            </w:pPr>
            <w:r>
              <w:rPr/>
              <w:t> </w:t>
            </w:r>
          </w:p>
        </w:tc>
        <w:tc>
          <w:tcPr>
            <w:tcW w:w="77" w:type="dxa"/>
            <w:tcBorders/>
            <w:shd w:fill="auto" w:val="clear"/>
            <w:vAlign w:val="bottom"/>
          </w:tcPr>
          <w:p>
            <w:pPr>
              <w:pStyle w:val="TableContents"/>
              <w:spacing w:before="0" w:after="283"/>
              <w:jc w:val="left"/>
              <w:rPr/>
            </w:pPr>
            <w:r>
              <w:rPr/>
              <w:t> </w:t>
            </w:r>
          </w:p>
        </w:tc>
      </w:tr>
      <w:tr>
        <w:trPr/>
        <w:tc>
          <w:tcPr>
            <w:tcW w:w="7245" w:type="dxa"/>
            <w:tcBorders/>
            <w:shd w:fill="CCEEFF" w:val="clear"/>
            <w:vAlign w:val="bottom"/>
          </w:tcPr>
          <w:p>
            <w:pPr>
              <w:pStyle w:val="TableContents"/>
              <w:spacing w:before="0" w:after="0"/>
              <w:ind w:left="180" w:right="0" w:hanging="180"/>
              <w:rPr/>
            </w:pPr>
            <w:r>
              <w:rPr/>
              <w:t>Commitments and contingencies (Note 6)</w:t>
            </w:r>
          </w:p>
        </w:tc>
        <w:tc>
          <w:tcPr>
            <w:tcW w:w="60"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jc w:val="left"/>
              <w:rPr/>
            </w:pPr>
            <w:r>
              <w:rPr/>
              <w:t> </w:t>
            </w:r>
          </w:p>
        </w:tc>
        <w:tc>
          <w:tcPr>
            <w:tcW w:w="1269"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426" w:type="dxa"/>
            <w:tcBorders/>
            <w:shd w:fill="CCEEFF" w:val="clear"/>
            <w:vAlign w:val="bottom"/>
          </w:tcPr>
          <w:p>
            <w:pPr>
              <w:pStyle w:val="TableContents"/>
              <w:spacing w:before="0" w:after="283"/>
              <w:jc w:val="right"/>
              <w:rPr/>
            </w:pPr>
            <w:r>
              <w:rPr/>
              <w:t>-</w:t>
            </w:r>
          </w:p>
        </w:tc>
        <w:tc>
          <w:tcPr>
            <w:tcW w:w="77" w:type="dxa"/>
            <w:tcBorders/>
            <w:shd w:fill="CCEEFF" w:val="clear"/>
            <w:vAlign w:val="bottom"/>
          </w:tcPr>
          <w:p>
            <w:pPr>
              <w:pStyle w:val="TableContents"/>
              <w:spacing w:before="0" w:after="283"/>
              <w:jc w:val="left"/>
              <w:rPr/>
            </w:pPr>
            <w:r>
              <w:rPr/>
              <w:t> </w:t>
            </w:r>
          </w:p>
        </w:tc>
      </w:tr>
      <w:tr>
        <w:trPr/>
        <w:tc>
          <w:tcPr>
            <w:tcW w:w="7245" w:type="dxa"/>
            <w:tcBorders/>
            <w:shd w:fill="auto" w:val="clear"/>
            <w:vAlign w:val="bottom"/>
          </w:tcPr>
          <w:p>
            <w:pPr>
              <w:pStyle w:val="TableContents"/>
              <w:spacing w:before="0" w:after="0"/>
              <w:ind w:left="180" w:right="0" w:hanging="180"/>
              <w:rPr/>
            </w:pPr>
            <w:r>
              <w:rPr/>
              <w:t> </w:t>
            </w:r>
          </w:p>
        </w:tc>
        <w:tc>
          <w:tcPr>
            <w:tcW w:w="60"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jc w:val="left"/>
              <w:rPr/>
            </w:pPr>
            <w:r>
              <w:rPr/>
              <w:t> </w:t>
            </w:r>
          </w:p>
        </w:tc>
        <w:tc>
          <w:tcPr>
            <w:tcW w:w="126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283"/>
              <w:jc w:val="left"/>
              <w:rPr/>
            </w:pPr>
            <w:r>
              <w:rPr/>
              <w:t> </w:t>
            </w:r>
          </w:p>
        </w:tc>
        <w:tc>
          <w:tcPr>
            <w:tcW w:w="1426" w:type="dxa"/>
            <w:tcBorders/>
            <w:shd w:fill="auto" w:val="clear"/>
            <w:vAlign w:val="bottom"/>
          </w:tcPr>
          <w:p>
            <w:pPr>
              <w:pStyle w:val="TableContents"/>
              <w:spacing w:before="0" w:after="283"/>
              <w:jc w:val="right"/>
              <w:rPr/>
            </w:pPr>
            <w:r>
              <w:rPr/>
              <w:t> </w:t>
            </w:r>
          </w:p>
        </w:tc>
        <w:tc>
          <w:tcPr>
            <w:tcW w:w="77" w:type="dxa"/>
            <w:tcBorders/>
            <w:shd w:fill="auto" w:val="clear"/>
            <w:vAlign w:val="bottom"/>
          </w:tcPr>
          <w:p>
            <w:pPr>
              <w:pStyle w:val="TableContents"/>
              <w:spacing w:before="0" w:after="283"/>
              <w:jc w:val="left"/>
              <w:rPr/>
            </w:pPr>
            <w:r>
              <w:rPr/>
              <w:t> </w:t>
            </w:r>
          </w:p>
        </w:tc>
      </w:tr>
      <w:tr>
        <w:trPr/>
        <w:tc>
          <w:tcPr>
            <w:tcW w:w="7245" w:type="dxa"/>
            <w:tcBorders/>
            <w:shd w:fill="CCEEFF" w:val="clear"/>
            <w:vAlign w:val="bottom"/>
          </w:tcPr>
          <w:p>
            <w:pPr>
              <w:pStyle w:val="TableContents"/>
              <w:spacing w:before="0" w:after="0"/>
              <w:ind w:left="180" w:right="0" w:hanging="180"/>
              <w:rPr>
                <w:color w:val="000000"/>
              </w:rPr>
            </w:pPr>
            <w:r>
              <w:rPr>
                <w:color w:val="000000"/>
              </w:rPr>
              <w:t> </w:t>
            </w:r>
            <w:r>
              <w:rPr>
                <w:b/>
                <w:color w:val="000000"/>
              </w:rPr>
              <w:t>NET ASSETS</w:t>
            </w:r>
          </w:p>
        </w:tc>
        <w:tc>
          <w:tcPr>
            <w:tcW w:w="60"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jc w:val="left"/>
              <w:rPr/>
            </w:pPr>
            <w:r>
              <w:rPr/>
              <w:t> </w:t>
            </w:r>
          </w:p>
        </w:tc>
        <w:tc>
          <w:tcPr>
            <w:tcW w:w="126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426" w:type="dxa"/>
            <w:tcBorders/>
            <w:shd w:fill="CCEEFF" w:val="cle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jc w:val="left"/>
              <w:rPr/>
            </w:pPr>
            <w:r>
              <w:rPr/>
              <w:t> </w:t>
            </w:r>
          </w:p>
        </w:tc>
      </w:tr>
      <w:tr>
        <w:trPr/>
        <w:tc>
          <w:tcPr>
            <w:tcW w:w="7245" w:type="dxa"/>
            <w:tcBorders/>
            <w:shd w:fill="auto" w:val="clear"/>
            <w:vAlign w:val="bottom"/>
          </w:tcPr>
          <w:p>
            <w:pPr>
              <w:pStyle w:val="TableContents"/>
              <w:spacing w:before="0" w:after="0"/>
              <w:ind w:left="180" w:right="0" w:hanging="0"/>
              <w:rPr/>
            </w:pPr>
            <w:r>
              <w:rPr/>
              <w:t>Common Stock, $0.01 par value, 100,000,000 shares authorized, 6,214,672 and  6,214,672 shares issued and outstanding, respectively</w:t>
            </w:r>
          </w:p>
        </w:tc>
        <w:tc>
          <w:tcPr>
            <w:tcW w:w="60"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0"/>
              <w:jc w:val="left"/>
              <w:rPr/>
            </w:pPr>
            <w:r>
              <w:rPr/>
              <w:t>$</w:t>
            </w:r>
          </w:p>
        </w:tc>
        <w:tc>
          <w:tcPr>
            <w:tcW w:w="1269" w:type="dxa"/>
            <w:tcBorders/>
            <w:shd w:fill="auto" w:val="clear"/>
            <w:vAlign w:val="bottom"/>
          </w:tcPr>
          <w:p>
            <w:pPr>
              <w:pStyle w:val="TableContents"/>
              <w:spacing w:before="0" w:after="0"/>
              <w:jc w:val="right"/>
              <w:rPr/>
            </w:pPr>
            <w:r>
              <w:rPr/>
              <w:t>62,147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0"/>
              <w:jc w:val="left"/>
              <w:rPr/>
            </w:pPr>
            <w:r>
              <w:rPr/>
              <w:t>$</w:t>
            </w:r>
          </w:p>
        </w:tc>
        <w:tc>
          <w:tcPr>
            <w:tcW w:w="1426" w:type="dxa"/>
            <w:tcBorders/>
            <w:shd w:fill="auto" w:val="clear"/>
            <w:vAlign w:val="bottom"/>
          </w:tcPr>
          <w:p>
            <w:pPr>
              <w:pStyle w:val="TableContents"/>
              <w:spacing w:before="0" w:after="0"/>
              <w:jc w:val="right"/>
              <w:rPr/>
            </w:pPr>
            <w:r>
              <w:rPr/>
              <w:t>62,147</w:t>
            </w:r>
          </w:p>
        </w:tc>
        <w:tc>
          <w:tcPr>
            <w:tcW w:w="77" w:type="dxa"/>
            <w:tcBorders/>
            <w:shd w:fill="auto" w:val="clear"/>
            <w:vAlign w:val="bottom"/>
          </w:tcPr>
          <w:p>
            <w:pPr>
              <w:pStyle w:val="TableContents"/>
              <w:spacing w:before="0" w:after="283"/>
              <w:jc w:val="left"/>
              <w:rPr/>
            </w:pPr>
            <w:r>
              <w:rPr/>
              <w:t> </w:t>
            </w:r>
          </w:p>
        </w:tc>
      </w:tr>
      <w:tr>
        <w:trPr/>
        <w:tc>
          <w:tcPr>
            <w:tcW w:w="7245" w:type="dxa"/>
            <w:tcBorders/>
            <w:shd w:fill="CCEEFF" w:val="clear"/>
            <w:vAlign w:val="bottom"/>
          </w:tcPr>
          <w:p>
            <w:pPr>
              <w:pStyle w:val="TableContents"/>
              <w:spacing w:before="0" w:after="0"/>
              <w:ind w:left="180" w:right="0" w:hanging="180"/>
              <w:rPr/>
            </w:pPr>
            <w:r>
              <w:rPr/>
              <w:t>Additional paid-in-capital</w:t>
            </w:r>
          </w:p>
        </w:tc>
        <w:tc>
          <w:tcPr>
            <w:tcW w:w="60"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jc w:val="left"/>
              <w:rPr/>
            </w:pPr>
            <w:r>
              <w:rPr/>
              <w:t> </w:t>
            </w:r>
          </w:p>
        </w:tc>
        <w:tc>
          <w:tcPr>
            <w:tcW w:w="1269" w:type="dxa"/>
            <w:tcBorders/>
            <w:shd w:fill="CCEEFF" w:val="clear"/>
            <w:vAlign w:val="bottom"/>
          </w:tcPr>
          <w:p>
            <w:pPr>
              <w:pStyle w:val="TableContents"/>
              <w:spacing w:before="0" w:after="0"/>
              <w:jc w:val="right"/>
              <w:rPr/>
            </w:pPr>
            <w:r>
              <w:rPr/>
              <w:t>85,038,887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426" w:type="dxa"/>
            <w:tcBorders/>
            <w:shd w:fill="CCEEFF" w:val="clear"/>
            <w:vAlign w:val="bottom"/>
          </w:tcPr>
          <w:p>
            <w:pPr>
              <w:pStyle w:val="TableContents"/>
              <w:spacing w:before="0" w:after="0"/>
              <w:jc w:val="right"/>
              <w:rPr/>
            </w:pPr>
            <w:r>
              <w:rPr/>
              <w:t>84,917,788</w:t>
            </w:r>
          </w:p>
        </w:tc>
        <w:tc>
          <w:tcPr>
            <w:tcW w:w="77" w:type="dxa"/>
            <w:tcBorders/>
            <w:shd w:fill="CCEEFF" w:val="clear"/>
            <w:vAlign w:val="bottom"/>
          </w:tcPr>
          <w:p>
            <w:pPr>
              <w:pStyle w:val="TableContents"/>
              <w:spacing w:before="0" w:after="283"/>
              <w:jc w:val="left"/>
              <w:rPr/>
            </w:pPr>
            <w:r>
              <w:rPr/>
              <w:t> </w:t>
            </w:r>
          </w:p>
        </w:tc>
      </w:tr>
      <w:tr>
        <w:trPr/>
        <w:tc>
          <w:tcPr>
            <w:tcW w:w="7245" w:type="dxa"/>
            <w:tcBorders/>
            <w:shd w:fill="auto" w:val="clear"/>
            <w:vAlign w:val="bottom"/>
          </w:tcPr>
          <w:p>
            <w:pPr>
              <w:pStyle w:val="TableContents"/>
              <w:spacing w:before="0" w:after="0"/>
              <w:ind w:left="180" w:right="0" w:hanging="180"/>
              <w:rPr/>
            </w:pPr>
            <w:r>
              <w:rPr/>
              <w:t>Distributable earnings/(Accumulated losses)</w:t>
            </w:r>
          </w:p>
        </w:tc>
        <w:tc>
          <w:tcPr>
            <w:tcW w:w="60" w:type="dxa"/>
            <w:tcBorders/>
            <w:shd w:fill="auto" w:val="clear"/>
            <w:vAlign w:val="bottom"/>
          </w:tcPr>
          <w:p>
            <w:pPr>
              <w:pStyle w:val="TableContents"/>
              <w:spacing w:before="0" w:after="283"/>
              <w:jc w:val="right"/>
              <w:rPr/>
            </w:pPr>
            <w:r>
              <w:rPr/>
              <w:t> </w:t>
            </w:r>
          </w:p>
        </w:tc>
        <w:tc>
          <w:tcPr>
            <w:tcW w:w="16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69" w:type="dxa"/>
            <w:tcBorders>
              <w:bottom w:val="single" w:sz="12" w:space="0" w:color="000000"/>
            </w:tcBorders>
            <w:shd w:fill="auto" w:val="clear"/>
            <w:tcMar>
              <w:bottom w:w="28" w:type="dxa"/>
            </w:tcMar>
            <w:vAlign w:val="bottom"/>
          </w:tcPr>
          <w:p>
            <w:pPr>
              <w:pStyle w:val="TableContents"/>
              <w:spacing w:before="0" w:after="0"/>
              <w:jc w:val="right"/>
              <w:rPr/>
            </w:pPr>
            <w:r>
              <w:rPr/>
              <w:t>3,731,775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426" w:type="dxa"/>
            <w:tcBorders>
              <w:bottom w:val="single" w:sz="12" w:space="0" w:color="000000"/>
            </w:tcBorders>
            <w:shd w:fill="auto" w:val="clear"/>
            <w:tcMar>
              <w:bottom w:w="28" w:type="dxa"/>
            </w:tcMar>
            <w:vAlign w:val="bottom"/>
          </w:tcPr>
          <w:p>
            <w:pPr>
              <w:pStyle w:val="TableContents"/>
              <w:spacing w:before="0" w:after="0"/>
              <w:jc w:val="right"/>
              <w:rPr/>
            </w:pPr>
            <w:r>
              <w:rPr/>
              <w:t>1,495,794</w:t>
            </w:r>
          </w:p>
        </w:tc>
        <w:tc>
          <w:tcPr>
            <w:tcW w:w="77" w:type="dxa"/>
            <w:tcBorders/>
            <w:shd w:fill="auto" w:val="clear"/>
            <w:vAlign w:val="bottom"/>
          </w:tcPr>
          <w:p>
            <w:pPr>
              <w:pStyle w:val="TableContents"/>
              <w:spacing w:before="0" w:after="283"/>
              <w:jc w:val="left"/>
              <w:rPr/>
            </w:pPr>
            <w:r>
              <w:rPr/>
              <w:t> </w:t>
            </w:r>
          </w:p>
        </w:tc>
      </w:tr>
      <w:tr>
        <w:trPr/>
        <w:tc>
          <w:tcPr>
            <w:tcW w:w="7245" w:type="dxa"/>
            <w:tcBorders/>
            <w:shd w:fill="CCEEFF" w:val="clear"/>
            <w:vAlign w:val="bottom"/>
          </w:tcPr>
          <w:p>
            <w:pPr>
              <w:pStyle w:val="TableContents"/>
              <w:spacing w:before="0" w:after="0"/>
              <w:ind w:left="360" w:right="0" w:hanging="180"/>
              <w:rPr>
                <w:b/>
              </w:rPr>
            </w:pPr>
            <w:r>
              <w:rPr>
                <w:b/>
              </w:rPr>
              <w:t>Total net assets</w:t>
            </w:r>
          </w:p>
        </w:tc>
        <w:tc>
          <w:tcPr>
            <w:tcW w:w="60" w:type="dxa"/>
            <w:tcBorders/>
            <w:shd w:fill="CCEEFF" w:val="clear"/>
            <w:vAlign w:val="bottom"/>
          </w:tcPr>
          <w:p>
            <w:pPr>
              <w:pStyle w:val="TableContents"/>
              <w:spacing w:before="0" w:after="283"/>
              <w:jc w:val="right"/>
              <w:rPr/>
            </w:pPr>
            <w:r>
              <w:rPr/>
              <w:t> </w:t>
            </w:r>
          </w:p>
        </w:tc>
        <w:tc>
          <w:tcPr>
            <w:tcW w:w="161"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1269" w:type="dxa"/>
            <w:tcBorders>
              <w:bottom w:val="single" w:sz="12" w:space="0" w:color="000000"/>
            </w:tcBorders>
            <w:shd w:fill="CCEEFF" w:val="clear"/>
            <w:tcMar>
              <w:bottom w:w="28" w:type="dxa"/>
            </w:tcMar>
            <w:vAlign w:val="bottom"/>
          </w:tcPr>
          <w:p>
            <w:pPr>
              <w:pStyle w:val="TableContents"/>
              <w:spacing w:before="0" w:after="0"/>
              <w:jc w:val="right"/>
              <w:rPr/>
            </w:pPr>
            <w:r>
              <w:rPr/>
              <w:t>88,832,809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1426" w:type="dxa"/>
            <w:tcBorders>
              <w:bottom w:val="single" w:sz="12" w:space="0" w:color="000000"/>
            </w:tcBorders>
            <w:shd w:fill="CCEEFF" w:val="clear"/>
            <w:tcMar>
              <w:bottom w:w="28" w:type="dxa"/>
            </w:tcMar>
            <w:vAlign w:val="bottom"/>
          </w:tcPr>
          <w:p>
            <w:pPr>
              <w:pStyle w:val="TableContents"/>
              <w:spacing w:before="0" w:after="0"/>
              <w:jc w:val="right"/>
              <w:rPr/>
            </w:pPr>
            <w:r>
              <w:rPr/>
              <w:t>86,475,729</w:t>
            </w:r>
          </w:p>
        </w:tc>
        <w:tc>
          <w:tcPr>
            <w:tcW w:w="77" w:type="dxa"/>
            <w:tcBorders/>
            <w:shd w:fill="CCEEFF" w:val="clear"/>
            <w:vAlign w:val="bottom"/>
          </w:tcPr>
          <w:p>
            <w:pPr>
              <w:pStyle w:val="TableContents"/>
              <w:spacing w:before="0" w:after="283"/>
              <w:jc w:val="left"/>
              <w:rPr/>
            </w:pPr>
            <w:r>
              <w:rPr/>
              <w:t> </w:t>
            </w:r>
          </w:p>
        </w:tc>
      </w:tr>
      <w:tr>
        <w:trPr/>
        <w:tc>
          <w:tcPr>
            <w:tcW w:w="7245" w:type="dxa"/>
            <w:tcBorders/>
            <w:shd w:fill="auto" w:val="clear"/>
            <w:vAlign w:val="bottom"/>
          </w:tcPr>
          <w:p>
            <w:pPr>
              <w:pStyle w:val="TableContents"/>
              <w:spacing w:before="0" w:after="0"/>
              <w:ind w:left="180" w:right="0" w:hanging="180"/>
              <w:rPr>
                <w:b/>
              </w:rPr>
            </w:pPr>
            <w:r>
              <w:rPr>
                <w:b/>
              </w:rPr>
              <w:t>NET ASSET VALUE PER SHARE</w:t>
            </w:r>
          </w:p>
        </w:tc>
        <w:tc>
          <w:tcPr>
            <w:tcW w:w="60" w:type="dxa"/>
            <w:tcBorders/>
            <w:shd w:fill="auto" w:val="clear"/>
            <w:vAlign w:val="bottom"/>
          </w:tcPr>
          <w:p>
            <w:pPr>
              <w:pStyle w:val="TableContents"/>
              <w:spacing w:before="0" w:after="283"/>
              <w:jc w:val="right"/>
              <w:rPr/>
            </w:pPr>
            <w:r>
              <w:rPr/>
              <w:t> </w:t>
            </w:r>
          </w:p>
        </w:tc>
        <w:tc>
          <w:tcPr>
            <w:tcW w:w="161"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1269" w:type="dxa"/>
            <w:tcBorders>
              <w:bottom w:val="double" w:sz="8" w:space="0" w:color="000000"/>
            </w:tcBorders>
            <w:shd w:fill="auto" w:val="clear"/>
            <w:tcMar>
              <w:bottom w:w="28" w:type="dxa"/>
            </w:tcMar>
            <w:vAlign w:val="bottom"/>
          </w:tcPr>
          <w:p>
            <w:pPr>
              <w:pStyle w:val="TableContents"/>
              <w:spacing w:before="0" w:after="0"/>
              <w:jc w:val="right"/>
              <w:rPr/>
            </w:pPr>
            <w:r>
              <w:rPr/>
              <w:t>14.29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1"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1426" w:type="dxa"/>
            <w:tcBorders>
              <w:bottom w:val="double" w:sz="8" w:space="0" w:color="000000"/>
            </w:tcBorders>
            <w:shd w:fill="auto" w:val="clear"/>
            <w:tcMar>
              <w:bottom w:w="28" w:type="dxa"/>
            </w:tcMar>
            <w:vAlign w:val="bottom"/>
          </w:tcPr>
          <w:p>
            <w:pPr>
              <w:pStyle w:val="TableContents"/>
              <w:spacing w:before="0" w:after="0"/>
              <w:jc w:val="right"/>
              <w:rPr/>
            </w:pPr>
            <w:r>
              <w:rPr/>
              <w:t>13.91</w:t>
            </w:r>
          </w:p>
        </w:tc>
        <w:tc>
          <w:tcPr>
            <w:tcW w:w="77" w:type="dxa"/>
            <w:tcBorders/>
            <w:shd w:fill="auto" w:val="clear"/>
            <w:vAlign w:val="bottom"/>
          </w:tcPr>
          <w:p>
            <w:pPr>
              <w:pStyle w:val="TableContents"/>
              <w:spacing w:before="0" w:after="283"/>
              <w:jc w:val="left"/>
              <w:rPr/>
            </w:pPr>
            <w:r>
              <w:rPr/>
              <w:t> </w:t>
            </w:r>
          </w:p>
        </w:tc>
      </w:tr>
    </w:tbl>
    <w:p>
      <w:pPr>
        <w:pStyle w:val="TextBody"/>
        <w:spacing w:before="0" w:after="0"/>
        <w:jc w:val="center"/>
        <w:rPr>
          <w:color w:val="000000"/>
        </w:rPr>
      </w:pPr>
      <w:r>
        <w:rPr>
          <w:color w:val="000000"/>
        </w:rPr>
        <w:t> </w:t>
      </w:r>
      <w:r>
        <w:rPr>
          <w:rFonts w:ascii="Times New Roman" w:hAnsi="Times New Roman"/>
          <w:color w:val="000000"/>
          <w:sz w:val="20"/>
        </w:rPr>
        <w:t>See notes to financial statements.</w:t>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SILVER SPIKE INVESTMENT CORP.</w:t>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20"/>
        </w:rPr>
      </w:pPr>
      <w:bookmarkStart w:id="5" w:name="StatementsofOperations"/>
      <w:bookmarkEnd w:id="5"/>
      <w:r>
        <w:rPr>
          <w:rFonts w:ascii="Times New Roman" w:hAnsi="Times New Roman"/>
          <w:b/>
          <w:color w:val="000000"/>
          <w:sz w:val="20"/>
        </w:rPr>
        <w:t>Statements of Operations</w:t>
      </w:r>
    </w:p>
    <w:p>
      <w:pPr>
        <w:pStyle w:val="TextBody"/>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7515"/>
        <w:gridCol w:w="60"/>
        <w:gridCol w:w="170"/>
        <w:gridCol w:w="1196"/>
        <w:gridCol w:w="60"/>
        <w:gridCol w:w="60"/>
        <w:gridCol w:w="170"/>
        <w:gridCol w:w="1196"/>
        <w:gridCol w:w="112"/>
      </w:tblGrid>
      <w:tr>
        <w:trPr/>
        <w:tc>
          <w:tcPr>
            <w:tcW w:w="7515" w:type="dxa"/>
            <w:tcBorders/>
            <w:shd w:fill="auto" w:val="clear"/>
            <w:vAlign w:val="bottom"/>
          </w:tcPr>
          <w:p>
            <w:pPr>
              <w:pStyle w:val="TableContents"/>
              <w:spacing w:before="0" w:after="0"/>
              <w:ind w:left="180" w:right="0" w:hanging="180"/>
              <w:rPr/>
            </w:pPr>
            <w:r>
              <w:rPr/>
              <w:t> </w:t>
            </w:r>
          </w:p>
        </w:tc>
        <w:tc>
          <w:tcPr>
            <w:tcW w:w="60" w:type="dxa"/>
            <w:tcBorders/>
            <w:shd w:fill="auto" w:val="clear"/>
            <w:vAlign w:val="bottom"/>
          </w:tcPr>
          <w:p>
            <w:pPr>
              <w:pStyle w:val="TableContents"/>
              <w:spacing w:before="0" w:after="283"/>
              <w:rPr/>
            </w:pPr>
            <w:r>
              <w:rPr/>
              <w:t> </w:t>
            </w:r>
          </w:p>
        </w:tc>
        <w:tc>
          <w:tcPr>
            <w:tcW w:w="1366" w:type="dxa"/>
            <w:gridSpan w:val="2"/>
            <w:tcBorders/>
            <w:shd w:fill="auto" w:val="clear"/>
            <w:vAlign w:val="bottom"/>
          </w:tcPr>
          <w:p>
            <w:pPr>
              <w:pStyle w:val="TableContents"/>
              <w:spacing w:before="0" w:after="0"/>
              <w:jc w:val="center"/>
              <w:rPr>
                <w:b/>
                <w:color w:val="000000"/>
              </w:rPr>
            </w:pPr>
            <w:r>
              <w:rPr>
                <w:b/>
                <w:color w:val="000000"/>
              </w:rPr>
              <w:t>For the three</w:t>
              <w:br/>
              <w:t>months ended</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66" w:type="dxa"/>
            <w:gridSpan w:val="2"/>
            <w:tcBorders/>
            <w:shd w:fill="auto" w:val="clear"/>
            <w:vAlign w:val="bottom"/>
          </w:tcPr>
          <w:p>
            <w:pPr>
              <w:pStyle w:val="TableContents"/>
              <w:spacing w:before="0" w:after="0"/>
              <w:jc w:val="center"/>
              <w:rPr>
                <w:b/>
                <w:color w:val="000000"/>
              </w:rPr>
            </w:pPr>
            <w:r>
              <w:rPr>
                <w:b/>
                <w:color w:val="000000"/>
              </w:rPr>
              <w:t>For the three</w:t>
              <w:br/>
              <w:t>months ended</w:t>
            </w:r>
          </w:p>
        </w:tc>
        <w:tc>
          <w:tcPr>
            <w:tcW w:w="112" w:type="dxa"/>
            <w:tcBorders/>
            <w:shd w:fill="auto" w:val="clear"/>
            <w:vAlign w:val="bottom"/>
          </w:tcPr>
          <w:p>
            <w:pPr>
              <w:pStyle w:val="TableContents"/>
              <w:spacing w:before="0" w:after="283"/>
              <w:jc w:val="left"/>
              <w:rPr/>
            </w:pPr>
            <w:r>
              <w:rPr/>
              <w:t> </w:t>
            </w:r>
          </w:p>
        </w:tc>
      </w:tr>
      <w:tr>
        <w:trPr/>
        <w:tc>
          <w:tcPr>
            <w:tcW w:w="7515" w:type="dxa"/>
            <w:tcBorders/>
            <w:shd w:fill="auto" w:val="clear"/>
            <w:vAlign w:val="bottom"/>
          </w:tcPr>
          <w:p>
            <w:pPr>
              <w:pStyle w:val="TableContents"/>
              <w:spacing w:before="0" w:after="0"/>
              <w:ind w:left="180" w:right="0" w:hanging="180"/>
              <w:rPr/>
            </w:pPr>
            <w:r>
              <w:rPr/>
              <w:t> </w:t>
            </w:r>
          </w:p>
        </w:tc>
        <w:tc>
          <w:tcPr>
            <w:tcW w:w="60" w:type="dxa"/>
            <w:tcBorders/>
            <w:shd w:fill="auto" w:val="clear"/>
            <w:vAlign w:val="bottom"/>
          </w:tcPr>
          <w:p>
            <w:pPr>
              <w:pStyle w:val="TableContents"/>
              <w:spacing w:before="0" w:after="283"/>
              <w:rPr/>
            </w:pPr>
            <w:r>
              <w:rPr/>
              <w:t> </w:t>
            </w:r>
          </w:p>
        </w:tc>
        <w:tc>
          <w:tcPr>
            <w:tcW w:w="136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 2023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6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 2022</w:t>
            </w:r>
          </w:p>
        </w:tc>
        <w:tc>
          <w:tcPr>
            <w:tcW w:w="112" w:type="dxa"/>
            <w:tcBorders/>
            <w:shd w:fill="auto" w:val="clear"/>
            <w:vAlign w:val="bottom"/>
          </w:tcPr>
          <w:p>
            <w:pPr>
              <w:pStyle w:val="TableContents"/>
              <w:spacing w:before="0" w:after="283"/>
              <w:jc w:val="left"/>
              <w:rPr/>
            </w:pPr>
            <w:r>
              <w:rPr/>
              <w:t> </w:t>
            </w:r>
          </w:p>
        </w:tc>
      </w:tr>
      <w:tr>
        <w:trPr/>
        <w:tc>
          <w:tcPr>
            <w:tcW w:w="7515" w:type="dxa"/>
            <w:tcBorders/>
            <w:shd w:fill="auto" w:val="clear"/>
            <w:vAlign w:val="bottom"/>
          </w:tcPr>
          <w:p>
            <w:pPr>
              <w:pStyle w:val="TableContents"/>
              <w:spacing w:before="0" w:after="0"/>
              <w:ind w:left="180" w:right="0" w:hanging="180"/>
              <w:rPr>
                <w:b/>
                <w:color w:val="000000"/>
              </w:rPr>
            </w:pPr>
            <w:r>
              <w:rPr>
                <w:b/>
                <w:color w:val="000000"/>
              </w:rPr>
              <w:t>INVESTMENT INCOME</w:t>
            </w:r>
          </w:p>
        </w:tc>
        <w:tc>
          <w:tcPr>
            <w:tcW w:w="60" w:type="dxa"/>
            <w:tcBorders/>
            <w:shd w:fill="auto" w:val="clear"/>
            <w:vAlign w:val="bottom"/>
          </w:tcPr>
          <w:p>
            <w:pPr>
              <w:pStyle w:val="TableContents"/>
              <w:spacing w:before="0" w:after="283"/>
              <w:rPr/>
            </w:pPr>
            <w:r>
              <w:rPr/>
              <w:t> </w:t>
            </w:r>
          </w:p>
        </w:tc>
        <w:tc>
          <w:tcPr>
            <w:tcW w:w="1366"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66"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r>
      <w:tr>
        <w:trPr/>
        <w:tc>
          <w:tcPr>
            <w:tcW w:w="7515" w:type="dxa"/>
            <w:tcBorders/>
            <w:shd w:fill="auto" w:val="clear"/>
            <w:vAlign w:val="bottom"/>
          </w:tcPr>
          <w:p>
            <w:pPr>
              <w:pStyle w:val="TableContents"/>
              <w:spacing w:before="0" w:after="0"/>
              <w:ind w:left="180" w:right="0" w:hanging="180"/>
              <w:rPr>
                <w:b/>
                <w:color w:val="000000"/>
              </w:rPr>
            </w:pPr>
            <w:r>
              <w:rPr>
                <w:b/>
                <w:color w:val="000000"/>
              </w:rPr>
              <w:t>Non-control/non-affiliate investment income</w:t>
            </w:r>
          </w:p>
        </w:tc>
        <w:tc>
          <w:tcPr>
            <w:tcW w:w="60" w:type="dxa"/>
            <w:tcBorders/>
            <w:shd w:fill="auto" w:val="clear"/>
            <w:vAlign w:val="bottom"/>
          </w:tcPr>
          <w:p>
            <w:pPr>
              <w:pStyle w:val="TableContents"/>
              <w:spacing w:before="0" w:after="283"/>
              <w:rPr/>
            </w:pPr>
            <w:r>
              <w:rPr/>
              <w:t> </w:t>
            </w:r>
          </w:p>
        </w:tc>
        <w:tc>
          <w:tcPr>
            <w:tcW w:w="1366"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66"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r>
      <w:tr>
        <w:trPr/>
        <w:tc>
          <w:tcPr>
            <w:tcW w:w="7515" w:type="dxa"/>
            <w:tcBorders/>
            <w:shd w:fill="CCEEFF" w:val="clear"/>
            <w:vAlign w:val="bottom"/>
          </w:tcPr>
          <w:p>
            <w:pPr>
              <w:pStyle w:val="TableContents"/>
              <w:spacing w:before="0" w:after="0"/>
              <w:ind w:left="360" w:right="0" w:hanging="180"/>
              <w:rPr>
                <w:color w:val="000000"/>
              </w:rPr>
            </w:pPr>
            <w:r>
              <w:rPr>
                <w:color w:val="000000"/>
              </w:rPr>
              <w:t>Interest income</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0"/>
              <w:jc w:val="left"/>
              <w:rPr>
                <w:color w:val="000000"/>
              </w:rPr>
            </w:pPr>
            <w:r>
              <w:rPr>
                <w:color w:val="000000"/>
              </w:rPr>
              <w:t>$</w:t>
            </w:r>
          </w:p>
        </w:tc>
        <w:tc>
          <w:tcPr>
            <w:tcW w:w="1196" w:type="dxa"/>
            <w:tcBorders/>
            <w:shd w:fill="CCEEFF" w:val="clear"/>
            <w:vAlign w:val="bottom"/>
          </w:tcPr>
          <w:p>
            <w:pPr>
              <w:pStyle w:val="TableContents"/>
              <w:spacing w:before="0" w:after="0"/>
              <w:jc w:val="right"/>
              <w:rPr>
                <w:color w:val="000000"/>
              </w:rPr>
            </w:pPr>
            <w:r>
              <w:rPr>
                <w:color w:val="000000"/>
              </w:rPr>
              <w:t>2,457,839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0"/>
              <w:jc w:val="left"/>
              <w:rPr>
                <w:color w:val="000000"/>
              </w:rPr>
            </w:pPr>
            <w:r>
              <w:rPr>
                <w:color w:val="000000"/>
              </w:rPr>
              <w:t>$</w:t>
            </w:r>
          </w:p>
        </w:tc>
        <w:tc>
          <w:tcPr>
            <w:tcW w:w="1196" w:type="dxa"/>
            <w:tcBorders/>
            <w:shd w:fill="CCEEFF" w:val="clear"/>
            <w:vAlign w:val="bottom"/>
          </w:tcPr>
          <w:p>
            <w:pPr>
              <w:pStyle w:val="TableContents"/>
              <w:spacing w:before="0" w:after="0"/>
              <w:jc w:val="right"/>
              <w:rPr>
                <w:color w:val="000000"/>
              </w:rPr>
            </w:pPr>
            <w:r>
              <w:rPr>
                <w:color w:val="000000"/>
              </w:rPr>
              <w:t>10,073</w:t>
            </w:r>
          </w:p>
        </w:tc>
        <w:tc>
          <w:tcPr>
            <w:tcW w:w="112" w:type="dxa"/>
            <w:tcBorders/>
            <w:shd w:fill="CCEEFF" w:val="clear"/>
            <w:vAlign w:val="bottom"/>
          </w:tcPr>
          <w:p>
            <w:pPr>
              <w:pStyle w:val="TableContents"/>
              <w:spacing w:before="0" w:after="283"/>
              <w:jc w:val="left"/>
              <w:rPr/>
            </w:pPr>
            <w:r>
              <w:rPr/>
              <w:t> </w:t>
            </w:r>
          </w:p>
        </w:tc>
      </w:tr>
      <w:tr>
        <w:trPr/>
        <w:tc>
          <w:tcPr>
            <w:tcW w:w="7515" w:type="dxa"/>
            <w:tcBorders/>
            <w:shd w:fill="auto" w:val="clear"/>
            <w:vAlign w:val="bottom"/>
          </w:tcPr>
          <w:p>
            <w:pPr>
              <w:pStyle w:val="TableContents"/>
              <w:spacing w:before="0" w:after="0"/>
              <w:ind w:left="360" w:right="0" w:hanging="180"/>
              <w:rPr>
                <w:color w:val="000000"/>
              </w:rPr>
            </w:pPr>
            <w:r>
              <w:rPr>
                <w:color w:val="000000"/>
              </w:rPr>
              <w:t>Fee income</w:t>
            </w:r>
          </w:p>
        </w:tc>
        <w:tc>
          <w:tcPr>
            <w:tcW w:w="60" w:type="dxa"/>
            <w:tcBorders/>
            <w:shd w:fill="auto" w:val="clear"/>
            <w:vAlign w:val="bottom"/>
          </w:tcPr>
          <w:p>
            <w:pPr>
              <w:pStyle w:val="TableContents"/>
              <w:spacing w:before="0" w:after="283"/>
              <w:jc w:val="right"/>
              <w:rPr/>
            </w:pPr>
            <w:r>
              <w:rPr/>
              <w:t> </w:t>
            </w:r>
          </w:p>
        </w:tc>
        <w:tc>
          <w:tcPr>
            <w:tcW w:w="17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9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9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112" w:type="dxa"/>
            <w:tcBorders/>
            <w:shd w:fill="auto" w:val="clear"/>
            <w:vAlign w:val="bottom"/>
          </w:tcPr>
          <w:p>
            <w:pPr>
              <w:pStyle w:val="TableContents"/>
              <w:spacing w:before="0" w:after="283"/>
              <w:jc w:val="left"/>
              <w:rPr/>
            </w:pPr>
            <w:r>
              <w:rPr/>
              <w:t> </w:t>
            </w:r>
          </w:p>
        </w:tc>
      </w:tr>
      <w:tr>
        <w:trPr/>
        <w:tc>
          <w:tcPr>
            <w:tcW w:w="7515" w:type="dxa"/>
            <w:tcBorders/>
            <w:shd w:fill="CCEEFF" w:val="clear"/>
            <w:vAlign w:val="bottom"/>
          </w:tcPr>
          <w:p>
            <w:pPr>
              <w:pStyle w:val="TableContents"/>
              <w:spacing w:before="0" w:after="0"/>
              <w:ind w:left="180" w:right="0" w:hanging="180"/>
              <w:rPr>
                <w:b/>
                <w:color w:val="000000"/>
              </w:rPr>
            </w:pPr>
            <w:r>
              <w:rPr>
                <w:b/>
                <w:color w:val="000000"/>
              </w:rPr>
              <w:t>Total investment income</w:t>
            </w:r>
          </w:p>
        </w:tc>
        <w:tc>
          <w:tcPr>
            <w:tcW w:w="60" w:type="dxa"/>
            <w:tcBorders/>
            <w:shd w:fill="CCEEFF" w:val="clear"/>
            <w:vAlign w:val="bottom"/>
          </w:tcPr>
          <w:p>
            <w:pPr>
              <w:pStyle w:val="TableContents"/>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96"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2,457,839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96"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10,073</w:t>
            </w:r>
          </w:p>
        </w:tc>
        <w:tc>
          <w:tcPr>
            <w:tcW w:w="112" w:type="dxa"/>
            <w:tcBorders/>
            <w:shd w:fill="CCEEFF" w:val="clear"/>
            <w:vAlign w:val="bottom"/>
          </w:tcPr>
          <w:p>
            <w:pPr>
              <w:pStyle w:val="TableContents"/>
              <w:spacing w:before="0" w:after="283"/>
              <w:jc w:val="left"/>
              <w:rPr/>
            </w:pPr>
            <w:r>
              <w:rPr/>
              <w:t> </w:t>
            </w:r>
          </w:p>
        </w:tc>
      </w:tr>
      <w:tr>
        <w:trPr/>
        <w:tc>
          <w:tcPr>
            <w:tcW w:w="7515" w:type="dxa"/>
            <w:tcBorders/>
            <w:shd w:fill="auto" w:val="clear"/>
            <w:vAlign w:val="bottom"/>
          </w:tcPr>
          <w:p>
            <w:pPr>
              <w:pStyle w:val="TableContents"/>
              <w:spacing w:before="0" w:after="0"/>
              <w:ind w:left="180" w:right="0" w:hanging="180"/>
              <w:rPr/>
            </w:pPr>
            <w:r>
              <w:rPr/>
              <w:t> </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12" w:type="dxa"/>
            <w:tcBorders/>
            <w:shd w:fill="auto" w:val="clear"/>
            <w:vAlign w:val="bottom"/>
          </w:tcPr>
          <w:p>
            <w:pPr>
              <w:pStyle w:val="TableContents"/>
              <w:spacing w:before="0" w:after="283"/>
              <w:jc w:val="left"/>
              <w:rPr/>
            </w:pPr>
            <w:r>
              <w:rPr/>
              <w:t> </w:t>
            </w:r>
          </w:p>
        </w:tc>
      </w:tr>
      <w:tr>
        <w:trPr/>
        <w:tc>
          <w:tcPr>
            <w:tcW w:w="7515" w:type="dxa"/>
            <w:tcBorders/>
            <w:shd w:fill="CCEEFF" w:val="clear"/>
            <w:vAlign w:val="bottom"/>
          </w:tcPr>
          <w:p>
            <w:pPr>
              <w:pStyle w:val="TableContents"/>
              <w:spacing w:before="0" w:after="0"/>
              <w:ind w:left="180" w:right="0" w:hanging="180"/>
              <w:rPr>
                <w:b/>
                <w:color w:val="000000"/>
              </w:rPr>
            </w:pPr>
            <w:r>
              <w:rPr>
                <w:b/>
                <w:color w:val="000000"/>
              </w:rPr>
              <w:t>EXPENSES</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c>
          <w:tcPr>
            <w:tcW w:w="119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c>
          <w:tcPr>
            <w:tcW w:w="11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r>
      <w:tr>
        <w:trPr/>
        <w:tc>
          <w:tcPr>
            <w:tcW w:w="7515" w:type="dxa"/>
            <w:tcBorders/>
            <w:shd w:fill="auto" w:val="clear"/>
            <w:vAlign w:val="bottom"/>
          </w:tcPr>
          <w:p>
            <w:pPr>
              <w:pStyle w:val="TableContents"/>
              <w:spacing w:before="0" w:after="0"/>
              <w:ind w:left="360" w:right="0" w:hanging="180"/>
              <w:rPr>
                <w:color w:val="000000"/>
              </w:rPr>
            </w:pPr>
            <w:r>
              <w:rPr>
                <w:color w:val="000000"/>
              </w:rPr>
              <w:t>Management fee</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0"/>
              <w:jc w:val="right"/>
              <w:rPr>
                <w:color w:val="000000"/>
              </w:rPr>
            </w:pPr>
            <w:r>
              <w:rPr>
                <w:color w:val="000000"/>
              </w:rPr>
              <w:t>238,419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0"/>
              <w:jc w:val="right"/>
              <w:rPr>
                <w:color w:val="000000"/>
              </w:rPr>
            </w:pPr>
            <w:r>
              <w:rPr>
                <w:color w:val="000000"/>
              </w:rPr>
              <w:t>-</w:t>
            </w:r>
          </w:p>
        </w:tc>
        <w:tc>
          <w:tcPr>
            <w:tcW w:w="112" w:type="dxa"/>
            <w:tcBorders/>
            <w:shd w:fill="auto" w:val="clear"/>
            <w:vAlign w:val="bottom"/>
          </w:tcPr>
          <w:p>
            <w:pPr>
              <w:pStyle w:val="TableContents"/>
              <w:spacing w:before="0" w:after="283"/>
              <w:jc w:val="left"/>
              <w:rPr/>
            </w:pPr>
            <w:r>
              <w:rPr/>
              <w:t> </w:t>
            </w:r>
          </w:p>
        </w:tc>
      </w:tr>
      <w:tr>
        <w:trPr/>
        <w:tc>
          <w:tcPr>
            <w:tcW w:w="7515" w:type="dxa"/>
            <w:tcBorders/>
            <w:shd w:fill="CCEEFF" w:val="clear"/>
            <w:vAlign w:val="bottom"/>
          </w:tcPr>
          <w:p>
            <w:pPr>
              <w:pStyle w:val="TableContents"/>
              <w:spacing w:before="0" w:after="0"/>
              <w:ind w:left="180" w:right="0" w:hanging="0"/>
              <w:jc w:val="left"/>
              <w:rPr>
                <w:rFonts w:ascii="Times New Roman;serif" w:hAnsi="Times New Roman;serif"/>
                <w:color w:val="000000"/>
                <w:sz w:val="20"/>
              </w:rPr>
            </w:pPr>
            <w:r>
              <w:rPr>
                <w:rFonts w:ascii="Times New Roman;serif" w:hAnsi="Times New Roman;serif"/>
                <w:color w:val="000000"/>
                <w:sz w:val="20"/>
              </w:rPr>
              <w:t>Income-based incentive fee</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c>
          <w:tcPr>
            <w:tcW w:w="1196" w:type="dxa"/>
            <w:tcBorders/>
            <w:shd w:fill="CCEEFF" w:val="clear"/>
            <w:vAlign w:val="bottom"/>
          </w:tcPr>
          <w:p>
            <w:pPr>
              <w:pStyle w:val="TableContents"/>
              <w:spacing w:before="0" w:after="283"/>
              <w:jc w:val="right"/>
              <w:rPr/>
            </w:pPr>
            <w:r>
              <w:rPr/>
              <w:t>203,821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c>
          <w:tcPr>
            <w:tcW w:w="1196" w:type="dxa"/>
            <w:tcBorders/>
            <w:shd w:fill="CCEEFF" w:val="clear"/>
            <w:vAlign w:val="bottom"/>
          </w:tcPr>
          <w:p>
            <w:pPr>
              <w:pStyle w:val="TableContents"/>
              <w:spacing w:before="0" w:after="283"/>
              <w:jc w:val="right"/>
              <w:rPr/>
            </w:pPr>
            <w:r>
              <w:rPr/>
              <w:t>-</w:t>
            </w:r>
          </w:p>
        </w:tc>
        <w:tc>
          <w:tcPr>
            <w:tcW w:w="112" w:type="dxa"/>
            <w:tcBorders/>
            <w:shd w:fill="CCEEFF" w:val="clear"/>
            <w:vAlign w:val="bottom"/>
          </w:tcPr>
          <w:p>
            <w:pPr>
              <w:pStyle w:val="TableContents"/>
              <w:spacing w:before="0" w:after="283"/>
              <w:jc w:val="left"/>
              <w:rPr/>
            </w:pPr>
            <w:r>
              <w:rPr/>
              <w:t> </w:t>
            </w:r>
          </w:p>
        </w:tc>
      </w:tr>
      <w:tr>
        <w:trPr/>
        <w:tc>
          <w:tcPr>
            <w:tcW w:w="7515" w:type="dxa"/>
            <w:tcBorders/>
            <w:shd w:fill="auto" w:val="clear"/>
            <w:vAlign w:val="bottom"/>
          </w:tcPr>
          <w:p>
            <w:pPr>
              <w:pStyle w:val="TableContents"/>
              <w:spacing w:before="0" w:after="0"/>
              <w:ind w:left="180" w:right="0" w:hanging="0"/>
              <w:jc w:val="left"/>
              <w:rPr>
                <w:rFonts w:ascii="Times New Roman;serif" w:hAnsi="Times New Roman;serif"/>
                <w:color w:val="000000"/>
                <w:sz w:val="20"/>
              </w:rPr>
            </w:pPr>
            <w:r>
              <w:rPr>
                <w:rFonts w:ascii="Times New Roman;serif" w:hAnsi="Times New Roman;serif"/>
                <w:color w:val="000000"/>
                <w:sz w:val="20"/>
              </w:rPr>
              <w:t>Capital gains incentive fee</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142,602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w:t>
            </w:r>
          </w:p>
        </w:tc>
        <w:tc>
          <w:tcPr>
            <w:tcW w:w="112" w:type="dxa"/>
            <w:tcBorders/>
            <w:shd w:fill="auto" w:val="clear"/>
            <w:vAlign w:val="bottom"/>
          </w:tcPr>
          <w:p>
            <w:pPr>
              <w:pStyle w:val="TableContents"/>
              <w:spacing w:before="0" w:after="283"/>
              <w:jc w:val="left"/>
              <w:rPr/>
            </w:pPr>
            <w:r>
              <w:rPr/>
              <w:t> </w:t>
            </w:r>
          </w:p>
        </w:tc>
      </w:tr>
      <w:tr>
        <w:trPr/>
        <w:tc>
          <w:tcPr>
            <w:tcW w:w="7515" w:type="dxa"/>
            <w:tcBorders/>
            <w:shd w:fill="CCEEFF" w:val="clear"/>
            <w:vAlign w:val="bottom"/>
          </w:tcPr>
          <w:p>
            <w:pPr>
              <w:pStyle w:val="TableContents"/>
              <w:spacing w:before="0" w:after="0"/>
              <w:ind w:left="360" w:right="0" w:hanging="180"/>
              <w:rPr>
                <w:color w:val="000000"/>
              </w:rPr>
            </w:pPr>
            <w:r>
              <w:rPr>
                <w:color w:val="000000"/>
              </w:rPr>
              <w:t>Legal expenses</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c>
          <w:tcPr>
            <w:tcW w:w="1196" w:type="dxa"/>
            <w:tcBorders/>
            <w:shd w:fill="CCEEFF" w:val="clear"/>
            <w:vAlign w:val="bottom"/>
          </w:tcPr>
          <w:p>
            <w:pPr>
              <w:pStyle w:val="TableContents"/>
              <w:spacing w:before="0" w:after="0"/>
              <w:jc w:val="right"/>
              <w:rPr>
                <w:color w:val="000000"/>
              </w:rPr>
            </w:pPr>
            <w:r>
              <w:rPr>
                <w:color w:val="000000"/>
              </w:rPr>
              <w:t>98,760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c>
          <w:tcPr>
            <w:tcW w:w="1196" w:type="dxa"/>
            <w:tcBorders/>
            <w:shd w:fill="CCEEFF" w:val="clear"/>
            <w:vAlign w:val="bottom"/>
          </w:tcPr>
          <w:p>
            <w:pPr>
              <w:pStyle w:val="TableContents"/>
              <w:spacing w:before="0" w:after="0"/>
              <w:jc w:val="right"/>
              <w:rPr>
                <w:color w:val="000000"/>
              </w:rPr>
            </w:pPr>
            <w:r>
              <w:rPr>
                <w:color w:val="000000"/>
              </w:rPr>
              <w:t>34,069</w:t>
            </w:r>
          </w:p>
        </w:tc>
        <w:tc>
          <w:tcPr>
            <w:tcW w:w="112" w:type="dxa"/>
            <w:tcBorders/>
            <w:shd w:fill="CCEEFF" w:val="clear"/>
            <w:vAlign w:val="bottom"/>
          </w:tcPr>
          <w:p>
            <w:pPr>
              <w:pStyle w:val="TableContents"/>
              <w:spacing w:before="0" w:after="283"/>
              <w:jc w:val="left"/>
              <w:rPr/>
            </w:pPr>
            <w:r>
              <w:rPr/>
              <w:t> </w:t>
            </w:r>
          </w:p>
        </w:tc>
      </w:tr>
      <w:tr>
        <w:trPr/>
        <w:tc>
          <w:tcPr>
            <w:tcW w:w="7515" w:type="dxa"/>
            <w:tcBorders/>
            <w:shd w:fill="auto" w:val="clear"/>
            <w:vAlign w:val="bottom"/>
          </w:tcPr>
          <w:p>
            <w:pPr>
              <w:pStyle w:val="TableContents"/>
              <w:spacing w:before="0" w:after="0"/>
              <w:ind w:left="360" w:right="0" w:hanging="180"/>
              <w:rPr>
                <w:color w:val="000000"/>
              </w:rPr>
            </w:pPr>
            <w:r>
              <w:rPr>
                <w:color w:val="000000"/>
              </w:rPr>
              <w:t>Audit expense</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0"/>
              <w:jc w:val="right"/>
              <w:rPr>
                <w:color w:val="000000"/>
              </w:rPr>
            </w:pPr>
            <w:r>
              <w:rPr>
                <w:color w:val="000000"/>
              </w:rPr>
              <w:t>97,883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0"/>
              <w:jc w:val="right"/>
              <w:rPr>
                <w:color w:val="000000"/>
              </w:rPr>
            </w:pPr>
            <w:r>
              <w:rPr>
                <w:color w:val="000000"/>
              </w:rPr>
              <w:t>10,000</w:t>
            </w:r>
          </w:p>
        </w:tc>
        <w:tc>
          <w:tcPr>
            <w:tcW w:w="112" w:type="dxa"/>
            <w:tcBorders/>
            <w:shd w:fill="auto" w:val="clear"/>
            <w:vAlign w:val="bottom"/>
          </w:tcPr>
          <w:p>
            <w:pPr>
              <w:pStyle w:val="TableContents"/>
              <w:spacing w:before="0" w:after="283"/>
              <w:jc w:val="left"/>
              <w:rPr/>
            </w:pPr>
            <w:r>
              <w:rPr/>
              <w:t> </w:t>
            </w:r>
          </w:p>
        </w:tc>
      </w:tr>
      <w:tr>
        <w:trPr/>
        <w:tc>
          <w:tcPr>
            <w:tcW w:w="7515" w:type="dxa"/>
            <w:tcBorders/>
            <w:shd w:fill="CCEEFF" w:val="clear"/>
            <w:vAlign w:val="bottom"/>
          </w:tcPr>
          <w:p>
            <w:pPr>
              <w:pStyle w:val="TableContents"/>
              <w:spacing w:before="0" w:after="0"/>
              <w:ind w:left="360" w:right="0" w:hanging="180"/>
              <w:rPr>
                <w:color w:val="000000"/>
              </w:rPr>
            </w:pPr>
            <w:r>
              <w:rPr>
                <w:color w:val="000000"/>
              </w:rPr>
              <w:t>Administrator fees</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c>
          <w:tcPr>
            <w:tcW w:w="1196" w:type="dxa"/>
            <w:tcBorders/>
            <w:shd w:fill="CCEEFF" w:val="clear"/>
            <w:vAlign w:val="bottom"/>
          </w:tcPr>
          <w:p>
            <w:pPr>
              <w:pStyle w:val="TableContents"/>
              <w:spacing w:before="0" w:after="0"/>
              <w:jc w:val="right"/>
              <w:rPr>
                <w:color w:val="000000"/>
              </w:rPr>
            </w:pPr>
            <w:r>
              <w:rPr>
                <w:color w:val="000000"/>
              </w:rPr>
              <w:t>77,844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c>
          <w:tcPr>
            <w:tcW w:w="1196" w:type="dxa"/>
            <w:tcBorders/>
            <w:shd w:fill="CCEEFF" w:val="clear"/>
            <w:vAlign w:val="bottom"/>
          </w:tcPr>
          <w:p>
            <w:pPr>
              <w:pStyle w:val="TableContents"/>
              <w:spacing w:before="0" w:after="0"/>
              <w:jc w:val="right"/>
              <w:rPr>
                <w:color w:val="000000"/>
              </w:rPr>
            </w:pPr>
            <w:r>
              <w:rPr>
                <w:color w:val="000000"/>
              </w:rPr>
              <w:t>47,151</w:t>
            </w:r>
          </w:p>
        </w:tc>
        <w:tc>
          <w:tcPr>
            <w:tcW w:w="112" w:type="dxa"/>
            <w:tcBorders/>
            <w:shd w:fill="CCEEFF" w:val="clear"/>
            <w:vAlign w:val="bottom"/>
          </w:tcPr>
          <w:p>
            <w:pPr>
              <w:pStyle w:val="TableContents"/>
              <w:spacing w:before="0" w:after="283"/>
              <w:jc w:val="left"/>
              <w:rPr/>
            </w:pPr>
            <w:r>
              <w:rPr/>
              <w:t> </w:t>
            </w:r>
          </w:p>
        </w:tc>
      </w:tr>
      <w:tr>
        <w:trPr/>
        <w:tc>
          <w:tcPr>
            <w:tcW w:w="7515" w:type="dxa"/>
            <w:tcBorders/>
            <w:shd w:fill="auto" w:val="clear"/>
            <w:vAlign w:val="bottom"/>
          </w:tcPr>
          <w:p>
            <w:pPr>
              <w:pStyle w:val="TableContents"/>
              <w:spacing w:before="0" w:after="0"/>
              <w:ind w:left="360" w:right="0" w:hanging="180"/>
              <w:rPr>
                <w:color w:val="000000"/>
              </w:rPr>
            </w:pPr>
            <w:r>
              <w:rPr>
                <w:color w:val="000000"/>
              </w:rPr>
              <w:t>Valuation fees</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0"/>
              <w:jc w:val="right"/>
              <w:rPr>
                <w:color w:val="000000"/>
              </w:rPr>
            </w:pPr>
            <w:r>
              <w:rPr>
                <w:color w:val="000000"/>
              </w:rPr>
              <w:t>73,065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0"/>
              <w:jc w:val="right"/>
              <w:rPr>
                <w:color w:val="000000"/>
              </w:rPr>
            </w:pPr>
            <w:r>
              <w:rPr>
                <w:color w:val="000000"/>
              </w:rPr>
              <w:t>-</w:t>
            </w:r>
          </w:p>
        </w:tc>
        <w:tc>
          <w:tcPr>
            <w:tcW w:w="112" w:type="dxa"/>
            <w:tcBorders/>
            <w:shd w:fill="auto" w:val="clear"/>
            <w:vAlign w:val="bottom"/>
          </w:tcPr>
          <w:p>
            <w:pPr>
              <w:pStyle w:val="TableContents"/>
              <w:spacing w:before="0" w:after="283"/>
              <w:jc w:val="left"/>
              <w:rPr/>
            </w:pPr>
            <w:r>
              <w:rPr/>
              <w:t> </w:t>
            </w:r>
          </w:p>
        </w:tc>
      </w:tr>
      <w:tr>
        <w:trPr/>
        <w:tc>
          <w:tcPr>
            <w:tcW w:w="7515" w:type="dxa"/>
            <w:tcBorders/>
            <w:shd w:fill="CCEEFF" w:val="clear"/>
            <w:vAlign w:val="bottom"/>
          </w:tcPr>
          <w:p>
            <w:pPr>
              <w:pStyle w:val="TableContents"/>
              <w:spacing w:before="0" w:after="0"/>
              <w:ind w:left="360" w:right="0" w:hanging="180"/>
              <w:rPr>
                <w:color w:val="000000"/>
              </w:rPr>
            </w:pPr>
            <w:r>
              <w:rPr>
                <w:color w:val="000000"/>
              </w:rPr>
              <w:t>Insurance expense</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c>
          <w:tcPr>
            <w:tcW w:w="1196" w:type="dxa"/>
            <w:tcBorders/>
            <w:shd w:fill="CCEEFF" w:val="clear"/>
            <w:vAlign w:val="bottom"/>
          </w:tcPr>
          <w:p>
            <w:pPr>
              <w:pStyle w:val="TableContents"/>
              <w:spacing w:before="0" w:after="0"/>
              <w:jc w:val="right"/>
              <w:rPr>
                <w:color w:val="000000"/>
              </w:rPr>
            </w:pPr>
            <w:r>
              <w:rPr>
                <w:color w:val="000000"/>
              </w:rPr>
              <w:t>69,082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c>
          <w:tcPr>
            <w:tcW w:w="1196" w:type="dxa"/>
            <w:tcBorders/>
            <w:shd w:fill="CCEEFF" w:val="clear"/>
            <w:vAlign w:val="bottom"/>
          </w:tcPr>
          <w:p>
            <w:pPr>
              <w:pStyle w:val="TableContents"/>
              <w:spacing w:before="0" w:after="0"/>
              <w:jc w:val="right"/>
              <w:rPr>
                <w:color w:val="000000"/>
              </w:rPr>
            </w:pPr>
            <w:r>
              <w:rPr>
                <w:color w:val="000000"/>
              </w:rPr>
              <w:t>46,488</w:t>
            </w:r>
          </w:p>
        </w:tc>
        <w:tc>
          <w:tcPr>
            <w:tcW w:w="112" w:type="dxa"/>
            <w:tcBorders/>
            <w:shd w:fill="CCEEFF" w:val="clear"/>
            <w:vAlign w:val="bottom"/>
          </w:tcPr>
          <w:p>
            <w:pPr>
              <w:pStyle w:val="TableContents"/>
              <w:spacing w:before="0" w:after="283"/>
              <w:jc w:val="left"/>
              <w:rPr/>
            </w:pPr>
            <w:r>
              <w:rPr/>
              <w:t> </w:t>
            </w:r>
          </w:p>
        </w:tc>
      </w:tr>
      <w:tr>
        <w:trPr/>
        <w:tc>
          <w:tcPr>
            <w:tcW w:w="7515" w:type="dxa"/>
            <w:tcBorders/>
            <w:shd w:fill="auto" w:val="clear"/>
            <w:vAlign w:val="bottom"/>
          </w:tcPr>
          <w:p>
            <w:pPr>
              <w:pStyle w:val="TableContents"/>
              <w:spacing w:before="0" w:after="0"/>
              <w:ind w:left="360" w:right="0" w:hanging="180"/>
              <w:rPr>
                <w:color w:val="000000"/>
              </w:rPr>
            </w:pPr>
            <w:r>
              <w:rPr>
                <w:color w:val="000000"/>
              </w:rPr>
              <w:t>Director expenses</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0"/>
              <w:jc w:val="right"/>
              <w:rPr>
                <w:color w:val="000000"/>
              </w:rPr>
            </w:pPr>
            <w:r>
              <w:rPr>
                <w:color w:val="000000"/>
              </w:rPr>
              <w:t>35,944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0"/>
              <w:jc w:val="right"/>
              <w:rPr>
                <w:color w:val="000000"/>
              </w:rPr>
            </w:pPr>
            <w:r>
              <w:rPr>
                <w:color w:val="000000"/>
              </w:rPr>
              <w:t>-</w:t>
            </w:r>
          </w:p>
        </w:tc>
        <w:tc>
          <w:tcPr>
            <w:tcW w:w="112" w:type="dxa"/>
            <w:tcBorders/>
            <w:shd w:fill="auto" w:val="clear"/>
            <w:vAlign w:val="bottom"/>
          </w:tcPr>
          <w:p>
            <w:pPr>
              <w:pStyle w:val="TableContents"/>
              <w:spacing w:before="0" w:after="283"/>
              <w:jc w:val="left"/>
              <w:rPr/>
            </w:pPr>
            <w:r>
              <w:rPr/>
              <w:t> </w:t>
            </w:r>
          </w:p>
        </w:tc>
      </w:tr>
      <w:tr>
        <w:trPr/>
        <w:tc>
          <w:tcPr>
            <w:tcW w:w="7515" w:type="dxa"/>
            <w:tcBorders/>
            <w:shd w:fill="CCEEFF" w:val="clear"/>
            <w:vAlign w:val="bottom"/>
          </w:tcPr>
          <w:p>
            <w:pPr>
              <w:pStyle w:val="TableContents"/>
              <w:spacing w:before="0" w:after="0"/>
              <w:ind w:left="360" w:right="0" w:hanging="180"/>
              <w:rPr>
                <w:color w:val="000000"/>
              </w:rPr>
            </w:pPr>
            <w:r>
              <w:rPr>
                <w:color w:val="000000"/>
              </w:rPr>
              <w:t>Professional fees</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c>
          <w:tcPr>
            <w:tcW w:w="1196" w:type="dxa"/>
            <w:tcBorders/>
            <w:shd w:fill="CCEEFF" w:val="clear"/>
            <w:vAlign w:val="bottom"/>
          </w:tcPr>
          <w:p>
            <w:pPr>
              <w:pStyle w:val="TableContents"/>
              <w:spacing w:before="0" w:after="0"/>
              <w:jc w:val="right"/>
              <w:rPr>
                <w:color w:val="000000"/>
              </w:rPr>
            </w:pPr>
            <w:r>
              <w:rPr>
                <w:color w:val="000000"/>
              </w:rPr>
              <w:t>18,192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c>
          <w:tcPr>
            <w:tcW w:w="1196" w:type="dxa"/>
            <w:tcBorders/>
            <w:shd w:fill="CCEEFF" w:val="clear"/>
            <w:vAlign w:val="bottom"/>
          </w:tcPr>
          <w:p>
            <w:pPr>
              <w:pStyle w:val="TableContents"/>
              <w:spacing w:before="0" w:after="0"/>
              <w:jc w:val="right"/>
              <w:rPr>
                <w:color w:val="000000"/>
              </w:rPr>
            </w:pPr>
            <w:r>
              <w:rPr>
                <w:color w:val="000000"/>
              </w:rPr>
              <w:t>34,920</w:t>
            </w:r>
          </w:p>
        </w:tc>
        <w:tc>
          <w:tcPr>
            <w:tcW w:w="112" w:type="dxa"/>
            <w:tcBorders/>
            <w:shd w:fill="CCEEFF" w:val="clear"/>
            <w:vAlign w:val="bottom"/>
          </w:tcPr>
          <w:p>
            <w:pPr>
              <w:pStyle w:val="TableContents"/>
              <w:spacing w:before="0" w:after="283"/>
              <w:jc w:val="left"/>
              <w:rPr/>
            </w:pPr>
            <w:r>
              <w:rPr/>
              <w:t> </w:t>
            </w:r>
          </w:p>
        </w:tc>
      </w:tr>
      <w:tr>
        <w:trPr/>
        <w:tc>
          <w:tcPr>
            <w:tcW w:w="7515" w:type="dxa"/>
            <w:tcBorders/>
            <w:shd w:fill="auto" w:val="clear"/>
            <w:vAlign w:val="bottom"/>
          </w:tcPr>
          <w:p>
            <w:pPr>
              <w:pStyle w:val="TableContents"/>
              <w:spacing w:before="0" w:after="0"/>
              <w:ind w:left="360" w:right="0" w:hanging="180"/>
              <w:rPr>
                <w:color w:val="000000"/>
              </w:rPr>
            </w:pPr>
            <w:r>
              <w:rPr>
                <w:color w:val="000000"/>
              </w:rPr>
              <w:t>Custodian fees</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0"/>
              <w:jc w:val="right"/>
              <w:rPr>
                <w:color w:val="000000"/>
              </w:rPr>
            </w:pPr>
            <w:r>
              <w:rPr>
                <w:color w:val="000000"/>
              </w:rPr>
              <w:t>12,000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0"/>
              <w:jc w:val="right"/>
              <w:rPr>
                <w:color w:val="000000"/>
              </w:rPr>
            </w:pPr>
            <w:r>
              <w:rPr>
                <w:color w:val="000000"/>
              </w:rPr>
              <w:t>12,000</w:t>
            </w:r>
          </w:p>
        </w:tc>
        <w:tc>
          <w:tcPr>
            <w:tcW w:w="112" w:type="dxa"/>
            <w:tcBorders/>
            <w:shd w:fill="auto" w:val="clear"/>
            <w:vAlign w:val="bottom"/>
          </w:tcPr>
          <w:p>
            <w:pPr>
              <w:pStyle w:val="TableContents"/>
              <w:spacing w:before="0" w:after="283"/>
              <w:jc w:val="left"/>
              <w:rPr/>
            </w:pPr>
            <w:r>
              <w:rPr/>
              <w:t> </w:t>
            </w:r>
          </w:p>
        </w:tc>
      </w:tr>
      <w:tr>
        <w:trPr/>
        <w:tc>
          <w:tcPr>
            <w:tcW w:w="7515" w:type="dxa"/>
            <w:tcBorders/>
            <w:shd w:fill="CCEEFF" w:val="clear"/>
            <w:vAlign w:val="bottom"/>
          </w:tcPr>
          <w:p>
            <w:pPr>
              <w:pStyle w:val="TableContents"/>
              <w:spacing w:before="0" w:after="0"/>
              <w:ind w:left="360" w:right="0" w:hanging="180"/>
              <w:rPr>
                <w:color w:val="000000"/>
              </w:rPr>
            </w:pPr>
            <w:r>
              <w:rPr>
                <w:color w:val="000000"/>
              </w:rPr>
              <w:t>Organizational expenses</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c>
          <w:tcPr>
            <w:tcW w:w="1196"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c>
          <w:tcPr>
            <w:tcW w:w="1196" w:type="dxa"/>
            <w:tcBorders/>
            <w:shd w:fill="CCEEFF" w:val="clear"/>
            <w:vAlign w:val="bottom"/>
          </w:tcPr>
          <w:p>
            <w:pPr>
              <w:pStyle w:val="TableContents"/>
              <w:spacing w:before="0" w:after="0"/>
              <w:jc w:val="right"/>
              <w:rPr>
                <w:color w:val="000000"/>
              </w:rPr>
            </w:pPr>
            <w:r>
              <w:rPr>
                <w:color w:val="000000"/>
              </w:rPr>
              <w:t>34,168</w:t>
            </w:r>
          </w:p>
        </w:tc>
        <w:tc>
          <w:tcPr>
            <w:tcW w:w="112" w:type="dxa"/>
            <w:tcBorders/>
            <w:shd w:fill="CCEEFF" w:val="clear"/>
            <w:vAlign w:val="bottom"/>
          </w:tcPr>
          <w:p>
            <w:pPr>
              <w:pStyle w:val="TableContents"/>
              <w:spacing w:before="0" w:after="283"/>
              <w:jc w:val="left"/>
              <w:rPr/>
            </w:pPr>
            <w:r>
              <w:rPr/>
              <w:t> </w:t>
            </w:r>
          </w:p>
        </w:tc>
      </w:tr>
      <w:tr>
        <w:trPr/>
        <w:tc>
          <w:tcPr>
            <w:tcW w:w="7515" w:type="dxa"/>
            <w:tcBorders/>
            <w:shd w:fill="auto" w:val="clear"/>
            <w:vAlign w:val="bottom"/>
          </w:tcPr>
          <w:p>
            <w:pPr>
              <w:pStyle w:val="TableContents"/>
              <w:spacing w:before="0" w:after="0"/>
              <w:ind w:left="360" w:right="0" w:hanging="180"/>
              <w:rPr>
                <w:color w:val="000000"/>
              </w:rPr>
            </w:pPr>
            <w:r>
              <w:rPr>
                <w:color w:val="000000"/>
              </w:rPr>
              <w:t>Other expenses</w:t>
            </w:r>
          </w:p>
        </w:tc>
        <w:tc>
          <w:tcPr>
            <w:tcW w:w="60" w:type="dxa"/>
            <w:tcBorders/>
            <w:shd w:fill="auto" w:val="clear"/>
            <w:vAlign w:val="bottom"/>
          </w:tcPr>
          <w:p>
            <w:pPr>
              <w:pStyle w:val="TableContents"/>
              <w:spacing w:before="0" w:after="283"/>
              <w:jc w:val="right"/>
              <w:rPr/>
            </w:pPr>
            <w:r>
              <w:rPr/>
              <w:t> </w:t>
            </w:r>
          </w:p>
        </w:tc>
        <w:tc>
          <w:tcPr>
            <w:tcW w:w="17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9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19,504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9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6,808</w:t>
            </w:r>
          </w:p>
        </w:tc>
        <w:tc>
          <w:tcPr>
            <w:tcW w:w="112" w:type="dxa"/>
            <w:tcBorders/>
            <w:shd w:fill="auto" w:val="clear"/>
            <w:vAlign w:val="bottom"/>
          </w:tcPr>
          <w:p>
            <w:pPr>
              <w:pStyle w:val="TableContents"/>
              <w:spacing w:before="0" w:after="283"/>
              <w:jc w:val="left"/>
              <w:rPr/>
            </w:pPr>
            <w:r>
              <w:rPr/>
              <w:t> </w:t>
            </w:r>
          </w:p>
        </w:tc>
      </w:tr>
      <w:tr>
        <w:trPr/>
        <w:tc>
          <w:tcPr>
            <w:tcW w:w="7515" w:type="dxa"/>
            <w:tcBorders/>
            <w:shd w:fill="CCEEFF" w:val="clear"/>
            <w:vAlign w:val="bottom"/>
          </w:tcPr>
          <w:p>
            <w:pPr>
              <w:pStyle w:val="TableContents"/>
              <w:spacing w:before="0" w:after="0"/>
              <w:ind w:left="180" w:right="0" w:hanging="180"/>
              <w:rPr>
                <w:b/>
                <w:color w:val="000000"/>
              </w:rPr>
            </w:pPr>
            <w:r>
              <w:rPr>
                <w:b/>
                <w:color w:val="000000"/>
              </w:rPr>
              <w:t>Total expenses</w:t>
            </w:r>
          </w:p>
        </w:tc>
        <w:tc>
          <w:tcPr>
            <w:tcW w:w="60" w:type="dxa"/>
            <w:tcBorders/>
            <w:shd w:fill="CCEEFF" w:val="clear"/>
            <w:vAlign w:val="bottom"/>
          </w:tcPr>
          <w:p>
            <w:pPr>
              <w:pStyle w:val="TableContents"/>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96"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1,087,116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96"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225,604</w:t>
            </w:r>
          </w:p>
        </w:tc>
        <w:tc>
          <w:tcPr>
            <w:tcW w:w="112" w:type="dxa"/>
            <w:tcBorders/>
            <w:shd w:fill="CCEEFF" w:val="clear"/>
            <w:vAlign w:val="bottom"/>
          </w:tcPr>
          <w:p>
            <w:pPr>
              <w:pStyle w:val="TableContents"/>
              <w:spacing w:before="0" w:after="283"/>
              <w:jc w:val="left"/>
              <w:rPr/>
            </w:pPr>
            <w:r>
              <w:rPr/>
              <w:t> </w:t>
            </w:r>
          </w:p>
        </w:tc>
      </w:tr>
      <w:tr>
        <w:trPr/>
        <w:tc>
          <w:tcPr>
            <w:tcW w:w="7515" w:type="dxa"/>
            <w:tcBorders/>
            <w:shd w:fill="auto" w:val="clear"/>
            <w:vAlign w:val="bottom"/>
          </w:tcPr>
          <w:p>
            <w:pPr>
              <w:pStyle w:val="TableContents"/>
              <w:spacing w:before="0" w:after="0"/>
              <w:ind w:left="180" w:right="0" w:hanging="180"/>
              <w:rPr/>
            </w:pPr>
            <w:r>
              <w:rPr/>
              <w:t> </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12" w:type="dxa"/>
            <w:tcBorders/>
            <w:shd w:fill="auto" w:val="clear"/>
            <w:vAlign w:val="bottom"/>
          </w:tcPr>
          <w:p>
            <w:pPr>
              <w:pStyle w:val="TableContents"/>
              <w:spacing w:before="0" w:after="283"/>
              <w:jc w:val="left"/>
              <w:rPr/>
            </w:pPr>
            <w:r>
              <w:rPr/>
              <w:t> </w:t>
            </w:r>
          </w:p>
        </w:tc>
      </w:tr>
      <w:tr>
        <w:trPr/>
        <w:tc>
          <w:tcPr>
            <w:tcW w:w="7515" w:type="dxa"/>
            <w:tcBorders/>
            <w:shd w:fill="CCEEFF" w:val="clear"/>
            <w:vAlign w:val="bottom"/>
          </w:tcPr>
          <w:p>
            <w:pPr>
              <w:pStyle w:val="TableContents"/>
              <w:spacing w:before="0" w:after="0"/>
              <w:ind w:left="180" w:right="0" w:hanging="180"/>
              <w:rPr>
                <w:b/>
                <w:color w:val="000000"/>
              </w:rPr>
            </w:pPr>
            <w:r>
              <w:rPr>
                <w:b/>
                <w:color w:val="000000"/>
              </w:rPr>
              <w:t>NET INVESTMENT INCOME (LOSS)</w:t>
            </w:r>
          </w:p>
        </w:tc>
        <w:tc>
          <w:tcPr>
            <w:tcW w:w="60" w:type="dxa"/>
            <w:tcBorders/>
            <w:shd w:fill="CCEEFF" w:val="clear"/>
            <w:vAlign w:val="bottom"/>
          </w:tcPr>
          <w:p>
            <w:pPr>
              <w:pStyle w:val="TableContents"/>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96"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1,370,723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96"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(215,531</w:t>
            </w:r>
          </w:p>
        </w:tc>
        <w:tc>
          <w:tcPr>
            <w:tcW w:w="112" w:type="dxa"/>
            <w:tcBorders/>
            <w:shd w:fill="CCEEFF" w:val="clear"/>
            <w:vAlign w:val="bottom"/>
          </w:tcPr>
          <w:p>
            <w:pPr>
              <w:pStyle w:val="TableContents"/>
              <w:spacing w:before="0" w:after="0"/>
              <w:jc w:val="left"/>
              <w:rPr>
                <w:color w:val="000000"/>
              </w:rPr>
            </w:pPr>
            <w:r>
              <w:rPr>
                <w:color w:val="000000"/>
              </w:rPr>
              <w:t>)</w:t>
            </w:r>
          </w:p>
        </w:tc>
      </w:tr>
      <w:tr>
        <w:trPr/>
        <w:tc>
          <w:tcPr>
            <w:tcW w:w="7515" w:type="dxa"/>
            <w:tcBorders/>
            <w:shd w:fill="auto" w:val="clear"/>
            <w:vAlign w:val="bottom"/>
          </w:tcPr>
          <w:p>
            <w:pPr>
              <w:pStyle w:val="TableContents"/>
              <w:spacing w:before="0" w:after="0"/>
              <w:ind w:left="180" w:right="0" w:hanging="180"/>
              <w:rPr/>
            </w:pPr>
            <w:r>
              <w:rPr/>
              <w:t> </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12" w:type="dxa"/>
            <w:tcBorders/>
            <w:shd w:fill="auto" w:val="clear"/>
            <w:vAlign w:val="bottom"/>
          </w:tcPr>
          <w:p>
            <w:pPr>
              <w:pStyle w:val="TableContents"/>
              <w:spacing w:before="0" w:after="283"/>
              <w:jc w:val="left"/>
              <w:rPr/>
            </w:pPr>
            <w:r>
              <w:rPr/>
              <w:t> </w:t>
            </w:r>
          </w:p>
        </w:tc>
      </w:tr>
      <w:tr>
        <w:trPr/>
        <w:tc>
          <w:tcPr>
            <w:tcW w:w="7515" w:type="dxa"/>
            <w:tcBorders/>
            <w:shd w:fill="CCEEFF" w:val="clear"/>
            <w:vAlign w:val="bottom"/>
          </w:tcPr>
          <w:p>
            <w:pPr>
              <w:pStyle w:val="TableContents"/>
              <w:spacing w:before="0" w:after="0"/>
              <w:ind w:left="180" w:right="0" w:hanging="180"/>
              <w:rPr>
                <w:b/>
              </w:rPr>
            </w:pPr>
            <w:r>
              <w:rPr>
                <w:b/>
              </w:rPr>
              <w:t>NET REALIZED GAIN (LOSS) FROM INVESTMENTS</w:t>
            </w:r>
          </w:p>
        </w:tc>
        <w:tc>
          <w:tcPr>
            <w:tcW w:w="60" w:type="dxa"/>
            <w:tcBorders/>
            <w:shd w:fill="CCEEFF" w:val="clear"/>
            <w:vAlign w:val="bottom"/>
          </w:tcPr>
          <w:p>
            <w:pPr>
              <w:pStyle w:val="TableContents"/>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96" w:type="dxa"/>
            <w:tcBorders>
              <w:bottom w:val="single" w:sz="12" w:space="0" w:color="000000"/>
            </w:tcBorders>
            <w:shd w:fill="CCEEFF" w:val="clear"/>
            <w:tcMar>
              <w:bottom w:w="28" w:type="dxa"/>
            </w:tcMar>
            <w:vAlign w:val="bottom"/>
          </w:tcPr>
          <w:p>
            <w:pPr>
              <w:pStyle w:val="TableContents"/>
              <w:spacing w:before="0" w:after="0"/>
              <w:rPr/>
            </w:pPr>
            <w:r>
              <w:rPr/>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96" w:type="dxa"/>
            <w:tcBorders>
              <w:bottom w:val="single" w:sz="12" w:space="0" w:color="000000"/>
            </w:tcBorders>
            <w:shd w:fill="CCEEFF" w:val="clear"/>
            <w:tcMar>
              <w:bottom w:w="28" w:type="dxa"/>
            </w:tcMar>
            <w:vAlign w:val="bottom"/>
          </w:tcPr>
          <w:p>
            <w:pPr>
              <w:pStyle w:val="TableContents"/>
              <w:spacing w:before="0" w:after="0"/>
              <w:rPr/>
            </w:pPr>
            <w:r>
              <w:rPr/>
            </w:r>
          </w:p>
        </w:tc>
        <w:tc>
          <w:tcPr>
            <w:tcW w:w="112" w:type="dxa"/>
            <w:tcBorders/>
            <w:shd w:fill="CCEEFF" w:val="clear"/>
            <w:vAlign w:val="bottom"/>
          </w:tcPr>
          <w:p>
            <w:pPr>
              <w:pStyle w:val="TableContents"/>
              <w:spacing w:before="0" w:after="283"/>
              <w:jc w:val="left"/>
              <w:rPr/>
            </w:pPr>
            <w:r>
              <w:rPr/>
              <w:t> </w:t>
            </w:r>
          </w:p>
        </w:tc>
      </w:tr>
      <w:tr>
        <w:trPr/>
        <w:tc>
          <w:tcPr>
            <w:tcW w:w="7515" w:type="dxa"/>
            <w:tcBorders/>
            <w:shd w:fill="auto" w:val="clear"/>
            <w:vAlign w:val="bottom"/>
          </w:tcPr>
          <w:p>
            <w:pPr>
              <w:pStyle w:val="TableContents"/>
              <w:spacing w:before="0" w:after="0"/>
              <w:ind w:left="180" w:right="0" w:hanging="180"/>
              <w:rPr>
                <w:b/>
              </w:rPr>
            </w:pPr>
            <w:r>
              <w:rPr>
                <w:b/>
              </w:rPr>
              <w:t>Net realized gain (loss) from investments</w:t>
            </w:r>
          </w:p>
        </w:tc>
        <w:tc>
          <w:tcPr>
            <w:tcW w:w="60" w:type="dxa"/>
            <w:tcBorders/>
            <w:shd w:fill="auto" w:val="clear"/>
            <w:vAlign w:val="bottom"/>
          </w:tcPr>
          <w:p>
            <w:pPr>
              <w:pStyle w:val="TableContents"/>
              <w:spacing w:before="0" w:after="283"/>
              <w:jc w:val="right"/>
              <w:rPr/>
            </w:pPr>
            <w:r>
              <w:rPr/>
              <w:t> </w:t>
            </w:r>
          </w:p>
        </w:tc>
        <w:tc>
          <w:tcPr>
            <w:tcW w:w="17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96" w:type="dxa"/>
            <w:tcBorders>
              <w:bottom w:val="single" w:sz="12" w:space="0" w:color="000000"/>
            </w:tcBorders>
            <w:shd w:fill="auto" w:val="clear"/>
            <w:tcMar>
              <w:bottom w:w="28" w:type="dxa"/>
            </w:tcM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96" w:type="dxa"/>
            <w:tcBorders>
              <w:bottom w:val="single" w:sz="12" w:space="0" w:color="000000"/>
            </w:tcBorders>
            <w:shd w:fill="auto" w:val="clear"/>
            <w:tcMar>
              <w:bottom w:w="28" w:type="dxa"/>
            </w:tcMar>
            <w:vAlign w:val="bottom"/>
          </w:tcPr>
          <w:p>
            <w:pPr>
              <w:pStyle w:val="TableContents"/>
              <w:spacing w:before="0" w:after="0"/>
              <w:jc w:val="right"/>
              <w:rPr/>
            </w:pPr>
            <w:r>
              <w:rPr/>
              <w:t>-</w:t>
            </w:r>
          </w:p>
        </w:tc>
        <w:tc>
          <w:tcPr>
            <w:tcW w:w="112" w:type="dxa"/>
            <w:tcBorders/>
            <w:shd w:fill="auto" w:val="clear"/>
            <w:vAlign w:val="bottom"/>
          </w:tcPr>
          <w:p>
            <w:pPr>
              <w:pStyle w:val="TableContents"/>
              <w:spacing w:before="0" w:after="283"/>
              <w:jc w:val="left"/>
              <w:rPr/>
            </w:pPr>
            <w:r>
              <w:rPr/>
              <w:t> </w:t>
            </w:r>
          </w:p>
        </w:tc>
      </w:tr>
      <w:tr>
        <w:trPr/>
        <w:tc>
          <w:tcPr>
            <w:tcW w:w="7515" w:type="dxa"/>
            <w:tcBorders/>
            <w:shd w:fill="CCEEFF" w:val="clear"/>
            <w:vAlign w:val="bottom"/>
          </w:tcPr>
          <w:p>
            <w:pPr>
              <w:pStyle w:val="TableContents"/>
              <w:spacing w:before="0" w:after="0"/>
              <w:ind w:left="180" w:right="0" w:hanging="180"/>
              <w:rPr/>
            </w:pPr>
            <w:r>
              <w:rPr/>
              <w:t> </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c>
          <w:tcPr>
            <w:tcW w:w="119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c>
          <w:tcPr>
            <w:tcW w:w="11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r>
      <w:tr>
        <w:trPr/>
        <w:tc>
          <w:tcPr>
            <w:tcW w:w="7515" w:type="dxa"/>
            <w:tcBorders/>
            <w:shd w:fill="auto" w:val="clear"/>
            <w:vAlign w:val="bottom"/>
          </w:tcPr>
          <w:p>
            <w:pPr>
              <w:pStyle w:val="TableContents"/>
              <w:spacing w:before="0" w:after="0"/>
              <w:ind w:left="180" w:right="0" w:hanging="180"/>
              <w:rPr>
                <w:b/>
              </w:rPr>
            </w:pPr>
            <w:r>
              <w:rPr>
                <w:b/>
              </w:rPr>
              <w:t>NET CHANGE IN UNREALIZED APPRECIATION (DEPRECIATION) ON INVESTMENTS</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12" w:type="dxa"/>
            <w:tcBorders/>
            <w:shd w:fill="auto" w:val="clear"/>
            <w:vAlign w:val="bottom"/>
          </w:tcPr>
          <w:p>
            <w:pPr>
              <w:pStyle w:val="TableContents"/>
              <w:spacing w:before="0" w:after="283"/>
              <w:jc w:val="left"/>
              <w:rPr/>
            </w:pPr>
            <w:r>
              <w:rPr/>
              <w:t> </w:t>
            </w:r>
          </w:p>
        </w:tc>
      </w:tr>
      <w:tr>
        <w:trPr/>
        <w:tc>
          <w:tcPr>
            <w:tcW w:w="7515" w:type="dxa"/>
            <w:tcBorders/>
            <w:shd w:fill="CCEEFF" w:val="clear"/>
            <w:vAlign w:val="bottom"/>
          </w:tcPr>
          <w:p>
            <w:pPr>
              <w:pStyle w:val="TableContents"/>
              <w:spacing w:before="0" w:after="0"/>
              <w:ind w:left="360" w:right="0" w:hanging="180"/>
              <w:rPr/>
            </w:pPr>
            <w:r>
              <w:rPr/>
              <w:t>Non-controlled/non-affiliate investments</w:t>
            </w:r>
          </w:p>
        </w:tc>
        <w:tc>
          <w:tcPr>
            <w:tcW w:w="60" w:type="dxa"/>
            <w:tcBorders/>
            <w:shd w:fill="CCEEFF" w:val="clear"/>
            <w:vAlign w:val="bottom"/>
          </w:tcPr>
          <w:p>
            <w:pPr>
              <w:pStyle w:val="TableContents"/>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96" w:type="dxa"/>
            <w:tcBorders>
              <w:bottom w:val="single" w:sz="12" w:space="0" w:color="000000"/>
            </w:tcBorders>
            <w:shd w:fill="CCEEFF" w:val="clear"/>
            <w:tcMar>
              <w:bottom w:w="28" w:type="dxa"/>
            </w:tcMar>
            <w:vAlign w:val="bottom"/>
          </w:tcPr>
          <w:p>
            <w:pPr>
              <w:pStyle w:val="TableContents"/>
              <w:spacing w:before="0" w:after="0"/>
              <w:jc w:val="right"/>
              <w:rPr/>
            </w:pPr>
            <w:r>
              <w:rPr/>
              <w:t>986,357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96"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112" w:type="dxa"/>
            <w:tcBorders/>
            <w:shd w:fill="CCEEFF" w:val="clear"/>
            <w:vAlign w:val="bottom"/>
          </w:tcPr>
          <w:p>
            <w:pPr>
              <w:pStyle w:val="TableContents"/>
              <w:spacing w:before="0" w:after="283"/>
              <w:jc w:val="left"/>
              <w:rPr/>
            </w:pPr>
            <w:r>
              <w:rPr/>
              <w:t> </w:t>
            </w:r>
          </w:p>
        </w:tc>
      </w:tr>
      <w:tr>
        <w:trPr/>
        <w:tc>
          <w:tcPr>
            <w:tcW w:w="7515" w:type="dxa"/>
            <w:tcBorders/>
            <w:shd w:fill="auto" w:val="clear"/>
            <w:vAlign w:val="bottom"/>
          </w:tcPr>
          <w:p>
            <w:pPr>
              <w:pStyle w:val="TableContents"/>
              <w:spacing w:before="0" w:after="0"/>
              <w:ind w:left="180" w:right="0" w:hanging="180"/>
              <w:rPr>
                <w:b/>
              </w:rPr>
            </w:pPr>
            <w:r>
              <w:rPr>
                <w:b/>
              </w:rPr>
              <w:t>Net change in unrealized appreciation/(depreciation) on investments</w:t>
            </w:r>
          </w:p>
        </w:tc>
        <w:tc>
          <w:tcPr>
            <w:tcW w:w="60" w:type="dxa"/>
            <w:tcBorders/>
            <w:shd w:fill="auto" w:val="clear"/>
            <w:vAlign w:val="bottom"/>
          </w:tcPr>
          <w:p>
            <w:pPr>
              <w:pStyle w:val="TableContents"/>
              <w:spacing w:before="0" w:after="283"/>
              <w:jc w:val="right"/>
              <w:rPr/>
            </w:pPr>
            <w:r>
              <w:rPr/>
              <w:t> </w:t>
            </w:r>
          </w:p>
        </w:tc>
        <w:tc>
          <w:tcPr>
            <w:tcW w:w="17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96" w:type="dxa"/>
            <w:tcBorders>
              <w:bottom w:val="single" w:sz="12" w:space="0" w:color="000000"/>
            </w:tcBorders>
            <w:shd w:fill="auto" w:val="clear"/>
            <w:tcMar>
              <w:bottom w:w="28" w:type="dxa"/>
            </w:tcMar>
            <w:vAlign w:val="bottom"/>
          </w:tcPr>
          <w:p>
            <w:pPr>
              <w:pStyle w:val="TableContents"/>
              <w:spacing w:before="0" w:after="0"/>
              <w:jc w:val="right"/>
              <w:rPr/>
            </w:pPr>
            <w:r>
              <w:rPr/>
              <w:t>986,357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96" w:type="dxa"/>
            <w:tcBorders>
              <w:bottom w:val="single" w:sz="12" w:space="0" w:color="000000"/>
            </w:tcBorders>
            <w:shd w:fill="auto" w:val="clear"/>
            <w:tcMar>
              <w:bottom w:w="28" w:type="dxa"/>
            </w:tcMar>
            <w:vAlign w:val="bottom"/>
          </w:tcPr>
          <w:p>
            <w:pPr>
              <w:pStyle w:val="TableContents"/>
              <w:spacing w:before="0" w:after="0"/>
              <w:jc w:val="right"/>
              <w:rPr/>
            </w:pPr>
            <w:r>
              <w:rPr/>
              <w:t>-</w:t>
            </w:r>
          </w:p>
        </w:tc>
        <w:tc>
          <w:tcPr>
            <w:tcW w:w="112" w:type="dxa"/>
            <w:tcBorders/>
            <w:shd w:fill="auto" w:val="clear"/>
            <w:vAlign w:val="bottom"/>
          </w:tcPr>
          <w:p>
            <w:pPr>
              <w:pStyle w:val="TableContents"/>
              <w:spacing w:before="0" w:after="283"/>
              <w:jc w:val="left"/>
              <w:rPr/>
            </w:pPr>
            <w:r>
              <w:rPr/>
              <w:t> </w:t>
            </w:r>
          </w:p>
        </w:tc>
      </w:tr>
      <w:tr>
        <w:trPr/>
        <w:tc>
          <w:tcPr>
            <w:tcW w:w="7515" w:type="dxa"/>
            <w:tcBorders/>
            <w:shd w:fill="CCEEFF" w:val="clear"/>
            <w:vAlign w:val="bottom"/>
          </w:tcPr>
          <w:p>
            <w:pPr>
              <w:pStyle w:val="TableContents"/>
              <w:spacing w:before="0" w:after="0"/>
              <w:ind w:left="180" w:right="0" w:hanging="180"/>
              <w:rPr/>
            </w:pPr>
            <w:r>
              <w:rPr/>
              <w:t> </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c>
          <w:tcPr>
            <w:tcW w:w="119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c>
          <w:tcPr>
            <w:tcW w:w="11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r>
      <w:tr>
        <w:trPr/>
        <w:tc>
          <w:tcPr>
            <w:tcW w:w="7515" w:type="dxa"/>
            <w:tcBorders/>
            <w:shd w:fill="auto" w:val="clear"/>
            <w:vAlign w:val="bottom"/>
          </w:tcPr>
          <w:p>
            <w:pPr>
              <w:pStyle w:val="TableContents"/>
              <w:spacing w:before="0" w:after="0"/>
              <w:ind w:left="180" w:right="0" w:hanging="180"/>
              <w:rPr>
                <w:b/>
              </w:rPr>
            </w:pPr>
            <w:r>
              <w:rPr>
                <w:b/>
              </w:rPr>
              <w:t>NET INCREASE (DECREASE) IN NET ASSETS RESULTING FROM OPERATIONS</w:t>
            </w:r>
          </w:p>
        </w:tc>
        <w:tc>
          <w:tcPr>
            <w:tcW w:w="60" w:type="dxa"/>
            <w:tcBorders/>
            <w:shd w:fill="auto" w:val="clear"/>
            <w:vAlign w:val="bottom"/>
          </w:tcPr>
          <w:p>
            <w:pPr>
              <w:pStyle w:val="TableContents"/>
              <w:spacing w:before="0" w:after="283"/>
              <w:jc w:val="right"/>
              <w:rPr/>
            </w:pPr>
            <w:r>
              <w:rPr/>
              <w:t> </w:t>
            </w:r>
          </w:p>
        </w:tc>
        <w:tc>
          <w:tcPr>
            <w:tcW w:w="170"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196"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2,357,080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0"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196"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(215,531</w:t>
            </w:r>
          </w:p>
        </w:tc>
        <w:tc>
          <w:tcPr>
            <w:tcW w:w="112" w:type="dxa"/>
            <w:tcBorders/>
            <w:shd w:fill="auto" w:val="clear"/>
            <w:vAlign w:val="bottom"/>
          </w:tcPr>
          <w:p>
            <w:pPr>
              <w:pStyle w:val="TableContents"/>
              <w:spacing w:before="0" w:after="0"/>
              <w:jc w:val="left"/>
              <w:rPr>
                <w:color w:val="000000"/>
              </w:rPr>
            </w:pPr>
            <w:r>
              <w:rPr>
                <w:color w:val="000000"/>
              </w:rPr>
              <w:t>)</w:t>
            </w:r>
          </w:p>
        </w:tc>
      </w:tr>
      <w:tr>
        <w:trPr/>
        <w:tc>
          <w:tcPr>
            <w:tcW w:w="7515" w:type="dxa"/>
            <w:tcBorders/>
            <w:shd w:fill="CCEEFF" w:val="clear"/>
            <w:vAlign w:val="bottom"/>
          </w:tcPr>
          <w:p>
            <w:pPr>
              <w:pStyle w:val="TableContents"/>
              <w:spacing w:before="0" w:after="0"/>
              <w:ind w:left="180" w:right="0" w:hanging="180"/>
              <w:rPr/>
            </w:pPr>
            <w:r>
              <w:rPr/>
              <w:t> </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c>
          <w:tcPr>
            <w:tcW w:w="119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283"/>
              <w:jc w:val="left"/>
              <w:rPr/>
            </w:pPr>
            <w:r>
              <w:rPr/>
              <w:t> </w:t>
            </w:r>
          </w:p>
        </w:tc>
        <w:tc>
          <w:tcPr>
            <w:tcW w:w="11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r>
      <w:tr>
        <w:trPr/>
        <w:tc>
          <w:tcPr>
            <w:tcW w:w="7515" w:type="dxa"/>
            <w:tcBorders/>
            <w:shd w:fill="auto" w:val="clear"/>
            <w:vAlign w:val="bottom"/>
          </w:tcPr>
          <w:p>
            <w:pPr>
              <w:pStyle w:val="TableContents"/>
              <w:spacing w:before="0" w:after="0"/>
              <w:ind w:left="180" w:right="0" w:hanging="180"/>
              <w:rPr/>
            </w:pPr>
            <w:r>
              <w:rPr/>
              <w:t>NET INVESTMENT INCOME (LOSS) PER SHARE — BASIC AND DILUTED</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0"/>
              <w:jc w:val="left"/>
              <w:rPr/>
            </w:pPr>
            <w:r>
              <w:rPr/>
              <w:t>$</w:t>
            </w:r>
          </w:p>
        </w:tc>
        <w:tc>
          <w:tcPr>
            <w:tcW w:w="1196" w:type="dxa"/>
            <w:tcBorders/>
            <w:shd w:fill="auto" w:val="clear"/>
            <w:vAlign w:val="bottom"/>
          </w:tcPr>
          <w:p>
            <w:pPr>
              <w:pStyle w:val="TableContents"/>
              <w:spacing w:before="0" w:after="0"/>
              <w:jc w:val="right"/>
              <w:rPr/>
            </w:pPr>
            <w:r>
              <w:rPr/>
              <w:t>0.22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0"/>
              <w:jc w:val="left"/>
              <w:rPr/>
            </w:pPr>
            <w:r>
              <w:rPr/>
              <w:t>$</w:t>
            </w:r>
          </w:p>
        </w:tc>
        <w:tc>
          <w:tcPr>
            <w:tcW w:w="1196" w:type="dxa"/>
            <w:tcBorders/>
            <w:shd w:fill="auto" w:val="clear"/>
            <w:vAlign w:val="bottom"/>
          </w:tcPr>
          <w:p>
            <w:pPr>
              <w:pStyle w:val="TableContents"/>
              <w:spacing w:before="0" w:after="0"/>
              <w:jc w:val="right"/>
              <w:rPr/>
            </w:pPr>
            <w:r>
              <w:rPr/>
              <w:t>(0.06</w:t>
            </w:r>
          </w:p>
        </w:tc>
        <w:tc>
          <w:tcPr>
            <w:tcW w:w="112" w:type="dxa"/>
            <w:tcBorders/>
            <w:shd w:fill="auto" w:val="clear"/>
            <w:vAlign w:val="bottom"/>
          </w:tcPr>
          <w:p>
            <w:pPr>
              <w:pStyle w:val="TableContents"/>
              <w:spacing w:before="0" w:after="0"/>
              <w:jc w:val="left"/>
              <w:rPr/>
            </w:pPr>
            <w:r>
              <w:rPr/>
              <w:t>)</w:t>
            </w:r>
          </w:p>
        </w:tc>
      </w:tr>
      <w:tr>
        <w:trPr/>
        <w:tc>
          <w:tcPr>
            <w:tcW w:w="7515" w:type="dxa"/>
            <w:tcBorders/>
            <w:shd w:fill="CCEEFF" w:val="clear"/>
            <w:vAlign w:val="bottom"/>
          </w:tcPr>
          <w:p>
            <w:pPr>
              <w:pStyle w:val="TableContents"/>
              <w:spacing w:before="0" w:after="0"/>
              <w:ind w:left="180" w:right="0" w:hanging="180"/>
              <w:rPr>
                <w:color w:val="000000"/>
              </w:rPr>
            </w:pPr>
            <w:r>
              <w:rPr>
                <w:color w:val="000000"/>
              </w:rPr>
              <w:t>NET INCREASE (DECREASE) IN NET ASSETS RESULTING FROM OPERATIONS PER SHARE — BASIC AND DILUTED</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0"/>
              <w:jc w:val="left"/>
              <w:rPr>
                <w:color w:val="000000"/>
              </w:rPr>
            </w:pPr>
            <w:r>
              <w:rPr>
                <w:color w:val="000000"/>
              </w:rPr>
              <w:t>$</w:t>
            </w:r>
          </w:p>
        </w:tc>
        <w:tc>
          <w:tcPr>
            <w:tcW w:w="1196" w:type="dxa"/>
            <w:tcBorders/>
            <w:shd w:fill="CCEEFF" w:val="clear"/>
            <w:vAlign w:val="bottom"/>
          </w:tcPr>
          <w:p>
            <w:pPr>
              <w:pStyle w:val="TableContents"/>
              <w:spacing w:before="0" w:after="0"/>
              <w:jc w:val="right"/>
              <w:rPr>
                <w:color w:val="000000"/>
              </w:rPr>
            </w:pPr>
            <w:r>
              <w:rPr>
                <w:color w:val="000000"/>
              </w:rPr>
              <w:t>0.38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0" w:type="dxa"/>
            <w:tcBorders/>
            <w:shd w:fill="CCEEFF" w:val="clear"/>
            <w:vAlign w:val="bottom"/>
          </w:tcPr>
          <w:p>
            <w:pPr>
              <w:pStyle w:val="TableContents"/>
              <w:spacing w:before="0" w:after="0"/>
              <w:jc w:val="left"/>
              <w:rPr>
                <w:color w:val="000000"/>
              </w:rPr>
            </w:pPr>
            <w:r>
              <w:rPr>
                <w:color w:val="000000"/>
              </w:rPr>
              <w:t>$</w:t>
            </w:r>
          </w:p>
        </w:tc>
        <w:tc>
          <w:tcPr>
            <w:tcW w:w="1196" w:type="dxa"/>
            <w:tcBorders/>
            <w:shd w:fill="CCEEFF" w:val="clear"/>
            <w:vAlign w:val="bottom"/>
          </w:tcPr>
          <w:p>
            <w:pPr>
              <w:pStyle w:val="TableContents"/>
              <w:spacing w:before="0" w:after="0"/>
              <w:jc w:val="right"/>
              <w:rPr>
                <w:color w:val="000000"/>
              </w:rPr>
            </w:pPr>
            <w:r>
              <w:rPr>
                <w:color w:val="000000"/>
              </w:rPr>
              <w:t>(0.06</w:t>
            </w:r>
          </w:p>
        </w:tc>
        <w:tc>
          <w:tcPr>
            <w:tcW w:w="112" w:type="dxa"/>
            <w:tcBorders/>
            <w:shd w:fill="CCEEFF" w:val="clear"/>
            <w:vAlign w:val="bottom"/>
          </w:tcPr>
          <w:p>
            <w:pPr>
              <w:pStyle w:val="TableContents"/>
              <w:spacing w:before="0" w:after="0"/>
              <w:jc w:val="left"/>
              <w:rPr>
                <w:color w:val="000000"/>
              </w:rPr>
            </w:pPr>
            <w:r>
              <w:rPr>
                <w:color w:val="000000"/>
              </w:rPr>
              <w:t>)</w:t>
            </w:r>
          </w:p>
        </w:tc>
      </w:tr>
      <w:tr>
        <w:trPr/>
        <w:tc>
          <w:tcPr>
            <w:tcW w:w="7515" w:type="dxa"/>
            <w:tcBorders/>
            <w:shd w:fill="auto" w:val="clear"/>
            <w:vAlign w:val="bottom"/>
          </w:tcPr>
          <w:p>
            <w:pPr>
              <w:pStyle w:val="TableContents"/>
              <w:spacing w:before="0" w:after="0"/>
              <w:ind w:left="180" w:right="0" w:hanging="180"/>
              <w:rPr>
                <w:color w:val="000000"/>
              </w:rPr>
            </w:pPr>
            <w:r>
              <w:rPr>
                <w:color w:val="000000"/>
              </w:rPr>
              <w:t>WEIGHTED AVERAGE SHARES OUTSTANDING — BASIC AND DILUTED</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0"/>
              <w:jc w:val="right"/>
              <w:rPr/>
            </w:pPr>
            <w:r>
              <w:rPr/>
              <w:t>6,214,672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0"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0"/>
              <w:jc w:val="right"/>
              <w:rPr/>
            </w:pPr>
            <w:r>
              <w:rPr/>
              <w:t>3,557,529</w:t>
            </w:r>
          </w:p>
        </w:tc>
        <w:tc>
          <w:tcPr>
            <w:tcW w:w="112" w:type="dxa"/>
            <w:tcBorders/>
            <w:shd w:fill="auto"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color w:val="000000"/>
          <w:sz w:val="20"/>
        </w:rPr>
      </w:pPr>
      <w:r>
        <w:rPr>
          <w:rFonts w:ascii="Times New Roman" w:hAnsi="Times New Roman"/>
          <w:color w:val="000000"/>
          <w:sz w:val="20"/>
        </w:rPr>
        <w:t>See notes to financial statements.</w:t>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SILVER SPIKE INVESTMENT CORP.</w:t>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20"/>
        </w:rPr>
      </w:pPr>
      <w:bookmarkStart w:id="6" w:name="StatementsofChangesinNetA"/>
      <w:bookmarkEnd w:id="6"/>
      <w:r>
        <w:rPr>
          <w:rFonts w:ascii="Times New Roman" w:hAnsi="Times New Roman"/>
          <w:b/>
          <w:color w:val="000000"/>
          <w:sz w:val="20"/>
        </w:rPr>
        <w:t>Statements of Changes in Net Assets</w:t>
      </w:r>
    </w:p>
    <w:p>
      <w:pPr>
        <w:pStyle w:val="TextBody"/>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spacing w:before="0" w:after="0"/>
        <w:jc w:val="left"/>
        <w:rPr>
          <w:rFonts w:ascii="Times New Roman" w:hAnsi="Times New Roman"/>
          <w:sz w:val="20"/>
        </w:rPr>
      </w:pPr>
      <w:r>
        <w:rPr>
          <w:rFonts w:ascii="Times New Roman" w:hAnsi="Times New Roman"/>
          <w:sz w:val="20"/>
        </w:rPr>
      </w:r>
    </w:p>
    <w:tbl>
      <w:tblPr>
        <w:tblW w:w="10539" w:type="dxa"/>
        <w:jc w:val="left"/>
        <w:tblInd w:w="0" w:type="dxa"/>
        <w:tblCellMar>
          <w:top w:w="0" w:type="dxa"/>
          <w:left w:w="0" w:type="dxa"/>
          <w:bottom w:w="0" w:type="dxa"/>
          <w:right w:w="0" w:type="dxa"/>
        </w:tblCellMar>
      </w:tblPr>
      <w:tblGrid>
        <w:gridCol w:w="3252"/>
        <w:gridCol w:w="60"/>
        <w:gridCol w:w="60"/>
        <w:gridCol w:w="980"/>
        <w:gridCol w:w="60"/>
        <w:gridCol w:w="60"/>
        <w:gridCol w:w="155"/>
        <w:gridCol w:w="753"/>
        <w:gridCol w:w="60"/>
        <w:gridCol w:w="60"/>
        <w:gridCol w:w="168"/>
        <w:gridCol w:w="1322"/>
        <w:gridCol w:w="60"/>
        <w:gridCol w:w="60"/>
        <w:gridCol w:w="225"/>
        <w:gridCol w:w="1585"/>
        <w:gridCol w:w="95"/>
        <w:gridCol w:w="60"/>
        <w:gridCol w:w="156"/>
        <w:gridCol w:w="1229"/>
        <w:gridCol w:w="79"/>
      </w:tblGrid>
      <w:tr>
        <w:trPr/>
        <w:tc>
          <w:tcPr>
            <w:tcW w:w="3252" w:type="dxa"/>
            <w:tcBorders/>
            <w:shd w:fill="auto" w:val="clear"/>
            <w:vAlign w:val="bottom"/>
          </w:tcPr>
          <w:p>
            <w:pPr>
              <w:pStyle w:val="TableContents"/>
              <w:spacing w:before="0" w:after="0"/>
              <w:ind w:left="180" w:right="0" w:hanging="180"/>
              <w:rPr/>
            </w:pPr>
            <w:r>
              <w:rPr/>
              <w:t> </w:t>
            </w:r>
          </w:p>
        </w:tc>
        <w:tc>
          <w:tcPr>
            <w:tcW w:w="60" w:type="dxa"/>
            <w:tcBorders/>
            <w:shd w:fill="auto" w:val="clear"/>
            <w:vAlign w:val="bottom"/>
          </w:tcPr>
          <w:p>
            <w:pPr>
              <w:pStyle w:val="TableContents"/>
              <w:spacing w:before="0" w:after="283"/>
              <w:rPr/>
            </w:pPr>
            <w:r>
              <w:rPr/>
              <w:t> </w:t>
            </w:r>
          </w:p>
        </w:tc>
        <w:tc>
          <w:tcPr>
            <w:tcW w:w="3678" w:type="dxa"/>
            <w:gridSpan w:val="10"/>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Common Stock</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81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jc w:val="left"/>
              <w:rPr/>
            </w:pPr>
            <w:r>
              <w:rPr/>
              <w:t> </w:t>
            </w:r>
          </w:p>
        </w:tc>
      </w:tr>
      <w:tr>
        <w:trPr/>
        <w:tc>
          <w:tcPr>
            <w:tcW w:w="3252" w:type="dxa"/>
            <w:tcBorders>
              <w:bottom w:val="single" w:sz="12" w:space="0" w:color="000000"/>
            </w:tcBorders>
            <w:shd w:fill="auto" w:val="clear"/>
            <w:tcMar>
              <w:bottom w:w="28" w:type="dxa"/>
            </w:tcMar>
            <w:vAlign w:val="bottom"/>
          </w:tcPr>
          <w:p>
            <w:pPr>
              <w:pStyle w:val="TableContents"/>
              <w:spacing w:before="0" w:after="0"/>
              <w:ind w:left="180" w:right="0" w:hanging="180"/>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Shares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08"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Par Value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Additional</w:t>
              <w:br/>
              <w:t>paid-in-capital</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81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Distributable Earnings/</w:t>
            </w:r>
          </w:p>
          <w:p>
            <w:pPr>
              <w:pStyle w:val="TableContents"/>
              <w:spacing w:before="0" w:after="0"/>
              <w:jc w:val="center"/>
              <w:rPr>
                <w:b/>
                <w:color w:val="000000"/>
              </w:rPr>
            </w:pPr>
            <w:r>
              <w:rPr>
                <w:b/>
                <w:color w:val="000000"/>
              </w:rPr>
              <w:t>(Accumulated Loss)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 net assets/</w:t>
            </w:r>
          </w:p>
          <w:p>
            <w:pPr>
              <w:pStyle w:val="TableContents"/>
              <w:spacing w:before="0" w:after="0"/>
              <w:jc w:val="center"/>
              <w:rPr>
                <w:b/>
                <w:color w:val="000000"/>
              </w:rPr>
            </w:pPr>
            <w:r>
              <w:rPr>
                <w:b/>
                <w:color w:val="000000"/>
              </w:rPr>
              <w:t>(net liabilities)</w:t>
            </w:r>
          </w:p>
        </w:tc>
        <w:tc>
          <w:tcPr>
            <w:tcW w:w="79" w:type="dxa"/>
            <w:tcBorders/>
            <w:shd w:fill="auto" w:val="clear"/>
            <w:vAlign w:val="bottom"/>
          </w:tcPr>
          <w:p>
            <w:pPr>
              <w:pStyle w:val="TableContents"/>
              <w:spacing w:before="0" w:after="283"/>
              <w:jc w:val="left"/>
              <w:rPr/>
            </w:pPr>
            <w:r>
              <w:rPr/>
              <w:t> </w:t>
            </w:r>
          </w:p>
        </w:tc>
      </w:tr>
      <w:tr>
        <w:trPr/>
        <w:tc>
          <w:tcPr>
            <w:tcW w:w="3252" w:type="dxa"/>
            <w:tcBorders/>
            <w:shd w:fill="CCEEFF" w:val="clear"/>
            <w:vAlign w:val="bottom"/>
          </w:tcPr>
          <w:p>
            <w:pPr>
              <w:pStyle w:val="TableContents"/>
              <w:spacing w:before="0" w:after="0"/>
              <w:ind w:left="180" w:right="0" w:hanging="180"/>
              <w:rPr>
                <w:b/>
                <w:color w:val="000000"/>
              </w:rPr>
            </w:pPr>
            <w:r>
              <w:rPr>
                <w:b/>
                <w:color w:val="000000"/>
              </w:rPr>
              <w:t>Balance, December 31, 2022</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color w:val="000000"/>
              </w:rPr>
            </w:pPr>
            <w:r>
              <w:rPr>
                <w:color w:val="000000"/>
              </w:rPr>
              <w:t>6,214,672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0"/>
              <w:jc w:val="left"/>
              <w:rPr>
                <w:color w:val="000000"/>
              </w:rPr>
            </w:pPr>
            <w:r>
              <w:rPr>
                <w:color w:val="000000"/>
              </w:rPr>
              <w:t>$</w:t>
            </w:r>
          </w:p>
        </w:tc>
        <w:tc>
          <w:tcPr>
            <w:tcW w:w="753" w:type="dxa"/>
            <w:tcBorders/>
            <w:shd w:fill="CCEEFF" w:val="clear"/>
            <w:vAlign w:val="bottom"/>
          </w:tcPr>
          <w:p>
            <w:pPr>
              <w:pStyle w:val="TableContents"/>
              <w:spacing w:before="0" w:after="0"/>
              <w:jc w:val="right"/>
              <w:rPr>
                <w:color w:val="000000"/>
              </w:rPr>
            </w:pPr>
            <w:r>
              <w:rPr>
                <w:color w:val="000000"/>
              </w:rPr>
              <w:t>62,147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0"/>
              <w:jc w:val="left"/>
              <w:rPr>
                <w:color w:val="000000"/>
              </w:rPr>
            </w:pPr>
            <w:r>
              <w:rPr>
                <w:color w:val="000000"/>
              </w:rPr>
              <w:t>$</w:t>
            </w:r>
          </w:p>
        </w:tc>
        <w:tc>
          <w:tcPr>
            <w:tcW w:w="1322" w:type="dxa"/>
            <w:tcBorders/>
            <w:shd w:fill="CCEEFF" w:val="clear"/>
            <w:vAlign w:val="bottom"/>
          </w:tcPr>
          <w:p>
            <w:pPr>
              <w:pStyle w:val="TableContents"/>
              <w:spacing w:before="0" w:after="0"/>
              <w:jc w:val="right"/>
              <w:rPr>
                <w:color w:val="000000"/>
              </w:rPr>
            </w:pPr>
            <w:r>
              <w:rPr>
                <w:color w:val="000000"/>
              </w:rPr>
              <w:t>84,917,788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5" w:type="dxa"/>
            <w:tcBorders/>
            <w:shd w:fill="CCEEFF" w:val="clear"/>
            <w:vAlign w:val="bottom"/>
          </w:tcPr>
          <w:p>
            <w:pPr>
              <w:pStyle w:val="TableContents"/>
              <w:spacing w:before="0" w:after="0"/>
              <w:jc w:val="left"/>
              <w:rPr>
                <w:color w:val="000000"/>
              </w:rPr>
            </w:pPr>
            <w:r>
              <w:rPr>
                <w:color w:val="000000"/>
              </w:rPr>
              <w:t>$</w:t>
            </w:r>
          </w:p>
        </w:tc>
        <w:tc>
          <w:tcPr>
            <w:tcW w:w="1585" w:type="dxa"/>
            <w:tcBorders/>
            <w:shd w:fill="CCEEFF" w:val="clear"/>
            <w:vAlign w:val="bottom"/>
          </w:tcPr>
          <w:p>
            <w:pPr>
              <w:pStyle w:val="TableContents"/>
              <w:spacing w:before="0" w:after="0"/>
              <w:jc w:val="right"/>
              <w:rPr>
                <w:color w:val="000000"/>
              </w:rPr>
            </w:pPr>
            <w:r>
              <w:rPr>
                <w:color w:val="000000"/>
              </w:rPr>
              <w:t>1,495,794</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0"/>
              <w:jc w:val="left"/>
              <w:rPr>
                <w:color w:val="000000"/>
              </w:rPr>
            </w:pPr>
            <w:r>
              <w:rPr>
                <w:color w:val="000000"/>
              </w:rPr>
              <w:t>$</w:t>
            </w:r>
          </w:p>
        </w:tc>
        <w:tc>
          <w:tcPr>
            <w:tcW w:w="1229" w:type="dxa"/>
            <w:tcBorders/>
            <w:shd w:fill="CCEEFF" w:val="clear"/>
            <w:vAlign w:val="bottom"/>
          </w:tcPr>
          <w:p>
            <w:pPr>
              <w:pStyle w:val="TableContents"/>
              <w:spacing w:before="0" w:after="0"/>
              <w:jc w:val="right"/>
              <w:rPr>
                <w:color w:val="000000"/>
              </w:rPr>
            </w:pPr>
            <w:r>
              <w:rPr>
                <w:color w:val="000000"/>
              </w:rPr>
              <w:t>86,475,729</w:t>
            </w:r>
          </w:p>
        </w:tc>
        <w:tc>
          <w:tcPr>
            <w:tcW w:w="79" w:type="dxa"/>
            <w:tcBorders/>
            <w:shd w:fill="CCEEFF" w:val="clear"/>
            <w:vAlign w:val="bottom"/>
          </w:tcPr>
          <w:p>
            <w:pPr>
              <w:pStyle w:val="TableContents"/>
              <w:spacing w:before="0" w:after="283"/>
              <w:jc w:val="left"/>
              <w:rPr/>
            </w:pPr>
            <w:r>
              <w:rPr/>
              <w:t> </w:t>
            </w:r>
          </w:p>
        </w:tc>
      </w:tr>
      <w:tr>
        <w:trPr/>
        <w:tc>
          <w:tcPr>
            <w:tcW w:w="3252" w:type="dxa"/>
            <w:tcBorders/>
            <w:shd w:fill="auto" w:val="clear"/>
            <w:vAlign w:val="bottom"/>
          </w:tcPr>
          <w:p>
            <w:pPr>
              <w:pStyle w:val="TableContents"/>
              <w:spacing w:before="0" w:after="0"/>
              <w:ind w:left="180" w:right="0" w:hanging="180"/>
              <w:rPr>
                <w:i/>
                <w:color w:val="000000"/>
              </w:rPr>
            </w:pPr>
            <w:r>
              <w:rPr>
                <w:i/>
                <w:color w:val="000000"/>
              </w:rPr>
              <w:t>Net increase (decrease) in net assets resulting from operations</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jc w:val="left"/>
              <w:rPr/>
            </w:pPr>
            <w:r>
              <w:rPr/>
              <w:t> </w:t>
            </w:r>
          </w:p>
        </w:tc>
        <w:tc>
          <w:tcPr>
            <w:tcW w:w="75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jc w:val="left"/>
              <w:rPr/>
            </w:pPr>
            <w:r>
              <w:rPr/>
              <w:t> </w:t>
            </w:r>
          </w:p>
        </w:tc>
        <w:tc>
          <w:tcPr>
            <w:tcW w:w="13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5" w:type="dxa"/>
            <w:tcBorders/>
            <w:shd w:fill="auto" w:val="clear"/>
            <w:vAlign w:val="bottom"/>
          </w:tcPr>
          <w:p>
            <w:pPr>
              <w:pStyle w:val="TableContents"/>
              <w:spacing w:before="0" w:after="283"/>
              <w:jc w:val="left"/>
              <w:rPr/>
            </w:pPr>
            <w:r>
              <w:rPr/>
              <w:t> </w:t>
            </w:r>
          </w:p>
        </w:tc>
        <w:tc>
          <w:tcPr>
            <w:tcW w:w="158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6" w:type="dxa"/>
            <w:tcBorders/>
            <w:shd w:fill="auto" w:val="clear"/>
            <w:vAlign w:val="bottom"/>
          </w:tcPr>
          <w:p>
            <w:pPr>
              <w:pStyle w:val="TableContents"/>
              <w:spacing w:before="0" w:after="283"/>
              <w:jc w:val="left"/>
              <w:rPr/>
            </w:pPr>
            <w:r>
              <w:rPr/>
              <w:t> </w:t>
            </w:r>
          </w:p>
        </w:tc>
        <w:tc>
          <w:tcPr>
            <w:tcW w:w="1229" w:type="dxa"/>
            <w:tcBorders/>
            <w:shd w:fill="auto" w:val="clear"/>
            <w:vAlign w:val="bottom"/>
          </w:tcPr>
          <w:p>
            <w:pPr>
              <w:pStyle w:val="TableContents"/>
              <w:spacing w:before="0" w:after="283"/>
              <w:jc w:val="right"/>
              <w:rPr/>
            </w:pPr>
            <w:r>
              <w:rPr/>
              <w:t> </w:t>
            </w:r>
          </w:p>
        </w:tc>
        <w:tc>
          <w:tcPr>
            <w:tcW w:w="79" w:type="dxa"/>
            <w:tcBorders/>
            <w:shd w:fill="auto" w:val="clear"/>
            <w:vAlign w:val="bottom"/>
          </w:tcPr>
          <w:p>
            <w:pPr>
              <w:pStyle w:val="TableContents"/>
              <w:spacing w:before="0" w:after="283"/>
              <w:jc w:val="left"/>
              <w:rPr/>
            </w:pPr>
            <w:r>
              <w:rPr/>
              <w:t> </w:t>
            </w:r>
          </w:p>
        </w:tc>
      </w:tr>
      <w:tr>
        <w:trPr/>
        <w:tc>
          <w:tcPr>
            <w:tcW w:w="3252" w:type="dxa"/>
            <w:tcBorders/>
            <w:shd w:fill="CCEEFF" w:val="clear"/>
            <w:vAlign w:val="bottom"/>
          </w:tcPr>
          <w:p>
            <w:pPr>
              <w:pStyle w:val="TableContents"/>
              <w:spacing w:before="0" w:after="0"/>
              <w:ind w:left="360" w:right="0" w:hanging="180"/>
              <w:rPr>
                <w:color w:val="000000"/>
              </w:rPr>
            </w:pPr>
            <w:r>
              <w:rPr>
                <w:color w:val="000000"/>
              </w:rPr>
              <w:t>Net investment income (loss)</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753"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jc w:val="left"/>
              <w:rPr/>
            </w:pPr>
            <w:r>
              <w:rPr/>
              <w:t> </w:t>
            </w:r>
          </w:p>
        </w:tc>
        <w:tc>
          <w:tcPr>
            <w:tcW w:w="1322"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5" w:type="dxa"/>
            <w:tcBorders/>
            <w:shd w:fill="CCEEFF" w:val="clear"/>
            <w:vAlign w:val="bottom"/>
          </w:tcPr>
          <w:p>
            <w:pPr>
              <w:pStyle w:val="TableContents"/>
              <w:spacing w:before="0" w:after="283"/>
              <w:jc w:val="left"/>
              <w:rPr/>
            </w:pPr>
            <w:r>
              <w:rPr/>
              <w:t> </w:t>
            </w:r>
          </w:p>
        </w:tc>
        <w:tc>
          <w:tcPr>
            <w:tcW w:w="1585" w:type="dxa"/>
            <w:tcBorders/>
            <w:shd w:fill="CCEEFF" w:val="clear"/>
            <w:vAlign w:val="bottom"/>
          </w:tcPr>
          <w:p>
            <w:pPr>
              <w:pStyle w:val="TableContents"/>
              <w:spacing w:before="0" w:after="0"/>
              <w:jc w:val="right"/>
              <w:rPr>
                <w:color w:val="000000"/>
              </w:rPr>
            </w:pPr>
            <w:r>
              <w:rPr>
                <w:color w:val="000000"/>
              </w:rPr>
              <w:t>1,370,723</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283"/>
              <w:jc w:val="left"/>
              <w:rPr/>
            </w:pPr>
            <w:r>
              <w:rPr/>
              <w:t> </w:t>
            </w:r>
          </w:p>
        </w:tc>
        <w:tc>
          <w:tcPr>
            <w:tcW w:w="1229" w:type="dxa"/>
            <w:tcBorders/>
            <w:shd w:fill="CCEEFF" w:val="clear"/>
            <w:vAlign w:val="bottom"/>
          </w:tcPr>
          <w:p>
            <w:pPr>
              <w:pStyle w:val="TableContents"/>
              <w:spacing w:before="0" w:after="0"/>
              <w:jc w:val="right"/>
              <w:rPr>
                <w:color w:val="000000"/>
              </w:rPr>
            </w:pPr>
            <w:r>
              <w:rPr>
                <w:color w:val="000000"/>
              </w:rPr>
              <w:t>1,370,723</w:t>
            </w:r>
          </w:p>
        </w:tc>
        <w:tc>
          <w:tcPr>
            <w:tcW w:w="79" w:type="dxa"/>
            <w:tcBorders/>
            <w:shd w:fill="CCEEFF" w:val="clear"/>
            <w:vAlign w:val="bottom"/>
          </w:tcPr>
          <w:p>
            <w:pPr>
              <w:pStyle w:val="TableContents"/>
              <w:spacing w:before="0" w:after="283"/>
              <w:jc w:val="left"/>
              <w:rPr/>
            </w:pPr>
            <w:r>
              <w:rPr/>
              <w:t> </w:t>
            </w:r>
          </w:p>
        </w:tc>
      </w:tr>
      <w:tr>
        <w:trPr/>
        <w:tc>
          <w:tcPr>
            <w:tcW w:w="3252" w:type="dxa"/>
            <w:tcBorders/>
            <w:shd w:fill="auto" w:val="clear"/>
            <w:vAlign w:val="bottom"/>
          </w:tcPr>
          <w:p>
            <w:pPr>
              <w:pStyle w:val="TableContents"/>
              <w:spacing w:before="0" w:after="0"/>
              <w:ind w:left="360" w:right="0" w:hanging="180"/>
              <w:rPr>
                <w:color w:val="000000"/>
              </w:rPr>
            </w:pPr>
            <w:r>
              <w:rPr>
                <w:color w:val="000000"/>
              </w:rPr>
              <w:t>Net realized gain (loss) from investments</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jc w:val="left"/>
              <w:rPr/>
            </w:pPr>
            <w:r>
              <w:rPr/>
              <w:t> </w:t>
            </w:r>
          </w:p>
        </w:tc>
        <w:tc>
          <w:tcPr>
            <w:tcW w:w="753"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jc w:val="left"/>
              <w:rPr/>
            </w:pPr>
            <w:r>
              <w:rPr/>
              <w:t> </w:t>
            </w:r>
          </w:p>
        </w:tc>
        <w:tc>
          <w:tcPr>
            <w:tcW w:w="1322"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5" w:type="dxa"/>
            <w:tcBorders/>
            <w:shd w:fill="auto" w:val="clear"/>
            <w:vAlign w:val="bottom"/>
          </w:tcPr>
          <w:p>
            <w:pPr>
              <w:pStyle w:val="TableContents"/>
              <w:spacing w:before="0" w:after="283"/>
              <w:jc w:val="left"/>
              <w:rPr/>
            </w:pPr>
            <w:r>
              <w:rPr/>
              <w:t> </w:t>
            </w:r>
          </w:p>
        </w:tc>
        <w:tc>
          <w:tcPr>
            <w:tcW w:w="1585" w:type="dxa"/>
            <w:tcBorders/>
            <w:shd w:fill="auto" w:val="cle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6" w:type="dxa"/>
            <w:tcBorders/>
            <w:shd w:fill="auto" w:val="clear"/>
            <w:vAlign w:val="bottom"/>
          </w:tcPr>
          <w:p>
            <w:pPr>
              <w:pStyle w:val="TableContents"/>
              <w:spacing w:before="0" w:after="283"/>
              <w:jc w:val="left"/>
              <w:rPr/>
            </w:pPr>
            <w:r>
              <w:rPr/>
              <w:t> </w:t>
            </w:r>
          </w:p>
        </w:tc>
        <w:tc>
          <w:tcPr>
            <w:tcW w:w="1229" w:type="dxa"/>
            <w:tcBorders/>
            <w:shd w:fill="auto" w:val="clear"/>
            <w:vAlign w:val="bottom"/>
          </w:tcPr>
          <w:p>
            <w:pPr>
              <w:pStyle w:val="TableContents"/>
              <w:spacing w:before="0" w:after="0"/>
              <w:jc w:val="right"/>
              <w:rPr>
                <w:color w:val="000000"/>
              </w:rPr>
            </w:pPr>
            <w:r>
              <w:rPr>
                <w:color w:val="000000"/>
              </w:rPr>
              <w:t>-</w:t>
            </w:r>
          </w:p>
        </w:tc>
        <w:tc>
          <w:tcPr>
            <w:tcW w:w="79" w:type="dxa"/>
            <w:tcBorders/>
            <w:shd w:fill="auto" w:val="clear"/>
            <w:vAlign w:val="bottom"/>
          </w:tcPr>
          <w:p>
            <w:pPr>
              <w:pStyle w:val="TableContents"/>
              <w:spacing w:before="0" w:after="283"/>
              <w:jc w:val="left"/>
              <w:rPr/>
            </w:pPr>
            <w:r>
              <w:rPr/>
              <w:t> </w:t>
            </w:r>
          </w:p>
        </w:tc>
      </w:tr>
      <w:tr>
        <w:trPr/>
        <w:tc>
          <w:tcPr>
            <w:tcW w:w="3252" w:type="dxa"/>
            <w:tcBorders/>
            <w:shd w:fill="CCEEFF" w:val="clear"/>
            <w:vAlign w:val="bottom"/>
          </w:tcPr>
          <w:p>
            <w:pPr>
              <w:pStyle w:val="TableContents"/>
              <w:spacing w:before="0" w:after="0"/>
              <w:ind w:left="360" w:right="0" w:hanging="180"/>
              <w:rPr>
                <w:color w:val="000000"/>
              </w:rPr>
            </w:pPr>
            <w:r>
              <w:rPr>
                <w:color w:val="000000"/>
              </w:rPr>
              <w:t>Net change in unrealized appreciation (depreciation) from investments</w:t>
            </w:r>
          </w:p>
        </w:tc>
        <w:tc>
          <w:tcPr>
            <w:tcW w:w="60" w:type="dxa"/>
            <w:tcBorders/>
            <w:shd w:fill="CCEEFF" w:val="clear"/>
            <w:vAlign w:val="bottom"/>
          </w:tcPr>
          <w:p>
            <w:pPr>
              <w:pStyle w:val="TableContents"/>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3"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22"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58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986,357</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9"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986,357</w:t>
            </w:r>
          </w:p>
        </w:tc>
        <w:tc>
          <w:tcPr>
            <w:tcW w:w="79" w:type="dxa"/>
            <w:tcBorders/>
            <w:shd w:fill="CCEEFF" w:val="clear"/>
            <w:vAlign w:val="bottom"/>
          </w:tcPr>
          <w:p>
            <w:pPr>
              <w:pStyle w:val="TableContents"/>
              <w:spacing w:before="0" w:after="283"/>
              <w:jc w:val="left"/>
              <w:rPr/>
            </w:pPr>
            <w:r>
              <w:rPr/>
              <w:t> </w:t>
            </w:r>
          </w:p>
        </w:tc>
      </w:tr>
      <w:tr>
        <w:trPr/>
        <w:tc>
          <w:tcPr>
            <w:tcW w:w="3252" w:type="dxa"/>
            <w:tcBorders/>
            <w:shd w:fill="auto" w:val="clear"/>
            <w:vAlign w:val="bottom"/>
          </w:tcPr>
          <w:p>
            <w:pPr>
              <w:pStyle w:val="TableContents"/>
              <w:spacing w:before="0" w:after="0"/>
              <w:ind w:left="540" w:right="0" w:hanging="180"/>
              <w:rPr>
                <w:color w:val="000000"/>
              </w:rPr>
            </w:pPr>
            <w:r>
              <w:rPr>
                <w:color w:val="000000"/>
              </w:rPr>
              <w:t>Total net increase (decrease) in net assets resulting from operations</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jc w:val="left"/>
              <w:rPr/>
            </w:pPr>
            <w:r>
              <w:rPr/>
              <w:t> </w:t>
            </w:r>
          </w:p>
        </w:tc>
        <w:tc>
          <w:tcPr>
            <w:tcW w:w="753"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jc w:val="left"/>
              <w:rPr/>
            </w:pPr>
            <w:r>
              <w:rPr/>
              <w:t> </w:t>
            </w:r>
          </w:p>
        </w:tc>
        <w:tc>
          <w:tcPr>
            <w:tcW w:w="1322"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5" w:type="dxa"/>
            <w:tcBorders/>
            <w:shd w:fill="auto" w:val="clear"/>
            <w:vAlign w:val="bottom"/>
          </w:tcPr>
          <w:p>
            <w:pPr>
              <w:pStyle w:val="TableContents"/>
              <w:spacing w:before="0" w:after="283"/>
              <w:jc w:val="left"/>
              <w:rPr/>
            </w:pPr>
            <w:r>
              <w:rPr/>
              <w:t> </w:t>
            </w:r>
          </w:p>
        </w:tc>
        <w:tc>
          <w:tcPr>
            <w:tcW w:w="1585" w:type="dxa"/>
            <w:tcBorders/>
            <w:shd w:fill="auto" w:val="clear"/>
            <w:vAlign w:val="bottom"/>
          </w:tcPr>
          <w:p>
            <w:pPr>
              <w:pStyle w:val="TableContents"/>
              <w:spacing w:before="0" w:after="0"/>
              <w:jc w:val="right"/>
              <w:rPr>
                <w:color w:val="000000"/>
              </w:rPr>
            </w:pPr>
            <w:r>
              <w:rPr>
                <w:color w:val="000000"/>
              </w:rPr>
              <w:t>2,357,080</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6" w:type="dxa"/>
            <w:tcBorders/>
            <w:shd w:fill="auto" w:val="clear"/>
            <w:vAlign w:val="bottom"/>
          </w:tcPr>
          <w:p>
            <w:pPr>
              <w:pStyle w:val="TableContents"/>
              <w:spacing w:before="0" w:after="283"/>
              <w:jc w:val="left"/>
              <w:rPr/>
            </w:pPr>
            <w:r>
              <w:rPr/>
              <w:t> </w:t>
            </w:r>
          </w:p>
        </w:tc>
        <w:tc>
          <w:tcPr>
            <w:tcW w:w="1229" w:type="dxa"/>
            <w:tcBorders/>
            <w:shd w:fill="auto" w:val="clear"/>
            <w:vAlign w:val="bottom"/>
          </w:tcPr>
          <w:p>
            <w:pPr>
              <w:pStyle w:val="TableContents"/>
              <w:spacing w:before="0" w:after="0"/>
              <w:jc w:val="right"/>
              <w:rPr>
                <w:color w:val="000000"/>
              </w:rPr>
            </w:pPr>
            <w:r>
              <w:rPr>
                <w:color w:val="000000"/>
              </w:rPr>
              <w:t>2,357,080</w:t>
            </w:r>
          </w:p>
        </w:tc>
        <w:tc>
          <w:tcPr>
            <w:tcW w:w="79" w:type="dxa"/>
            <w:tcBorders/>
            <w:shd w:fill="auto" w:val="clear"/>
            <w:vAlign w:val="bottom"/>
          </w:tcPr>
          <w:p>
            <w:pPr>
              <w:pStyle w:val="TableContents"/>
              <w:spacing w:before="0" w:after="283"/>
              <w:jc w:val="left"/>
              <w:rPr/>
            </w:pPr>
            <w:r>
              <w:rPr/>
              <w:t> </w:t>
            </w:r>
          </w:p>
        </w:tc>
      </w:tr>
      <w:tr>
        <w:trPr/>
        <w:tc>
          <w:tcPr>
            <w:tcW w:w="3252" w:type="dxa"/>
            <w:tcBorders/>
            <w:shd w:fill="CCEEFF" w:val="clear"/>
            <w:vAlign w:val="bottom"/>
          </w:tcPr>
          <w:p>
            <w:pPr>
              <w:pStyle w:val="TableContents"/>
              <w:spacing w:before="0" w:after="0"/>
              <w:ind w:left="180" w:right="0" w:hanging="180"/>
              <w:rPr>
                <w:i/>
                <w:color w:val="000000"/>
              </w:rPr>
            </w:pPr>
            <w:r>
              <w:rPr>
                <w:i/>
                <w:color w:val="000000"/>
              </w:rPr>
              <w:t>Capital transactions</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7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jc w:val="left"/>
              <w:rPr/>
            </w:pPr>
            <w:r>
              <w:rPr/>
              <w:t> </w:t>
            </w:r>
          </w:p>
        </w:tc>
        <w:tc>
          <w:tcPr>
            <w:tcW w:w="13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5" w:type="dxa"/>
            <w:tcBorders/>
            <w:shd w:fill="CCEEFF" w:val="clear"/>
            <w:vAlign w:val="bottom"/>
          </w:tcPr>
          <w:p>
            <w:pPr>
              <w:pStyle w:val="TableContents"/>
              <w:spacing w:before="0" w:after="283"/>
              <w:jc w:val="left"/>
              <w:rPr/>
            </w:pPr>
            <w:r>
              <w:rPr/>
              <w:t> </w:t>
            </w:r>
          </w:p>
        </w:tc>
        <w:tc>
          <w:tcPr>
            <w:tcW w:w="158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283"/>
              <w:jc w:val="left"/>
              <w:rPr/>
            </w:pPr>
            <w:r>
              <w:rPr/>
              <w:t> </w:t>
            </w:r>
          </w:p>
        </w:tc>
        <w:tc>
          <w:tcPr>
            <w:tcW w:w="1229" w:type="dxa"/>
            <w:tcBorders/>
            <w:shd w:fill="CCEEFF" w:val="clear"/>
            <w:vAlign w:val="bottom"/>
          </w:tcPr>
          <w:p>
            <w:pPr>
              <w:pStyle w:val="TableContents"/>
              <w:spacing w:before="0" w:after="283"/>
              <w:jc w:val="right"/>
              <w:rPr/>
            </w:pPr>
            <w:r>
              <w:rPr/>
              <w:t> </w:t>
            </w:r>
          </w:p>
        </w:tc>
        <w:tc>
          <w:tcPr>
            <w:tcW w:w="79" w:type="dxa"/>
            <w:tcBorders/>
            <w:shd w:fill="CCEEFF" w:val="clear"/>
            <w:vAlign w:val="bottom"/>
          </w:tcPr>
          <w:p>
            <w:pPr>
              <w:pStyle w:val="TableContents"/>
              <w:spacing w:before="0" w:after="283"/>
              <w:jc w:val="left"/>
              <w:rPr/>
            </w:pPr>
            <w:r>
              <w:rPr/>
              <w:t> </w:t>
            </w:r>
          </w:p>
        </w:tc>
      </w:tr>
      <w:tr>
        <w:trPr/>
        <w:tc>
          <w:tcPr>
            <w:tcW w:w="3252" w:type="dxa"/>
            <w:tcBorders/>
            <w:shd w:fill="auto" w:val="clear"/>
            <w:vAlign w:val="bottom"/>
          </w:tcPr>
          <w:p>
            <w:pPr>
              <w:pStyle w:val="TableContents"/>
              <w:spacing w:before="0" w:after="0"/>
              <w:ind w:left="360" w:right="0" w:hanging="180"/>
              <w:rPr>
                <w:color w:val="000000"/>
              </w:rPr>
            </w:pPr>
            <w:r>
              <w:rPr>
                <w:color w:val="000000"/>
              </w:rPr>
              <w:t>Issuance of common stock</w:t>
            </w:r>
          </w:p>
        </w:tc>
        <w:tc>
          <w:tcPr>
            <w:tcW w:w="60" w:type="dxa"/>
            <w:tcBorders/>
            <w:shd w:fill="auto" w:val="clear"/>
            <w:vAlign w:val="bottom"/>
          </w:tcPr>
          <w:p>
            <w:pPr>
              <w:pStyle w:val="TableContents"/>
              <w:spacing w:before="0" w:after="283"/>
              <w:jc w:val="righ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22"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58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29"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79" w:type="dxa"/>
            <w:tcBorders/>
            <w:shd w:fill="auto" w:val="clear"/>
            <w:vAlign w:val="bottom"/>
          </w:tcPr>
          <w:p>
            <w:pPr>
              <w:pStyle w:val="TableContents"/>
              <w:spacing w:before="0" w:after="283"/>
              <w:jc w:val="left"/>
              <w:rPr/>
            </w:pPr>
            <w:r>
              <w:rPr/>
              <w:t> </w:t>
            </w:r>
          </w:p>
        </w:tc>
      </w:tr>
      <w:tr>
        <w:trPr/>
        <w:tc>
          <w:tcPr>
            <w:tcW w:w="3252" w:type="dxa"/>
            <w:tcBorders/>
            <w:shd w:fill="CCEEFF" w:val="clear"/>
            <w:vAlign w:val="bottom"/>
          </w:tcPr>
          <w:p>
            <w:pPr>
              <w:pStyle w:val="TableContents"/>
              <w:spacing w:before="0" w:after="283"/>
              <w:rPr/>
            </w:pPr>
            <w:r>
              <w:rPr/>
              <w:t>Total increase (decrease) in net assets</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753"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jc w:val="left"/>
              <w:rPr/>
            </w:pPr>
            <w:r>
              <w:rPr/>
              <w:t> </w:t>
            </w:r>
          </w:p>
        </w:tc>
        <w:tc>
          <w:tcPr>
            <w:tcW w:w="1322"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5" w:type="dxa"/>
            <w:tcBorders/>
            <w:shd w:fill="CCEEFF" w:val="clear"/>
            <w:vAlign w:val="bottom"/>
          </w:tcPr>
          <w:p>
            <w:pPr>
              <w:pStyle w:val="TableContents"/>
              <w:spacing w:before="0" w:after="283"/>
              <w:jc w:val="left"/>
              <w:rPr/>
            </w:pPr>
            <w:r>
              <w:rPr/>
              <w:t> </w:t>
            </w:r>
          </w:p>
        </w:tc>
        <w:tc>
          <w:tcPr>
            <w:tcW w:w="1585" w:type="dxa"/>
            <w:tcBorders/>
            <w:shd w:fill="CCEEFF" w:val="clear"/>
            <w:vAlign w:val="bottom"/>
          </w:tcPr>
          <w:p>
            <w:pPr>
              <w:pStyle w:val="TableContents"/>
              <w:spacing w:before="0" w:after="283"/>
              <w:jc w:val="right"/>
              <w:rPr/>
            </w:pPr>
            <w:r>
              <w:rPr/>
              <w:t>2,357,080</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283"/>
              <w:jc w:val="left"/>
              <w:rPr/>
            </w:pPr>
            <w:r>
              <w:rPr/>
              <w:t> </w:t>
            </w:r>
          </w:p>
        </w:tc>
        <w:tc>
          <w:tcPr>
            <w:tcW w:w="1229" w:type="dxa"/>
            <w:tcBorders/>
            <w:shd w:fill="CCEEFF" w:val="clear"/>
            <w:vAlign w:val="bottom"/>
          </w:tcPr>
          <w:p>
            <w:pPr>
              <w:pStyle w:val="TableContents"/>
              <w:spacing w:before="0" w:after="283"/>
              <w:jc w:val="right"/>
              <w:rPr/>
            </w:pPr>
            <w:r>
              <w:rPr/>
              <w:t>2,357,080</w:t>
            </w:r>
          </w:p>
        </w:tc>
        <w:tc>
          <w:tcPr>
            <w:tcW w:w="79" w:type="dxa"/>
            <w:tcBorders/>
            <w:shd w:fill="CCEEFF" w:val="clear"/>
            <w:vAlign w:val="bottom"/>
          </w:tcPr>
          <w:p>
            <w:pPr>
              <w:pStyle w:val="TableContents"/>
              <w:spacing w:before="0" w:after="283"/>
              <w:jc w:val="left"/>
              <w:rPr/>
            </w:pPr>
            <w:r>
              <w:rPr/>
              <w:t> </w:t>
            </w:r>
          </w:p>
        </w:tc>
      </w:tr>
      <w:tr>
        <w:trPr/>
        <w:tc>
          <w:tcPr>
            <w:tcW w:w="3252" w:type="dxa"/>
            <w:tcBorders/>
            <w:shd w:fill="auto" w:val="clear"/>
            <w:vAlign w:val="bottom"/>
          </w:tcPr>
          <w:p>
            <w:pPr>
              <w:pStyle w:val="TableContents"/>
              <w:spacing w:before="0" w:after="283"/>
              <w:rPr/>
            </w:pPr>
            <w:r>
              <w:rPr/>
              <w:t>Effect of permanent adjustments</w:t>
            </w:r>
          </w:p>
        </w:tc>
        <w:tc>
          <w:tcPr>
            <w:tcW w:w="60" w:type="dxa"/>
            <w:tcBorders/>
            <w:shd w:fill="auto" w:val="clear"/>
            <w:vAlign w:val="bottom"/>
          </w:tcPr>
          <w:p>
            <w:pPr>
              <w:pStyle w:val="TableContents"/>
              <w:spacing w:before="0" w:after="283"/>
              <w:jc w:val="righ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3" w:type="dxa"/>
            <w:tcBorders>
              <w:bottom w:val="single" w:sz="12" w:space="0" w:color="000000"/>
            </w:tcBorders>
            <w:shd w:fill="auto" w:val="clear"/>
            <w:tcMar>
              <w:bottom w:w="28" w:type="dxa"/>
            </w:tcM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22" w:type="dxa"/>
            <w:tcBorders>
              <w:bottom w:val="single" w:sz="12" w:space="0" w:color="000000"/>
            </w:tcBorders>
            <w:shd w:fill="auto" w:val="clear"/>
            <w:tcMar>
              <w:bottom w:w="28" w:type="dxa"/>
            </w:tcMar>
            <w:vAlign w:val="bottom"/>
          </w:tcPr>
          <w:p>
            <w:pPr>
              <w:pStyle w:val="TableContents"/>
              <w:spacing w:before="0" w:after="283"/>
              <w:jc w:val="right"/>
              <w:rPr/>
            </w:pPr>
            <w:r>
              <w:rPr/>
              <w:t>121,099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585" w:type="dxa"/>
            <w:tcBorders>
              <w:bottom w:val="single" w:sz="12" w:space="0" w:color="000000"/>
            </w:tcBorders>
            <w:shd w:fill="auto" w:val="clear"/>
            <w:tcMar>
              <w:bottom w:w="28" w:type="dxa"/>
            </w:tcMar>
            <w:vAlign w:val="bottom"/>
          </w:tcPr>
          <w:p>
            <w:pPr>
              <w:pStyle w:val="TableContents"/>
              <w:spacing w:before="0" w:after="283"/>
              <w:jc w:val="right"/>
              <w:rPr/>
            </w:pPr>
            <w:r>
              <w:rPr/>
              <w:t>(121,099</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15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29" w:type="dxa"/>
            <w:tcBorders>
              <w:bottom w:val="single" w:sz="12" w:space="0" w:color="000000"/>
            </w:tcBorders>
            <w:shd w:fill="auto" w:val="clear"/>
            <w:tcMar>
              <w:bottom w:w="28" w:type="dxa"/>
            </w:tcMar>
            <w:vAlign w:val="bottom"/>
          </w:tcPr>
          <w:p>
            <w:pPr>
              <w:pStyle w:val="TableContents"/>
              <w:spacing w:before="0" w:after="283"/>
              <w:jc w:val="right"/>
              <w:rPr/>
            </w:pPr>
            <w:r>
              <w:rPr/>
              <w:t>-</w:t>
            </w:r>
          </w:p>
        </w:tc>
        <w:tc>
          <w:tcPr>
            <w:tcW w:w="79" w:type="dxa"/>
            <w:tcBorders/>
            <w:shd w:fill="auto" w:val="clear"/>
            <w:vAlign w:val="bottom"/>
          </w:tcPr>
          <w:p>
            <w:pPr>
              <w:pStyle w:val="TableContents"/>
              <w:spacing w:before="0" w:after="283"/>
              <w:jc w:val="left"/>
              <w:rPr/>
            </w:pPr>
            <w:r>
              <w:rPr/>
              <w:t> </w:t>
            </w:r>
          </w:p>
        </w:tc>
      </w:tr>
      <w:tr>
        <w:trPr/>
        <w:tc>
          <w:tcPr>
            <w:tcW w:w="3252" w:type="dxa"/>
            <w:tcBorders/>
            <w:shd w:fill="CCEEFF" w:val="clear"/>
            <w:vAlign w:val="bottom"/>
          </w:tcPr>
          <w:p>
            <w:pPr>
              <w:pStyle w:val="TableContents"/>
              <w:spacing w:before="0" w:after="0"/>
              <w:ind w:left="180" w:right="0" w:hanging="0"/>
              <w:rPr>
                <w:b/>
                <w:color w:val="000000"/>
              </w:rPr>
            </w:pPr>
            <w:r>
              <w:rPr>
                <w:b/>
                <w:color w:val="000000"/>
              </w:rPr>
              <w:t>Balance, March 31, 2023</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98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6,214,672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5"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753"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62,147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322"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85,038,887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5"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585"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3,731,775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6"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229"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88,832,809</w:t>
            </w:r>
          </w:p>
        </w:tc>
        <w:tc>
          <w:tcPr>
            <w:tcW w:w="79" w:type="dxa"/>
            <w:tcBorders/>
            <w:shd w:fill="CCEEFF" w:val="clear"/>
            <w:vAlign w:val="bottom"/>
          </w:tcPr>
          <w:p>
            <w:pPr>
              <w:pStyle w:val="TableContents"/>
              <w:spacing w:before="0" w:after="283"/>
              <w:jc w:val="left"/>
              <w:rPr/>
            </w:pPr>
            <w:r>
              <w:rPr/>
              <w:t> </w:t>
            </w:r>
          </w:p>
        </w:tc>
      </w:tr>
    </w:tbl>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3215"/>
        <w:gridCol w:w="60"/>
        <w:gridCol w:w="60"/>
        <w:gridCol w:w="980"/>
        <w:gridCol w:w="60"/>
        <w:gridCol w:w="60"/>
        <w:gridCol w:w="150"/>
        <w:gridCol w:w="734"/>
        <w:gridCol w:w="60"/>
        <w:gridCol w:w="60"/>
        <w:gridCol w:w="168"/>
        <w:gridCol w:w="1322"/>
        <w:gridCol w:w="95"/>
        <w:gridCol w:w="60"/>
        <w:gridCol w:w="248"/>
        <w:gridCol w:w="1555"/>
        <w:gridCol w:w="95"/>
        <w:gridCol w:w="60"/>
        <w:gridCol w:w="156"/>
        <w:gridCol w:w="1227"/>
        <w:gridCol w:w="114"/>
      </w:tblGrid>
      <w:tr>
        <w:trPr/>
        <w:tc>
          <w:tcPr>
            <w:tcW w:w="3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54" w:type="dxa"/>
            <w:gridSpan w:val="10"/>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Common Stock</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803"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83"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r>
      <w:tr>
        <w:trPr/>
        <w:tc>
          <w:tcPr>
            <w:tcW w:w="3215" w:type="dxa"/>
            <w:tcBorders>
              <w:bottom w:val="single" w:sz="12" w:space="0" w:color="000000"/>
            </w:tcBorders>
            <w:shd w:fill="auto" w:val="clear"/>
            <w:tcMar>
              <w:bottom w:w="28" w:type="dxa"/>
            </w:tcMar>
            <w:vAlign w:val="bottom"/>
          </w:tcPr>
          <w:p>
            <w:pPr>
              <w:pStyle w:val="TableContents"/>
              <w:spacing w:before="0" w:after="0"/>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Shares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8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Par value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Additional</w:t>
              <w:br/>
              <w:t>paid-in-capital</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803"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Distributable Earnings/</w:t>
              <w:br/>
              <w:t>(Accumulated Loss)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83"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 net assets/</w:t>
              <w:br/>
              <w:t>(net liabilities)</w:t>
            </w:r>
          </w:p>
        </w:tc>
        <w:tc>
          <w:tcPr>
            <w:tcW w:w="114" w:type="dxa"/>
            <w:tcBorders/>
            <w:shd w:fill="auto" w:val="clear"/>
            <w:vAlign w:val="bottom"/>
          </w:tcPr>
          <w:p>
            <w:pPr>
              <w:pStyle w:val="TableContents"/>
              <w:spacing w:before="0" w:after="283"/>
              <w:jc w:val="left"/>
              <w:rPr/>
            </w:pPr>
            <w:r>
              <w:rPr/>
              <w:t> </w:t>
            </w:r>
          </w:p>
        </w:tc>
      </w:tr>
      <w:tr>
        <w:trPr/>
        <w:tc>
          <w:tcPr>
            <w:tcW w:w="3215" w:type="dxa"/>
            <w:tcBorders/>
            <w:shd w:fill="CCEEFF" w:val="clear"/>
            <w:vAlign w:val="bottom"/>
          </w:tcPr>
          <w:p>
            <w:pPr>
              <w:pStyle w:val="TableContents"/>
              <w:spacing w:before="0" w:after="0"/>
              <w:ind w:left="180" w:right="0" w:hanging="180"/>
              <w:rPr>
                <w:b/>
                <w:color w:val="000000"/>
              </w:rPr>
            </w:pPr>
            <w:r>
              <w:rPr>
                <w:b/>
                <w:color w:val="000000"/>
              </w:rPr>
              <w:t>Balance, December 31, 2021</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0"/>
              <w:jc w:val="left"/>
              <w:rPr>
                <w:color w:val="000000"/>
              </w:rPr>
            </w:pPr>
            <w:r>
              <w:rPr>
                <w:color w:val="000000"/>
              </w:rPr>
              <w:t>$</w:t>
            </w:r>
          </w:p>
        </w:tc>
        <w:tc>
          <w:tcPr>
            <w:tcW w:w="734"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0"/>
              <w:jc w:val="left"/>
              <w:rPr>
                <w:color w:val="000000"/>
              </w:rPr>
            </w:pPr>
            <w:r>
              <w:rPr>
                <w:color w:val="000000"/>
              </w:rPr>
              <w:t>$</w:t>
            </w:r>
          </w:p>
        </w:tc>
        <w:tc>
          <w:tcPr>
            <w:tcW w:w="1322"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8" w:type="dxa"/>
            <w:tcBorders/>
            <w:shd w:fill="CCEEFF" w:val="clear"/>
            <w:vAlign w:val="bottom"/>
          </w:tcPr>
          <w:p>
            <w:pPr>
              <w:pStyle w:val="TableContents"/>
              <w:spacing w:before="0" w:after="0"/>
              <w:jc w:val="left"/>
              <w:rPr>
                <w:color w:val="000000"/>
              </w:rPr>
            </w:pPr>
            <w:r>
              <w:rPr>
                <w:color w:val="000000"/>
              </w:rPr>
              <w:t>$</w:t>
            </w:r>
          </w:p>
        </w:tc>
        <w:tc>
          <w:tcPr>
            <w:tcW w:w="1555" w:type="dxa"/>
            <w:tcBorders/>
            <w:shd w:fill="CCEEFF" w:val="clear"/>
            <w:vAlign w:val="bottom"/>
          </w:tcPr>
          <w:p>
            <w:pPr>
              <w:pStyle w:val="TableContents"/>
              <w:spacing w:before="0" w:after="0"/>
              <w:jc w:val="right"/>
              <w:rPr>
                <w:color w:val="000000"/>
              </w:rPr>
            </w:pPr>
            <w:r>
              <w:rPr>
                <w:color w:val="000000"/>
              </w:rPr>
              <w:t>(507,549</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0"/>
              <w:jc w:val="left"/>
              <w:rPr>
                <w:color w:val="000000"/>
              </w:rPr>
            </w:pPr>
            <w:r>
              <w:rPr>
                <w:color w:val="000000"/>
              </w:rPr>
              <w:t>$</w:t>
            </w:r>
          </w:p>
        </w:tc>
        <w:tc>
          <w:tcPr>
            <w:tcW w:w="1227" w:type="dxa"/>
            <w:tcBorders/>
            <w:shd w:fill="CCEEFF" w:val="clear"/>
            <w:vAlign w:val="bottom"/>
          </w:tcPr>
          <w:p>
            <w:pPr>
              <w:pStyle w:val="TableContents"/>
              <w:spacing w:before="0" w:after="0"/>
              <w:jc w:val="right"/>
              <w:rPr>
                <w:color w:val="000000"/>
              </w:rPr>
            </w:pPr>
            <w:r>
              <w:rPr>
                <w:color w:val="000000"/>
              </w:rPr>
              <w:t>(507,549</w:t>
            </w:r>
          </w:p>
        </w:tc>
        <w:tc>
          <w:tcPr>
            <w:tcW w:w="114" w:type="dxa"/>
            <w:tcBorders/>
            <w:shd w:fill="CCEEFF" w:val="clear"/>
            <w:vAlign w:val="bottom"/>
          </w:tcPr>
          <w:p>
            <w:pPr>
              <w:pStyle w:val="TableContents"/>
              <w:spacing w:before="0" w:after="0"/>
              <w:jc w:val="left"/>
              <w:rPr>
                <w:color w:val="000000"/>
              </w:rPr>
            </w:pPr>
            <w:r>
              <w:rPr>
                <w:color w:val="000000"/>
              </w:rPr>
              <w:t>)</w:t>
            </w:r>
          </w:p>
        </w:tc>
      </w:tr>
      <w:tr>
        <w:trPr/>
        <w:tc>
          <w:tcPr>
            <w:tcW w:w="3215" w:type="dxa"/>
            <w:tcBorders/>
            <w:shd w:fill="auto" w:val="clear"/>
            <w:vAlign w:val="bottom"/>
          </w:tcPr>
          <w:p>
            <w:pPr>
              <w:pStyle w:val="TableContents"/>
              <w:spacing w:before="0" w:after="0"/>
              <w:ind w:left="180" w:right="0" w:hanging="180"/>
              <w:rPr>
                <w:i/>
                <w:color w:val="000000"/>
              </w:rPr>
            </w:pPr>
            <w:r>
              <w:rPr>
                <w:i/>
                <w:color w:val="000000"/>
              </w:rPr>
              <w:t>Net increase (decrease) in net assets resulting from operations</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0" w:type="dxa"/>
            <w:tcBorders/>
            <w:shd w:fill="auto" w:val="clear"/>
            <w:vAlign w:val="bottom"/>
          </w:tcPr>
          <w:p>
            <w:pPr>
              <w:pStyle w:val="TableContents"/>
              <w:spacing w:before="0" w:after="283"/>
              <w:jc w:val="left"/>
              <w:rPr/>
            </w:pPr>
            <w:r>
              <w:rPr/>
              <w:t> </w:t>
            </w:r>
          </w:p>
        </w:tc>
        <w:tc>
          <w:tcPr>
            <w:tcW w:w="73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jc w:val="left"/>
              <w:rPr/>
            </w:pPr>
            <w:r>
              <w:rPr/>
              <w:t> </w:t>
            </w:r>
          </w:p>
        </w:tc>
        <w:tc>
          <w:tcPr>
            <w:tcW w:w="1322"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48" w:type="dxa"/>
            <w:tcBorders/>
            <w:shd w:fill="auto" w:val="clear"/>
            <w:vAlign w:val="bottom"/>
          </w:tcPr>
          <w:p>
            <w:pPr>
              <w:pStyle w:val="TableContents"/>
              <w:spacing w:before="0" w:after="283"/>
              <w:jc w:val="left"/>
              <w:rPr/>
            </w:pPr>
            <w:r>
              <w:rPr/>
              <w:t> </w:t>
            </w:r>
          </w:p>
        </w:tc>
        <w:tc>
          <w:tcPr>
            <w:tcW w:w="155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6" w:type="dxa"/>
            <w:tcBorders/>
            <w:shd w:fill="auto" w:val="clear"/>
            <w:vAlign w:val="bottom"/>
          </w:tcPr>
          <w:p>
            <w:pPr>
              <w:pStyle w:val="TableContents"/>
              <w:spacing w:before="0" w:after="283"/>
              <w:jc w:val="left"/>
              <w:rPr/>
            </w:pPr>
            <w:r>
              <w:rPr/>
              <w:t> </w:t>
            </w:r>
          </w:p>
        </w:tc>
        <w:tc>
          <w:tcPr>
            <w:tcW w:w="1227" w:type="dxa"/>
            <w:tcBorders/>
            <w:shd w:fill="auto" w:val="clear"/>
            <w:vAlign w:val="bottom"/>
          </w:tcPr>
          <w:p>
            <w:pPr>
              <w:pStyle w:val="TableContents"/>
              <w:spacing w:before="0" w:after="283"/>
              <w:jc w:val="right"/>
              <w:rPr/>
            </w:pPr>
            <w:r>
              <w:rPr/>
              <w:t> </w:t>
            </w:r>
          </w:p>
        </w:tc>
        <w:tc>
          <w:tcPr>
            <w:tcW w:w="114" w:type="dxa"/>
            <w:tcBorders/>
            <w:shd w:fill="auto" w:val="clear"/>
            <w:vAlign w:val="bottom"/>
          </w:tcPr>
          <w:p>
            <w:pPr>
              <w:pStyle w:val="TableContents"/>
              <w:spacing w:before="0" w:after="283"/>
              <w:jc w:val="left"/>
              <w:rPr/>
            </w:pPr>
            <w:r>
              <w:rPr/>
              <w:t> </w:t>
            </w:r>
          </w:p>
        </w:tc>
      </w:tr>
      <w:tr>
        <w:trPr/>
        <w:tc>
          <w:tcPr>
            <w:tcW w:w="3215" w:type="dxa"/>
            <w:tcBorders/>
            <w:shd w:fill="CCEEFF" w:val="clear"/>
            <w:vAlign w:val="bottom"/>
          </w:tcPr>
          <w:p>
            <w:pPr>
              <w:pStyle w:val="TableContents"/>
              <w:spacing w:before="0" w:after="0"/>
              <w:ind w:left="360" w:right="0" w:hanging="180"/>
              <w:rPr>
                <w:color w:val="000000"/>
              </w:rPr>
            </w:pPr>
            <w:r>
              <w:rPr>
                <w:color w:val="000000"/>
              </w:rPr>
              <w:t>Net investment income (loss)</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pPr>
            <w:r>
              <w:rPr/>
              <w:t> </w:t>
            </w:r>
          </w:p>
        </w:tc>
        <w:tc>
          <w:tcPr>
            <w:tcW w:w="734"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jc w:val="left"/>
              <w:rPr/>
            </w:pPr>
            <w:r>
              <w:rPr/>
              <w:t> </w:t>
            </w:r>
          </w:p>
        </w:tc>
        <w:tc>
          <w:tcPr>
            <w:tcW w:w="1322"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8" w:type="dxa"/>
            <w:tcBorders/>
            <w:shd w:fill="CCEEFF" w:val="clear"/>
            <w:vAlign w:val="bottom"/>
          </w:tcPr>
          <w:p>
            <w:pPr>
              <w:pStyle w:val="TableContents"/>
              <w:spacing w:before="0" w:after="283"/>
              <w:jc w:val="left"/>
              <w:rPr/>
            </w:pPr>
            <w:r>
              <w:rPr/>
              <w:t> </w:t>
            </w:r>
          </w:p>
        </w:tc>
        <w:tc>
          <w:tcPr>
            <w:tcW w:w="1555" w:type="dxa"/>
            <w:tcBorders/>
            <w:shd w:fill="CCEEFF" w:val="clear"/>
            <w:vAlign w:val="bottom"/>
          </w:tcPr>
          <w:p>
            <w:pPr>
              <w:pStyle w:val="TableContents"/>
              <w:spacing w:before="0" w:after="0"/>
              <w:jc w:val="right"/>
              <w:rPr>
                <w:color w:val="000000"/>
              </w:rPr>
            </w:pPr>
            <w:r>
              <w:rPr>
                <w:color w:val="000000"/>
              </w:rPr>
              <w:t>(215,531</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0"/>
              <w:jc w:val="right"/>
              <w:rPr>
                <w:color w:val="000000"/>
              </w:rPr>
            </w:pPr>
            <w:r>
              <w:rPr>
                <w:color w:val="000000"/>
              </w:rPr>
              <w:t>(215,531</w:t>
            </w:r>
          </w:p>
        </w:tc>
        <w:tc>
          <w:tcPr>
            <w:tcW w:w="114" w:type="dxa"/>
            <w:tcBorders/>
            <w:shd w:fill="CCEEFF" w:val="clear"/>
            <w:vAlign w:val="bottom"/>
          </w:tcPr>
          <w:p>
            <w:pPr>
              <w:pStyle w:val="TableContents"/>
              <w:spacing w:before="0" w:after="0"/>
              <w:jc w:val="left"/>
              <w:rPr>
                <w:color w:val="000000"/>
              </w:rPr>
            </w:pPr>
            <w:r>
              <w:rPr>
                <w:color w:val="000000"/>
              </w:rPr>
              <w:t>)</w:t>
            </w:r>
          </w:p>
        </w:tc>
      </w:tr>
      <w:tr>
        <w:trPr/>
        <w:tc>
          <w:tcPr>
            <w:tcW w:w="3215" w:type="dxa"/>
            <w:tcBorders/>
            <w:shd w:fill="auto" w:val="clear"/>
            <w:vAlign w:val="bottom"/>
          </w:tcPr>
          <w:p>
            <w:pPr>
              <w:pStyle w:val="TableContents"/>
              <w:spacing w:before="0" w:after="0"/>
              <w:ind w:left="360" w:right="0" w:hanging="180"/>
              <w:rPr>
                <w:color w:val="000000"/>
              </w:rPr>
            </w:pPr>
            <w:r>
              <w:rPr>
                <w:color w:val="000000"/>
              </w:rPr>
              <w:t>Net realized gain (loss) from investments</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0" w:type="dxa"/>
            <w:tcBorders/>
            <w:shd w:fill="auto" w:val="clear"/>
            <w:vAlign w:val="bottom"/>
          </w:tcPr>
          <w:p>
            <w:pPr>
              <w:pStyle w:val="TableContents"/>
              <w:spacing w:before="0" w:after="283"/>
              <w:jc w:val="left"/>
              <w:rPr/>
            </w:pPr>
            <w:r>
              <w:rPr/>
              <w:t> </w:t>
            </w:r>
          </w:p>
        </w:tc>
        <w:tc>
          <w:tcPr>
            <w:tcW w:w="734"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jc w:val="left"/>
              <w:rPr/>
            </w:pPr>
            <w:r>
              <w:rPr/>
              <w:t> </w:t>
            </w:r>
          </w:p>
        </w:tc>
        <w:tc>
          <w:tcPr>
            <w:tcW w:w="1322" w:type="dxa"/>
            <w:tcBorders/>
            <w:shd w:fill="auto" w:val="cle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48" w:type="dxa"/>
            <w:tcBorders/>
            <w:shd w:fill="auto" w:val="clear"/>
            <w:vAlign w:val="bottom"/>
          </w:tcPr>
          <w:p>
            <w:pPr>
              <w:pStyle w:val="TableContents"/>
              <w:spacing w:before="0" w:after="283"/>
              <w:jc w:val="left"/>
              <w:rPr/>
            </w:pPr>
            <w:r>
              <w:rPr/>
              <w:t> </w:t>
            </w:r>
          </w:p>
        </w:tc>
        <w:tc>
          <w:tcPr>
            <w:tcW w:w="1555" w:type="dxa"/>
            <w:tcBorders/>
            <w:shd w:fill="auto" w:val="cle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6" w:type="dxa"/>
            <w:tcBorders/>
            <w:shd w:fill="auto" w:val="clear"/>
            <w:vAlign w:val="bottom"/>
          </w:tcPr>
          <w:p>
            <w:pPr>
              <w:pStyle w:val="TableContents"/>
              <w:spacing w:before="0" w:after="283"/>
              <w:jc w:val="left"/>
              <w:rPr/>
            </w:pPr>
            <w:r>
              <w:rPr/>
              <w:t> </w:t>
            </w:r>
          </w:p>
        </w:tc>
        <w:tc>
          <w:tcPr>
            <w:tcW w:w="1227" w:type="dxa"/>
            <w:tcBorders/>
            <w:shd w:fill="auto" w:val="clear"/>
            <w:vAlign w:val="bottom"/>
          </w:tcPr>
          <w:p>
            <w:pPr>
              <w:pStyle w:val="TableContents"/>
              <w:spacing w:before="0" w:after="0"/>
              <w:jc w:val="right"/>
              <w:rPr>
                <w:color w:val="000000"/>
              </w:rPr>
            </w:pPr>
            <w:r>
              <w:rPr>
                <w:color w:val="000000"/>
              </w:rPr>
              <w:t>-</w:t>
            </w:r>
          </w:p>
        </w:tc>
        <w:tc>
          <w:tcPr>
            <w:tcW w:w="114" w:type="dxa"/>
            <w:tcBorders/>
            <w:shd w:fill="auto" w:val="clear"/>
            <w:vAlign w:val="bottom"/>
          </w:tcPr>
          <w:p>
            <w:pPr>
              <w:pStyle w:val="TableContents"/>
              <w:spacing w:before="0" w:after="283"/>
              <w:jc w:val="left"/>
              <w:rPr/>
            </w:pPr>
            <w:r>
              <w:rPr/>
              <w:t> </w:t>
            </w:r>
          </w:p>
        </w:tc>
      </w:tr>
      <w:tr>
        <w:trPr/>
        <w:tc>
          <w:tcPr>
            <w:tcW w:w="3215" w:type="dxa"/>
            <w:tcBorders/>
            <w:shd w:fill="CCEEFF" w:val="clear"/>
            <w:vAlign w:val="bottom"/>
          </w:tcPr>
          <w:p>
            <w:pPr>
              <w:pStyle w:val="TableContents"/>
              <w:spacing w:before="0" w:after="0"/>
              <w:ind w:left="360" w:right="0" w:hanging="180"/>
              <w:rPr>
                <w:color w:val="000000"/>
              </w:rPr>
            </w:pPr>
            <w:r>
              <w:rPr>
                <w:color w:val="000000"/>
              </w:rPr>
              <w:t>Net change in unrealized appreciation (depreciation) from investments</w:t>
            </w:r>
          </w:p>
        </w:tc>
        <w:tc>
          <w:tcPr>
            <w:tcW w:w="60" w:type="dxa"/>
            <w:tcBorders/>
            <w:shd w:fill="CCEEFF" w:val="clear"/>
            <w:vAlign w:val="bottom"/>
          </w:tcPr>
          <w:p>
            <w:pPr>
              <w:pStyle w:val="TableContents"/>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34"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22"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55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7"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114" w:type="dxa"/>
            <w:tcBorders/>
            <w:shd w:fill="CCEEFF" w:val="clear"/>
            <w:vAlign w:val="bottom"/>
          </w:tcPr>
          <w:p>
            <w:pPr>
              <w:pStyle w:val="TableContents"/>
              <w:spacing w:before="0" w:after="283"/>
              <w:jc w:val="left"/>
              <w:rPr/>
            </w:pPr>
            <w:r>
              <w:rPr/>
              <w:t> </w:t>
            </w:r>
          </w:p>
        </w:tc>
      </w:tr>
      <w:tr>
        <w:trPr/>
        <w:tc>
          <w:tcPr>
            <w:tcW w:w="3215" w:type="dxa"/>
            <w:tcBorders/>
            <w:shd w:fill="auto" w:val="clear"/>
            <w:vAlign w:val="bottom"/>
          </w:tcPr>
          <w:p>
            <w:pPr>
              <w:pStyle w:val="TableContents"/>
              <w:spacing w:before="0" w:after="0"/>
              <w:ind w:left="540" w:right="0" w:hanging="180"/>
              <w:rPr>
                <w:color w:val="000000"/>
              </w:rPr>
            </w:pPr>
            <w:r>
              <w:rPr>
                <w:color w:val="000000"/>
              </w:rPr>
              <w:t>Total net increase (decrease) in net assets resulting from operations</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0" w:type="dxa"/>
            <w:tcBorders/>
            <w:shd w:fill="auto" w:val="clear"/>
            <w:vAlign w:val="bottom"/>
          </w:tcPr>
          <w:p>
            <w:pPr>
              <w:pStyle w:val="TableContents"/>
              <w:spacing w:before="0" w:after="283"/>
              <w:jc w:val="left"/>
              <w:rPr/>
            </w:pPr>
            <w:r>
              <w:rPr/>
              <w:t> </w:t>
            </w:r>
          </w:p>
        </w:tc>
        <w:tc>
          <w:tcPr>
            <w:tcW w:w="734"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jc w:val="left"/>
              <w:rPr/>
            </w:pPr>
            <w:r>
              <w:rPr/>
              <w:t> </w:t>
            </w:r>
          </w:p>
        </w:tc>
        <w:tc>
          <w:tcPr>
            <w:tcW w:w="1322" w:type="dxa"/>
            <w:tcBorders/>
            <w:shd w:fill="auto" w:val="cle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48" w:type="dxa"/>
            <w:tcBorders/>
            <w:shd w:fill="auto" w:val="clear"/>
            <w:vAlign w:val="bottom"/>
          </w:tcPr>
          <w:p>
            <w:pPr>
              <w:pStyle w:val="TableContents"/>
              <w:spacing w:before="0" w:after="283"/>
              <w:jc w:val="left"/>
              <w:rPr/>
            </w:pPr>
            <w:r>
              <w:rPr/>
              <w:t> </w:t>
            </w:r>
          </w:p>
        </w:tc>
        <w:tc>
          <w:tcPr>
            <w:tcW w:w="1555" w:type="dxa"/>
            <w:tcBorders/>
            <w:shd w:fill="auto" w:val="clear"/>
            <w:vAlign w:val="bottom"/>
          </w:tcPr>
          <w:p>
            <w:pPr>
              <w:pStyle w:val="TableContents"/>
              <w:spacing w:before="0" w:after="0"/>
              <w:jc w:val="right"/>
              <w:rPr>
                <w:color w:val="000000"/>
              </w:rPr>
            </w:pPr>
            <w:r>
              <w:rPr>
                <w:color w:val="000000"/>
              </w:rPr>
              <w:t>(215,531</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156" w:type="dxa"/>
            <w:tcBorders/>
            <w:shd w:fill="auto" w:val="clear"/>
            <w:vAlign w:val="bottom"/>
          </w:tcPr>
          <w:p>
            <w:pPr>
              <w:pStyle w:val="TableContents"/>
              <w:spacing w:before="0" w:after="283"/>
              <w:jc w:val="left"/>
              <w:rPr/>
            </w:pPr>
            <w:r>
              <w:rPr/>
              <w:t> </w:t>
            </w:r>
          </w:p>
        </w:tc>
        <w:tc>
          <w:tcPr>
            <w:tcW w:w="1227" w:type="dxa"/>
            <w:tcBorders/>
            <w:shd w:fill="auto" w:val="clear"/>
            <w:vAlign w:val="bottom"/>
          </w:tcPr>
          <w:p>
            <w:pPr>
              <w:pStyle w:val="TableContents"/>
              <w:spacing w:before="0" w:after="0"/>
              <w:jc w:val="right"/>
              <w:rPr>
                <w:color w:val="000000"/>
              </w:rPr>
            </w:pPr>
            <w:r>
              <w:rPr>
                <w:color w:val="000000"/>
              </w:rPr>
              <w:t>(215,531</w:t>
            </w:r>
          </w:p>
        </w:tc>
        <w:tc>
          <w:tcPr>
            <w:tcW w:w="114" w:type="dxa"/>
            <w:tcBorders/>
            <w:shd w:fill="auto" w:val="clear"/>
            <w:vAlign w:val="bottom"/>
          </w:tcPr>
          <w:p>
            <w:pPr>
              <w:pStyle w:val="TableContents"/>
              <w:spacing w:before="0" w:after="0"/>
              <w:jc w:val="left"/>
              <w:rPr>
                <w:color w:val="000000"/>
              </w:rPr>
            </w:pPr>
            <w:r>
              <w:rPr>
                <w:color w:val="000000"/>
              </w:rPr>
              <w:t>)</w:t>
            </w:r>
          </w:p>
        </w:tc>
      </w:tr>
      <w:tr>
        <w:trPr/>
        <w:tc>
          <w:tcPr>
            <w:tcW w:w="3215" w:type="dxa"/>
            <w:tcBorders/>
            <w:shd w:fill="CCEEFF" w:val="clear"/>
            <w:vAlign w:val="bottom"/>
          </w:tcPr>
          <w:p>
            <w:pPr>
              <w:pStyle w:val="TableContents"/>
              <w:spacing w:before="0" w:after="0"/>
              <w:ind w:left="180" w:right="0" w:hanging="180"/>
              <w:rPr>
                <w:i/>
                <w:color w:val="000000"/>
              </w:rPr>
            </w:pPr>
            <w:r>
              <w:rPr>
                <w:i/>
                <w:color w:val="000000"/>
              </w:rPr>
              <w:t>Capital transactions</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pPr>
            <w:r>
              <w:rPr/>
              <w:t> </w:t>
            </w:r>
          </w:p>
        </w:tc>
        <w:tc>
          <w:tcPr>
            <w:tcW w:w="73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jc w:val="left"/>
              <w:rPr/>
            </w:pPr>
            <w:r>
              <w:rPr/>
              <w:t> </w:t>
            </w:r>
          </w:p>
        </w:tc>
        <w:tc>
          <w:tcPr>
            <w:tcW w:w="1322"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8" w:type="dxa"/>
            <w:tcBorders/>
            <w:shd w:fill="CCEEFF" w:val="clear"/>
            <w:vAlign w:val="bottom"/>
          </w:tcPr>
          <w:p>
            <w:pPr>
              <w:pStyle w:val="TableContents"/>
              <w:spacing w:before="0" w:after="283"/>
              <w:jc w:val="left"/>
              <w:rPr/>
            </w:pPr>
            <w:r>
              <w:rPr/>
              <w:t> </w:t>
            </w:r>
          </w:p>
        </w:tc>
        <w:tc>
          <w:tcPr>
            <w:tcW w:w="155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r>
      <w:tr>
        <w:trPr/>
        <w:tc>
          <w:tcPr>
            <w:tcW w:w="3215" w:type="dxa"/>
            <w:tcBorders/>
            <w:shd w:fill="auto" w:val="clear"/>
            <w:vAlign w:val="bottom"/>
          </w:tcPr>
          <w:p>
            <w:pPr>
              <w:pStyle w:val="TableContents"/>
              <w:spacing w:before="0" w:after="0"/>
              <w:ind w:left="360" w:right="0" w:hanging="0"/>
              <w:rPr>
                <w:color w:val="000000"/>
              </w:rPr>
            </w:pPr>
            <w:r>
              <w:rPr>
                <w:color w:val="000000"/>
              </w:rPr>
              <w:t>Issuance of common stock, net of offering costs of $1,609,184</w:t>
            </w:r>
          </w:p>
        </w:tc>
        <w:tc>
          <w:tcPr>
            <w:tcW w:w="60" w:type="dxa"/>
            <w:tcBorders/>
            <w:shd w:fill="auto" w:val="clear"/>
            <w:vAlign w:val="bottom"/>
          </w:tcPr>
          <w:p>
            <w:pPr>
              <w:pStyle w:val="TableContents"/>
              <w:spacing w:before="0" w:after="283"/>
              <w:jc w:val="righ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6,214,672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3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62,147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22"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85,213,023</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4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55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2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85,275,170</w:t>
            </w:r>
          </w:p>
        </w:tc>
        <w:tc>
          <w:tcPr>
            <w:tcW w:w="114" w:type="dxa"/>
            <w:tcBorders/>
            <w:shd w:fill="auto" w:val="clear"/>
            <w:vAlign w:val="bottom"/>
          </w:tcPr>
          <w:p>
            <w:pPr>
              <w:pStyle w:val="TableContents"/>
              <w:spacing w:before="0" w:after="283"/>
              <w:jc w:val="left"/>
              <w:rPr/>
            </w:pPr>
            <w:r>
              <w:rPr/>
              <w:t> </w:t>
            </w:r>
          </w:p>
        </w:tc>
      </w:tr>
      <w:tr>
        <w:trPr/>
        <w:tc>
          <w:tcPr>
            <w:tcW w:w="3215" w:type="dxa"/>
            <w:tcBorders/>
            <w:shd w:fill="CCEEFF" w:val="clear"/>
            <w:vAlign w:val="bottom"/>
          </w:tcPr>
          <w:p>
            <w:pPr>
              <w:pStyle w:val="TableContents"/>
              <w:spacing w:before="0" w:after="0"/>
              <w:ind w:left="540" w:right="0" w:hanging="180"/>
              <w:rPr>
                <w:color w:val="000000"/>
              </w:rPr>
            </w:pPr>
            <w:r>
              <w:rPr>
                <w:color w:val="000000"/>
              </w:rPr>
              <w:t>Total increase (decrease) in net assets</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color w:val="000000"/>
              </w:rPr>
            </w:pPr>
            <w:r>
              <w:rPr>
                <w:color w:val="000000"/>
              </w:rPr>
              <w:t>6,214,672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pPr>
            <w:r>
              <w:rPr/>
              <w:t> </w:t>
            </w:r>
          </w:p>
        </w:tc>
        <w:tc>
          <w:tcPr>
            <w:tcW w:w="734" w:type="dxa"/>
            <w:tcBorders/>
            <w:shd w:fill="CCEEFF" w:val="clear"/>
            <w:vAlign w:val="bottom"/>
          </w:tcPr>
          <w:p>
            <w:pPr>
              <w:pStyle w:val="TableContents"/>
              <w:spacing w:before="0" w:after="0"/>
              <w:jc w:val="right"/>
              <w:rPr>
                <w:color w:val="000000"/>
              </w:rPr>
            </w:pPr>
            <w:r>
              <w:rPr>
                <w:color w:val="000000"/>
              </w:rPr>
              <w:t>62,147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jc w:val="left"/>
              <w:rPr/>
            </w:pPr>
            <w:r>
              <w:rPr/>
              <w:t> </w:t>
            </w:r>
          </w:p>
        </w:tc>
        <w:tc>
          <w:tcPr>
            <w:tcW w:w="1322" w:type="dxa"/>
            <w:tcBorders/>
            <w:shd w:fill="CCEEFF" w:val="clear"/>
            <w:vAlign w:val="bottom"/>
          </w:tcPr>
          <w:p>
            <w:pPr>
              <w:pStyle w:val="TableContents"/>
              <w:spacing w:before="0" w:after="0"/>
              <w:jc w:val="right"/>
              <w:rPr>
                <w:color w:val="000000"/>
              </w:rPr>
            </w:pPr>
            <w:r>
              <w:rPr>
                <w:color w:val="000000"/>
              </w:rPr>
              <w:t>85,213,023</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8" w:type="dxa"/>
            <w:tcBorders/>
            <w:shd w:fill="CCEEFF" w:val="clear"/>
            <w:vAlign w:val="bottom"/>
          </w:tcPr>
          <w:p>
            <w:pPr>
              <w:pStyle w:val="TableContents"/>
              <w:spacing w:before="0" w:after="283"/>
              <w:jc w:val="left"/>
              <w:rPr/>
            </w:pPr>
            <w:r>
              <w:rPr/>
              <w:t> </w:t>
            </w:r>
          </w:p>
        </w:tc>
        <w:tc>
          <w:tcPr>
            <w:tcW w:w="1555" w:type="dxa"/>
            <w:tcBorders/>
            <w:shd w:fill="CCEEFF" w:val="clear"/>
            <w:vAlign w:val="bottom"/>
          </w:tcPr>
          <w:p>
            <w:pPr>
              <w:pStyle w:val="TableContents"/>
              <w:spacing w:before="0" w:after="0"/>
              <w:jc w:val="right"/>
              <w:rPr>
                <w:color w:val="000000"/>
              </w:rPr>
            </w:pPr>
            <w:r>
              <w:rPr>
                <w:color w:val="000000"/>
              </w:rPr>
              <w:t>(215,531</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283"/>
              <w:jc w:val="left"/>
              <w:rPr/>
            </w:pPr>
            <w:r>
              <w:rPr/>
              <w:t> </w:t>
            </w:r>
          </w:p>
        </w:tc>
        <w:tc>
          <w:tcPr>
            <w:tcW w:w="1227" w:type="dxa"/>
            <w:tcBorders/>
            <w:shd w:fill="CCEEFF" w:val="clear"/>
            <w:vAlign w:val="bottom"/>
          </w:tcPr>
          <w:p>
            <w:pPr>
              <w:pStyle w:val="TableContents"/>
              <w:spacing w:before="0" w:after="0"/>
              <w:jc w:val="right"/>
              <w:rPr>
                <w:color w:val="000000"/>
              </w:rPr>
            </w:pPr>
            <w:r>
              <w:rPr>
                <w:color w:val="000000"/>
              </w:rPr>
              <w:t>85,059,639</w:t>
            </w:r>
          </w:p>
        </w:tc>
        <w:tc>
          <w:tcPr>
            <w:tcW w:w="114" w:type="dxa"/>
            <w:tcBorders/>
            <w:shd w:fill="CCEEFF" w:val="clear"/>
            <w:vAlign w:val="bottom"/>
          </w:tcPr>
          <w:p>
            <w:pPr>
              <w:pStyle w:val="TableContents"/>
              <w:spacing w:before="0" w:after="283"/>
              <w:jc w:val="left"/>
              <w:rPr/>
            </w:pPr>
            <w:r>
              <w:rPr/>
              <w:t> </w:t>
            </w:r>
          </w:p>
        </w:tc>
      </w:tr>
      <w:tr>
        <w:trPr/>
        <w:tc>
          <w:tcPr>
            <w:tcW w:w="3215" w:type="dxa"/>
            <w:tcBorders/>
            <w:shd w:fill="auto" w:val="clear"/>
            <w:vAlign w:val="bottom"/>
          </w:tcPr>
          <w:p>
            <w:pPr>
              <w:pStyle w:val="TableContents"/>
              <w:spacing w:before="0" w:after="0"/>
              <w:ind w:left="180" w:right="0" w:hanging="180"/>
              <w:rPr>
                <w:color w:val="000000"/>
              </w:rPr>
            </w:pPr>
            <w:r>
              <w:rPr>
                <w:color w:val="000000"/>
              </w:rPr>
              <w:t>Effect of permanent adjustments</w:t>
            </w:r>
          </w:p>
        </w:tc>
        <w:tc>
          <w:tcPr>
            <w:tcW w:w="60" w:type="dxa"/>
            <w:tcBorders/>
            <w:shd w:fill="auto" w:val="clear"/>
            <w:vAlign w:val="bottom"/>
          </w:tcPr>
          <w:p>
            <w:pPr>
              <w:pStyle w:val="TableContents"/>
              <w:spacing w:before="0" w:after="283"/>
              <w:jc w:val="righ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3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22"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(295,235</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24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55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295,235</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2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114" w:type="dxa"/>
            <w:tcBorders/>
            <w:shd w:fill="auto" w:val="clear"/>
            <w:vAlign w:val="bottom"/>
          </w:tcPr>
          <w:p>
            <w:pPr>
              <w:pStyle w:val="TableContents"/>
              <w:spacing w:before="0" w:after="283"/>
              <w:jc w:val="left"/>
              <w:rPr/>
            </w:pPr>
            <w:r>
              <w:rPr/>
              <w:t> </w:t>
            </w:r>
          </w:p>
        </w:tc>
      </w:tr>
      <w:tr>
        <w:trPr/>
        <w:tc>
          <w:tcPr>
            <w:tcW w:w="3215" w:type="dxa"/>
            <w:tcBorders/>
            <w:shd w:fill="CCEEFF" w:val="clear"/>
            <w:vAlign w:val="bottom"/>
          </w:tcPr>
          <w:p>
            <w:pPr>
              <w:pStyle w:val="TableContents"/>
              <w:spacing w:before="0" w:after="0"/>
              <w:ind w:left="180" w:right="0" w:hanging="0"/>
              <w:rPr>
                <w:b/>
                <w:color w:val="000000"/>
              </w:rPr>
            </w:pPr>
            <w:r>
              <w:rPr>
                <w:b/>
                <w:color w:val="000000"/>
              </w:rPr>
              <w:t>Balance, March 31, 2022</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98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6,214,672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734"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62,147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322"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84,917,788</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8"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555"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(427,845</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56"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227"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84,552,090</w:t>
            </w:r>
          </w:p>
        </w:tc>
        <w:tc>
          <w:tcPr>
            <w:tcW w:w="114" w:type="dxa"/>
            <w:tcBorders/>
            <w:shd w:fill="CCEEFF"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color w:val="000000"/>
          <w:sz w:val="20"/>
        </w:rPr>
      </w:pPr>
      <w:r>
        <w:rPr>
          <w:rFonts w:ascii="Times New Roman" w:hAnsi="Times New Roman"/>
          <w:color w:val="000000"/>
          <w:sz w:val="20"/>
        </w:rPr>
        <w:t>See notes to financial statements.</w:t>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SILVER SPIKE INVESTMENT CORP.</w:t>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20"/>
        </w:rPr>
      </w:pPr>
      <w:bookmarkStart w:id="7" w:name="StatementsofCashFlows"/>
      <w:bookmarkEnd w:id="7"/>
      <w:r>
        <w:rPr>
          <w:rFonts w:ascii="Times New Roman" w:hAnsi="Times New Roman"/>
          <w:b/>
          <w:color w:val="000000"/>
          <w:sz w:val="20"/>
        </w:rPr>
        <w:t>Statements of Cash Flows</w:t>
      </w:r>
    </w:p>
    <w:p>
      <w:pPr>
        <w:pStyle w:val="TextBody"/>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7354"/>
        <w:gridCol w:w="60"/>
        <w:gridCol w:w="160"/>
        <w:gridCol w:w="1266"/>
        <w:gridCol w:w="98"/>
        <w:gridCol w:w="62"/>
        <w:gridCol w:w="160"/>
        <w:gridCol w:w="1266"/>
        <w:gridCol w:w="113"/>
      </w:tblGrid>
      <w:tr>
        <w:trPr/>
        <w:tc>
          <w:tcPr>
            <w:tcW w:w="7354" w:type="dxa"/>
            <w:tcBorders/>
            <w:shd w:fill="auto" w:val="clear"/>
            <w:vAlign w:val="bottom"/>
          </w:tcPr>
          <w:p>
            <w:pPr>
              <w:pStyle w:val="TableContents"/>
              <w:spacing w:before="0" w:after="0"/>
              <w:ind w:left="180" w:right="0" w:hanging="180"/>
              <w:rPr/>
            </w:pPr>
            <w:r>
              <w:rPr/>
              <w:t> </w:t>
            </w:r>
          </w:p>
        </w:tc>
        <w:tc>
          <w:tcPr>
            <w:tcW w:w="60" w:type="dxa"/>
            <w:tcBorders/>
            <w:shd w:fill="auto" w:val="clear"/>
            <w:vAlign w:val="bottom"/>
          </w:tcPr>
          <w:p>
            <w:pPr>
              <w:pStyle w:val="TableContents"/>
              <w:spacing w:before="0" w:after="283"/>
              <w:rPr/>
            </w:pPr>
            <w:r>
              <w:rPr/>
              <w:t> </w:t>
            </w:r>
          </w:p>
        </w:tc>
        <w:tc>
          <w:tcPr>
            <w:tcW w:w="3012" w:type="dxa"/>
            <w:gridSpan w:val="6"/>
            <w:tcBorders/>
            <w:shd w:fill="auto" w:val="clear"/>
            <w:vAlign w:val="bottom"/>
          </w:tcPr>
          <w:p>
            <w:pPr>
              <w:pStyle w:val="TableContents"/>
              <w:spacing w:before="0" w:after="0"/>
              <w:jc w:val="center"/>
              <w:rPr>
                <w:b/>
                <w:color w:val="000000"/>
              </w:rPr>
            </w:pPr>
            <w:r>
              <w:rPr>
                <w:b/>
                <w:color w:val="000000"/>
              </w:rPr>
              <w:t>For the three months ended</w:t>
            </w:r>
          </w:p>
        </w:tc>
        <w:tc>
          <w:tcPr>
            <w:tcW w:w="113" w:type="dxa"/>
            <w:tcBorders/>
            <w:shd w:fill="auto" w:val="clear"/>
            <w:vAlign w:val="bottom"/>
          </w:tcPr>
          <w:p>
            <w:pPr>
              <w:pStyle w:val="TableContents"/>
              <w:spacing w:before="0" w:after="283"/>
              <w:jc w:val="left"/>
              <w:rPr/>
            </w:pPr>
            <w:r>
              <w:rPr/>
              <w:t> </w:t>
            </w:r>
          </w:p>
        </w:tc>
      </w:tr>
      <w:tr>
        <w:trPr/>
        <w:tc>
          <w:tcPr>
            <w:tcW w:w="7354" w:type="dxa"/>
            <w:tcBorders/>
            <w:shd w:fill="auto" w:val="clear"/>
            <w:vAlign w:val="bottom"/>
          </w:tcPr>
          <w:p>
            <w:pPr>
              <w:pStyle w:val="TableContents"/>
              <w:spacing w:before="0" w:after="0"/>
              <w:ind w:left="180" w:right="0" w:hanging="180"/>
              <w:rPr/>
            </w:pPr>
            <w:r>
              <w:rPr/>
              <w:t> </w:t>
            </w:r>
          </w:p>
        </w:tc>
        <w:tc>
          <w:tcPr>
            <w:tcW w:w="60" w:type="dxa"/>
            <w:tcBorders/>
            <w:shd w:fill="auto" w:val="clear"/>
            <w:vAlign w:val="bottom"/>
          </w:tcPr>
          <w:p>
            <w:pPr>
              <w:pStyle w:val="TableContents"/>
              <w:spacing w:before="0" w:after="283"/>
              <w:rPr/>
            </w:pPr>
            <w:r>
              <w:rPr/>
              <w:t> </w:t>
            </w:r>
          </w:p>
        </w:tc>
        <w:tc>
          <w:tcPr>
            <w:tcW w:w="142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 2023</w:t>
            </w:r>
          </w:p>
        </w:tc>
        <w:tc>
          <w:tcPr>
            <w:tcW w:w="98" w:type="dxa"/>
            <w:tcBorders/>
            <w:shd w:fill="auto" w:val="clear"/>
            <w:vAlign w:val="bottom"/>
          </w:tcPr>
          <w:p>
            <w:pPr>
              <w:pStyle w:val="TableContents"/>
              <w:spacing w:before="0" w:after="283"/>
              <w:jc w:val="left"/>
              <w:rPr/>
            </w:pPr>
            <w:r>
              <w:rPr/>
              <w:t> </w:t>
            </w:r>
          </w:p>
        </w:tc>
        <w:tc>
          <w:tcPr>
            <w:tcW w:w="62" w:type="dxa"/>
            <w:tcBorders/>
            <w:shd w:fill="auto" w:val="clear"/>
            <w:vAlign w:val="bottom"/>
          </w:tcPr>
          <w:p>
            <w:pPr>
              <w:pStyle w:val="TableContents"/>
              <w:spacing w:before="0" w:after="283"/>
              <w:rPr/>
            </w:pPr>
            <w:r>
              <w:rPr/>
              <w:t> </w:t>
            </w:r>
          </w:p>
        </w:tc>
        <w:tc>
          <w:tcPr>
            <w:tcW w:w="142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 2022</w:t>
            </w:r>
          </w:p>
        </w:tc>
        <w:tc>
          <w:tcPr>
            <w:tcW w:w="113" w:type="dxa"/>
            <w:tcBorders/>
            <w:shd w:fill="auto" w:val="clear"/>
            <w:vAlign w:val="bottom"/>
          </w:tcPr>
          <w:p>
            <w:pPr>
              <w:pStyle w:val="TableContents"/>
              <w:spacing w:before="0" w:after="283"/>
              <w:jc w:val="left"/>
              <w:rPr/>
            </w:pPr>
            <w:r>
              <w:rPr/>
              <w:t> </w:t>
            </w:r>
          </w:p>
        </w:tc>
      </w:tr>
      <w:tr>
        <w:trPr/>
        <w:tc>
          <w:tcPr>
            <w:tcW w:w="7354" w:type="dxa"/>
            <w:tcBorders/>
            <w:shd w:fill="auto" w:val="clear"/>
            <w:vAlign w:val="bottom"/>
          </w:tcPr>
          <w:p>
            <w:pPr>
              <w:pStyle w:val="TableContents"/>
              <w:spacing w:before="0" w:after="0"/>
              <w:ind w:left="180" w:right="0" w:hanging="180"/>
              <w:rPr>
                <w:b/>
                <w:color w:val="000000"/>
              </w:rPr>
            </w:pPr>
            <w:r>
              <w:rPr>
                <w:b/>
                <w:color w:val="000000"/>
              </w:rPr>
              <w:t>Cash flows from operating activities</w:t>
            </w:r>
          </w:p>
        </w:tc>
        <w:tc>
          <w:tcPr>
            <w:tcW w:w="60" w:type="dxa"/>
            <w:tcBorders/>
            <w:shd w:fill="auto" w:val="clear"/>
            <w:vAlign w:val="bottom"/>
          </w:tcPr>
          <w:p>
            <w:pPr>
              <w:pStyle w:val="TableContents"/>
              <w:spacing w:before="0" w:after="283"/>
              <w:rPr/>
            </w:pPr>
            <w:r>
              <w:rPr/>
              <w:t> </w:t>
            </w:r>
          </w:p>
        </w:tc>
        <w:tc>
          <w:tcPr>
            <w:tcW w:w="1426" w:type="dxa"/>
            <w:gridSpan w:val="2"/>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jc w:val="left"/>
              <w:rPr/>
            </w:pPr>
            <w:r>
              <w:rPr/>
              <w:t> </w:t>
            </w:r>
          </w:p>
        </w:tc>
        <w:tc>
          <w:tcPr>
            <w:tcW w:w="62" w:type="dxa"/>
            <w:tcBorders/>
            <w:shd w:fill="auto" w:val="clear"/>
            <w:vAlign w:val="bottom"/>
          </w:tcPr>
          <w:p>
            <w:pPr>
              <w:pStyle w:val="TableContents"/>
              <w:spacing w:before="0" w:after="283"/>
              <w:rPr/>
            </w:pPr>
            <w:r>
              <w:rPr/>
              <w:t> </w:t>
            </w:r>
          </w:p>
        </w:tc>
        <w:tc>
          <w:tcPr>
            <w:tcW w:w="1426"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r>
      <w:tr>
        <w:trPr/>
        <w:tc>
          <w:tcPr>
            <w:tcW w:w="7354" w:type="dxa"/>
            <w:tcBorders/>
            <w:shd w:fill="CCEEFF" w:val="clear"/>
            <w:vAlign w:val="bottom"/>
          </w:tcPr>
          <w:p>
            <w:pPr>
              <w:pStyle w:val="TableContents"/>
              <w:spacing w:before="0" w:after="0"/>
              <w:ind w:left="180" w:right="0" w:hanging="180"/>
              <w:rPr>
                <w:color w:val="000000"/>
              </w:rPr>
            </w:pPr>
            <w:r>
              <w:rPr>
                <w:color w:val="000000"/>
              </w:rPr>
              <w:t>Net increase (decrease) in net assets resulting from operations</w:t>
            </w:r>
          </w:p>
        </w:tc>
        <w:tc>
          <w:tcPr>
            <w:tcW w:w="60"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0"/>
              <w:jc w:val="left"/>
              <w:rPr>
                <w:color w:val="000000"/>
              </w:rPr>
            </w:pPr>
            <w:r>
              <w:rPr>
                <w:color w:val="000000"/>
              </w:rPr>
              <w:t>$</w:t>
            </w:r>
          </w:p>
        </w:tc>
        <w:tc>
          <w:tcPr>
            <w:tcW w:w="1266" w:type="dxa"/>
            <w:tcBorders/>
            <w:shd w:fill="CCEEFF" w:val="clear"/>
            <w:vAlign w:val="bottom"/>
          </w:tcPr>
          <w:p>
            <w:pPr>
              <w:pStyle w:val="TableContents"/>
              <w:spacing w:before="0" w:after="0"/>
              <w:jc w:val="right"/>
              <w:rPr>
                <w:color w:val="000000"/>
              </w:rPr>
            </w:pPr>
            <w:r>
              <w:rPr>
                <w:color w:val="000000"/>
              </w:rPr>
              <w:t>2,357,080</w:t>
            </w:r>
          </w:p>
        </w:tc>
        <w:tc>
          <w:tcPr>
            <w:tcW w:w="98" w:type="dxa"/>
            <w:tcBorders/>
            <w:shd w:fill="CCEEFF" w:val="clear"/>
            <w:vAlign w:val="bottom"/>
          </w:tcPr>
          <w:p>
            <w:pPr>
              <w:pStyle w:val="TableContents"/>
              <w:spacing w:before="0" w:after="283"/>
              <w:jc w:val="left"/>
              <w:rPr/>
            </w:pPr>
            <w:r>
              <w:rPr/>
              <w:t> </w:t>
            </w:r>
          </w:p>
        </w:tc>
        <w:tc>
          <w:tcPr>
            <w:tcW w:w="62"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0"/>
              <w:jc w:val="left"/>
              <w:rPr>
                <w:color w:val="000000"/>
              </w:rPr>
            </w:pPr>
            <w:r>
              <w:rPr>
                <w:color w:val="000000"/>
              </w:rPr>
              <w:t>$</w:t>
            </w:r>
          </w:p>
        </w:tc>
        <w:tc>
          <w:tcPr>
            <w:tcW w:w="1266" w:type="dxa"/>
            <w:tcBorders/>
            <w:shd w:fill="CCEEFF" w:val="clear"/>
            <w:vAlign w:val="bottom"/>
          </w:tcPr>
          <w:p>
            <w:pPr>
              <w:pStyle w:val="TableContents"/>
              <w:spacing w:before="0" w:after="0"/>
              <w:jc w:val="right"/>
              <w:rPr>
                <w:color w:val="000000"/>
              </w:rPr>
            </w:pPr>
            <w:r>
              <w:rPr>
                <w:color w:val="000000"/>
              </w:rPr>
              <w:t>(215,531</w:t>
            </w:r>
          </w:p>
        </w:tc>
        <w:tc>
          <w:tcPr>
            <w:tcW w:w="113" w:type="dxa"/>
            <w:tcBorders/>
            <w:shd w:fill="CCEEFF" w:val="clear"/>
            <w:vAlign w:val="bottom"/>
          </w:tcPr>
          <w:p>
            <w:pPr>
              <w:pStyle w:val="TableContents"/>
              <w:spacing w:before="0" w:after="0"/>
              <w:jc w:val="left"/>
              <w:rPr>
                <w:color w:val="000000"/>
              </w:rPr>
            </w:pPr>
            <w:r>
              <w:rPr>
                <w:color w:val="000000"/>
              </w:rPr>
              <w:t>)</w:t>
            </w:r>
          </w:p>
        </w:tc>
      </w:tr>
      <w:tr>
        <w:trPr/>
        <w:tc>
          <w:tcPr>
            <w:tcW w:w="7354" w:type="dxa"/>
            <w:tcBorders/>
            <w:shd w:fill="auto" w:val="clear"/>
            <w:vAlign w:val="bottom"/>
          </w:tcPr>
          <w:p>
            <w:pPr>
              <w:pStyle w:val="TableContents"/>
              <w:spacing w:before="0" w:after="0"/>
              <w:ind w:left="360" w:right="0" w:hanging="180"/>
              <w:rPr>
                <w:color w:val="000000"/>
              </w:rPr>
            </w:pPr>
            <w:r>
              <w:rPr>
                <w:color w:val="000000"/>
              </w:rPr>
              <w:t>Adjustments to reconcile net increase (decrease) in net assets resulting from operations to net cash provided by (used in) operating activities:</w:t>
            </w:r>
          </w:p>
        </w:tc>
        <w:tc>
          <w:tcPr>
            <w:tcW w:w="60"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jc w:val="left"/>
              <w:rPr/>
            </w:pPr>
            <w:r>
              <w:rPr/>
              <w:t> </w:t>
            </w:r>
          </w:p>
        </w:tc>
        <w:tc>
          <w:tcPr>
            <w:tcW w:w="62"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283"/>
              <w:jc w:val="right"/>
              <w:rPr/>
            </w:pPr>
            <w:r>
              <w:rPr/>
              <w:t> </w:t>
            </w:r>
          </w:p>
        </w:tc>
        <w:tc>
          <w:tcPr>
            <w:tcW w:w="113" w:type="dxa"/>
            <w:tcBorders/>
            <w:shd w:fill="auto" w:val="clear"/>
            <w:vAlign w:val="bottom"/>
          </w:tcPr>
          <w:p>
            <w:pPr>
              <w:pStyle w:val="TableContents"/>
              <w:spacing w:before="0" w:after="283"/>
              <w:jc w:val="left"/>
              <w:rPr/>
            </w:pPr>
            <w:r>
              <w:rPr/>
              <w:t> </w:t>
            </w:r>
          </w:p>
        </w:tc>
      </w:tr>
      <w:tr>
        <w:trPr/>
        <w:tc>
          <w:tcPr>
            <w:tcW w:w="7354" w:type="dxa"/>
            <w:tcBorders/>
            <w:shd w:fill="CCEEFF" w:val="clear"/>
            <w:vAlign w:val="bottom"/>
          </w:tcPr>
          <w:p>
            <w:pPr>
              <w:pStyle w:val="TableContents"/>
              <w:spacing w:before="0" w:after="0"/>
              <w:ind w:left="540" w:right="0" w:hanging="180"/>
              <w:rPr/>
            </w:pPr>
            <w:r>
              <w:rPr/>
              <w:t>Net change in unrealized (appreciation) depreciation from investments</w:t>
            </w:r>
          </w:p>
        </w:tc>
        <w:tc>
          <w:tcPr>
            <w:tcW w:w="60"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0"/>
              <w:jc w:val="right"/>
              <w:rPr>
                <w:color w:val="000000"/>
              </w:rPr>
            </w:pPr>
            <w:r>
              <w:rPr>
                <w:color w:val="000000"/>
              </w:rPr>
              <w:t>(986,357</w:t>
            </w:r>
          </w:p>
        </w:tc>
        <w:tc>
          <w:tcPr>
            <w:tcW w:w="98" w:type="dxa"/>
            <w:tcBorders/>
            <w:shd w:fill="CCEEFF" w:val="clear"/>
            <w:vAlign w:val="bottom"/>
          </w:tcPr>
          <w:p>
            <w:pPr>
              <w:pStyle w:val="TableContents"/>
              <w:spacing w:before="0" w:after="0"/>
              <w:jc w:val="left"/>
              <w:rPr>
                <w:color w:val="000000"/>
              </w:rPr>
            </w:pPr>
            <w:r>
              <w:rPr>
                <w:color w:val="000000"/>
              </w:rPr>
              <w:t>)</w:t>
            </w:r>
          </w:p>
        </w:tc>
        <w:tc>
          <w:tcPr>
            <w:tcW w:w="62"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0"/>
              <w:jc w:val="right"/>
              <w:rPr>
                <w:color w:val="000000"/>
              </w:rPr>
            </w:pPr>
            <w:r>
              <w:rPr>
                <w:color w:val="000000"/>
              </w:rPr>
              <w:t>-</w:t>
            </w:r>
          </w:p>
        </w:tc>
        <w:tc>
          <w:tcPr>
            <w:tcW w:w="113" w:type="dxa"/>
            <w:tcBorders/>
            <w:shd w:fill="CCEEFF" w:val="clear"/>
            <w:vAlign w:val="bottom"/>
          </w:tcPr>
          <w:p>
            <w:pPr>
              <w:pStyle w:val="TableContents"/>
              <w:spacing w:before="0" w:after="283"/>
              <w:jc w:val="left"/>
              <w:rPr/>
            </w:pPr>
            <w:r>
              <w:rPr/>
              <w:t> </w:t>
            </w:r>
          </w:p>
        </w:tc>
      </w:tr>
      <w:tr>
        <w:trPr/>
        <w:tc>
          <w:tcPr>
            <w:tcW w:w="7354" w:type="dxa"/>
            <w:tcBorders/>
            <w:shd w:fill="auto" w:val="clear"/>
            <w:vAlign w:val="bottom"/>
          </w:tcPr>
          <w:p>
            <w:pPr>
              <w:pStyle w:val="TableContents"/>
              <w:spacing w:before="0" w:after="0"/>
              <w:ind w:left="540" w:right="0" w:hanging="180"/>
              <w:rPr>
                <w:color w:val="000000"/>
              </w:rPr>
            </w:pPr>
            <w:r>
              <w:rPr>
                <w:color w:val="000000"/>
              </w:rPr>
              <w:t>Net (accretion of discounts) and amortization of premiums</w:t>
            </w:r>
          </w:p>
        </w:tc>
        <w:tc>
          <w:tcPr>
            <w:tcW w:w="60"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0"/>
              <w:jc w:val="right"/>
              <w:rPr>
                <w:color w:val="000000"/>
              </w:rPr>
            </w:pPr>
            <w:r>
              <w:rPr>
                <w:color w:val="000000"/>
              </w:rPr>
              <w:t>(140,819</w:t>
            </w:r>
          </w:p>
        </w:tc>
        <w:tc>
          <w:tcPr>
            <w:tcW w:w="98" w:type="dxa"/>
            <w:tcBorders/>
            <w:shd w:fill="auto" w:val="clear"/>
            <w:vAlign w:val="bottom"/>
          </w:tcPr>
          <w:p>
            <w:pPr>
              <w:pStyle w:val="TableContents"/>
              <w:spacing w:before="0" w:after="0"/>
              <w:jc w:val="left"/>
              <w:rPr>
                <w:color w:val="000000"/>
              </w:rPr>
            </w:pPr>
            <w:r>
              <w:rPr>
                <w:color w:val="000000"/>
              </w:rPr>
              <w:t>)</w:t>
            </w:r>
          </w:p>
        </w:tc>
        <w:tc>
          <w:tcPr>
            <w:tcW w:w="62"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0"/>
              <w:jc w:val="right"/>
              <w:rPr>
                <w:color w:val="000000"/>
              </w:rPr>
            </w:pPr>
            <w:r>
              <w:rPr>
                <w:color w:val="000000"/>
              </w:rPr>
              <w:t>-</w:t>
            </w:r>
          </w:p>
        </w:tc>
        <w:tc>
          <w:tcPr>
            <w:tcW w:w="113" w:type="dxa"/>
            <w:tcBorders/>
            <w:shd w:fill="auto" w:val="clear"/>
            <w:vAlign w:val="bottom"/>
          </w:tcPr>
          <w:p>
            <w:pPr>
              <w:pStyle w:val="TableContents"/>
              <w:spacing w:before="0" w:after="283"/>
              <w:jc w:val="left"/>
              <w:rPr/>
            </w:pPr>
            <w:r>
              <w:rPr/>
              <w:t> </w:t>
            </w:r>
          </w:p>
        </w:tc>
      </w:tr>
      <w:tr>
        <w:trPr/>
        <w:tc>
          <w:tcPr>
            <w:tcW w:w="7354" w:type="dxa"/>
            <w:tcBorders/>
            <w:shd w:fill="CCEEFF" w:val="clear"/>
            <w:vAlign w:val="bottom"/>
          </w:tcPr>
          <w:p>
            <w:pPr>
              <w:pStyle w:val="TableContents"/>
              <w:spacing w:before="0" w:after="0"/>
              <w:ind w:left="540" w:right="0" w:hanging="180"/>
              <w:rPr>
                <w:color w:val="000000"/>
              </w:rPr>
            </w:pPr>
            <w:r>
              <w:rPr>
                <w:color w:val="000000"/>
              </w:rPr>
              <w:t>Purchase of investments</w:t>
            </w:r>
          </w:p>
        </w:tc>
        <w:tc>
          <w:tcPr>
            <w:tcW w:w="60"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0"/>
              <w:jc w:val="right"/>
              <w:rPr>
                <w:color w:val="000000"/>
              </w:rPr>
            </w:pPr>
            <w:r>
              <w:rPr>
                <w:color w:val="000000"/>
              </w:rPr>
              <w:t>(4,230,000</w:t>
            </w:r>
          </w:p>
        </w:tc>
        <w:tc>
          <w:tcPr>
            <w:tcW w:w="98" w:type="dxa"/>
            <w:tcBorders/>
            <w:shd w:fill="CCEEFF" w:val="clear"/>
            <w:vAlign w:val="bottom"/>
          </w:tcPr>
          <w:p>
            <w:pPr>
              <w:pStyle w:val="TableContents"/>
              <w:spacing w:before="0" w:after="0"/>
              <w:jc w:val="left"/>
              <w:rPr>
                <w:color w:val="000000"/>
              </w:rPr>
            </w:pPr>
            <w:r>
              <w:rPr>
                <w:color w:val="000000"/>
              </w:rPr>
              <w:t>)</w:t>
            </w:r>
          </w:p>
        </w:tc>
        <w:tc>
          <w:tcPr>
            <w:tcW w:w="62"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0"/>
              <w:jc w:val="right"/>
              <w:rPr>
                <w:color w:val="000000"/>
              </w:rPr>
            </w:pPr>
            <w:r>
              <w:rPr>
                <w:color w:val="000000"/>
              </w:rPr>
              <w:t>-</w:t>
            </w:r>
          </w:p>
        </w:tc>
        <w:tc>
          <w:tcPr>
            <w:tcW w:w="113" w:type="dxa"/>
            <w:tcBorders/>
            <w:shd w:fill="CCEEFF" w:val="clear"/>
            <w:vAlign w:val="bottom"/>
          </w:tcPr>
          <w:p>
            <w:pPr>
              <w:pStyle w:val="TableContents"/>
              <w:spacing w:before="0" w:after="283"/>
              <w:jc w:val="left"/>
              <w:rPr/>
            </w:pPr>
            <w:r>
              <w:rPr/>
              <w:t> </w:t>
            </w:r>
          </w:p>
        </w:tc>
      </w:tr>
      <w:tr>
        <w:trPr/>
        <w:tc>
          <w:tcPr>
            <w:tcW w:w="7354" w:type="dxa"/>
            <w:tcBorders/>
            <w:shd w:fill="auto" w:val="clear"/>
            <w:vAlign w:val="bottom"/>
          </w:tcPr>
          <w:p>
            <w:pPr>
              <w:pStyle w:val="TableContents"/>
              <w:spacing w:before="0" w:after="0"/>
              <w:ind w:left="360" w:right="0" w:hanging="0"/>
              <w:rPr/>
            </w:pPr>
            <w:r>
              <w:rPr/>
              <w:t>PIK interest capitalized</w:t>
            </w:r>
          </w:p>
        </w:tc>
        <w:tc>
          <w:tcPr>
            <w:tcW w:w="60"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283"/>
              <w:jc w:val="right"/>
              <w:rPr/>
            </w:pPr>
            <w:r>
              <w:rPr/>
              <w:t>(11,573</w:t>
            </w:r>
          </w:p>
        </w:tc>
        <w:tc>
          <w:tcPr>
            <w:tcW w:w="98" w:type="dxa"/>
            <w:tcBorders/>
            <w:shd w:fill="auto" w:val="clear"/>
            <w:vAlign w:val="bottom"/>
          </w:tcPr>
          <w:p>
            <w:pPr>
              <w:pStyle w:val="TableContents"/>
              <w:spacing w:before="0" w:after="283"/>
              <w:jc w:val="left"/>
              <w:rPr/>
            </w:pPr>
            <w:r>
              <w:rPr/>
              <w:t>)</w:t>
            </w:r>
          </w:p>
        </w:tc>
        <w:tc>
          <w:tcPr>
            <w:tcW w:w="62"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jc w:val="left"/>
              <w:rPr/>
            </w:pPr>
            <w:r>
              <w:rPr/>
              <w:t> </w:t>
            </w:r>
          </w:p>
        </w:tc>
      </w:tr>
      <w:tr>
        <w:trPr/>
        <w:tc>
          <w:tcPr>
            <w:tcW w:w="7354" w:type="dxa"/>
            <w:tcBorders/>
            <w:shd w:fill="CCEEFF" w:val="clear"/>
            <w:vAlign w:val="bottom"/>
          </w:tcPr>
          <w:p>
            <w:pPr>
              <w:pStyle w:val="TableContents"/>
              <w:spacing w:before="0" w:after="0"/>
              <w:ind w:left="180" w:right="0" w:hanging="180"/>
              <w:rPr>
                <w:color w:val="000000"/>
              </w:rPr>
            </w:pPr>
            <w:r>
              <w:rPr>
                <w:color w:val="000000"/>
              </w:rPr>
              <w:t>(Increase)/Decrease in operating assets:</w:t>
            </w:r>
          </w:p>
        </w:tc>
        <w:tc>
          <w:tcPr>
            <w:tcW w:w="60"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jc w:val="left"/>
              <w:rPr/>
            </w:pPr>
            <w:r>
              <w:rPr/>
              <w:t> </w:t>
            </w:r>
          </w:p>
        </w:tc>
        <w:tc>
          <w:tcPr>
            <w:tcW w:w="62"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r>
      <w:tr>
        <w:trPr/>
        <w:tc>
          <w:tcPr>
            <w:tcW w:w="7354" w:type="dxa"/>
            <w:tcBorders/>
            <w:shd w:fill="auto" w:val="clear"/>
            <w:vAlign w:val="bottom"/>
          </w:tcPr>
          <w:p>
            <w:pPr>
              <w:pStyle w:val="TableContents"/>
              <w:spacing w:before="0" w:after="0"/>
              <w:ind w:left="720" w:right="0" w:hanging="180"/>
              <w:rPr>
                <w:color w:val="000000"/>
              </w:rPr>
            </w:pPr>
            <w:r>
              <w:rPr>
                <w:color w:val="000000"/>
              </w:rPr>
              <w:t>Prepaid expenses</w:t>
            </w:r>
          </w:p>
        </w:tc>
        <w:tc>
          <w:tcPr>
            <w:tcW w:w="60"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0"/>
              <w:jc w:val="right"/>
              <w:rPr>
                <w:color w:val="000000"/>
              </w:rPr>
            </w:pPr>
            <w:r>
              <w:rPr>
                <w:color w:val="000000"/>
              </w:rPr>
              <w:t>(222,328</w:t>
            </w:r>
          </w:p>
        </w:tc>
        <w:tc>
          <w:tcPr>
            <w:tcW w:w="98" w:type="dxa"/>
            <w:tcBorders/>
            <w:shd w:fill="auto" w:val="clear"/>
            <w:vAlign w:val="bottom"/>
          </w:tcPr>
          <w:p>
            <w:pPr>
              <w:pStyle w:val="TableContents"/>
              <w:spacing w:before="0" w:after="0"/>
              <w:jc w:val="left"/>
              <w:rPr>
                <w:color w:val="000000"/>
              </w:rPr>
            </w:pPr>
            <w:r>
              <w:rPr>
                <w:color w:val="000000"/>
              </w:rPr>
              <w:t>)</w:t>
            </w:r>
          </w:p>
        </w:tc>
        <w:tc>
          <w:tcPr>
            <w:tcW w:w="62"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0"/>
              <w:jc w:val="right"/>
              <w:rPr>
                <w:color w:val="000000"/>
              </w:rPr>
            </w:pPr>
            <w:r>
              <w:rPr>
                <w:color w:val="000000"/>
              </w:rPr>
              <w:t>(256,512</w:t>
            </w:r>
          </w:p>
        </w:tc>
        <w:tc>
          <w:tcPr>
            <w:tcW w:w="113" w:type="dxa"/>
            <w:tcBorders/>
            <w:shd w:fill="auto" w:val="clear"/>
            <w:vAlign w:val="bottom"/>
          </w:tcPr>
          <w:p>
            <w:pPr>
              <w:pStyle w:val="TableContents"/>
              <w:spacing w:before="0" w:after="0"/>
              <w:jc w:val="left"/>
              <w:rPr>
                <w:color w:val="000000"/>
              </w:rPr>
            </w:pPr>
            <w:r>
              <w:rPr>
                <w:color w:val="000000"/>
              </w:rPr>
              <w:t>)</w:t>
            </w:r>
          </w:p>
        </w:tc>
      </w:tr>
      <w:tr>
        <w:trPr/>
        <w:tc>
          <w:tcPr>
            <w:tcW w:w="7354" w:type="dxa"/>
            <w:tcBorders/>
            <w:shd w:fill="CCEEFF" w:val="clear"/>
            <w:vAlign w:val="bottom"/>
          </w:tcPr>
          <w:p>
            <w:pPr>
              <w:pStyle w:val="TableContents"/>
              <w:spacing w:before="0" w:after="0"/>
              <w:ind w:left="720" w:right="0" w:hanging="180"/>
              <w:rPr>
                <w:color w:val="000000"/>
              </w:rPr>
            </w:pPr>
            <w:r>
              <w:rPr>
                <w:color w:val="000000"/>
              </w:rPr>
              <w:t>Interest receivable</w:t>
            </w:r>
          </w:p>
        </w:tc>
        <w:tc>
          <w:tcPr>
            <w:tcW w:w="60"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0"/>
              <w:jc w:val="right"/>
              <w:rPr>
                <w:color w:val="000000"/>
              </w:rPr>
            </w:pPr>
            <w:r>
              <w:rPr>
                <w:color w:val="000000"/>
              </w:rPr>
              <w:t>(8,945</w:t>
            </w:r>
          </w:p>
        </w:tc>
        <w:tc>
          <w:tcPr>
            <w:tcW w:w="98" w:type="dxa"/>
            <w:tcBorders/>
            <w:shd w:fill="CCEEFF" w:val="clear"/>
            <w:vAlign w:val="bottom"/>
          </w:tcPr>
          <w:p>
            <w:pPr>
              <w:pStyle w:val="TableContents"/>
              <w:spacing w:before="0" w:after="0"/>
              <w:jc w:val="left"/>
              <w:rPr>
                <w:color w:val="000000"/>
              </w:rPr>
            </w:pPr>
            <w:r>
              <w:rPr>
                <w:color w:val="000000"/>
              </w:rPr>
              <w:t>)</w:t>
            </w:r>
          </w:p>
        </w:tc>
        <w:tc>
          <w:tcPr>
            <w:tcW w:w="62"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0"/>
              <w:jc w:val="right"/>
              <w:rPr>
                <w:color w:val="000000"/>
              </w:rPr>
            </w:pPr>
            <w:r>
              <w:rPr>
                <w:color w:val="000000"/>
              </w:rPr>
              <w:t>(9,215</w:t>
            </w:r>
          </w:p>
        </w:tc>
        <w:tc>
          <w:tcPr>
            <w:tcW w:w="113" w:type="dxa"/>
            <w:tcBorders/>
            <w:shd w:fill="CCEEFF" w:val="clear"/>
            <w:vAlign w:val="bottom"/>
          </w:tcPr>
          <w:p>
            <w:pPr>
              <w:pStyle w:val="TableContents"/>
              <w:spacing w:before="0" w:after="0"/>
              <w:jc w:val="left"/>
              <w:rPr>
                <w:color w:val="000000"/>
              </w:rPr>
            </w:pPr>
            <w:r>
              <w:rPr>
                <w:color w:val="000000"/>
              </w:rPr>
              <w:t>)</w:t>
            </w:r>
          </w:p>
        </w:tc>
      </w:tr>
      <w:tr>
        <w:trPr/>
        <w:tc>
          <w:tcPr>
            <w:tcW w:w="7354" w:type="dxa"/>
            <w:tcBorders/>
            <w:shd w:fill="auto" w:val="clear"/>
            <w:vAlign w:val="bottom"/>
          </w:tcPr>
          <w:p>
            <w:pPr>
              <w:pStyle w:val="TableContents"/>
              <w:spacing w:before="0" w:after="0"/>
              <w:ind w:left="720" w:right="0" w:hanging="180"/>
              <w:rPr>
                <w:color w:val="000000"/>
              </w:rPr>
            </w:pPr>
            <w:r>
              <w:rPr>
                <w:color w:val="000000"/>
              </w:rPr>
              <w:t>Deferred offering costs</w:t>
            </w:r>
          </w:p>
        </w:tc>
        <w:tc>
          <w:tcPr>
            <w:tcW w:w="60"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0"/>
              <w:jc w:val="right"/>
              <w:rPr>
                <w:color w:val="000000"/>
              </w:rPr>
            </w:pPr>
            <w:r>
              <w:rPr>
                <w:color w:val="000000"/>
              </w:rPr>
              <w:t>-</w:t>
            </w:r>
          </w:p>
        </w:tc>
        <w:tc>
          <w:tcPr>
            <w:tcW w:w="98" w:type="dxa"/>
            <w:tcBorders/>
            <w:shd w:fill="auto" w:val="clear"/>
            <w:vAlign w:val="bottom"/>
          </w:tcPr>
          <w:p>
            <w:pPr>
              <w:pStyle w:val="TableContents"/>
              <w:spacing w:before="0" w:after="283"/>
              <w:jc w:val="left"/>
              <w:rPr/>
            </w:pPr>
            <w:r>
              <w:rPr/>
              <w:t> </w:t>
            </w:r>
          </w:p>
        </w:tc>
        <w:tc>
          <w:tcPr>
            <w:tcW w:w="62"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0"/>
              <w:jc w:val="right"/>
              <w:rPr>
                <w:color w:val="000000"/>
              </w:rPr>
            </w:pPr>
            <w:r>
              <w:rPr>
                <w:color w:val="000000"/>
              </w:rPr>
              <w:t>1,395,059</w:t>
            </w:r>
          </w:p>
        </w:tc>
        <w:tc>
          <w:tcPr>
            <w:tcW w:w="113" w:type="dxa"/>
            <w:tcBorders/>
            <w:shd w:fill="auto" w:val="clear"/>
            <w:vAlign w:val="bottom"/>
          </w:tcPr>
          <w:p>
            <w:pPr>
              <w:pStyle w:val="TableContents"/>
              <w:spacing w:before="0" w:after="283"/>
              <w:jc w:val="left"/>
              <w:rPr/>
            </w:pPr>
            <w:r>
              <w:rPr/>
              <w:t> </w:t>
            </w:r>
          </w:p>
        </w:tc>
      </w:tr>
      <w:tr>
        <w:trPr/>
        <w:tc>
          <w:tcPr>
            <w:tcW w:w="7354" w:type="dxa"/>
            <w:tcBorders/>
            <w:shd w:fill="CCEEFF" w:val="clear"/>
            <w:vAlign w:val="bottom"/>
          </w:tcPr>
          <w:p>
            <w:pPr>
              <w:pStyle w:val="TableContents"/>
              <w:spacing w:before="0" w:after="0"/>
              <w:ind w:left="180" w:right="0" w:hanging="180"/>
              <w:rPr>
                <w:color w:val="000000"/>
              </w:rPr>
            </w:pPr>
            <w:r>
              <w:rPr>
                <w:color w:val="000000"/>
              </w:rPr>
              <w:t>Increase/(Decrease) in operating liabilities:</w:t>
            </w:r>
          </w:p>
        </w:tc>
        <w:tc>
          <w:tcPr>
            <w:tcW w:w="60"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jc w:val="left"/>
              <w:rPr/>
            </w:pPr>
            <w:r>
              <w:rPr/>
              <w:t> </w:t>
            </w:r>
          </w:p>
        </w:tc>
        <w:tc>
          <w:tcPr>
            <w:tcW w:w="62"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r>
      <w:tr>
        <w:trPr/>
        <w:tc>
          <w:tcPr>
            <w:tcW w:w="7354" w:type="dxa"/>
            <w:tcBorders/>
            <w:shd w:fill="auto" w:val="clear"/>
            <w:vAlign w:val="bottom"/>
          </w:tcPr>
          <w:p>
            <w:pPr>
              <w:pStyle w:val="TableContents"/>
              <w:spacing w:before="0" w:after="0"/>
              <w:ind w:left="720" w:right="0" w:hanging="180"/>
              <w:rPr>
                <w:color w:val="000000"/>
              </w:rPr>
            </w:pPr>
            <w:r>
              <w:rPr>
                <w:color w:val="000000"/>
              </w:rPr>
              <w:t>Management fee payable</w:t>
            </w:r>
          </w:p>
        </w:tc>
        <w:tc>
          <w:tcPr>
            <w:tcW w:w="60"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0"/>
              <w:jc w:val="right"/>
              <w:rPr>
                <w:color w:val="000000"/>
              </w:rPr>
            </w:pPr>
            <w:r>
              <w:rPr>
                <w:color w:val="000000"/>
              </w:rPr>
              <w:t>238,419</w:t>
            </w:r>
          </w:p>
        </w:tc>
        <w:tc>
          <w:tcPr>
            <w:tcW w:w="98" w:type="dxa"/>
            <w:tcBorders/>
            <w:shd w:fill="auto" w:val="clear"/>
            <w:vAlign w:val="bottom"/>
          </w:tcPr>
          <w:p>
            <w:pPr>
              <w:pStyle w:val="TableContents"/>
              <w:spacing w:before="0" w:after="283"/>
              <w:jc w:val="left"/>
              <w:rPr/>
            </w:pPr>
            <w:r>
              <w:rPr/>
              <w:t> </w:t>
            </w:r>
          </w:p>
        </w:tc>
        <w:tc>
          <w:tcPr>
            <w:tcW w:w="62"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0"/>
              <w:jc w:val="right"/>
              <w:rPr>
                <w:color w:val="000000"/>
              </w:rPr>
            </w:pPr>
            <w:r>
              <w:rPr>
                <w:color w:val="000000"/>
              </w:rPr>
              <w:t>-</w:t>
            </w:r>
          </w:p>
        </w:tc>
        <w:tc>
          <w:tcPr>
            <w:tcW w:w="113" w:type="dxa"/>
            <w:tcBorders/>
            <w:shd w:fill="auto" w:val="clear"/>
            <w:vAlign w:val="bottom"/>
          </w:tcPr>
          <w:p>
            <w:pPr>
              <w:pStyle w:val="TableContents"/>
              <w:spacing w:before="0" w:after="283"/>
              <w:jc w:val="left"/>
              <w:rPr/>
            </w:pPr>
            <w:r>
              <w:rPr/>
              <w:t> </w:t>
            </w:r>
          </w:p>
        </w:tc>
      </w:tr>
      <w:tr>
        <w:trPr/>
        <w:tc>
          <w:tcPr>
            <w:tcW w:w="7354" w:type="dxa"/>
            <w:tcBorders/>
            <w:shd w:fill="CCEEFF" w:val="clear"/>
            <w:vAlign w:val="bottom"/>
          </w:tcPr>
          <w:p>
            <w:pPr>
              <w:pStyle w:val="TableContents"/>
              <w:spacing w:before="0" w:after="0"/>
              <w:ind w:left="540" w:right="0" w:hanging="0"/>
              <w:rPr/>
            </w:pPr>
            <w:r>
              <w:rPr/>
              <w:t>Income-based incentive fee payable</w:t>
            </w:r>
          </w:p>
        </w:tc>
        <w:tc>
          <w:tcPr>
            <w:tcW w:w="60"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283"/>
              <w:jc w:val="right"/>
              <w:rPr/>
            </w:pPr>
            <w:r>
              <w:rPr/>
              <w:t>203,821</w:t>
            </w:r>
          </w:p>
        </w:tc>
        <w:tc>
          <w:tcPr>
            <w:tcW w:w="98" w:type="dxa"/>
            <w:tcBorders/>
            <w:shd w:fill="CCEEFF" w:val="clear"/>
            <w:vAlign w:val="bottom"/>
          </w:tcPr>
          <w:p>
            <w:pPr>
              <w:pStyle w:val="TableContents"/>
              <w:spacing w:before="0" w:after="283"/>
              <w:jc w:val="left"/>
              <w:rPr/>
            </w:pPr>
            <w:r>
              <w:rPr/>
              <w:t> </w:t>
            </w:r>
          </w:p>
        </w:tc>
        <w:tc>
          <w:tcPr>
            <w:tcW w:w="62"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283"/>
              <w:jc w:val="right"/>
              <w:rPr/>
            </w:pPr>
            <w:r>
              <w:rPr/>
              <w:t>-</w:t>
            </w:r>
          </w:p>
        </w:tc>
        <w:tc>
          <w:tcPr>
            <w:tcW w:w="113" w:type="dxa"/>
            <w:tcBorders/>
            <w:shd w:fill="CCEEFF" w:val="clear"/>
            <w:vAlign w:val="bottom"/>
          </w:tcPr>
          <w:p>
            <w:pPr>
              <w:pStyle w:val="TableContents"/>
              <w:spacing w:before="0" w:after="283"/>
              <w:jc w:val="left"/>
              <w:rPr/>
            </w:pPr>
            <w:r>
              <w:rPr/>
              <w:t> </w:t>
            </w:r>
          </w:p>
        </w:tc>
      </w:tr>
      <w:tr>
        <w:trPr/>
        <w:tc>
          <w:tcPr>
            <w:tcW w:w="7354" w:type="dxa"/>
            <w:tcBorders/>
            <w:shd w:fill="auto" w:val="clear"/>
            <w:vAlign w:val="bottom"/>
          </w:tcPr>
          <w:p>
            <w:pPr>
              <w:pStyle w:val="TableContents"/>
              <w:spacing w:before="0" w:after="0"/>
              <w:ind w:left="540" w:right="0" w:hanging="0"/>
              <w:rPr/>
            </w:pPr>
            <w:r>
              <w:rPr/>
              <w:t>Capital gains incentive fee payable</w:t>
            </w:r>
          </w:p>
        </w:tc>
        <w:tc>
          <w:tcPr>
            <w:tcW w:w="60"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283"/>
              <w:jc w:val="right"/>
              <w:rPr/>
            </w:pPr>
            <w:r>
              <w:rPr/>
              <w:t>142,602</w:t>
            </w:r>
          </w:p>
        </w:tc>
        <w:tc>
          <w:tcPr>
            <w:tcW w:w="98" w:type="dxa"/>
            <w:tcBorders/>
            <w:shd w:fill="auto" w:val="clear"/>
            <w:vAlign w:val="bottom"/>
          </w:tcPr>
          <w:p>
            <w:pPr>
              <w:pStyle w:val="TableContents"/>
              <w:spacing w:before="0" w:after="283"/>
              <w:jc w:val="left"/>
              <w:rPr/>
            </w:pPr>
            <w:r>
              <w:rPr/>
              <w:t> </w:t>
            </w:r>
          </w:p>
        </w:tc>
        <w:tc>
          <w:tcPr>
            <w:tcW w:w="62"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283"/>
              <w:jc w:val="right"/>
              <w:rPr/>
            </w:pPr>
            <w:r>
              <w:rPr/>
              <w:t>-</w:t>
            </w:r>
          </w:p>
        </w:tc>
        <w:tc>
          <w:tcPr>
            <w:tcW w:w="113" w:type="dxa"/>
            <w:tcBorders/>
            <w:shd w:fill="auto" w:val="clear"/>
            <w:vAlign w:val="bottom"/>
          </w:tcPr>
          <w:p>
            <w:pPr>
              <w:pStyle w:val="TableContents"/>
              <w:spacing w:before="0" w:after="283"/>
              <w:jc w:val="left"/>
              <w:rPr/>
            </w:pPr>
            <w:r>
              <w:rPr/>
              <w:t> </w:t>
            </w:r>
          </w:p>
        </w:tc>
      </w:tr>
      <w:tr>
        <w:trPr/>
        <w:tc>
          <w:tcPr>
            <w:tcW w:w="7354" w:type="dxa"/>
            <w:tcBorders/>
            <w:shd w:fill="CCEEFF" w:val="clear"/>
            <w:vAlign w:val="bottom"/>
          </w:tcPr>
          <w:p>
            <w:pPr>
              <w:pStyle w:val="TableContents"/>
              <w:spacing w:before="0" w:after="0"/>
              <w:ind w:left="720" w:right="0" w:hanging="180"/>
              <w:rPr>
                <w:color w:val="000000"/>
              </w:rPr>
            </w:pPr>
            <w:r>
              <w:rPr>
                <w:color w:val="000000"/>
              </w:rPr>
              <w:t>Legal fees payable</w:t>
            </w:r>
          </w:p>
        </w:tc>
        <w:tc>
          <w:tcPr>
            <w:tcW w:w="60"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0"/>
              <w:jc w:val="right"/>
              <w:rPr>
                <w:color w:val="000000"/>
              </w:rPr>
            </w:pPr>
            <w:r>
              <w:rPr>
                <w:color w:val="000000"/>
              </w:rPr>
              <w:t>57,773</w:t>
            </w:r>
          </w:p>
        </w:tc>
        <w:tc>
          <w:tcPr>
            <w:tcW w:w="98" w:type="dxa"/>
            <w:tcBorders/>
            <w:shd w:fill="CCEEFF" w:val="clear"/>
            <w:vAlign w:val="bottom"/>
          </w:tcPr>
          <w:p>
            <w:pPr>
              <w:pStyle w:val="TableContents"/>
              <w:spacing w:before="0" w:after="283"/>
              <w:jc w:val="left"/>
              <w:rPr/>
            </w:pPr>
            <w:r>
              <w:rPr/>
              <w:t> </w:t>
            </w:r>
          </w:p>
        </w:tc>
        <w:tc>
          <w:tcPr>
            <w:tcW w:w="62"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0"/>
              <w:jc w:val="right"/>
              <w:rPr>
                <w:color w:val="000000"/>
              </w:rPr>
            </w:pPr>
            <w:r>
              <w:rPr>
                <w:color w:val="000000"/>
              </w:rPr>
              <w:t>33,983</w:t>
            </w:r>
          </w:p>
        </w:tc>
        <w:tc>
          <w:tcPr>
            <w:tcW w:w="113" w:type="dxa"/>
            <w:tcBorders/>
            <w:shd w:fill="CCEEFF" w:val="clear"/>
            <w:vAlign w:val="bottom"/>
          </w:tcPr>
          <w:p>
            <w:pPr>
              <w:pStyle w:val="TableContents"/>
              <w:spacing w:before="0" w:after="283"/>
              <w:jc w:val="left"/>
              <w:rPr/>
            </w:pPr>
            <w:r>
              <w:rPr/>
              <w:t> </w:t>
            </w:r>
          </w:p>
        </w:tc>
      </w:tr>
      <w:tr>
        <w:trPr/>
        <w:tc>
          <w:tcPr>
            <w:tcW w:w="7354" w:type="dxa"/>
            <w:tcBorders/>
            <w:shd w:fill="auto" w:val="clear"/>
            <w:vAlign w:val="bottom"/>
          </w:tcPr>
          <w:p>
            <w:pPr>
              <w:pStyle w:val="TableContents"/>
              <w:spacing w:before="0" w:after="0"/>
              <w:ind w:left="720" w:right="0" w:hanging="180"/>
              <w:rPr>
                <w:color w:val="000000"/>
              </w:rPr>
            </w:pPr>
            <w:r>
              <w:rPr>
                <w:color w:val="000000"/>
              </w:rPr>
              <w:t>Administrator fees payable</w:t>
            </w:r>
          </w:p>
        </w:tc>
        <w:tc>
          <w:tcPr>
            <w:tcW w:w="60"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0"/>
              <w:jc w:val="right"/>
              <w:rPr>
                <w:color w:val="000000"/>
              </w:rPr>
            </w:pPr>
            <w:r>
              <w:rPr>
                <w:color w:val="000000"/>
              </w:rPr>
              <w:t>25,630</w:t>
            </w:r>
          </w:p>
        </w:tc>
        <w:tc>
          <w:tcPr>
            <w:tcW w:w="98" w:type="dxa"/>
            <w:tcBorders/>
            <w:shd w:fill="auto" w:val="clear"/>
            <w:vAlign w:val="bottom"/>
          </w:tcPr>
          <w:p>
            <w:pPr>
              <w:pStyle w:val="TableContents"/>
              <w:spacing w:before="0" w:after="283"/>
              <w:jc w:val="left"/>
              <w:rPr/>
            </w:pPr>
            <w:r>
              <w:rPr/>
              <w:t> </w:t>
            </w:r>
          </w:p>
        </w:tc>
        <w:tc>
          <w:tcPr>
            <w:tcW w:w="62"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0"/>
              <w:jc w:val="right"/>
              <w:rPr>
                <w:color w:val="000000"/>
              </w:rPr>
            </w:pPr>
            <w:r>
              <w:rPr>
                <w:color w:val="000000"/>
              </w:rPr>
              <w:t>47,151</w:t>
            </w:r>
          </w:p>
        </w:tc>
        <w:tc>
          <w:tcPr>
            <w:tcW w:w="113" w:type="dxa"/>
            <w:tcBorders/>
            <w:shd w:fill="auto" w:val="clear"/>
            <w:vAlign w:val="bottom"/>
          </w:tcPr>
          <w:p>
            <w:pPr>
              <w:pStyle w:val="TableContents"/>
              <w:spacing w:before="0" w:after="283"/>
              <w:jc w:val="left"/>
              <w:rPr/>
            </w:pPr>
            <w:r>
              <w:rPr/>
              <w:t> </w:t>
            </w:r>
          </w:p>
        </w:tc>
      </w:tr>
      <w:tr>
        <w:trPr/>
        <w:tc>
          <w:tcPr>
            <w:tcW w:w="7354" w:type="dxa"/>
            <w:tcBorders/>
            <w:shd w:fill="CCEEFF" w:val="clear"/>
            <w:vAlign w:val="bottom"/>
          </w:tcPr>
          <w:p>
            <w:pPr>
              <w:pStyle w:val="TableContents"/>
              <w:spacing w:before="0" w:after="0"/>
              <w:ind w:left="720" w:right="0" w:hanging="180"/>
              <w:rPr>
                <w:color w:val="000000"/>
              </w:rPr>
            </w:pPr>
            <w:r>
              <w:rPr>
                <w:color w:val="000000"/>
              </w:rPr>
              <w:t>Valuation fees payables</w:t>
            </w:r>
          </w:p>
        </w:tc>
        <w:tc>
          <w:tcPr>
            <w:tcW w:w="60"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0"/>
              <w:jc w:val="right"/>
              <w:rPr>
                <w:color w:val="000000"/>
              </w:rPr>
            </w:pPr>
            <w:r>
              <w:rPr>
                <w:color w:val="000000"/>
              </w:rPr>
              <w:t>72,185</w:t>
            </w:r>
          </w:p>
        </w:tc>
        <w:tc>
          <w:tcPr>
            <w:tcW w:w="98" w:type="dxa"/>
            <w:tcBorders/>
            <w:shd w:fill="CCEEFF" w:val="clear"/>
            <w:vAlign w:val="bottom"/>
          </w:tcPr>
          <w:p>
            <w:pPr>
              <w:pStyle w:val="TableContents"/>
              <w:spacing w:before="0" w:after="283"/>
              <w:jc w:val="left"/>
              <w:rPr/>
            </w:pPr>
            <w:r>
              <w:rPr/>
              <w:t> </w:t>
            </w:r>
          </w:p>
        </w:tc>
        <w:tc>
          <w:tcPr>
            <w:tcW w:w="62"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0"/>
              <w:jc w:val="right"/>
              <w:rPr>
                <w:color w:val="000000"/>
              </w:rPr>
            </w:pPr>
            <w:r>
              <w:rPr>
                <w:color w:val="000000"/>
              </w:rPr>
              <w:t>-</w:t>
            </w:r>
          </w:p>
        </w:tc>
        <w:tc>
          <w:tcPr>
            <w:tcW w:w="113" w:type="dxa"/>
            <w:tcBorders/>
            <w:shd w:fill="CCEEFF" w:val="clear"/>
            <w:vAlign w:val="bottom"/>
          </w:tcPr>
          <w:p>
            <w:pPr>
              <w:pStyle w:val="TableContents"/>
              <w:spacing w:before="0" w:after="283"/>
              <w:jc w:val="left"/>
              <w:rPr/>
            </w:pPr>
            <w:r>
              <w:rPr/>
              <w:t> </w:t>
            </w:r>
          </w:p>
        </w:tc>
      </w:tr>
      <w:tr>
        <w:trPr/>
        <w:tc>
          <w:tcPr>
            <w:tcW w:w="7354" w:type="dxa"/>
            <w:tcBorders/>
            <w:shd w:fill="auto" w:val="clear"/>
            <w:vAlign w:val="bottom"/>
          </w:tcPr>
          <w:p>
            <w:pPr>
              <w:pStyle w:val="TableContents"/>
              <w:spacing w:before="0" w:after="0"/>
              <w:ind w:left="720" w:right="0" w:hanging="180"/>
              <w:rPr>
                <w:color w:val="000000"/>
              </w:rPr>
            </w:pPr>
            <w:r>
              <w:rPr>
                <w:color w:val="000000"/>
              </w:rPr>
              <w:t>Audit fees payable</w:t>
            </w:r>
          </w:p>
        </w:tc>
        <w:tc>
          <w:tcPr>
            <w:tcW w:w="60"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0"/>
              <w:jc w:val="right"/>
              <w:rPr>
                <w:color w:val="000000"/>
              </w:rPr>
            </w:pPr>
            <w:r>
              <w:rPr>
                <w:color w:val="000000"/>
              </w:rPr>
              <w:t>(2,117</w:t>
            </w:r>
          </w:p>
        </w:tc>
        <w:tc>
          <w:tcPr>
            <w:tcW w:w="98" w:type="dxa"/>
            <w:tcBorders/>
            <w:shd w:fill="auto" w:val="clear"/>
            <w:vAlign w:val="bottom"/>
          </w:tcPr>
          <w:p>
            <w:pPr>
              <w:pStyle w:val="TableContents"/>
              <w:spacing w:before="0" w:after="0"/>
              <w:jc w:val="left"/>
              <w:rPr>
                <w:color w:val="000000"/>
              </w:rPr>
            </w:pPr>
            <w:r>
              <w:rPr>
                <w:color w:val="000000"/>
              </w:rPr>
              <w:t>)</w:t>
            </w:r>
          </w:p>
        </w:tc>
        <w:tc>
          <w:tcPr>
            <w:tcW w:w="62"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0"/>
              <w:jc w:val="right"/>
              <w:rPr>
                <w:color w:val="000000"/>
              </w:rPr>
            </w:pPr>
            <w:r>
              <w:rPr>
                <w:color w:val="000000"/>
              </w:rPr>
              <w:t>10,000</w:t>
            </w:r>
          </w:p>
        </w:tc>
        <w:tc>
          <w:tcPr>
            <w:tcW w:w="113" w:type="dxa"/>
            <w:tcBorders/>
            <w:shd w:fill="auto" w:val="clear"/>
            <w:vAlign w:val="bottom"/>
          </w:tcPr>
          <w:p>
            <w:pPr>
              <w:pStyle w:val="TableContents"/>
              <w:spacing w:before="0" w:after="283"/>
              <w:jc w:val="left"/>
              <w:rPr/>
            </w:pPr>
            <w:r>
              <w:rPr/>
              <w:t> </w:t>
            </w:r>
          </w:p>
        </w:tc>
      </w:tr>
      <w:tr>
        <w:trPr/>
        <w:tc>
          <w:tcPr>
            <w:tcW w:w="7354" w:type="dxa"/>
            <w:tcBorders/>
            <w:shd w:fill="CCEEFF" w:val="clear"/>
            <w:vAlign w:val="bottom"/>
          </w:tcPr>
          <w:p>
            <w:pPr>
              <w:pStyle w:val="TableContents"/>
              <w:spacing w:before="0" w:after="0"/>
              <w:ind w:left="720" w:right="0" w:hanging="180"/>
              <w:rPr>
                <w:color w:val="000000"/>
              </w:rPr>
            </w:pPr>
            <w:r>
              <w:rPr>
                <w:color w:val="000000"/>
              </w:rPr>
              <w:t>Professional fees payable</w:t>
            </w:r>
          </w:p>
        </w:tc>
        <w:tc>
          <w:tcPr>
            <w:tcW w:w="60"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0"/>
              <w:jc w:val="right"/>
              <w:rPr>
                <w:color w:val="000000"/>
              </w:rPr>
            </w:pPr>
            <w:r>
              <w:rPr>
                <w:color w:val="000000"/>
              </w:rPr>
              <w:t>18,192</w:t>
            </w:r>
          </w:p>
        </w:tc>
        <w:tc>
          <w:tcPr>
            <w:tcW w:w="98" w:type="dxa"/>
            <w:tcBorders/>
            <w:shd w:fill="CCEEFF" w:val="clear"/>
            <w:vAlign w:val="bottom"/>
          </w:tcPr>
          <w:p>
            <w:pPr>
              <w:pStyle w:val="TableContents"/>
              <w:spacing w:before="0" w:after="283"/>
              <w:jc w:val="left"/>
              <w:rPr/>
            </w:pPr>
            <w:r>
              <w:rPr/>
              <w:t> </w:t>
            </w:r>
          </w:p>
        </w:tc>
        <w:tc>
          <w:tcPr>
            <w:tcW w:w="62"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0"/>
              <w:jc w:val="right"/>
              <w:rPr>
                <w:color w:val="000000"/>
              </w:rPr>
            </w:pPr>
            <w:r>
              <w:rPr>
                <w:color w:val="000000"/>
              </w:rPr>
              <w:t>-</w:t>
            </w:r>
          </w:p>
        </w:tc>
        <w:tc>
          <w:tcPr>
            <w:tcW w:w="113" w:type="dxa"/>
            <w:tcBorders/>
            <w:shd w:fill="CCEEFF" w:val="clear"/>
            <w:vAlign w:val="bottom"/>
          </w:tcPr>
          <w:p>
            <w:pPr>
              <w:pStyle w:val="TableContents"/>
              <w:spacing w:before="0" w:after="283"/>
              <w:jc w:val="left"/>
              <w:rPr/>
            </w:pPr>
            <w:r>
              <w:rPr/>
              <w:t> </w:t>
            </w:r>
          </w:p>
        </w:tc>
      </w:tr>
      <w:tr>
        <w:trPr/>
        <w:tc>
          <w:tcPr>
            <w:tcW w:w="7354" w:type="dxa"/>
            <w:tcBorders/>
            <w:shd w:fill="auto" w:val="clear"/>
            <w:vAlign w:val="bottom"/>
          </w:tcPr>
          <w:p>
            <w:pPr>
              <w:pStyle w:val="TableContents"/>
              <w:spacing w:before="0" w:after="0"/>
              <w:ind w:left="720" w:right="0" w:hanging="180"/>
              <w:rPr>
                <w:color w:val="000000"/>
              </w:rPr>
            </w:pPr>
            <w:r>
              <w:rPr>
                <w:color w:val="000000"/>
              </w:rPr>
              <w:t>Director’s fee payable</w:t>
            </w:r>
          </w:p>
        </w:tc>
        <w:tc>
          <w:tcPr>
            <w:tcW w:w="60"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0"/>
              <w:jc w:val="right"/>
              <w:rPr>
                <w:color w:val="000000"/>
              </w:rPr>
            </w:pPr>
            <w:r>
              <w:rPr>
                <w:color w:val="000000"/>
              </w:rPr>
              <w:t>3,895</w:t>
            </w:r>
          </w:p>
        </w:tc>
        <w:tc>
          <w:tcPr>
            <w:tcW w:w="98" w:type="dxa"/>
            <w:tcBorders/>
            <w:shd w:fill="auto" w:val="clear"/>
            <w:vAlign w:val="bottom"/>
          </w:tcPr>
          <w:p>
            <w:pPr>
              <w:pStyle w:val="TableContents"/>
              <w:spacing w:before="0" w:after="283"/>
              <w:jc w:val="left"/>
              <w:rPr/>
            </w:pPr>
            <w:r>
              <w:rPr/>
              <w:t> </w:t>
            </w:r>
          </w:p>
        </w:tc>
        <w:tc>
          <w:tcPr>
            <w:tcW w:w="62"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0"/>
              <w:jc w:val="right"/>
              <w:rPr>
                <w:color w:val="000000"/>
              </w:rPr>
            </w:pPr>
            <w:r>
              <w:rPr>
                <w:color w:val="000000"/>
              </w:rPr>
              <w:t>24,370</w:t>
            </w:r>
          </w:p>
        </w:tc>
        <w:tc>
          <w:tcPr>
            <w:tcW w:w="113" w:type="dxa"/>
            <w:tcBorders/>
            <w:shd w:fill="auto" w:val="clear"/>
            <w:vAlign w:val="bottom"/>
          </w:tcPr>
          <w:p>
            <w:pPr>
              <w:pStyle w:val="TableContents"/>
              <w:spacing w:before="0" w:after="283"/>
              <w:jc w:val="left"/>
              <w:rPr/>
            </w:pPr>
            <w:r>
              <w:rPr/>
              <w:t> </w:t>
            </w:r>
          </w:p>
        </w:tc>
      </w:tr>
      <w:tr>
        <w:trPr/>
        <w:tc>
          <w:tcPr>
            <w:tcW w:w="7354" w:type="dxa"/>
            <w:tcBorders/>
            <w:shd w:fill="CCEEFF" w:val="clear"/>
            <w:vAlign w:val="bottom"/>
          </w:tcPr>
          <w:p>
            <w:pPr>
              <w:pStyle w:val="TableContents"/>
              <w:spacing w:before="0" w:after="0"/>
              <w:ind w:left="720" w:right="0" w:hanging="180"/>
              <w:rPr>
                <w:color w:val="000000"/>
              </w:rPr>
            </w:pPr>
            <w:r>
              <w:rPr>
                <w:color w:val="000000"/>
              </w:rPr>
              <w:t>Excise tax payable</w:t>
            </w:r>
          </w:p>
        </w:tc>
        <w:tc>
          <w:tcPr>
            <w:tcW w:w="60"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0"/>
              <w:jc w:val="right"/>
              <w:rPr>
                <w:color w:val="000000"/>
              </w:rPr>
            </w:pPr>
            <w:r>
              <w:rPr>
                <w:color w:val="000000"/>
              </w:rPr>
              <w:t>(80,566</w:t>
            </w:r>
          </w:p>
        </w:tc>
        <w:tc>
          <w:tcPr>
            <w:tcW w:w="98" w:type="dxa"/>
            <w:tcBorders/>
            <w:shd w:fill="CCEEFF" w:val="clear"/>
            <w:vAlign w:val="bottom"/>
          </w:tcPr>
          <w:p>
            <w:pPr>
              <w:pStyle w:val="TableContents"/>
              <w:spacing w:before="0" w:after="0"/>
              <w:jc w:val="left"/>
              <w:rPr>
                <w:color w:val="000000"/>
              </w:rPr>
            </w:pPr>
            <w:r>
              <w:rPr>
                <w:color w:val="000000"/>
              </w:rPr>
              <w:t>)</w:t>
            </w:r>
          </w:p>
        </w:tc>
        <w:tc>
          <w:tcPr>
            <w:tcW w:w="62"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0"/>
              <w:jc w:val="right"/>
              <w:rPr>
                <w:color w:val="000000"/>
              </w:rPr>
            </w:pPr>
            <w:r>
              <w:rPr>
                <w:color w:val="000000"/>
              </w:rPr>
              <w:t>-</w:t>
            </w:r>
          </w:p>
        </w:tc>
        <w:tc>
          <w:tcPr>
            <w:tcW w:w="113" w:type="dxa"/>
            <w:tcBorders/>
            <w:shd w:fill="CCEEFF" w:val="clear"/>
            <w:vAlign w:val="bottom"/>
          </w:tcPr>
          <w:p>
            <w:pPr>
              <w:pStyle w:val="TableContents"/>
              <w:spacing w:before="0" w:after="283"/>
              <w:jc w:val="left"/>
              <w:rPr/>
            </w:pPr>
            <w:r>
              <w:rPr/>
              <w:t> </w:t>
            </w:r>
          </w:p>
        </w:tc>
      </w:tr>
      <w:tr>
        <w:trPr/>
        <w:tc>
          <w:tcPr>
            <w:tcW w:w="7354" w:type="dxa"/>
            <w:tcBorders/>
            <w:shd w:fill="auto" w:val="clear"/>
            <w:vAlign w:val="bottom"/>
          </w:tcPr>
          <w:p>
            <w:pPr>
              <w:pStyle w:val="TableContents"/>
              <w:spacing w:before="0" w:after="0"/>
              <w:ind w:left="720" w:right="0" w:hanging="180"/>
              <w:rPr>
                <w:color w:val="000000"/>
              </w:rPr>
            </w:pPr>
            <w:r>
              <w:rPr>
                <w:color w:val="000000"/>
              </w:rPr>
              <w:t>Due to affiliate</w:t>
            </w:r>
          </w:p>
        </w:tc>
        <w:tc>
          <w:tcPr>
            <w:tcW w:w="60"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0"/>
              <w:jc w:val="right"/>
              <w:rPr>
                <w:color w:val="000000"/>
              </w:rPr>
            </w:pPr>
            <w:r>
              <w:rPr>
                <w:color w:val="000000"/>
              </w:rPr>
              <w:t>(37</w:t>
            </w:r>
          </w:p>
        </w:tc>
        <w:tc>
          <w:tcPr>
            <w:tcW w:w="98" w:type="dxa"/>
            <w:tcBorders/>
            <w:shd w:fill="auto" w:val="clear"/>
            <w:vAlign w:val="bottom"/>
          </w:tcPr>
          <w:p>
            <w:pPr>
              <w:pStyle w:val="TableContents"/>
              <w:spacing w:before="0" w:after="0"/>
              <w:jc w:val="left"/>
              <w:rPr>
                <w:color w:val="000000"/>
              </w:rPr>
            </w:pPr>
            <w:r>
              <w:rPr>
                <w:color w:val="000000"/>
              </w:rPr>
              <w:t>)</w:t>
            </w:r>
          </w:p>
        </w:tc>
        <w:tc>
          <w:tcPr>
            <w:tcW w:w="62"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0"/>
              <w:jc w:val="right"/>
              <w:rPr>
                <w:color w:val="000000"/>
              </w:rPr>
            </w:pPr>
            <w:r>
              <w:rPr>
                <w:color w:val="000000"/>
              </w:rPr>
              <w:t>(383,991</w:t>
            </w:r>
          </w:p>
        </w:tc>
        <w:tc>
          <w:tcPr>
            <w:tcW w:w="113" w:type="dxa"/>
            <w:tcBorders/>
            <w:shd w:fill="auto" w:val="clear"/>
            <w:vAlign w:val="bottom"/>
          </w:tcPr>
          <w:p>
            <w:pPr>
              <w:pStyle w:val="TableContents"/>
              <w:spacing w:before="0" w:after="0"/>
              <w:jc w:val="left"/>
              <w:rPr>
                <w:color w:val="000000"/>
              </w:rPr>
            </w:pPr>
            <w:r>
              <w:rPr>
                <w:color w:val="000000"/>
              </w:rPr>
              <w:t>)</w:t>
            </w:r>
          </w:p>
        </w:tc>
      </w:tr>
      <w:tr>
        <w:trPr/>
        <w:tc>
          <w:tcPr>
            <w:tcW w:w="7354" w:type="dxa"/>
            <w:tcBorders/>
            <w:shd w:fill="CCEEFF" w:val="clear"/>
            <w:vAlign w:val="bottom"/>
          </w:tcPr>
          <w:p>
            <w:pPr>
              <w:pStyle w:val="TableContents"/>
              <w:spacing w:before="0" w:after="0"/>
              <w:ind w:left="720" w:right="0" w:hanging="180"/>
              <w:rPr>
                <w:color w:val="000000"/>
              </w:rPr>
            </w:pPr>
            <w:r>
              <w:rPr>
                <w:color w:val="000000"/>
              </w:rPr>
              <w:t>Offering cost payable</w:t>
            </w:r>
          </w:p>
        </w:tc>
        <w:tc>
          <w:tcPr>
            <w:tcW w:w="60"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0"/>
              <w:jc w:val="right"/>
              <w:rPr>
                <w:color w:val="000000"/>
              </w:rPr>
            </w:pPr>
            <w:r>
              <w:rPr>
                <w:color w:val="000000"/>
              </w:rPr>
              <w:t>-</w:t>
            </w:r>
          </w:p>
        </w:tc>
        <w:tc>
          <w:tcPr>
            <w:tcW w:w="98" w:type="dxa"/>
            <w:tcBorders/>
            <w:shd w:fill="CCEEFF" w:val="clear"/>
            <w:vAlign w:val="bottom"/>
          </w:tcPr>
          <w:p>
            <w:pPr>
              <w:pStyle w:val="TableContents"/>
              <w:spacing w:before="0" w:after="283"/>
              <w:jc w:val="left"/>
              <w:rPr/>
            </w:pPr>
            <w:r>
              <w:rPr/>
              <w:t> </w:t>
            </w:r>
          </w:p>
        </w:tc>
        <w:tc>
          <w:tcPr>
            <w:tcW w:w="62"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0"/>
              <w:jc w:val="right"/>
              <w:rPr>
                <w:color w:val="000000"/>
              </w:rPr>
            </w:pPr>
            <w:r>
              <w:rPr>
                <w:color w:val="000000"/>
              </w:rPr>
              <w:t>(759,675</w:t>
            </w:r>
          </w:p>
        </w:tc>
        <w:tc>
          <w:tcPr>
            <w:tcW w:w="113" w:type="dxa"/>
            <w:tcBorders/>
            <w:shd w:fill="CCEEFF" w:val="clear"/>
            <w:vAlign w:val="bottom"/>
          </w:tcPr>
          <w:p>
            <w:pPr>
              <w:pStyle w:val="TableContents"/>
              <w:spacing w:before="0" w:after="0"/>
              <w:jc w:val="left"/>
              <w:rPr>
                <w:color w:val="000000"/>
              </w:rPr>
            </w:pPr>
            <w:r>
              <w:rPr>
                <w:color w:val="000000"/>
              </w:rPr>
              <w:t>)</w:t>
            </w:r>
          </w:p>
        </w:tc>
      </w:tr>
      <w:tr>
        <w:trPr/>
        <w:tc>
          <w:tcPr>
            <w:tcW w:w="7354" w:type="dxa"/>
            <w:tcBorders/>
            <w:shd w:fill="auto" w:val="clear"/>
            <w:vAlign w:val="bottom"/>
          </w:tcPr>
          <w:p>
            <w:pPr>
              <w:pStyle w:val="TableContents"/>
              <w:spacing w:before="0" w:after="0"/>
              <w:ind w:left="720" w:right="0" w:hanging="180"/>
              <w:rPr>
                <w:color w:val="000000"/>
              </w:rPr>
            </w:pPr>
            <w:r>
              <w:rPr>
                <w:color w:val="000000"/>
              </w:rPr>
              <w:t>Organizational costs payable</w:t>
            </w:r>
          </w:p>
        </w:tc>
        <w:tc>
          <w:tcPr>
            <w:tcW w:w="60"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0"/>
              <w:jc w:val="right"/>
              <w:rPr>
                <w:color w:val="000000"/>
              </w:rPr>
            </w:pPr>
            <w:r>
              <w:rPr>
                <w:color w:val="000000"/>
              </w:rPr>
              <w:t>-</w:t>
            </w:r>
          </w:p>
        </w:tc>
        <w:tc>
          <w:tcPr>
            <w:tcW w:w="98" w:type="dxa"/>
            <w:tcBorders/>
            <w:shd w:fill="auto" w:val="clear"/>
            <w:vAlign w:val="bottom"/>
          </w:tcPr>
          <w:p>
            <w:pPr>
              <w:pStyle w:val="TableContents"/>
              <w:spacing w:before="0" w:after="283"/>
              <w:jc w:val="left"/>
              <w:rPr/>
            </w:pPr>
            <w:r>
              <w:rPr/>
              <w:t> </w:t>
            </w:r>
          </w:p>
        </w:tc>
        <w:tc>
          <w:tcPr>
            <w:tcW w:w="62"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0"/>
              <w:jc w:val="right"/>
              <w:rPr>
                <w:color w:val="000000"/>
              </w:rPr>
            </w:pPr>
            <w:r>
              <w:rPr>
                <w:color w:val="000000"/>
              </w:rPr>
              <w:t>(396,108</w:t>
            </w:r>
          </w:p>
        </w:tc>
        <w:tc>
          <w:tcPr>
            <w:tcW w:w="113" w:type="dxa"/>
            <w:tcBorders/>
            <w:shd w:fill="auto" w:val="clear"/>
            <w:vAlign w:val="bottom"/>
          </w:tcPr>
          <w:p>
            <w:pPr>
              <w:pStyle w:val="TableContents"/>
              <w:spacing w:before="0" w:after="0"/>
              <w:jc w:val="left"/>
              <w:rPr>
                <w:color w:val="000000"/>
              </w:rPr>
            </w:pPr>
            <w:r>
              <w:rPr>
                <w:color w:val="000000"/>
              </w:rPr>
              <w:t>)</w:t>
            </w:r>
          </w:p>
        </w:tc>
      </w:tr>
      <w:tr>
        <w:trPr/>
        <w:tc>
          <w:tcPr>
            <w:tcW w:w="7354" w:type="dxa"/>
            <w:tcBorders/>
            <w:shd w:fill="CCEEFF" w:val="clear"/>
            <w:vAlign w:val="bottom"/>
          </w:tcPr>
          <w:p>
            <w:pPr>
              <w:pStyle w:val="TableContents"/>
              <w:spacing w:before="0" w:after="0"/>
              <w:ind w:left="720" w:right="0" w:hanging="180"/>
              <w:rPr>
                <w:color w:val="000000"/>
              </w:rPr>
            </w:pPr>
            <w:r>
              <w:rPr>
                <w:color w:val="000000"/>
              </w:rPr>
              <w:t>Other payables</w:t>
            </w:r>
          </w:p>
        </w:tc>
        <w:tc>
          <w:tcPr>
            <w:tcW w:w="60" w:type="dxa"/>
            <w:tcBorders/>
            <w:shd w:fill="CCEEFF" w:val="clear"/>
            <w:vAlign w:val="bottom"/>
          </w:tcPr>
          <w:p>
            <w:pPr>
              <w:pStyle w:val="TableContents"/>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6"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(18,148</w:t>
            </w:r>
          </w:p>
        </w:tc>
        <w:tc>
          <w:tcPr>
            <w:tcW w:w="98" w:type="dxa"/>
            <w:tcBorders/>
            <w:shd w:fill="CCEEFF" w:val="clear"/>
            <w:vAlign w:val="bottom"/>
          </w:tcPr>
          <w:p>
            <w:pPr>
              <w:pStyle w:val="TableContents"/>
              <w:spacing w:before="0" w:after="0"/>
              <w:jc w:val="left"/>
              <w:rPr>
                <w:color w:val="000000"/>
              </w:rPr>
            </w:pPr>
            <w:r>
              <w:rPr>
                <w:color w:val="000000"/>
              </w:rPr>
              <w:t>)</w:t>
            </w:r>
          </w:p>
        </w:tc>
        <w:tc>
          <w:tcPr>
            <w:tcW w:w="62" w:type="dxa"/>
            <w:tcBorders/>
            <w:shd w:fill="CCEEFF" w:val="clear"/>
            <w:vAlign w:val="bottom"/>
          </w:tcPr>
          <w:p>
            <w:pPr>
              <w:pStyle w:val="TableContents"/>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6"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1,359</w:t>
            </w:r>
          </w:p>
        </w:tc>
        <w:tc>
          <w:tcPr>
            <w:tcW w:w="113" w:type="dxa"/>
            <w:tcBorders/>
            <w:shd w:fill="CCEEFF" w:val="clear"/>
            <w:vAlign w:val="bottom"/>
          </w:tcPr>
          <w:p>
            <w:pPr>
              <w:pStyle w:val="TableContents"/>
              <w:spacing w:before="0" w:after="283"/>
              <w:jc w:val="left"/>
              <w:rPr/>
            </w:pPr>
            <w:r>
              <w:rPr/>
              <w:t> </w:t>
            </w:r>
          </w:p>
        </w:tc>
      </w:tr>
      <w:tr>
        <w:trPr/>
        <w:tc>
          <w:tcPr>
            <w:tcW w:w="7354" w:type="dxa"/>
            <w:tcBorders/>
            <w:shd w:fill="auto" w:val="clear"/>
            <w:vAlign w:val="bottom"/>
          </w:tcPr>
          <w:p>
            <w:pPr>
              <w:pStyle w:val="TableContents"/>
              <w:spacing w:before="0" w:after="0"/>
              <w:ind w:left="180" w:right="0" w:hanging="180"/>
              <w:rPr>
                <w:b/>
                <w:color w:val="000000"/>
              </w:rPr>
            </w:pPr>
            <w:r>
              <w:rPr>
                <w:b/>
                <w:color w:val="000000"/>
              </w:rPr>
              <w:t>Net cash provided by (used in) operating activities</w:t>
            </w:r>
          </w:p>
        </w:tc>
        <w:tc>
          <w:tcPr>
            <w:tcW w:w="60" w:type="dxa"/>
            <w:tcBorders/>
            <w:shd w:fill="auto" w:val="clear"/>
            <w:vAlign w:val="bottom"/>
          </w:tcPr>
          <w:p>
            <w:pPr>
              <w:pStyle w:val="TableContents"/>
              <w:spacing w:before="0" w:after="283"/>
              <w:jc w:val="right"/>
              <w:rPr/>
            </w:pPr>
            <w:r>
              <w:rPr/>
              <w:t> </w:t>
            </w:r>
          </w:p>
        </w:tc>
        <w:tc>
          <w:tcPr>
            <w:tcW w:w="1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6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(2,581,293</w:t>
            </w:r>
          </w:p>
        </w:tc>
        <w:tc>
          <w:tcPr>
            <w:tcW w:w="98" w:type="dxa"/>
            <w:tcBorders/>
            <w:shd w:fill="auto" w:val="clear"/>
            <w:vAlign w:val="bottom"/>
          </w:tcPr>
          <w:p>
            <w:pPr>
              <w:pStyle w:val="TableContents"/>
              <w:spacing w:before="0" w:after="0"/>
              <w:jc w:val="left"/>
              <w:rPr>
                <w:color w:val="000000"/>
              </w:rPr>
            </w:pPr>
            <w:r>
              <w:rPr>
                <w:color w:val="000000"/>
              </w:rPr>
              <w:t>)</w:t>
            </w:r>
          </w:p>
        </w:tc>
        <w:tc>
          <w:tcPr>
            <w:tcW w:w="62" w:type="dxa"/>
            <w:tcBorders/>
            <w:shd w:fill="auto" w:val="clear"/>
            <w:vAlign w:val="bottom"/>
          </w:tcPr>
          <w:p>
            <w:pPr>
              <w:pStyle w:val="TableContents"/>
              <w:spacing w:before="0" w:after="283"/>
              <w:jc w:val="right"/>
              <w:rPr/>
            </w:pPr>
            <w:r>
              <w:rPr/>
              <w:t> </w:t>
            </w:r>
          </w:p>
        </w:tc>
        <w:tc>
          <w:tcPr>
            <w:tcW w:w="1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6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(509,110</w:t>
            </w:r>
          </w:p>
        </w:tc>
        <w:tc>
          <w:tcPr>
            <w:tcW w:w="113" w:type="dxa"/>
            <w:tcBorders/>
            <w:shd w:fill="auto" w:val="clear"/>
            <w:vAlign w:val="bottom"/>
          </w:tcPr>
          <w:p>
            <w:pPr>
              <w:pStyle w:val="TableContents"/>
              <w:spacing w:before="0" w:after="0"/>
              <w:jc w:val="left"/>
              <w:rPr>
                <w:color w:val="000000"/>
              </w:rPr>
            </w:pPr>
            <w:r>
              <w:rPr>
                <w:color w:val="000000"/>
              </w:rPr>
              <w:t>)</w:t>
            </w:r>
          </w:p>
        </w:tc>
      </w:tr>
      <w:tr>
        <w:trPr/>
        <w:tc>
          <w:tcPr>
            <w:tcW w:w="7354" w:type="dxa"/>
            <w:tcBorders/>
            <w:shd w:fill="CCEEFF" w:val="clear"/>
            <w:vAlign w:val="bottom"/>
          </w:tcPr>
          <w:p>
            <w:pPr>
              <w:pStyle w:val="TableContents"/>
              <w:spacing w:before="0" w:after="0"/>
              <w:ind w:left="180" w:right="0" w:hanging="180"/>
              <w:rPr/>
            </w:pPr>
            <w:r>
              <w:rPr/>
              <w:t> </w:t>
            </w:r>
          </w:p>
        </w:tc>
        <w:tc>
          <w:tcPr>
            <w:tcW w:w="60"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jc w:val="left"/>
              <w:rPr/>
            </w:pPr>
            <w:r>
              <w:rPr/>
              <w:t> </w:t>
            </w:r>
          </w:p>
        </w:tc>
        <w:tc>
          <w:tcPr>
            <w:tcW w:w="62"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r>
      <w:tr>
        <w:trPr/>
        <w:tc>
          <w:tcPr>
            <w:tcW w:w="7354" w:type="dxa"/>
            <w:tcBorders/>
            <w:shd w:fill="auto" w:val="clear"/>
            <w:vAlign w:val="bottom"/>
          </w:tcPr>
          <w:p>
            <w:pPr>
              <w:pStyle w:val="TableContents"/>
              <w:spacing w:before="0" w:after="0"/>
              <w:ind w:left="180" w:right="0" w:hanging="180"/>
              <w:rPr>
                <w:b/>
                <w:color w:val="000000"/>
              </w:rPr>
            </w:pPr>
            <w:r>
              <w:rPr>
                <w:b/>
                <w:color w:val="000000"/>
              </w:rPr>
              <w:t>Cash flows from financing activities</w:t>
            </w:r>
          </w:p>
        </w:tc>
        <w:tc>
          <w:tcPr>
            <w:tcW w:w="60"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jc w:val="left"/>
              <w:rPr/>
            </w:pPr>
            <w:r>
              <w:rPr/>
              <w:t> </w:t>
            </w:r>
          </w:p>
        </w:tc>
        <w:tc>
          <w:tcPr>
            <w:tcW w:w="62"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283"/>
              <w:jc w:val="right"/>
              <w:rPr/>
            </w:pPr>
            <w:r>
              <w:rPr/>
              <w:t> </w:t>
            </w:r>
          </w:p>
        </w:tc>
        <w:tc>
          <w:tcPr>
            <w:tcW w:w="113" w:type="dxa"/>
            <w:tcBorders/>
            <w:shd w:fill="auto" w:val="clear"/>
            <w:vAlign w:val="bottom"/>
          </w:tcPr>
          <w:p>
            <w:pPr>
              <w:pStyle w:val="TableContents"/>
              <w:spacing w:before="0" w:after="283"/>
              <w:jc w:val="left"/>
              <w:rPr/>
            </w:pPr>
            <w:r>
              <w:rPr/>
              <w:t> </w:t>
            </w:r>
          </w:p>
        </w:tc>
      </w:tr>
      <w:tr>
        <w:trPr/>
        <w:tc>
          <w:tcPr>
            <w:tcW w:w="7354" w:type="dxa"/>
            <w:tcBorders/>
            <w:shd w:fill="CCEEFF" w:val="clear"/>
            <w:vAlign w:val="bottom"/>
          </w:tcPr>
          <w:p>
            <w:pPr>
              <w:pStyle w:val="TableContents"/>
              <w:spacing w:before="0" w:after="0"/>
              <w:ind w:left="540" w:right="0" w:hanging="180"/>
              <w:rPr>
                <w:color w:val="000000"/>
              </w:rPr>
            </w:pPr>
            <w:r>
              <w:rPr>
                <w:color w:val="000000"/>
              </w:rPr>
              <w:t>Issuance of common stock, net of offering cost</w:t>
            </w:r>
          </w:p>
        </w:tc>
        <w:tc>
          <w:tcPr>
            <w:tcW w:w="60" w:type="dxa"/>
            <w:tcBorders/>
            <w:shd w:fill="CCEEFF" w:val="clear"/>
            <w:vAlign w:val="bottom"/>
          </w:tcPr>
          <w:p>
            <w:pPr>
              <w:pStyle w:val="TableContents"/>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6"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98" w:type="dxa"/>
            <w:tcBorders/>
            <w:shd w:fill="CCEEFF" w:val="clear"/>
            <w:vAlign w:val="bottom"/>
          </w:tcPr>
          <w:p>
            <w:pPr>
              <w:pStyle w:val="TableContents"/>
              <w:spacing w:before="0" w:after="283"/>
              <w:jc w:val="left"/>
              <w:rPr/>
            </w:pPr>
            <w:r>
              <w:rPr/>
              <w:t> </w:t>
            </w:r>
          </w:p>
        </w:tc>
        <w:tc>
          <w:tcPr>
            <w:tcW w:w="62" w:type="dxa"/>
            <w:tcBorders/>
            <w:shd w:fill="CCEEFF" w:val="clear"/>
            <w:vAlign w:val="bottom"/>
          </w:tcPr>
          <w:p>
            <w:pPr>
              <w:pStyle w:val="TableContents"/>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6"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85,269,770</w:t>
            </w:r>
          </w:p>
        </w:tc>
        <w:tc>
          <w:tcPr>
            <w:tcW w:w="113" w:type="dxa"/>
            <w:tcBorders/>
            <w:shd w:fill="CCEEFF" w:val="clear"/>
            <w:vAlign w:val="bottom"/>
          </w:tcPr>
          <w:p>
            <w:pPr>
              <w:pStyle w:val="TableContents"/>
              <w:spacing w:before="0" w:after="283"/>
              <w:jc w:val="left"/>
              <w:rPr/>
            </w:pPr>
            <w:r>
              <w:rPr/>
              <w:t> </w:t>
            </w:r>
          </w:p>
        </w:tc>
      </w:tr>
      <w:tr>
        <w:trPr/>
        <w:tc>
          <w:tcPr>
            <w:tcW w:w="7354" w:type="dxa"/>
            <w:tcBorders/>
            <w:shd w:fill="auto" w:val="clear"/>
            <w:vAlign w:val="bottom"/>
          </w:tcPr>
          <w:p>
            <w:pPr>
              <w:pStyle w:val="TableContents"/>
              <w:spacing w:before="0" w:after="0"/>
              <w:ind w:left="360" w:right="0" w:hanging="180"/>
              <w:rPr>
                <w:b/>
                <w:color w:val="000000"/>
              </w:rPr>
            </w:pPr>
            <w:r>
              <w:rPr>
                <w:b/>
                <w:color w:val="000000"/>
              </w:rPr>
              <w:t>Net cash provided by (used in) financing activities</w:t>
            </w:r>
          </w:p>
        </w:tc>
        <w:tc>
          <w:tcPr>
            <w:tcW w:w="60" w:type="dxa"/>
            <w:tcBorders/>
            <w:shd w:fill="auto" w:val="clear"/>
            <w:vAlign w:val="bottom"/>
          </w:tcPr>
          <w:p>
            <w:pPr>
              <w:pStyle w:val="TableContents"/>
              <w:spacing w:before="0" w:after="283"/>
              <w:jc w:val="right"/>
              <w:rPr/>
            </w:pPr>
            <w:r>
              <w:rPr/>
              <w:t> </w:t>
            </w:r>
          </w:p>
        </w:tc>
        <w:tc>
          <w:tcPr>
            <w:tcW w:w="1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6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98" w:type="dxa"/>
            <w:tcBorders/>
            <w:shd w:fill="auto" w:val="clear"/>
            <w:vAlign w:val="bottom"/>
          </w:tcPr>
          <w:p>
            <w:pPr>
              <w:pStyle w:val="TableContents"/>
              <w:spacing w:before="0" w:after="283"/>
              <w:jc w:val="left"/>
              <w:rPr/>
            </w:pPr>
            <w:r>
              <w:rPr/>
              <w:t> </w:t>
            </w:r>
          </w:p>
        </w:tc>
        <w:tc>
          <w:tcPr>
            <w:tcW w:w="62" w:type="dxa"/>
            <w:tcBorders/>
            <w:shd w:fill="auto" w:val="clear"/>
            <w:vAlign w:val="bottom"/>
          </w:tcPr>
          <w:p>
            <w:pPr>
              <w:pStyle w:val="TableContents"/>
              <w:spacing w:before="0" w:after="283"/>
              <w:jc w:val="right"/>
              <w:rPr/>
            </w:pPr>
            <w:r>
              <w:rPr/>
              <w:t> </w:t>
            </w:r>
          </w:p>
        </w:tc>
        <w:tc>
          <w:tcPr>
            <w:tcW w:w="1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6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85,269,770</w:t>
            </w:r>
          </w:p>
        </w:tc>
        <w:tc>
          <w:tcPr>
            <w:tcW w:w="113" w:type="dxa"/>
            <w:tcBorders/>
            <w:shd w:fill="auto" w:val="clear"/>
            <w:vAlign w:val="bottom"/>
          </w:tcPr>
          <w:p>
            <w:pPr>
              <w:pStyle w:val="TableContents"/>
              <w:spacing w:before="0" w:after="283"/>
              <w:jc w:val="left"/>
              <w:rPr/>
            </w:pPr>
            <w:r>
              <w:rPr/>
              <w:t> </w:t>
            </w:r>
          </w:p>
        </w:tc>
      </w:tr>
      <w:tr>
        <w:trPr/>
        <w:tc>
          <w:tcPr>
            <w:tcW w:w="7354" w:type="dxa"/>
            <w:tcBorders/>
            <w:shd w:fill="CCEEFF" w:val="clear"/>
            <w:vAlign w:val="bottom"/>
          </w:tcPr>
          <w:p>
            <w:pPr>
              <w:pStyle w:val="TableContents"/>
              <w:spacing w:before="0" w:after="0"/>
              <w:ind w:left="180" w:right="0" w:hanging="180"/>
              <w:rPr/>
            </w:pPr>
            <w:r>
              <w:rPr/>
              <w:t> </w:t>
            </w:r>
          </w:p>
        </w:tc>
        <w:tc>
          <w:tcPr>
            <w:tcW w:w="60"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jc w:val="left"/>
              <w:rPr/>
            </w:pPr>
            <w:r>
              <w:rPr/>
              <w:t> </w:t>
            </w:r>
          </w:p>
        </w:tc>
        <w:tc>
          <w:tcPr>
            <w:tcW w:w="62"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r>
      <w:tr>
        <w:trPr/>
        <w:tc>
          <w:tcPr>
            <w:tcW w:w="7354" w:type="dxa"/>
            <w:tcBorders/>
            <w:shd w:fill="auto" w:val="clear"/>
            <w:vAlign w:val="bottom"/>
          </w:tcPr>
          <w:p>
            <w:pPr>
              <w:pStyle w:val="TableContents"/>
              <w:spacing w:before="0" w:after="0"/>
              <w:ind w:left="180" w:right="0" w:hanging="180"/>
              <w:rPr>
                <w:b/>
                <w:color w:val="000000"/>
              </w:rPr>
            </w:pPr>
            <w:r>
              <w:rPr>
                <w:b/>
                <w:color w:val="000000"/>
              </w:rPr>
              <w:t>Net increase (decrease) in cash &amp; cash equivalents</w:t>
            </w:r>
          </w:p>
        </w:tc>
        <w:tc>
          <w:tcPr>
            <w:tcW w:w="60"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0"/>
              <w:jc w:val="right"/>
              <w:rPr>
                <w:color w:val="000000"/>
              </w:rPr>
            </w:pPr>
            <w:r>
              <w:rPr>
                <w:color w:val="000000"/>
              </w:rPr>
              <w:t>(2,581,293</w:t>
            </w:r>
          </w:p>
        </w:tc>
        <w:tc>
          <w:tcPr>
            <w:tcW w:w="98" w:type="dxa"/>
            <w:tcBorders/>
            <w:shd w:fill="auto" w:val="clear"/>
            <w:vAlign w:val="bottom"/>
          </w:tcPr>
          <w:p>
            <w:pPr>
              <w:pStyle w:val="TableContents"/>
              <w:spacing w:before="0" w:after="0"/>
              <w:jc w:val="left"/>
              <w:rPr>
                <w:color w:val="000000"/>
              </w:rPr>
            </w:pPr>
            <w:r>
              <w:rPr>
                <w:color w:val="000000"/>
              </w:rPr>
              <w:t>)</w:t>
            </w:r>
          </w:p>
        </w:tc>
        <w:tc>
          <w:tcPr>
            <w:tcW w:w="62"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0"/>
              <w:jc w:val="right"/>
              <w:rPr>
                <w:color w:val="000000"/>
              </w:rPr>
            </w:pPr>
            <w:r>
              <w:rPr>
                <w:color w:val="000000"/>
              </w:rPr>
              <w:t>84,760,660</w:t>
            </w:r>
          </w:p>
        </w:tc>
        <w:tc>
          <w:tcPr>
            <w:tcW w:w="113" w:type="dxa"/>
            <w:tcBorders/>
            <w:shd w:fill="auto" w:val="clear"/>
            <w:vAlign w:val="bottom"/>
          </w:tcPr>
          <w:p>
            <w:pPr>
              <w:pStyle w:val="TableContents"/>
              <w:spacing w:before="0" w:after="283"/>
              <w:jc w:val="left"/>
              <w:rPr/>
            </w:pPr>
            <w:r>
              <w:rPr/>
              <w:t> </w:t>
            </w:r>
          </w:p>
        </w:tc>
      </w:tr>
      <w:tr>
        <w:trPr/>
        <w:tc>
          <w:tcPr>
            <w:tcW w:w="7354" w:type="dxa"/>
            <w:tcBorders/>
            <w:shd w:fill="CCEEFF" w:val="clear"/>
            <w:vAlign w:val="bottom"/>
          </w:tcPr>
          <w:p>
            <w:pPr>
              <w:pStyle w:val="TableContents"/>
              <w:spacing w:before="0" w:after="0"/>
              <w:ind w:left="180" w:right="0" w:hanging="180"/>
              <w:rPr>
                <w:b/>
                <w:color w:val="000000"/>
              </w:rPr>
            </w:pPr>
            <w:r>
              <w:rPr>
                <w:b/>
                <w:color w:val="000000"/>
              </w:rPr>
              <w:t>Cash &amp; cash equivalents, beginning of period</w:t>
            </w:r>
          </w:p>
        </w:tc>
        <w:tc>
          <w:tcPr>
            <w:tcW w:w="60" w:type="dxa"/>
            <w:tcBorders/>
            <w:shd w:fill="CCEEFF" w:val="clear"/>
            <w:vAlign w:val="bottom"/>
          </w:tcPr>
          <w:p>
            <w:pPr>
              <w:pStyle w:val="TableContents"/>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6"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35,125,320</w:t>
            </w:r>
          </w:p>
        </w:tc>
        <w:tc>
          <w:tcPr>
            <w:tcW w:w="98" w:type="dxa"/>
            <w:tcBorders/>
            <w:shd w:fill="CCEEFF" w:val="clear"/>
            <w:vAlign w:val="bottom"/>
          </w:tcPr>
          <w:p>
            <w:pPr>
              <w:pStyle w:val="TableContents"/>
              <w:spacing w:before="0" w:after="283"/>
              <w:jc w:val="left"/>
              <w:rPr/>
            </w:pPr>
            <w:r>
              <w:rPr/>
              <w:t> </w:t>
            </w:r>
          </w:p>
        </w:tc>
        <w:tc>
          <w:tcPr>
            <w:tcW w:w="62" w:type="dxa"/>
            <w:tcBorders/>
            <w:shd w:fill="CCEEFF" w:val="clear"/>
            <w:vAlign w:val="bottom"/>
          </w:tcPr>
          <w:p>
            <w:pPr>
              <w:pStyle w:val="TableContents"/>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6"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5,400</w:t>
            </w:r>
          </w:p>
        </w:tc>
        <w:tc>
          <w:tcPr>
            <w:tcW w:w="113" w:type="dxa"/>
            <w:tcBorders/>
            <w:shd w:fill="CCEEFF" w:val="clear"/>
            <w:vAlign w:val="bottom"/>
          </w:tcPr>
          <w:p>
            <w:pPr>
              <w:pStyle w:val="TableContents"/>
              <w:spacing w:before="0" w:after="283"/>
              <w:jc w:val="left"/>
              <w:rPr/>
            </w:pPr>
            <w:r>
              <w:rPr/>
              <w:t> </w:t>
            </w:r>
          </w:p>
        </w:tc>
      </w:tr>
      <w:tr>
        <w:trPr/>
        <w:tc>
          <w:tcPr>
            <w:tcW w:w="7354" w:type="dxa"/>
            <w:tcBorders/>
            <w:shd w:fill="auto" w:val="clear"/>
            <w:vAlign w:val="bottom"/>
          </w:tcPr>
          <w:p>
            <w:pPr>
              <w:pStyle w:val="TableContents"/>
              <w:spacing w:before="0" w:after="0"/>
              <w:ind w:left="180" w:right="0" w:hanging="180"/>
              <w:rPr>
                <w:b/>
                <w:color w:val="000000"/>
              </w:rPr>
            </w:pPr>
            <w:r>
              <w:rPr>
                <w:b/>
                <w:color w:val="000000"/>
              </w:rPr>
              <w:t>Cash &amp; cash equivalents, end of period</w:t>
            </w:r>
          </w:p>
        </w:tc>
        <w:tc>
          <w:tcPr>
            <w:tcW w:w="60" w:type="dxa"/>
            <w:tcBorders/>
            <w:shd w:fill="auto" w:val="clear"/>
            <w:vAlign w:val="bottom"/>
          </w:tcPr>
          <w:p>
            <w:pPr>
              <w:pStyle w:val="TableContents"/>
              <w:spacing w:before="0" w:after="283"/>
              <w:jc w:val="right"/>
              <w:rPr/>
            </w:pPr>
            <w:r>
              <w:rPr/>
              <w:t> </w:t>
            </w:r>
          </w:p>
        </w:tc>
        <w:tc>
          <w:tcPr>
            <w:tcW w:w="160"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266"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32,544,027</w:t>
            </w:r>
          </w:p>
        </w:tc>
        <w:tc>
          <w:tcPr>
            <w:tcW w:w="98" w:type="dxa"/>
            <w:tcBorders/>
            <w:shd w:fill="auto" w:val="clear"/>
            <w:vAlign w:val="bottom"/>
          </w:tcPr>
          <w:p>
            <w:pPr>
              <w:pStyle w:val="TableContents"/>
              <w:spacing w:before="0" w:after="283"/>
              <w:jc w:val="left"/>
              <w:rPr/>
            </w:pPr>
            <w:r>
              <w:rPr/>
              <w:t> </w:t>
            </w:r>
          </w:p>
        </w:tc>
        <w:tc>
          <w:tcPr>
            <w:tcW w:w="62" w:type="dxa"/>
            <w:tcBorders/>
            <w:shd w:fill="auto" w:val="clear"/>
            <w:vAlign w:val="bottom"/>
          </w:tcPr>
          <w:p>
            <w:pPr>
              <w:pStyle w:val="TableContents"/>
              <w:spacing w:before="0" w:after="283"/>
              <w:jc w:val="right"/>
              <w:rPr/>
            </w:pPr>
            <w:r>
              <w:rPr/>
              <w:t> </w:t>
            </w:r>
          </w:p>
        </w:tc>
        <w:tc>
          <w:tcPr>
            <w:tcW w:w="160"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266"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84,766,060</w:t>
            </w:r>
          </w:p>
        </w:tc>
        <w:tc>
          <w:tcPr>
            <w:tcW w:w="113" w:type="dxa"/>
            <w:tcBorders/>
            <w:shd w:fill="auto"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color w:val="000000"/>
          <w:sz w:val="20"/>
        </w:rPr>
      </w:pPr>
      <w:r>
        <w:rPr>
          <w:rFonts w:ascii="Times New Roman" w:hAnsi="Times New Roman"/>
          <w:color w:val="000000"/>
          <w:sz w:val="20"/>
        </w:rPr>
        <w:t>See notes to financial statements.</w:t>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SILVER SPIKE INVESTMENT CORP.</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20"/>
        </w:rPr>
      </w:pPr>
      <w:bookmarkStart w:id="8" w:name="ScheduleofInvestments"/>
      <w:bookmarkEnd w:id="8"/>
      <w:r>
        <w:rPr>
          <w:rFonts w:ascii="Times New Roman" w:hAnsi="Times New Roman"/>
          <w:b/>
          <w:color w:val="000000"/>
          <w:sz w:val="20"/>
        </w:rPr>
        <w:t>Schedule of Investments</w:t>
      </w:r>
    </w:p>
    <w:p>
      <w:pPr>
        <w:pStyle w:val="TextBody"/>
        <w:spacing w:before="0" w:after="0"/>
        <w:jc w:val="center"/>
        <w:rPr>
          <w:rFonts w:ascii="Times New Roman" w:hAnsi="Times New Roman"/>
          <w:b/>
          <w:color w:val="000000"/>
          <w:sz w:val="20"/>
        </w:rPr>
      </w:pPr>
      <w:r>
        <w:rPr>
          <w:rFonts w:ascii="Times New Roman" w:hAnsi="Times New Roman"/>
          <w:b/>
          <w:color w:val="000000"/>
          <w:sz w:val="20"/>
        </w:rPr>
        <w:t>March 31, 2023</w:t>
      </w:r>
    </w:p>
    <w:p>
      <w:pPr>
        <w:pStyle w:val="TextBody"/>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spacing w:before="0" w:after="0"/>
        <w:jc w:val="center"/>
        <w:rPr>
          <w:color w:val="000000"/>
        </w:rPr>
      </w:pPr>
      <w:r>
        <w:rPr>
          <w:color w:val="000000"/>
        </w:rPr>
        <w:t> </w:t>
      </w:r>
      <w:r>
        <w:rPr>
          <w:rFonts w:ascii="Times New Roman" w:hAnsi="Times New Roman"/>
          <w:b/>
          <w:color w:val="000000"/>
          <w:sz w:val="20"/>
        </w:rPr>
        <w:t>(in thousands)</w:t>
      </w:r>
    </w:p>
    <w:p>
      <w:pPr>
        <w:pStyle w:val="TextBody"/>
        <w:spacing w:before="0" w:after="0"/>
        <w:jc w:val="left"/>
        <w:rPr>
          <w:rFonts w:ascii="Times New Roman" w:hAnsi="Times New Roman"/>
          <w:sz w:val="20"/>
        </w:rPr>
      </w:pPr>
      <w:r>
        <w:rPr>
          <w:rFonts w:ascii="Times New Roman" w:hAnsi="Times New Roman"/>
          <w:sz w:val="20"/>
        </w:rPr>
      </w:r>
    </w:p>
    <w:tbl>
      <w:tblPr>
        <w:tblW w:w="14945" w:type="dxa"/>
        <w:jc w:val="left"/>
        <w:tblInd w:w="0" w:type="dxa"/>
        <w:tblCellMar>
          <w:top w:w="0" w:type="dxa"/>
          <w:left w:w="0" w:type="dxa"/>
          <w:bottom w:w="28" w:type="dxa"/>
          <w:right w:w="0" w:type="dxa"/>
        </w:tblCellMar>
      </w:tblPr>
      <w:tblGrid>
        <w:gridCol w:w="1310"/>
        <w:gridCol w:w="1145"/>
        <w:gridCol w:w="1145"/>
        <w:gridCol w:w="935"/>
        <w:gridCol w:w="830"/>
        <w:gridCol w:w="60"/>
        <w:gridCol w:w="316"/>
        <w:gridCol w:w="739"/>
        <w:gridCol w:w="60"/>
        <w:gridCol w:w="1205"/>
        <w:gridCol w:w="3000"/>
        <w:gridCol w:w="60"/>
        <w:gridCol w:w="162"/>
        <w:gridCol w:w="788"/>
        <w:gridCol w:w="60"/>
        <w:gridCol w:w="60"/>
        <w:gridCol w:w="187"/>
        <w:gridCol w:w="913"/>
        <w:gridCol w:w="60"/>
        <w:gridCol w:w="60"/>
        <w:gridCol w:w="140"/>
        <w:gridCol w:w="680"/>
        <w:gridCol w:w="60"/>
        <w:gridCol w:w="60"/>
        <w:gridCol w:w="62"/>
        <w:gridCol w:w="588"/>
        <w:gridCol w:w="260"/>
      </w:tblGrid>
      <w:tr>
        <w:trPr/>
        <w:tc>
          <w:tcPr>
            <w:tcW w:w="1310" w:type="dxa"/>
            <w:tcBorders>
              <w:bottom w:val="single" w:sz="12" w:space="0" w:color="000000"/>
            </w:tcBorders>
            <w:shd w:fill="auto" w:val="clear"/>
            <w:vAlign w:val="bottom"/>
          </w:tcPr>
          <w:p>
            <w:pPr>
              <w:pStyle w:val="TableContents"/>
              <w:spacing w:lineRule="auto" w:line="240" w:before="0" w:after="0"/>
              <w:ind w:left="180" w:right="0" w:hanging="180"/>
              <w:rPr>
                <w:b/>
                <w:color w:val="000000"/>
              </w:rPr>
            </w:pPr>
            <w:r>
              <w:rPr>
                <w:b/>
                <w:color w:val="000000"/>
              </w:rPr>
              <w:t>Portfolio Company (1)</w:t>
            </w:r>
          </w:p>
        </w:tc>
        <w:tc>
          <w:tcPr>
            <w:tcW w:w="1145" w:type="dxa"/>
            <w:tcBorders>
              <w:bottom w:val="single" w:sz="12" w:space="0" w:color="000000"/>
            </w:tcBorders>
            <w:shd w:fill="auto" w:val="clear"/>
            <w:vAlign w:val="bottom"/>
          </w:tcPr>
          <w:p>
            <w:pPr>
              <w:pStyle w:val="TableContents"/>
              <w:spacing w:lineRule="auto" w:line="240" w:before="0" w:after="0"/>
              <w:jc w:val="center"/>
              <w:rPr>
                <w:b/>
                <w:color w:val="000000"/>
              </w:rPr>
            </w:pPr>
            <w:r>
              <w:rPr>
                <w:b/>
                <w:color w:val="000000"/>
              </w:rPr>
              <w:t>Type of Investment (2)</w:t>
            </w:r>
          </w:p>
        </w:tc>
        <w:tc>
          <w:tcPr>
            <w:tcW w:w="1145" w:type="dxa"/>
            <w:tcBorders>
              <w:bottom w:val="single" w:sz="12" w:space="0" w:color="000000"/>
            </w:tcBorders>
            <w:shd w:fill="auto" w:val="clear"/>
            <w:vAlign w:val="bottom"/>
          </w:tcPr>
          <w:p>
            <w:pPr>
              <w:pStyle w:val="TableContents"/>
              <w:spacing w:before="0" w:after="0"/>
              <w:jc w:val="center"/>
              <w:rPr>
                <w:b/>
                <w:color w:val="000000"/>
              </w:rPr>
            </w:pPr>
            <w:r>
              <w:rPr>
                <w:b/>
                <w:color w:val="000000"/>
              </w:rPr>
              <w:t xml:space="preserve">Investment </w:t>
            </w:r>
          </w:p>
          <w:p>
            <w:pPr>
              <w:pStyle w:val="TableContents"/>
              <w:spacing w:lineRule="auto" w:line="240" w:before="0" w:after="0"/>
              <w:jc w:val="center"/>
              <w:rPr>
                <w:b/>
                <w:color w:val="000000"/>
              </w:rPr>
            </w:pPr>
            <w:r>
              <w:rPr>
                <w:b/>
                <w:color w:val="000000"/>
              </w:rPr>
              <w:t>Date (3)</w:t>
            </w:r>
          </w:p>
        </w:tc>
        <w:tc>
          <w:tcPr>
            <w:tcW w:w="935" w:type="dxa"/>
            <w:tcBorders>
              <w:bottom w:val="single" w:sz="12" w:space="0" w:color="000000"/>
            </w:tcBorders>
            <w:shd w:fill="auto" w:val="clear"/>
            <w:vAlign w:val="bottom"/>
          </w:tcPr>
          <w:p>
            <w:pPr>
              <w:pStyle w:val="TableContents"/>
              <w:spacing w:before="0" w:after="0"/>
              <w:jc w:val="center"/>
              <w:rPr>
                <w:b/>
                <w:color w:val="000000"/>
              </w:rPr>
            </w:pPr>
            <w:r>
              <w:rPr>
                <w:b/>
                <w:color w:val="000000"/>
              </w:rPr>
              <w:t xml:space="preserve">Maturity </w:t>
            </w:r>
          </w:p>
          <w:p>
            <w:pPr>
              <w:pStyle w:val="TableContents"/>
              <w:spacing w:before="0" w:after="0"/>
              <w:jc w:val="center"/>
              <w:rPr>
                <w:b/>
                <w:color w:val="000000"/>
              </w:rPr>
            </w:pPr>
            <w:r>
              <w:rPr>
                <w:b/>
                <w:color w:val="000000"/>
              </w:rPr>
              <w:t>Date</w:t>
            </w:r>
          </w:p>
        </w:tc>
        <w:tc>
          <w:tcPr>
            <w:tcW w:w="830" w:type="dxa"/>
            <w:tcBorders>
              <w:bottom w:val="single" w:sz="12" w:space="0" w:color="000000"/>
            </w:tcBorders>
            <w:shd w:fill="auto" w:val="clear"/>
            <w:vAlign w:val="bottom"/>
          </w:tcPr>
          <w:p>
            <w:pPr>
              <w:pStyle w:val="TableContents"/>
              <w:spacing w:lineRule="auto" w:line="240" w:before="0" w:after="0"/>
              <w:jc w:val="center"/>
              <w:rPr>
                <w:b/>
                <w:color w:val="000000"/>
              </w:rPr>
            </w:pPr>
            <w:r>
              <w:rPr>
                <w:b/>
                <w:color w:val="000000"/>
              </w:rPr>
              <w:t>Interest Rate (4)</w:t>
            </w:r>
          </w:p>
        </w:tc>
        <w:tc>
          <w:tcPr>
            <w:tcW w:w="60" w:type="dxa"/>
            <w:tcBorders/>
            <w:shd w:fill="auto" w:val="clear"/>
            <w:tcMar>
              <w:bottom w:w="0" w:type="dxa"/>
            </w:tcMar>
            <w:vAlign w:val="bottom"/>
          </w:tcPr>
          <w:p>
            <w:pPr>
              <w:pStyle w:val="TableContents"/>
              <w:spacing w:before="0" w:after="283"/>
              <w:rPr/>
            </w:pPr>
            <w:r>
              <w:rPr/>
              <w:t> </w:t>
            </w:r>
          </w:p>
        </w:tc>
        <w:tc>
          <w:tcPr>
            <w:tcW w:w="1055"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 xml:space="preserve">Fair Value </w:t>
            </w:r>
          </w:p>
          <w:p>
            <w:pPr>
              <w:pStyle w:val="TableContents"/>
              <w:spacing w:lineRule="auto" w:line="240" w:before="0" w:after="0"/>
              <w:jc w:val="center"/>
              <w:rPr>
                <w:b/>
                <w:color w:val="000000"/>
              </w:rPr>
            </w:pPr>
            <w:r>
              <w:rPr>
                <w:b/>
                <w:color w:val="000000"/>
              </w:rPr>
              <w:t>Hierarchy (5)</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bottom w:val="single" w:sz="12" w:space="0" w:color="000000"/>
            </w:tcBorders>
            <w:shd w:fill="auto" w:val="clear"/>
            <w:vAlign w:val="bottom"/>
          </w:tcPr>
          <w:p>
            <w:pPr>
              <w:pStyle w:val="TableContents"/>
              <w:spacing w:lineRule="auto" w:line="240" w:before="0" w:after="0"/>
              <w:jc w:val="center"/>
              <w:rPr>
                <w:b/>
                <w:color w:val="000000"/>
              </w:rPr>
            </w:pPr>
            <w:r>
              <w:rPr>
                <w:b/>
                <w:color w:val="000000"/>
              </w:rPr>
              <w:t>Geographic</w:t>
              <w:br/>
              <w:t>Region (6)</w:t>
            </w:r>
          </w:p>
        </w:tc>
        <w:tc>
          <w:tcPr>
            <w:tcW w:w="3000" w:type="dxa"/>
            <w:tcBorders>
              <w:bottom w:val="single" w:sz="12" w:space="0" w:color="000000"/>
            </w:tcBorders>
            <w:shd w:fill="auto" w:val="clear"/>
            <w:vAlign w:val="bottom"/>
          </w:tcPr>
          <w:p>
            <w:pPr>
              <w:pStyle w:val="TableContents"/>
              <w:spacing w:before="0" w:after="0"/>
              <w:jc w:val="center"/>
              <w:rPr>
                <w:b/>
                <w:color w:val="000000"/>
              </w:rPr>
            </w:pPr>
            <w:r>
              <w:rPr>
                <w:b/>
                <w:color w:val="000000"/>
              </w:rPr>
              <w:t>Non-</w:t>
            </w:r>
          </w:p>
          <w:p>
            <w:pPr>
              <w:pStyle w:val="TableContents"/>
              <w:spacing w:before="0" w:after="0"/>
              <w:jc w:val="center"/>
              <w:rPr>
                <w:b/>
                <w:color w:val="000000"/>
              </w:rPr>
            </w:pPr>
            <w:r>
              <w:rPr>
                <w:b/>
                <w:color w:val="000000"/>
              </w:rPr>
              <w:t xml:space="preserve">Qualifying </w:t>
            </w:r>
          </w:p>
          <w:p>
            <w:pPr>
              <w:pStyle w:val="TableContents"/>
              <w:spacing w:lineRule="auto" w:line="240" w:before="0" w:after="0"/>
              <w:jc w:val="center"/>
              <w:rPr>
                <w:b/>
                <w:color w:val="000000"/>
              </w:rPr>
            </w:pPr>
            <w:r>
              <w:rPr>
                <w:b/>
                <w:color w:val="000000"/>
              </w:rPr>
              <w:t>Asset (7)</w:t>
            </w:r>
          </w:p>
        </w:tc>
        <w:tc>
          <w:tcPr>
            <w:tcW w:w="60" w:type="dxa"/>
            <w:tcBorders/>
            <w:shd w:fill="auto" w:val="clear"/>
            <w:tcMar>
              <w:bottom w:w="0" w:type="dxa"/>
            </w:tcMar>
            <w:vAlign w:val="bottom"/>
          </w:tcPr>
          <w:p>
            <w:pPr>
              <w:pStyle w:val="TableContents"/>
              <w:spacing w:before="0" w:after="283"/>
              <w:rPr/>
            </w:pPr>
            <w:r>
              <w:rPr/>
              <w:t> </w:t>
            </w:r>
          </w:p>
        </w:tc>
        <w:tc>
          <w:tcPr>
            <w:tcW w:w="950"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 xml:space="preserve">Principal </w:t>
            </w:r>
          </w:p>
          <w:p>
            <w:pPr>
              <w:pStyle w:val="TableContents"/>
              <w:spacing w:lineRule="auto" w:line="240" w:before="0" w:after="0"/>
              <w:jc w:val="center"/>
              <w:rPr>
                <w:b/>
                <w:color w:val="000000"/>
              </w:rPr>
            </w:pPr>
            <w:r>
              <w:rPr>
                <w:b/>
                <w:color w:val="000000"/>
              </w:rPr>
              <w:t>Amount (8)</w:t>
            </w:r>
          </w:p>
        </w:tc>
        <w:tc>
          <w:tcPr>
            <w:tcW w:w="60" w:type="dxa"/>
            <w:tcBorders>
              <w:bottom w:val="single" w:sz="12" w:space="0" w:color="000000"/>
            </w:tcBorders>
            <w:shd w:fill="auto" w:val="clear"/>
            <w:vAlign w:val="bottom"/>
          </w:tcPr>
          <w:p>
            <w:pPr>
              <w:pStyle w:val="TableContents"/>
              <w:spacing w:before="0" w:after="283"/>
              <w:jc w:val="left"/>
              <w:rPr/>
            </w:pPr>
            <w:r>
              <w:rPr/>
              <w:t> </w:t>
            </w:r>
          </w:p>
        </w:tc>
        <w:tc>
          <w:tcPr>
            <w:tcW w:w="60" w:type="dxa"/>
            <w:tcBorders>
              <w:bottom w:val="single" w:sz="12" w:space="0" w:color="000000"/>
            </w:tcBorders>
            <w:shd w:fill="auto" w:val="clear"/>
            <w:vAlign w:val="bottom"/>
          </w:tcPr>
          <w:p>
            <w:pPr>
              <w:pStyle w:val="TableContents"/>
              <w:spacing w:before="0" w:after="283"/>
              <w:rPr/>
            </w:pPr>
            <w:r>
              <w:rPr/>
              <w:t> </w:t>
            </w:r>
          </w:p>
        </w:tc>
        <w:tc>
          <w:tcPr>
            <w:tcW w:w="1100"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 xml:space="preserve">Amortized </w:t>
            </w:r>
          </w:p>
          <w:p>
            <w:pPr>
              <w:pStyle w:val="TableContents"/>
              <w:spacing w:before="0" w:after="0"/>
              <w:jc w:val="center"/>
              <w:rPr>
                <w:b/>
                <w:color w:val="000000"/>
              </w:rPr>
            </w:pPr>
            <w:r>
              <w:rPr>
                <w:b/>
                <w:color w:val="000000"/>
              </w:rPr>
              <w:t>Cost</w:t>
            </w:r>
          </w:p>
        </w:tc>
        <w:tc>
          <w:tcPr>
            <w:tcW w:w="60" w:type="dxa"/>
            <w:tcBorders>
              <w:bottom w:val="single" w:sz="12" w:space="0" w:color="000000"/>
            </w:tcBorders>
            <w:shd w:fill="auto" w:val="clear"/>
            <w:vAlign w:val="bottom"/>
          </w:tcPr>
          <w:p>
            <w:pPr>
              <w:pStyle w:val="TableContents"/>
              <w:spacing w:before="0" w:after="283"/>
              <w:jc w:val="left"/>
              <w:rPr/>
            </w:pPr>
            <w:r>
              <w:rPr/>
              <w:t> </w:t>
            </w:r>
          </w:p>
        </w:tc>
        <w:tc>
          <w:tcPr>
            <w:tcW w:w="60" w:type="dxa"/>
            <w:tcBorders>
              <w:bottom w:val="single" w:sz="12" w:space="0" w:color="000000"/>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 xml:space="preserve">Fair </w:t>
            </w:r>
          </w:p>
          <w:p>
            <w:pPr>
              <w:pStyle w:val="TableContents"/>
              <w:spacing w:lineRule="auto" w:line="240" w:before="0" w:after="0"/>
              <w:jc w:val="center"/>
              <w:rPr>
                <w:b/>
                <w:color w:val="000000"/>
              </w:rPr>
            </w:pPr>
            <w:r>
              <w:rPr>
                <w:b/>
                <w:color w:val="000000"/>
              </w:rPr>
              <w:t>Value (9)</w:t>
            </w:r>
          </w:p>
        </w:tc>
        <w:tc>
          <w:tcPr>
            <w:tcW w:w="60" w:type="dxa"/>
            <w:tcBorders>
              <w:bottom w:val="single" w:sz="12" w:space="0" w:color="000000"/>
            </w:tcBorders>
            <w:shd w:fill="auto" w:val="clear"/>
            <w:vAlign w:val="bottom"/>
          </w:tcPr>
          <w:p>
            <w:pPr>
              <w:pStyle w:val="TableContents"/>
              <w:spacing w:before="0" w:after="283"/>
              <w:jc w:val="left"/>
              <w:rPr/>
            </w:pPr>
            <w:r>
              <w:rPr/>
              <w:t> </w:t>
            </w:r>
          </w:p>
        </w:tc>
        <w:tc>
          <w:tcPr>
            <w:tcW w:w="60" w:type="dxa"/>
            <w:tcBorders>
              <w:bottom w:val="single" w:sz="12" w:space="0" w:color="000000"/>
            </w:tcBorders>
            <w:shd w:fill="auto" w:val="clear"/>
            <w:vAlign w:val="bottom"/>
          </w:tcPr>
          <w:p>
            <w:pPr>
              <w:pStyle w:val="TableContents"/>
              <w:spacing w:before="0" w:after="283"/>
              <w:rPr/>
            </w:pPr>
            <w:r>
              <w:rPr/>
              <w:t> </w:t>
            </w:r>
          </w:p>
        </w:tc>
        <w:tc>
          <w:tcPr>
            <w:tcW w:w="650"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 xml:space="preserve">% of Net </w:t>
            </w:r>
          </w:p>
          <w:p>
            <w:pPr>
              <w:pStyle w:val="TableContents"/>
              <w:spacing w:before="0" w:after="0"/>
              <w:jc w:val="center"/>
              <w:rPr>
                <w:b/>
                <w:color w:val="000000"/>
              </w:rPr>
            </w:pPr>
            <w:r>
              <w:rPr>
                <w:b/>
                <w:color w:val="000000"/>
              </w:rPr>
              <w:t>Assets</w:t>
            </w:r>
          </w:p>
        </w:tc>
        <w:tc>
          <w:tcPr>
            <w:tcW w:w="260" w:type="dxa"/>
            <w:tcBorders>
              <w:bottom w:val="single" w:sz="12" w:space="0" w:color="000000"/>
            </w:tcBorders>
            <w:shd w:fill="auto" w:val="clear"/>
            <w:vAlign w:val="bottom"/>
          </w:tcPr>
          <w:p>
            <w:pPr>
              <w:pStyle w:val="TableContents"/>
              <w:spacing w:before="0" w:after="283"/>
              <w:jc w:val="left"/>
              <w:rPr/>
            </w:pPr>
            <w:r>
              <w:rPr/>
              <w:t> </w:t>
            </w:r>
          </w:p>
        </w:tc>
      </w:tr>
      <w:tr>
        <w:trPr/>
        <w:tc>
          <w:tcPr>
            <w:tcW w:w="1310" w:type="dxa"/>
            <w:tcBorders/>
            <w:shd w:fill="auto" w:val="clear"/>
            <w:tcMar>
              <w:bottom w:w="0" w:type="dxa"/>
            </w:tcMar>
            <w:vAlign w:val="bottom"/>
          </w:tcPr>
          <w:p>
            <w:pPr>
              <w:pStyle w:val="TableContents"/>
              <w:spacing w:before="0" w:after="0"/>
              <w:ind w:left="180" w:right="0" w:hanging="180"/>
              <w:rPr>
                <w:b/>
                <w:color w:val="000000"/>
              </w:rPr>
            </w:pPr>
            <w:r>
              <w:rPr>
                <w:b/>
                <w:color w:val="000000"/>
              </w:rPr>
              <w:t>Debt Securities - United States</w:t>
            </w:r>
          </w:p>
        </w:tc>
        <w:tc>
          <w:tcPr>
            <w:tcW w:w="1145" w:type="dxa"/>
            <w:tcBorders/>
            <w:shd w:fill="auto" w:val="clear"/>
            <w:tcMar>
              <w:bottom w:w="0" w:type="dxa"/>
            </w:tcMar>
            <w:vAlign w:val="bottom"/>
          </w:tcPr>
          <w:p>
            <w:pPr>
              <w:pStyle w:val="TableContents"/>
              <w:spacing w:before="0" w:after="283"/>
              <w:rPr/>
            </w:pPr>
            <w:r>
              <w:rPr/>
              <w:t> </w:t>
            </w:r>
          </w:p>
        </w:tc>
        <w:tc>
          <w:tcPr>
            <w:tcW w:w="1145" w:type="dxa"/>
            <w:tcBorders/>
            <w:shd w:fill="auto" w:val="clear"/>
            <w:tcMar>
              <w:bottom w:w="0" w:type="dxa"/>
            </w:tcMar>
            <w:vAlign w:val="bottom"/>
          </w:tcPr>
          <w:p>
            <w:pPr>
              <w:pStyle w:val="TableContents"/>
              <w:spacing w:before="0" w:after="283"/>
              <w:rPr/>
            </w:pPr>
            <w:r>
              <w:rPr/>
              <w:t> </w:t>
            </w:r>
          </w:p>
        </w:tc>
        <w:tc>
          <w:tcPr>
            <w:tcW w:w="935" w:type="dxa"/>
            <w:tcBorders/>
            <w:shd w:fill="auto" w:val="clear"/>
            <w:tcMar>
              <w:bottom w:w="0" w:type="dxa"/>
            </w:tcMar>
            <w:vAlign w:val="bottom"/>
          </w:tcPr>
          <w:p>
            <w:pPr>
              <w:pStyle w:val="TableContents"/>
              <w:spacing w:before="0" w:after="283"/>
              <w:rPr/>
            </w:pPr>
            <w:r>
              <w:rPr/>
              <w:t> </w:t>
            </w:r>
          </w:p>
        </w:tc>
        <w:tc>
          <w:tcPr>
            <w:tcW w:w="83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055"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283"/>
              <w:rPr/>
            </w:pPr>
            <w:r>
              <w:rPr/>
              <w:t> </w:t>
            </w:r>
          </w:p>
        </w:tc>
        <w:tc>
          <w:tcPr>
            <w:tcW w:w="300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950"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1100"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820"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650" w:type="dxa"/>
            <w:gridSpan w:val="2"/>
            <w:tcBorders/>
            <w:shd w:fill="auto" w:val="clear"/>
            <w:tcMar>
              <w:bottom w:w="0" w:type="dxa"/>
            </w:tcMar>
            <w:vAlign w:val="bottom"/>
          </w:tcPr>
          <w:p>
            <w:pPr>
              <w:pStyle w:val="TableContents"/>
              <w:spacing w:before="0" w:after="283"/>
              <w:rPr/>
            </w:pPr>
            <w:r>
              <w:rPr/>
              <w:t> </w:t>
            </w:r>
          </w:p>
        </w:tc>
        <w:tc>
          <w:tcPr>
            <w:tcW w:w="260" w:type="dxa"/>
            <w:tcBorders/>
            <w:shd w:fill="auto" w:val="clear"/>
            <w:tcMar>
              <w:bottom w:w="0" w:type="dxa"/>
            </w:tcMar>
            <w:vAlign w:val="bottom"/>
          </w:tcPr>
          <w:p>
            <w:pPr>
              <w:pStyle w:val="TableContents"/>
              <w:spacing w:before="0" w:after="283"/>
              <w:jc w:val="left"/>
              <w:rPr/>
            </w:pPr>
            <w:r>
              <w:rPr/>
              <w:t> </w:t>
            </w:r>
          </w:p>
        </w:tc>
      </w:tr>
      <w:tr>
        <w:trPr/>
        <w:tc>
          <w:tcPr>
            <w:tcW w:w="1310" w:type="dxa"/>
            <w:tcBorders>
              <w:bottom w:val="single" w:sz="12" w:space="0" w:color="000000"/>
            </w:tcBorders>
            <w:shd w:fill="auto" w:val="clear"/>
            <w:vAlign w:val="bottom"/>
          </w:tcPr>
          <w:p>
            <w:pPr>
              <w:pStyle w:val="TableContents"/>
              <w:spacing w:lineRule="auto" w:line="240" w:before="0" w:after="0"/>
              <w:ind w:left="180" w:right="0" w:hanging="180"/>
              <w:rPr>
                <w:b/>
                <w:color w:val="000000"/>
              </w:rPr>
            </w:pPr>
            <w:r>
              <w:rPr>
                <w:b/>
                <w:color w:val="000000"/>
              </w:rPr>
              <w:t>Wholesale Trade (10)</w:t>
            </w:r>
          </w:p>
        </w:tc>
        <w:tc>
          <w:tcPr>
            <w:tcW w:w="1145" w:type="dxa"/>
            <w:tcBorders/>
            <w:shd w:fill="auto" w:val="clear"/>
            <w:tcMar>
              <w:bottom w:w="0" w:type="dxa"/>
            </w:tcMar>
            <w:vAlign w:val="bottom"/>
          </w:tcPr>
          <w:p>
            <w:pPr>
              <w:pStyle w:val="TableContents"/>
              <w:spacing w:before="0" w:after="283"/>
              <w:rPr/>
            </w:pPr>
            <w:r>
              <w:rPr/>
              <w:t> </w:t>
            </w:r>
          </w:p>
        </w:tc>
        <w:tc>
          <w:tcPr>
            <w:tcW w:w="1145" w:type="dxa"/>
            <w:tcBorders/>
            <w:shd w:fill="auto" w:val="clear"/>
            <w:tcMar>
              <w:bottom w:w="0" w:type="dxa"/>
            </w:tcMar>
            <w:vAlign w:val="bottom"/>
          </w:tcPr>
          <w:p>
            <w:pPr>
              <w:pStyle w:val="TableContents"/>
              <w:spacing w:before="0" w:after="283"/>
              <w:rPr/>
            </w:pPr>
            <w:r>
              <w:rPr/>
              <w:t> </w:t>
            </w:r>
          </w:p>
        </w:tc>
        <w:tc>
          <w:tcPr>
            <w:tcW w:w="935" w:type="dxa"/>
            <w:tcBorders/>
            <w:shd w:fill="auto" w:val="clear"/>
            <w:tcMar>
              <w:bottom w:w="0" w:type="dxa"/>
            </w:tcMar>
            <w:vAlign w:val="bottom"/>
          </w:tcPr>
          <w:p>
            <w:pPr>
              <w:pStyle w:val="TableContents"/>
              <w:spacing w:before="0" w:after="283"/>
              <w:rPr/>
            </w:pPr>
            <w:r>
              <w:rPr/>
              <w:t> </w:t>
            </w:r>
          </w:p>
        </w:tc>
        <w:tc>
          <w:tcPr>
            <w:tcW w:w="83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055"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283"/>
              <w:rPr/>
            </w:pPr>
            <w:r>
              <w:rPr/>
              <w:t> </w:t>
            </w:r>
          </w:p>
        </w:tc>
        <w:tc>
          <w:tcPr>
            <w:tcW w:w="300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950"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1100"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820"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650" w:type="dxa"/>
            <w:gridSpan w:val="2"/>
            <w:tcBorders/>
            <w:shd w:fill="auto" w:val="clear"/>
            <w:tcMar>
              <w:bottom w:w="0" w:type="dxa"/>
            </w:tcMar>
            <w:vAlign w:val="bottom"/>
          </w:tcPr>
          <w:p>
            <w:pPr>
              <w:pStyle w:val="TableContents"/>
              <w:spacing w:before="0" w:after="283"/>
              <w:rPr/>
            </w:pPr>
            <w:r>
              <w:rPr/>
              <w:t> </w:t>
            </w:r>
          </w:p>
        </w:tc>
        <w:tc>
          <w:tcPr>
            <w:tcW w:w="260" w:type="dxa"/>
            <w:tcBorders/>
            <w:shd w:fill="auto" w:val="clear"/>
            <w:tcMar>
              <w:bottom w:w="0" w:type="dxa"/>
            </w:tcMar>
            <w:vAlign w:val="bottom"/>
          </w:tcPr>
          <w:p>
            <w:pPr>
              <w:pStyle w:val="TableContents"/>
              <w:spacing w:before="0" w:after="283"/>
              <w:jc w:val="left"/>
              <w:rPr/>
            </w:pPr>
            <w:r>
              <w:rPr/>
              <w:t> </w:t>
            </w:r>
          </w:p>
        </w:tc>
      </w:tr>
      <w:tr>
        <w:trPr/>
        <w:tc>
          <w:tcPr>
            <w:tcW w:w="1310" w:type="dxa"/>
            <w:tcBorders/>
            <w:shd w:fill="CCEEFF" w:val="clear"/>
            <w:tcMar>
              <w:bottom w:w="0" w:type="dxa"/>
            </w:tcMar>
            <w:vAlign w:val="bottom"/>
          </w:tcPr>
          <w:p>
            <w:pPr>
              <w:pStyle w:val="TableContents"/>
              <w:spacing w:before="0" w:after="0"/>
              <w:ind w:left="360" w:right="0" w:hanging="0"/>
              <w:rPr>
                <w:color w:val="000000"/>
              </w:rPr>
            </w:pPr>
            <w:r>
              <w:rPr>
                <w:color w:val="000000"/>
              </w:rPr>
              <w:t>AYR Wellness, Inc.</w:t>
            </w:r>
          </w:p>
        </w:tc>
        <w:tc>
          <w:tcPr>
            <w:tcW w:w="1145" w:type="dxa"/>
            <w:tcBorders/>
            <w:shd w:fill="CCEEFF" w:val="clear"/>
            <w:tcMar>
              <w:bottom w:w="0" w:type="dxa"/>
            </w:tcMar>
            <w:vAlign w:val="bottom"/>
          </w:tcPr>
          <w:p>
            <w:pPr>
              <w:pStyle w:val="TableContents"/>
              <w:spacing w:before="0" w:after="0"/>
              <w:rPr>
                <w:color w:val="000000"/>
              </w:rPr>
            </w:pPr>
            <w:r>
              <w:rPr>
                <w:color w:val="000000"/>
              </w:rPr>
              <w:t>Senior Secured Note</w:t>
            </w:r>
          </w:p>
        </w:tc>
        <w:tc>
          <w:tcPr>
            <w:tcW w:w="1145" w:type="dxa"/>
            <w:tcBorders/>
            <w:shd w:fill="CCEEFF" w:val="clear"/>
            <w:tcMar>
              <w:bottom w:w="0" w:type="dxa"/>
            </w:tcMar>
            <w:vAlign w:val="bottom"/>
          </w:tcPr>
          <w:p>
            <w:pPr>
              <w:pStyle w:val="TableContents"/>
              <w:spacing w:before="0" w:after="0"/>
              <w:jc w:val="center"/>
              <w:rPr>
                <w:color w:val="000000"/>
              </w:rPr>
            </w:pPr>
            <w:r>
              <w:rPr>
                <w:color w:val="000000"/>
              </w:rPr>
              <w:t>10/11/2022</w:t>
            </w:r>
          </w:p>
        </w:tc>
        <w:tc>
          <w:tcPr>
            <w:tcW w:w="935" w:type="dxa"/>
            <w:tcBorders/>
            <w:shd w:fill="CCEEFF" w:val="clear"/>
            <w:tcMar>
              <w:bottom w:w="0" w:type="dxa"/>
            </w:tcMar>
            <w:vAlign w:val="bottom"/>
          </w:tcPr>
          <w:p>
            <w:pPr>
              <w:pStyle w:val="TableContents"/>
              <w:spacing w:before="0" w:after="0"/>
              <w:jc w:val="center"/>
              <w:rPr>
                <w:color w:val="000000"/>
              </w:rPr>
            </w:pPr>
            <w:r>
              <w:rPr>
                <w:color w:val="000000"/>
              </w:rPr>
              <w:t>12/10/2024</w:t>
            </w:r>
          </w:p>
        </w:tc>
        <w:tc>
          <w:tcPr>
            <w:tcW w:w="830" w:type="dxa"/>
            <w:tcBorders/>
            <w:shd w:fill="CCEEFF" w:val="clear"/>
            <w:tcMar>
              <w:bottom w:w="0" w:type="dxa"/>
            </w:tcMar>
            <w:vAlign w:val="bottom"/>
          </w:tcPr>
          <w:p>
            <w:pPr>
              <w:pStyle w:val="TableContents"/>
              <w:spacing w:before="0" w:after="0"/>
              <w:jc w:val="center"/>
              <w:rPr>
                <w:color w:val="000000"/>
              </w:rPr>
            </w:pPr>
            <w:r>
              <w:rPr>
                <w:color w:val="000000"/>
              </w:rPr>
              <w:t>Fixed interest rate 12.5%</w:t>
            </w:r>
          </w:p>
        </w:tc>
        <w:tc>
          <w:tcPr>
            <w:tcW w:w="60" w:type="dxa"/>
            <w:tcBorders/>
            <w:shd w:fill="CCEEFF" w:val="clear"/>
            <w:tcMar>
              <w:bottom w:w="0" w:type="dxa"/>
            </w:tcMar>
            <w:vAlign w:val="bottom"/>
          </w:tcPr>
          <w:p>
            <w:pPr>
              <w:pStyle w:val="TableContents"/>
              <w:spacing w:before="0" w:after="283"/>
              <w:jc w:val="right"/>
              <w:rPr/>
            </w:pPr>
            <w:r>
              <w:rPr/>
              <w:t> </w:t>
            </w:r>
          </w:p>
        </w:tc>
        <w:tc>
          <w:tcPr>
            <w:tcW w:w="316" w:type="dxa"/>
            <w:tcBorders/>
            <w:shd w:fill="CCEEFF" w:val="clear"/>
            <w:tcMar>
              <w:bottom w:w="0" w:type="dxa"/>
            </w:tcMar>
            <w:vAlign w:val="bottom"/>
          </w:tcPr>
          <w:p>
            <w:pPr>
              <w:pStyle w:val="TableContents"/>
              <w:spacing w:before="0" w:after="283"/>
              <w:jc w:val="left"/>
              <w:rPr/>
            </w:pPr>
            <w:r>
              <w:rPr/>
              <w:t> </w:t>
            </w:r>
          </w:p>
        </w:tc>
        <w:tc>
          <w:tcPr>
            <w:tcW w:w="739" w:type="dxa"/>
            <w:tcBorders/>
            <w:shd w:fill="CCEEFF" w:val="clear"/>
            <w:tcMar>
              <w:bottom w:w="0" w:type="dxa"/>
            </w:tcMar>
            <w:vAlign w:val="bottom"/>
          </w:tcPr>
          <w:p>
            <w:pPr>
              <w:pStyle w:val="TableContents"/>
              <w:spacing w:before="0" w:after="0"/>
              <w:jc w:val="right"/>
              <w:rPr>
                <w:color w:val="000000"/>
              </w:rPr>
            </w:pPr>
            <w:r>
              <w:rPr>
                <w:color w:val="000000"/>
              </w:rPr>
              <w:t>3</w:t>
            </w:r>
          </w:p>
        </w:tc>
        <w:tc>
          <w:tcPr>
            <w:tcW w:w="60" w:type="dxa"/>
            <w:tcBorders/>
            <w:shd w:fill="CCEEFF" w:val="clear"/>
            <w:tcMar>
              <w:bottom w:w="0" w:type="dxa"/>
            </w:tcMar>
            <w:vAlign w:val="bottom"/>
          </w:tcPr>
          <w:p>
            <w:pPr>
              <w:pStyle w:val="TableContents"/>
              <w:spacing w:before="0" w:after="283"/>
              <w:jc w:val="left"/>
              <w:rPr/>
            </w:pPr>
            <w:r>
              <w:rPr/>
              <w:t> </w:t>
            </w:r>
          </w:p>
        </w:tc>
        <w:tc>
          <w:tcPr>
            <w:tcW w:w="1205" w:type="dxa"/>
            <w:tcBorders/>
            <w:shd w:fill="CCEEFF" w:val="clear"/>
            <w:tcMar>
              <w:bottom w:w="0" w:type="dxa"/>
            </w:tcMar>
            <w:vAlign w:val="bottom"/>
          </w:tcPr>
          <w:p>
            <w:pPr>
              <w:pStyle w:val="TableContents"/>
              <w:spacing w:before="0" w:after="0"/>
              <w:jc w:val="center"/>
              <w:rPr>
                <w:color w:val="000000"/>
              </w:rPr>
            </w:pPr>
            <w:r>
              <w:rPr>
                <w:color w:val="000000"/>
              </w:rPr>
              <w:t>Southeast</w:t>
            </w:r>
          </w:p>
        </w:tc>
        <w:tc>
          <w:tcPr>
            <w:tcW w:w="3000" w:type="dxa"/>
            <w:tcBorders/>
            <w:shd w:fill="CCEEFF" w:val="clear"/>
            <w:tcMar>
              <w:bottom w:w="0" w:type="dxa"/>
            </w:tcMar>
            <w:vAlign w:val="bottom"/>
          </w:tcPr>
          <w:p>
            <w:pPr>
              <w:pStyle w:val="TableContents"/>
              <w:spacing w:before="0" w:after="0"/>
              <w:jc w:val="center"/>
              <w:rPr>
                <w:color w:val="000000"/>
              </w:rPr>
            </w:pPr>
            <w:r>
              <w:rPr>
                <w:color w:val="000000"/>
              </w:rPr>
              <w:t>No</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shd w:fill="CCEEFF" w:val="clear"/>
            <w:tcMar>
              <w:bottom w:w="0" w:type="dxa"/>
            </w:tcMar>
            <w:vAlign w:val="bottom"/>
          </w:tcPr>
          <w:p>
            <w:pPr>
              <w:pStyle w:val="TableContents"/>
              <w:spacing w:before="0" w:after="0"/>
              <w:jc w:val="left"/>
              <w:rPr>
                <w:color w:val="000000"/>
              </w:rPr>
            </w:pPr>
            <w:r>
              <w:rPr>
                <w:color w:val="000000"/>
              </w:rPr>
              <w:t>$</w:t>
            </w:r>
          </w:p>
        </w:tc>
        <w:tc>
          <w:tcPr>
            <w:tcW w:w="788" w:type="dxa"/>
            <w:tcBorders/>
            <w:shd w:fill="CCEEFF" w:val="clear"/>
            <w:tcMar>
              <w:bottom w:w="0" w:type="dxa"/>
            </w:tcMar>
            <w:vAlign w:val="bottom"/>
          </w:tcPr>
          <w:p>
            <w:pPr>
              <w:pStyle w:val="TableContents"/>
              <w:spacing w:before="0" w:after="0"/>
              <w:jc w:val="right"/>
              <w:rPr>
                <w:color w:val="000000"/>
              </w:rPr>
            </w:pPr>
            <w:r>
              <w:rPr>
                <w:color w:val="000000"/>
              </w:rPr>
              <w:t>2,000</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7" w:type="dxa"/>
            <w:tcBorders/>
            <w:shd w:fill="CCEEFF" w:val="clear"/>
            <w:tcMar>
              <w:bottom w:w="0" w:type="dxa"/>
            </w:tcMar>
            <w:vAlign w:val="bottom"/>
          </w:tcPr>
          <w:p>
            <w:pPr>
              <w:pStyle w:val="TableContents"/>
              <w:spacing w:before="0" w:after="0"/>
              <w:jc w:val="left"/>
              <w:rPr>
                <w:color w:val="000000"/>
              </w:rPr>
            </w:pPr>
            <w:r>
              <w:rPr>
                <w:color w:val="000000"/>
              </w:rPr>
              <w:t>$</w:t>
            </w:r>
          </w:p>
        </w:tc>
        <w:tc>
          <w:tcPr>
            <w:tcW w:w="913" w:type="dxa"/>
            <w:tcBorders/>
            <w:shd w:fill="CCEEFF" w:val="clear"/>
            <w:tcMar>
              <w:bottom w:w="0" w:type="dxa"/>
            </w:tcMar>
            <w:vAlign w:val="bottom"/>
          </w:tcPr>
          <w:p>
            <w:pPr>
              <w:pStyle w:val="TableContents"/>
              <w:spacing w:before="0" w:after="0"/>
              <w:jc w:val="right"/>
              <w:rPr>
                <w:color w:val="000000"/>
              </w:rPr>
            </w:pPr>
            <w:r>
              <w:rPr>
                <w:color w:val="000000"/>
              </w:rPr>
              <w:t>1,798</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40" w:type="dxa"/>
            <w:tcBorders/>
            <w:shd w:fill="CCEEFF" w:val="clear"/>
            <w:tcMar>
              <w:bottom w:w="0" w:type="dxa"/>
            </w:tcMar>
            <w:vAlign w:val="bottom"/>
          </w:tcPr>
          <w:p>
            <w:pPr>
              <w:pStyle w:val="TableContents"/>
              <w:spacing w:before="0" w:after="0"/>
              <w:jc w:val="left"/>
              <w:rPr>
                <w:color w:val="000000"/>
              </w:rPr>
            </w:pPr>
            <w:r>
              <w:rPr>
                <w:color w:val="000000"/>
              </w:rPr>
              <w:t>$</w:t>
            </w:r>
          </w:p>
        </w:tc>
        <w:tc>
          <w:tcPr>
            <w:tcW w:w="680" w:type="dxa"/>
            <w:tcBorders/>
            <w:shd w:fill="CCEEFF" w:val="clear"/>
            <w:tcMar>
              <w:bottom w:w="0" w:type="dxa"/>
            </w:tcMar>
            <w:vAlign w:val="bottom"/>
          </w:tcPr>
          <w:p>
            <w:pPr>
              <w:pStyle w:val="TableContents"/>
              <w:spacing w:before="0" w:after="0"/>
              <w:jc w:val="right"/>
              <w:rPr>
                <w:color w:val="000000"/>
              </w:rPr>
            </w:pPr>
            <w:r>
              <w:rPr>
                <w:color w:val="000000"/>
              </w:rPr>
              <w:t>1,805</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2" w:type="dxa"/>
            <w:tcBorders/>
            <w:shd w:fill="CCEEFF" w:val="clear"/>
            <w:tcMar>
              <w:bottom w:w="0" w:type="dxa"/>
            </w:tcMar>
            <w:vAlign w:val="bottom"/>
          </w:tcPr>
          <w:p>
            <w:pPr>
              <w:pStyle w:val="TableContents"/>
              <w:spacing w:before="0" w:after="283"/>
              <w:jc w:val="left"/>
              <w:rPr/>
            </w:pPr>
            <w:r>
              <w:rPr/>
              <w:t> </w:t>
            </w:r>
          </w:p>
        </w:tc>
        <w:tc>
          <w:tcPr>
            <w:tcW w:w="588" w:type="dxa"/>
            <w:tcBorders/>
            <w:shd w:fill="CCEEFF" w:val="clear"/>
            <w:tcMar>
              <w:bottom w:w="0" w:type="dxa"/>
            </w:tcMar>
            <w:vAlign w:val="bottom"/>
          </w:tcPr>
          <w:p>
            <w:pPr>
              <w:pStyle w:val="TableContents"/>
              <w:spacing w:before="0" w:after="0"/>
              <w:jc w:val="right"/>
              <w:rPr>
                <w:color w:val="000000"/>
              </w:rPr>
            </w:pPr>
            <w:r>
              <w:rPr>
                <w:color w:val="000000"/>
              </w:rPr>
              <w:t>2.03</w:t>
            </w:r>
          </w:p>
        </w:tc>
        <w:tc>
          <w:tcPr>
            <w:tcW w:w="260" w:type="dxa"/>
            <w:tcBorders/>
            <w:shd w:fill="CCEEFF" w:val="clear"/>
            <w:tcMar>
              <w:bottom w:w="0" w:type="dxa"/>
            </w:tcMar>
            <w:vAlign w:val="bottom"/>
          </w:tcPr>
          <w:p>
            <w:pPr>
              <w:pStyle w:val="TableContents"/>
              <w:spacing w:before="0" w:after="0"/>
              <w:jc w:val="left"/>
              <w:rPr>
                <w:color w:val="000000"/>
              </w:rPr>
            </w:pPr>
            <w:r>
              <w:rPr>
                <w:color w:val="000000"/>
              </w:rPr>
              <w:t>%</w:t>
            </w:r>
          </w:p>
        </w:tc>
      </w:tr>
      <w:tr>
        <w:trPr/>
        <w:tc>
          <w:tcPr>
            <w:tcW w:w="1310" w:type="dxa"/>
            <w:tcBorders/>
            <w:shd w:fill="auto" w:val="clear"/>
            <w:tcMar>
              <w:bottom w:w="0" w:type="dxa"/>
            </w:tcMar>
            <w:vAlign w:val="bottom"/>
          </w:tcPr>
          <w:p>
            <w:pPr>
              <w:pStyle w:val="TableContents"/>
              <w:spacing w:before="0" w:after="0"/>
              <w:ind w:left="360" w:right="0" w:hanging="0"/>
              <w:rPr>
                <w:color w:val="000000"/>
              </w:rPr>
            </w:pPr>
            <w:r>
              <w:rPr>
                <w:color w:val="000000"/>
              </w:rPr>
              <w:t>Curaleaf Holdings, Inc.</w:t>
            </w:r>
          </w:p>
        </w:tc>
        <w:tc>
          <w:tcPr>
            <w:tcW w:w="1145" w:type="dxa"/>
            <w:tcBorders/>
            <w:shd w:fill="auto" w:val="clear"/>
            <w:tcMar>
              <w:bottom w:w="0" w:type="dxa"/>
            </w:tcMar>
            <w:vAlign w:val="bottom"/>
          </w:tcPr>
          <w:p>
            <w:pPr>
              <w:pStyle w:val="TableContents"/>
              <w:spacing w:before="0" w:after="0"/>
              <w:rPr>
                <w:color w:val="000000"/>
              </w:rPr>
            </w:pPr>
            <w:r>
              <w:rPr>
                <w:color w:val="000000"/>
              </w:rPr>
              <w:t>Senior Secured Note</w:t>
            </w:r>
          </w:p>
        </w:tc>
        <w:tc>
          <w:tcPr>
            <w:tcW w:w="1145" w:type="dxa"/>
            <w:tcBorders/>
            <w:shd w:fill="auto" w:val="clear"/>
            <w:tcMar>
              <w:bottom w:w="0" w:type="dxa"/>
            </w:tcMar>
            <w:vAlign w:val="bottom"/>
          </w:tcPr>
          <w:p>
            <w:pPr>
              <w:pStyle w:val="TableContents"/>
              <w:spacing w:before="0" w:after="0"/>
              <w:jc w:val="center"/>
              <w:rPr>
                <w:color w:val="000000"/>
              </w:rPr>
            </w:pPr>
            <w:r>
              <w:rPr>
                <w:color w:val="000000"/>
              </w:rPr>
              <w:t>10/11/2022</w:t>
            </w:r>
          </w:p>
        </w:tc>
        <w:tc>
          <w:tcPr>
            <w:tcW w:w="935" w:type="dxa"/>
            <w:tcBorders/>
            <w:shd w:fill="auto" w:val="clear"/>
            <w:tcMar>
              <w:bottom w:w="0" w:type="dxa"/>
            </w:tcMar>
            <w:vAlign w:val="bottom"/>
          </w:tcPr>
          <w:p>
            <w:pPr>
              <w:pStyle w:val="TableContents"/>
              <w:spacing w:before="0" w:after="0"/>
              <w:jc w:val="center"/>
              <w:rPr>
                <w:color w:val="000000"/>
              </w:rPr>
            </w:pPr>
            <w:r>
              <w:rPr>
                <w:color w:val="000000"/>
              </w:rPr>
              <w:t>12/15/2026</w:t>
            </w:r>
          </w:p>
        </w:tc>
        <w:tc>
          <w:tcPr>
            <w:tcW w:w="830" w:type="dxa"/>
            <w:tcBorders/>
            <w:shd w:fill="auto" w:val="clear"/>
            <w:tcMar>
              <w:bottom w:w="0" w:type="dxa"/>
            </w:tcMar>
            <w:vAlign w:val="bottom"/>
          </w:tcPr>
          <w:p>
            <w:pPr>
              <w:pStyle w:val="TableContents"/>
              <w:spacing w:before="0" w:after="0"/>
              <w:jc w:val="center"/>
              <w:rPr>
                <w:color w:val="000000"/>
              </w:rPr>
            </w:pPr>
            <w:r>
              <w:rPr>
                <w:color w:val="000000"/>
              </w:rPr>
              <w:t>Fixed interest rate 8.0%</w:t>
            </w:r>
          </w:p>
        </w:tc>
        <w:tc>
          <w:tcPr>
            <w:tcW w:w="60" w:type="dxa"/>
            <w:tcBorders/>
            <w:shd w:fill="auto" w:val="clear"/>
            <w:tcMar>
              <w:bottom w:w="0" w:type="dxa"/>
            </w:tcMar>
            <w:vAlign w:val="bottom"/>
          </w:tcPr>
          <w:p>
            <w:pPr>
              <w:pStyle w:val="TableContents"/>
              <w:spacing w:before="0" w:after="283"/>
              <w:jc w:val="right"/>
              <w:rPr/>
            </w:pPr>
            <w:r>
              <w:rPr/>
              <w:t> </w:t>
            </w:r>
          </w:p>
        </w:tc>
        <w:tc>
          <w:tcPr>
            <w:tcW w:w="316" w:type="dxa"/>
            <w:tcBorders/>
            <w:shd w:fill="auto" w:val="clear"/>
            <w:tcMar>
              <w:bottom w:w="0" w:type="dxa"/>
            </w:tcMar>
            <w:vAlign w:val="bottom"/>
          </w:tcPr>
          <w:p>
            <w:pPr>
              <w:pStyle w:val="TableContents"/>
              <w:spacing w:before="0" w:after="283"/>
              <w:jc w:val="left"/>
              <w:rPr/>
            </w:pPr>
            <w:r>
              <w:rPr/>
              <w:t> </w:t>
            </w:r>
          </w:p>
        </w:tc>
        <w:tc>
          <w:tcPr>
            <w:tcW w:w="739" w:type="dxa"/>
            <w:tcBorders/>
            <w:shd w:fill="auto" w:val="clear"/>
            <w:tcMar>
              <w:bottom w:w="0" w:type="dxa"/>
            </w:tcMar>
            <w:vAlign w:val="bottom"/>
          </w:tcPr>
          <w:p>
            <w:pPr>
              <w:pStyle w:val="TableContents"/>
              <w:spacing w:before="0" w:after="0"/>
              <w:jc w:val="right"/>
              <w:rPr>
                <w:color w:val="000000"/>
              </w:rPr>
            </w:pPr>
            <w:r>
              <w:rPr>
                <w:color w:val="000000"/>
              </w:rPr>
              <w:t>3</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0"/>
              <w:jc w:val="center"/>
              <w:rPr>
                <w:color w:val="000000"/>
              </w:rPr>
            </w:pPr>
            <w:r>
              <w:rPr>
                <w:color w:val="000000"/>
              </w:rPr>
              <w:t>Northeast</w:t>
            </w:r>
          </w:p>
        </w:tc>
        <w:tc>
          <w:tcPr>
            <w:tcW w:w="3000" w:type="dxa"/>
            <w:tcBorders/>
            <w:shd w:fill="auto" w:val="clear"/>
            <w:tcMar>
              <w:bottom w:w="0" w:type="dxa"/>
            </w:tcMar>
            <w:vAlign w:val="bottom"/>
          </w:tcPr>
          <w:p>
            <w:pPr>
              <w:pStyle w:val="TableContents"/>
              <w:spacing w:before="0" w:after="0"/>
              <w:jc w:val="center"/>
              <w:rPr>
                <w:color w:val="000000"/>
              </w:rPr>
            </w:pPr>
            <w:r>
              <w:rPr>
                <w:color w:val="000000"/>
              </w:rPr>
              <w:t>No</w:t>
            </w:r>
          </w:p>
        </w:tc>
        <w:tc>
          <w:tcPr>
            <w:tcW w:w="60" w:type="dxa"/>
            <w:tcBorders/>
            <w:shd w:fill="auto" w:val="clear"/>
            <w:tcMar>
              <w:bottom w:w="0" w:type="dxa"/>
            </w:tcMar>
            <w:vAlign w:val="bottom"/>
          </w:tcPr>
          <w:p>
            <w:pPr>
              <w:pStyle w:val="TableContents"/>
              <w:spacing w:before="0" w:after="283"/>
              <w:jc w:val="right"/>
              <w:rPr/>
            </w:pPr>
            <w:r>
              <w:rPr/>
              <w:t> </w:t>
            </w:r>
          </w:p>
        </w:tc>
        <w:tc>
          <w:tcPr>
            <w:tcW w:w="162" w:type="dxa"/>
            <w:tcBorders/>
            <w:shd w:fill="auto" w:val="clear"/>
            <w:tcMar>
              <w:bottom w:w="0" w:type="dxa"/>
            </w:tcMar>
            <w:vAlign w:val="bottom"/>
          </w:tcPr>
          <w:p>
            <w:pPr>
              <w:pStyle w:val="TableContents"/>
              <w:spacing w:before="0" w:after="283"/>
              <w:jc w:val="left"/>
              <w:rPr/>
            </w:pPr>
            <w:r>
              <w:rPr/>
              <w:t> </w:t>
            </w:r>
          </w:p>
        </w:tc>
        <w:tc>
          <w:tcPr>
            <w:tcW w:w="788" w:type="dxa"/>
            <w:tcBorders/>
            <w:shd w:fill="auto" w:val="clear"/>
            <w:tcMar>
              <w:bottom w:w="0" w:type="dxa"/>
            </w:tcMar>
            <w:vAlign w:val="bottom"/>
          </w:tcPr>
          <w:p>
            <w:pPr>
              <w:pStyle w:val="TableContents"/>
              <w:spacing w:before="0" w:after="0"/>
              <w:jc w:val="right"/>
              <w:rPr>
                <w:color w:val="000000"/>
              </w:rPr>
            </w:pPr>
            <w:r>
              <w:rPr>
                <w:color w:val="000000"/>
              </w:rPr>
              <w:t>4,500</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87" w:type="dxa"/>
            <w:tcBorders/>
            <w:shd w:fill="auto" w:val="clear"/>
            <w:tcMar>
              <w:bottom w:w="0" w:type="dxa"/>
            </w:tcMar>
            <w:vAlign w:val="bottom"/>
          </w:tcPr>
          <w:p>
            <w:pPr>
              <w:pStyle w:val="TableContents"/>
              <w:spacing w:before="0" w:after="283"/>
              <w:jc w:val="left"/>
              <w:rPr/>
            </w:pPr>
            <w:r>
              <w:rPr/>
              <w:t> </w:t>
            </w:r>
          </w:p>
        </w:tc>
        <w:tc>
          <w:tcPr>
            <w:tcW w:w="913" w:type="dxa"/>
            <w:tcBorders/>
            <w:shd w:fill="auto" w:val="clear"/>
            <w:tcMar>
              <w:bottom w:w="0" w:type="dxa"/>
            </w:tcMar>
            <w:vAlign w:val="bottom"/>
          </w:tcPr>
          <w:p>
            <w:pPr>
              <w:pStyle w:val="TableContents"/>
              <w:spacing w:before="0" w:after="0"/>
              <w:jc w:val="right"/>
              <w:rPr>
                <w:color w:val="000000"/>
              </w:rPr>
            </w:pPr>
            <w:r>
              <w:rPr>
                <w:color w:val="000000"/>
              </w:rPr>
              <w:t>3,887</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40" w:type="dxa"/>
            <w:tcBorders/>
            <w:shd w:fill="auto" w:val="clear"/>
            <w:tcMar>
              <w:bottom w:w="0" w:type="dxa"/>
            </w:tcMar>
            <w:vAlign w:val="bottom"/>
          </w:tcPr>
          <w:p>
            <w:pPr>
              <w:pStyle w:val="TableContents"/>
              <w:spacing w:before="0" w:after="283"/>
              <w:jc w:val="left"/>
              <w:rPr/>
            </w:pPr>
            <w:r>
              <w:rPr/>
              <w:t> </w:t>
            </w:r>
          </w:p>
        </w:tc>
        <w:tc>
          <w:tcPr>
            <w:tcW w:w="680" w:type="dxa"/>
            <w:tcBorders/>
            <w:shd w:fill="auto" w:val="clear"/>
            <w:tcMar>
              <w:bottom w:w="0" w:type="dxa"/>
            </w:tcMar>
            <w:vAlign w:val="bottom"/>
          </w:tcPr>
          <w:p>
            <w:pPr>
              <w:pStyle w:val="TableContents"/>
              <w:spacing w:before="0" w:after="0"/>
              <w:jc w:val="right"/>
              <w:rPr>
                <w:color w:val="000000"/>
              </w:rPr>
            </w:pPr>
            <w:r>
              <w:rPr>
                <w:color w:val="000000"/>
              </w:rPr>
              <w:t>4,044</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62" w:type="dxa"/>
            <w:tcBorders/>
            <w:shd w:fill="auto" w:val="clear"/>
            <w:tcMar>
              <w:bottom w:w="0" w:type="dxa"/>
            </w:tcMar>
            <w:vAlign w:val="bottom"/>
          </w:tcPr>
          <w:p>
            <w:pPr>
              <w:pStyle w:val="TableContents"/>
              <w:spacing w:before="0" w:after="283"/>
              <w:jc w:val="left"/>
              <w:rPr/>
            </w:pPr>
            <w:r>
              <w:rPr/>
              <w:t> </w:t>
            </w:r>
          </w:p>
        </w:tc>
        <w:tc>
          <w:tcPr>
            <w:tcW w:w="588" w:type="dxa"/>
            <w:tcBorders/>
            <w:shd w:fill="auto" w:val="clear"/>
            <w:tcMar>
              <w:bottom w:w="0" w:type="dxa"/>
            </w:tcMar>
            <w:vAlign w:val="bottom"/>
          </w:tcPr>
          <w:p>
            <w:pPr>
              <w:pStyle w:val="TableContents"/>
              <w:spacing w:before="0" w:after="0"/>
              <w:jc w:val="right"/>
              <w:rPr>
                <w:color w:val="000000"/>
              </w:rPr>
            </w:pPr>
            <w:r>
              <w:rPr>
                <w:color w:val="000000"/>
              </w:rPr>
              <w:t>4.55</w:t>
            </w:r>
          </w:p>
        </w:tc>
        <w:tc>
          <w:tcPr>
            <w:tcW w:w="260" w:type="dxa"/>
            <w:tcBorders/>
            <w:shd w:fill="auto" w:val="clear"/>
            <w:tcMar>
              <w:bottom w:w="0" w:type="dxa"/>
            </w:tcMar>
            <w:vAlign w:val="bottom"/>
          </w:tcPr>
          <w:p>
            <w:pPr>
              <w:pStyle w:val="TableContents"/>
              <w:spacing w:before="0" w:after="283"/>
              <w:rPr>
                <w:sz w:val="4"/>
                <w:szCs w:val="4"/>
              </w:rPr>
            </w:pPr>
            <w:r>
              <w:rPr>
                <w:sz w:val="4"/>
                <w:szCs w:val="4"/>
              </w:rPr>
            </w:r>
          </w:p>
        </w:tc>
      </w:tr>
      <w:tr>
        <w:trPr/>
        <w:tc>
          <w:tcPr>
            <w:tcW w:w="1310" w:type="dxa"/>
            <w:tcBorders/>
            <w:shd w:fill="CCEEFF" w:val="clear"/>
            <w:tcMar>
              <w:bottom w:w="0" w:type="dxa"/>
            </w:tcMar>
            <w:vAlign w:val="bottom"/>
          </w:tcPr>
          <w:p>
            <w:pPr>
              <w:pStyle w:val="TableContents"/>
              <w:spacing w:before="0" w:after="0"/>
              <w:ind w:left="360" w:right="0" w:hanging="0"/>
              <w:rPr>
                <w:color w:val="000000"/>
              </w:rPr>
            </w:pPr>
            <w:r>
              <w:rPr>
                <w:color w:val="000000"/>
              </w:rPr>
              <w:t>MariMed Inc.</w:t>
            </w:r>
          </w:p>
        </w:tc>
        <w:tc>
          <w:tcPr>
            <w:tcW w:w="1145" w:type="dxa"/>
            <w:tcBorders/>
            <w:shd w:fill="CCEEFF" w:val="clear"/>
            <w:tcMar>
              <w:bottom w:w="0" w:type="dxa"/>
            </w:tcMar>
            <w:vAlign w:val="bottom"/>
          </w:tcPr>
          <w:p>
            <w:pPr>
              <w:pStyle w:val="TableContents"/>
              <w:spacing w:before="0" w:after="0"/>
              <w:rPr>
                <w:color w:val="000000"/>
              </w:rPr>
            </w:pPr>
            <w:r>
              <w:rPr>
                <w:color w:val="000000"/>
              </w:rPr>
              <w:t>Senior Secured First Lien Term Loan</w:t>
            </w:r>
          </w:p>
        </w:tc>
        <w:tc>
          <w:tcPr>
            <w:tcW w:w="1145" w:type="dxa"/>
            <w:tcBorders/>
            <w:shd w:fill="CCEEFF" w:val="clear"/>
            <w:tcMar>
              <w:bottom w:w="0" w:type="dxa"/>
            </w:tcMar>
            <w:vAlign w:val="bottom"/>
          </w:tcPr>
          <w:p>
            <w:pPr>
              <w:pStyle w:val="TableContents"/>
              <w:spacing w:before="0" w:after="0"/>
              <w:jc w:val="center"/>
              <w:rPr>
                <w:color w:val="000000"/>
              </w:rPr>
            </w:pPr>
            <w:r>
              <w:rPr>
                <w:color w:val="000000"/>
              </w:rPr>
              <w:t>1/24/2023</w:t>
            </w:r>
          </w:p>
        </w:tc>
        <w:tc>
          <w:tcPr>
            <w:tcW w:w="935" w:type="dxa"/>
            <w:tcBorders/>
            <w:shd w:fill="CCEEFF" w:val="clear"/>
            <w:tcMar>
              <w:bottom w:w="0" w:type="dxa"/>
            </w:tcMar>
            <w:vAlign w:val="bottom"/>
          </w:tcPr>
          <w:p>
            <w:pPr>
              <w:pStyle w:val="TableContents"/>
              <w:spacing w:before="0" w:after="0"/>
              <w:jc w:val="center"/>
              <w:rPr>
                <w:color w:val="000000"/>
              </w:rPr>
            </w:pPr>
            <w:r>
              <w:rPr>
                <w:color w:val="000000"/>
              </w:rPr>
              <w:t>1/24/2026</w:t>
            </w:r>
          </w:p>
        </w:tc>
        <w:tc>
          <w:tcPr>
            <w:tcW w:w="830" w:type="dxa"/>
            <w:tcBorders/>
            <w:shd w:fill="CCEEFF" w:val="clear"/>
            <w:tcMar>
              <w:bottom w:w="0" w:type="dxa"/>
            </w:tcMar>
            <w:vAlign w:val="bottom"/>
          </w:tcPr>
          <w:p>
            <w:pPr>
              <w:pStyle w:val="TableContents"/>
              <w:spacing w:lineRule="auto" w:line="240" w:before="0" w:after="0"/>
              <w:jc w:val="center"/>
              <w:rPr>
                <w:color w:val="000000"/>
              </w:rPr>
            </w:pPr>
            <w:r>
              <w:rPr>
                <w:color w:val="000000"/>
              </w:rPr>
              <w:t>Variable interest rate PRIME(11) + 5.75% Cash</w:t>
              <w:br/>
              <w:t>(6.25% PRIME Floor)</w:t>
              <w:br/>
              <w:t>1.40% PIK</w:t>
            </w:r>
          </w:p>
        </w:tc>
        <w:tc>
          <w:tcPr>
            <w:tcW w:w="60" w:type="dxa"/>
            <w:tcBorders/>
            <w:shd w:fill="CCEEFF" w:val="clear"/>
            <w:tcMar>
              <w:bottom w:w="0" w:type="dxa"/>
            </w:tcMar>
            <w:vAlign w:val="bottom"/>
          </w:tcPr>
          <w:p>
            <w:pPr>
              <w:pStyle w:val="TableContents"/>
              <w:spacing w:before="0" w:after="283"/>
              <w:jc w:val="right"/>
              <w:rPr/>
            </w:pPr>
            <w:r>
              <w:rPr/>
              <w:t> </w:t>
            </w:r>
          </w:p>
        </w:tc>
        <w:tc>
          <w:tcPr>
            <w:tcW w:w="316" w:type="dxa"/>
            <w:tcBorders/>
            <w:shd w:fill="CCEEFF" w:val="clear"/>
            <w:tcMar>
              <w:bottom w:w="0" w:type="dxa"/>
            </w:tcMar>
            <w:vAlign w:val="bottom"/>
          </w:tcPr>
          <w:p>
            <w:pPr>
              <w:pStyle w:val="TableContents"/>
              <w:spacing w:before="0" w:after="283"/>
              <w:jc w:val="left"/>
              <w:rPr/>
            </w:pPr>
            <w:r>
              <w:rPr/>
              <w:t> </w:t>
            </w:r>
          </w:p>
        </w:tc>
        <w:tc>
          <w:tcPr>
            <w:tcW w:w="739" w:type="dxa"/>
            <w:tcBorders/>
            <w:shd w:fill="CCEEFF" w:val="clear"/>
            <w:tcMar>
              <w:bottom w:w="0" w:type="dxa"/>
            </w:tcMar>
            <w:vAlign w:val="bottom"/>
          </w:tcPr>
          <w:p>
            <w:pPr>
              <w:pStyle w:val="TableContents"/>
              <w:spacing w:before="0" w:after="0"/>
              <w:jc w:val="right"/>
              <w:rPr>
                <w:color w:val="000000"/>
              </w:rPr>
            </w:pPr>
            <w:r>
              <w:rPr>
                <w:color w:val="000000"/>
              </w:rPr>
              <w:t>3</w:t>
            </w:r>
          </w:p>
        </w:tc>
        <w:tc>
          <w:tcPr>
            <w:tcW w:w="60" w:type="dxa"/>
            <w:tcBorders/>
            <w:shd w:fill="CCEEFF" w:val="clear"/>
            <w:tcMar>
              <w:bottom w:w="0" w:type="dxa"/>
            </w:tcMar>
            <w:vAlign w:val="bottom"/>
          </w:tcPr>
          <w:p>
            <w:pPr>
              <w:pStyle w:val="TableContents"/>
              <w:spacing w:before="0" w:after="283"/>
              <w:jc w:val="left"/>
              <w:rPr/>
            </w:pPr>
            <w:r>
              <w:rPr/>
              <w:t> </w:t>
            </w:r>
          </w:p>
        </w:tc>
        <w:tc>
          <w:tcPr>
            <w:tcW w:w="1205" w:type="dxa"/>
            <w:tcBorders/>
            <w:shd w:fill="CCEEFF" w:val="clear"/>
            <w:tcMar>
              <w:bottom w:w="0" w:type="dxa"/>
            </w:tcMar>
            <w:vAlign w:val="bottom"/>
          </w:tcPr>
          <w:p>
            <w:pPr>
              <w:pStyle w:val="TableContents"/>
              <w:spacing w:before="0" w:after="0"/>
              <w:jc w:val="center"/>
              <w:rPr>
                <w:color w:val="000000"/>
              </w:rPr>
            </w:pPr>
            <w:r>
              <w:rPr>
                <w:color w:val="000000"/>
              </w:rPr>
              <w:t>Northeast</w:t>
            </w:r>
          </w:p>
        </w:tc>
        <w:tc>
          <w:tcPr>
            <w:tcW w:w="3000" w:type="dxa"/>
            <w:tcBorders/>
            <w:shd w:fill="CCEEFF" w:val="clear"/>
            <w:tcMar>
              <w:bottom w:w="0" w:type="dxa"/>
            </w:tcMar>
            <w:vAlign w:val="bottom"/>
          </w:tcPr>
          <w:p>
            <w:pPr>
              <w:pStyle w:val="TableContents"/>
              <w:spacing w:before="0" w:after="0"/>
              <w:jc w:val="center"/>
              <w:rPr>
                <w:color w:val="000000"/>
              </w:rPr>
            </w:pPr>
            <w:r>
              <w:rPr>
                <w:color w:val="000000"/>
              </w:rPr>
              <w:t>No</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shd w:fill="CCEEFF" w:val="clear"/>
            <w:tcMar>
              <w:bottom w:w="0" w:type="dxa"/>
            </w:tcMar>
            <w:vAlign w:val="bottom"/>
          </w:tcPr>
          <w:p>
            <w:pPr>
              <w:pStyle w:val="TableContents"/>
              <w:spacing w:before="0" w:after="283"/>
              <w:jc w:val="left"/>
              <w:rPr/>
            </w:pPr>
            <w:r>
              <w:rPr/>
              <w:t> </w:t>
            </w:r>
          </w:p>
        </w:tc>
        <w:tc>
          <w:tcPr>
            <w:tcW w:w="788" w:type="dxa"/>
            <w:tcBorders/>
            <w:shd w:fill="CCEEFF" w:val="clear"/>
            <w:tcMar>
              <w:bottom w:w="0" w:type="dxa"/>
            </w:tcMar>
            <w:vAlign w:val="bottom"/>
          </w:tcPr>
          <w:p>
            <w:pPr>
              <w:pStyle w:val="TableContents"/>
              <w:spacing w:before="0" w:after="0"/>
              <w:jc w:val="right"/>
              <w:rPr>
                <w:color w:val="000000"/>
              </w:rPr>
            </w:pPr>
            <w:r>
              <w:rPr>
                <w:color w:val="000000"/>
              </w:rPr>
              <w:t>4,512</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7" w:type="dxa"/>
            <w:tcBorders/>
            <w:shd w:fill="CCEEFF" w:val="clear"/>
            <w:tcMar>
              <w:bottom w:w="0" w:type="dxa"/>
            </w:tcMar>
            <w:vAlign w:val="bottom"/>
          </w:tcPr>
          <w:p>
            <w:pPr>
              <w:pStyle w:val="TableContents"/>
              <w:spacing w:before="0" w:after="283"/>
              <w:jc w:val="left"/>
              <w:rPr/>
            </w:pPr>
            <w:r>
              <w:rPr/>
              <w:t> </w:t>
            </w:r>
          </w:p>
        </w:tc>
        <w:tc>
          <w:tcPr>
            <w:tcW w:w="913" w:type="dxa"/>
            <w:tcBorders/>
            <w:shd w:fill="CCEEFF" w:val="clear"/>
            <w:tcMar>
              <w:bottom w:w="0" w:type="dxa"/>
            </w:tcMar>
            <w:vAlign w:val="bottom"/>
          </w:tcPr>
          <w:p>
            <w:pPr>
              <w:pStyle w:val="TableContents"/>
              <w:spacing w:before="0" w:after="0"/>
              <w:jc w:val="right"/>
              <w:rPr>
                <w:color w:val="000000"/>
              </w:rPr>
            </w:pPr>
            <w:r>
              <w:rPr>
                <w:color w:val="000000"/>
              </w:rPr>
              <w:t>4,244</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40" w:type="dxa"/>
            <w:tcBorders/>
            <w:shd w:fill="CCEEFF" w:val="clear"/>
            <w:tcMar>
              <w:bottom w:w="0" w:type="dxa"/>
            </w:tcMar>
            <w:vAlign w:val="bottom"/>
          </w:tcPr>
          <w:p>
            <w:pPr>
              <w:pStyle w:val="TableContents"/>
              <w:spacing w:before="0" w:after="283"/>
              <w:jc w:val="left"/>
              <w:rPr/>
            </w:pPr>
            <w:r>
              <w:rPr/>
              <w:t> </w:t>
            </w:r>
          </w:p>
        </w:tc>
        <w:tc>
          <w:tcPr>
            <w:tcW w:w="680" w:type="dxa"/>
            <w:tcBorders/>
            <w:shd w:fill="CCEEFF" w:val="clear"/>
            <w:tcMar>
              <w:bottom w:w="0" w:type="dxa"/>
            </w:tcMar>
            <w:vAlign w:val="bottom"/>
          </w:tcPr>
          <w:p>
            <w:pPr>
              <w:pStyle w:val="TableContents"/>
              <w:spacing w:before="0" w:after="0"/>
              <w:jc w:val="right"/>
              <w:rPr>
                <w:color w:val="000000"/>
              </w:rPr>
            </w:pPr>
            <w:r>
              <w:rPr>
                <w:color w:val="000000"/>
              </w:rPr>
              <w:t>4,244</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2" w:type="dxa"/>
            <w:tcBorders/>
            <w:shd w:fill="CCEEFF" w:val="clear"/>
            <w:tcMar>
              <w:bottom w:w="0" w:type="dxa"/>
            </w:tcMar>
            <w:vAlign w:val="bottom"/>
          </w:tcPr>
          <w:p>
            <w:pPr>
              <w:pStyle w:val="TableContents"/>
              <w:spacing w:before="0" w:after="283"/>
              <w:jc w:val="left"/>
              <w:rPr/>
            </w:pPr>
            <w:r>
              <w:rPr/>
              <w:t> </w:t>
            </w:r>
          </w:p>
        </w:tc>
        <w:tc>
          <w:tcPr>
            <w:tcW w:w="588" w:type="dxa"/>
            <w:tcBorders/>
            <w:shd w:fill="CCEEFF" w:val="clear"/>
            <w:tcMar>
              <w:bottom w:w="0" w:type="dxa"/>
            </w:tcMar>
            <w:vAlign w:val="bottom"/>
          </w:tcPr>
          <w:p>
            <w:pPr>
              <w:pStyle w:val="TableContents"/>
              <w:spacing w:before="0" w:after="0"/>
              <w:jc w:val="right"/>
              <w:rPr>
                <w:color w:val="000000"/>
              </w:rPr>
            </w:pPr>
            <w:r>
              <w:rPr>
                <w:color w:val="000000"/>
              </w:rPr>
              <w:t>4.78</w:t>
            </w:r>
          </w:p>
        </w:tc>
        <w:tc>
          <w:tcPr>
            <w:tcW w:w="260" w:type="dxa"/>
            <w:tcBorders/>
            <w:shd w:fill="CCEEFF" w:val="clear"/>
            <w:tcMar>
              <w:bottom w:w="0" w:type="dxa"/>
            </w:tcMar>
            <w:vAlign w:val="bottom"/>
          </w:tcPr>
          <w:p>
            <w:pPr>
              <w:pStyle w:val="TableContents"/>
              <w:spacing w:before="0" w:after="283"/>
              <w:rPr>
                <w:sz w:val="4"/>
                <w:szCs w:val="4"/>
              </w:rPr>
            </w:pPr>
            <w:r>
              <w:rPr>
                <w:sz w:val="4"/>
                <w:szCs w:val="4"/>
              </w:rPr>
            </w:r>
          </w:p>
        </w:tc>
      </w:tr>
      <w:tr>
        <w:trPr/>
        <w:tc>
          <w:tcPr>
            <w:tcW w:w="1310" w:type="dxa"/>
            <w:tcBorders/>
            <w:shd w:fill="auto" w:val="clear"/>
            <w:tcMar>
              <w:bottom w:w="0" w:type="dxa"/>
            </w:tcMar>
            <w:vAlign w:val="bottom"/>
          </w:tcPr>
          <w:p>
            <w:pPr>
              <w:pStyle w:val="TableContents"/>
              <w:spacing w:before="0" w:after="0"/>
              <w:ind w:left="360" w:right="0" w:hanging="0"/>
              <w:rPr>
                <w:color w:val="000000"/>
              </w:rPr>
            </w:pPr>
            <w:r>
              <w:rPr>
                <w:color w:val="000000"/>
              </w:rPr>
              <w:t>PharmaCann, Inc.</w:t>
            </w:r>
          </w:p>
        </w:tc>
        <w:tc>
          <w:tcPr>
            <w:tcW w:w="1145" w:type="dxa"/>
            <w:tcBorders/>
            <w:shd w:fill="auto" w:val="clear"/>
            <w:tcMar>
              <w:bottom w:w="0" w:type="dxa"/>
            </w:tcMar>
            <w:vAlign w:val="bottom"/>
          </w:tcPr>
          <w:p>
            <w:pPr>
              <w:pStyle w:val="TableContents"/>
              <w:spacing w:before="0" w:after="0"/>
              <w:rPr>
                <w:color w:val="000000"/>
              </w:rPr>
            </w:pPr>
            <w:r>
              <w:rPr>
                <w:color w:val="000000"/>
              </w:rPr>
              <w:t>Senior Secured Note</w:t>
            </w:r>
          </w:p>
        </w:tc>
        <w:tc>
          <w:tcPr>
            <w:tcW w:w="1145" w:type="dxa"/>
            <w:tcBorders/>
            <w:shd w:fill="auto" w:val="clear"/>
            <w:tcMar>
              <w:bottom w:w="0" w:type="dxa"/>
            </w:tcMar>
            <w:vAlign w:val="bottom"/>
          </w:tcPr>
          <w:p>
            <w:pPr>
              <w:pStyle w:val="TableContents"/>
              <w:spacing w:before="0" w:after="0"/>
              <w:jc w:val="center"/>
              <w:rPr>
                <w:color w:val="000000"/>
              </w:rPr>
            </w:pPr>
            <w:r>
              <w:rPr>
                <w:color w:val="000000"/>
              </w:rPr>
              <w:t>6/30/2022</w:t>
            </w:r>
          </w:p>
        </w:tc>
        <w:tc>
          <w:tcPr>
            <w:tcW w:w="935" w:type="dxa"/>
            <w:tcBorders/>
            <w:shd w:fill="auto" w:val="clear"/>
            <w:tcMar>
              <w:bottom w:w="0" w:type="dxa"/>
            </w:tcMar>
            <w:vAlign w:val="bottom"/>
          </w:tcPr>
          <w:p>
            <w:pPr>
              <w:pStyle w:val="TableContents"/>
              <w:spacing w:before="0" w:after="0"/>
              <w:jc w:val="center"/>
              <w:rPr>
                <w:color w:val="000000"/>
              </w:rPr>
            </w:pPr>
            <w:r>
              <w:rPr>
                <w:color w:val="000000"/>
              </w:rPr>
              <w:t>6/30/2025</w:t>
            </w:r>
          </w:p>
        </w:tc>
        <w:tc>
          <w:tcPr>
            <w:tcW w:w="830" w:type="dxa"/>
            <w:tcBorders/>
            <w:shd w:fill="auto" w:val="clear"/>
            <w:tcMar>
              <w:bottom w:w="0" w:type="dxa"/>
            </w:tcMar>
            <w:vAlign w:val="bottom"/>
          </w:tcPr>
          <w:p>
            <w:pPr>
              <w:pStyle w:val="TableContents"/>
              <w:spacing w:before="0" w:after="0"/>
              <w:jc w:val="center"/>
              <w:rPr>
                <w:color w:val="000000"/>
              </w:rPr>
            </w:pPr>
            <w:r>
              <w:rPr>
                <w:color w:val="000000"/>
              </w:rPr>
              <w:t>Fixed interest rate 12.0%</w:t>
            </w:r>
          </w:p>
        </w:tc>
        <w:tc>
          <w:tcPr>
            <w:tcW w:w="60" w:type="dxa"/>
            <w:tcBorders/>
            <w:shd w:fill="auto" w:val="clear"/>
            <w:tcMar>
              <w:bottom w:w="0" w:type="dxa"/>
            </w:tcMar>
            <w:vAlign w:val="bottom"/>
          </w:tcPr>
          <w:p>
            <w:pPr>
              <w:pStyle w:val="TableContents"/>
              <w:spacing w:before="0" w:after="283"/>
              <w:jc w:val="right"/>
              <w:rPr/>
            </w:pPr>
            <w:r>
              <w:rPr/>
              <w:t> </w:t>
            </w:r>
          </w:p>
        </w:tc>
        <w:tc>
          <w:tcPr>
            <w:tcW w:w="316" w:type="dxa"/>
            <w:tcBorders/>
            <w:shd w:fill="auto" w:val="clear"/>
            <w:tcMar>
              <w:bottom w:w="0" w:type="dxa"/>
            </w:tcMar>
            <w:vAlign w:val="bottom"/>
          </w:tcPr>
          <w:p>
            <w:pPr>
              <w:pStyle w:val="TableContents"/>
              <w:spacing w:before="0" w:after="283"/>
              <w:jc w:val="left"/>
              <w:rPr/>
            </w:pPr>
            <w:r>
              <w:rPr/>
              <w:t> </w:t>
            </w:r>
          </w:p>
        </w:tc>
        <w:tc>
          <w:tcPr>
            <w:tcW w:w="739" w:type="dxa"/>
            <w:tcBorders/>
            <w:shd w:fill="auto" w:val="clear"/>
            <w:tcMar>
              <w:bottom w:w="0" w:type="dxa"/>
            </w:tcMar>
            <w:vAlign w:val="bottom"/>
          </w:tcPr>
          <w:p>
            <w:pPr>
              <w:pStyle w:val="TableContents"/>
              <w:spacing w:before="0" w:after="0"/>
              <w:jc w:val="right"/>
              <w:rPr>
                <w:color w:val="000000"/>
              </w:rPr>
            </w:pPr>
            <w:r>
              <w:rPr>
                <w:color w:val="000000"/>
              </w:rPr>
              <w:t>3</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0"/>
              <w:jc w:val="center"/>
              <w:rPr>
                <w:color w:val="000000"/>
              </w:rPr>
            </w:pPr>
            <w:r>
              <w:rPr>
                <w:color w:val="000000"/>
              </w:rPr>
              <w:t>Midwest</w:t>
            </w:r>
          </w:p>
        </w:tc>
        <w:tc>
          <w:tcPr>
            <w:tcW w:w="3000" w:type="dxa"/>
            <w:tcBorders/>
            <w:shd w:fill="auto" w:val="clear"/>
            <w:tcMar>
              <w:bottom w:w="0" w:type="dxa"/>
            </w:tcMar>
            <w:vAlign w:val="bottom"/>
          </w:tcPr>
          <w:p>
            <w:pPr>
              <w:pStyle w:val="TableContents"/>
              <w:spacing w:before="0" w:after="0"/>
              <w:jc w:val="center"/>
              <w:rPr>
                <w:color w:val="000000"/>
              </w:rPr>
            </w:pPr>
            <w:r>
              <w:rPr>
                <w:color w:val="000000"/>
              </w:rPr>
              <w:t>No</w:t>
            </w:r>
          </w:p>
        </w:tc>
        <w:tc>
          <w:tcPr>
            <w:tcW w:w="60" w:type="dxa"/>
            <w:tcBorders/>
            <w:shd w:fill="auto" w:val="clear"/>
            <w:tcMar>
              <w:bottom w:w="0" w:type="dxa"/>
            </w:tcMar>
            <w:vAlign w:val="bottom"/>
          </w:tcPr>
          <w:p>
            <w:pPr>
              <w:pStyle w:val="TableContents"/>
              <w:spacing w:before="0" w:after="283"/>
              <w:jc w:val="right"/>
              <w:rPr/>
            </w:pPr>
            <w:r>
              <w:rPr/>
              <w:t> </w:t>
            </w:r>
          </w:p>
        </w:tc>
        <w:tc>
          <w:tcPr>
            <w:tcW w:w="162" w:type="dxa"/>
            <w:tcBorders/>
            <w:shd w:fill="auto" w:val="clear"/>
            <w:tcMar>
              <w:bottom w:w="0" w:type="dxa"/>
            </w:tcMar>
            <w:vAlign w:val="bottom"/>
          </w:tcPr>
          <w:p>
            <w:pPr>
              <w:pStyle w:val="TableContents"/>
              <w:spacing w:before="0" w:after="283"/>
              <w:jc w:val="left"/>
              <w:rPr/>
            </w:pPr>
            <w:r>
              <w:rPr/>
              <w:t> </w:t>
            </w:r>
          </w:p>
        </w:tc>
        <w:tc>
          <w:tcPr>
            <w:tcW w:w="788" w:type="dxa"/>
            <w:tcBorders/>
            <w:shd w:fill="auto" w:val="clear"/>
            <w:tcMar>
              <w:bottom w:w="0" w:type="dxa"/>
            </w:tcMar>
            <w:vAlign w:val="bottom"/>
          </w:tcPr>
          <w:p>
            <w:pPr>
              <w:pStyle w:val="TableContents"/>
              <w:spacing w:before="0" w:after="0"/>
              <w:jc w:val="right"/>
              <w:rPr>
                <w:color w:val="000000"/>
              </w:rPr>
            </w:pPr>
            <w:r>
              <w:rPr>
                <w:color w:val="000000"/>
              </w:rPr>
              <w:t>4,250</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87" w:type="dxa"/>
            <w:tcBorders/>
            <w:shd w:fill="auto" w:val="clear"/>
            <w:tcMar>
              <w:bottom w:w="0" w:type="dxa"/>
            </w:tcMar>
            <w:vAlign w:val="bottom"/>
          </w:tcPr>
          <w:p>
            <w:pPr>
              <w:pStyle w:val="TableContents"/>
              <w:spacing w:before="0" w:after="283"/>
              <w:jc w:val="left"/>
              <w:rPr/>
            </w:pPr>
            <w:r>
              <w:rPr/>
              <w:t> </w:t>
            </w:r>
          </w:p>
        </w:tc>
        <w:tc>
          <w:tcPr>
            <w:tcW w:w="913" w:type="dxa"/>
            <w:tcBorders/>
            <w:shd w:fill="auto" w:val="clear"/>
            <w:tcMar>
              <w:bottom w:w="0" w:type="dxa"/>
            </w:tcMar>
            <w:vAlign w:val="bottom"/>
          </w:tcPr>
          <w:p>
            <w:pPr>
              <w:pStyle w:val="TableContents"/>
              <w:spacing w:before="0" w:after="0"/>
              <w:jc w:val="right"/>
              <w:rPr>
                <w:color w:val="000000"/>
              </w:rPr>
            </w:pPr>
            <w:r>
              <w:rPr>
                <w:color w:val="000000"/>
              </w:rPr>
              <w:t>4,050</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40" w:type="dxa"/>
            <w:tcBorders/>
            <w:shd w:fill="auto" w:val="clear"/>
            <w:tcMar>
              <w:bottom w:w="0" w:type="dxa"/>
            </w:tcMar>
            <w:vAlign w:val="bottom"/>
          </w:tcPr>
          <w:p>
            <w:pPr>
              <w:pStyle w:val="TableContents"/>
              <w:spacing w:before="0" w:after="283"/>
              <w:jc w:val="left"/>
              <w:rPr/>
            </w:pPr>
            <w:r>
              <w:rPr/>
              <w:t> </w:t>
            </w:r>
          </w:p>
        </w:tc>
        <w:tc>
          <w:tcPr>
            <w:tcW w:w="680" w:type="dxa"/>
            <w:tcBorders/>
            <w:shd w:fill="auto" w:val="clear"/>
            <w:tcMar>
              <w:bottom w:w="0" w:type="dxa"/>
            </w:tcMar>
            <w:vAlign w:val="bottom"/>
          </w:tcPr>
          <w:p>
            <w:pPr>
              <w:pStyle w:val="TableContents"/>
              <w:spacing w:before="0" w:after="0"/>
              <w:jc w:val="right"/>
              <w:rPr>
                <w:color w:val="000000"/>
              </w:rPr>
            </w:pPr>
            <w:r>
              <w:rPr>
                <w:color w:val="000000"/>
              </w:rPr>
              <w:t>4,072</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62" w:type="dxa"/>
            <w:tcBorders/>
            <w:shd w:fill="auto" w:val="clear"/>
            <w:tcMar>
              <w:bottom w:w="0" w:type="dxa"/>
            </w:tcMar>
            <w:vAlign w:val="bottom"/>
          </w:tcPr>
          <w:p>
            <w:pPr>
              <w:pStyle w:val="TableContents"/>
              <w:spacing w:before="0" w:after="283"/>
              <w:jc w:val="left"/>
              <w:rPr/>
            </w:pPr>
            <w:r>
              <w:rPr/>
              <w:t> </w:t>
            </w:r>
          </w:p>
        </w:tc>
        <w:tc>
          <w:tcPr>
            <w:tcW w:w="588" w:type="dxa"/>
            <w:tcBorders/>
            <w:shd w:fill="auto" w:val="clear"/>
            <w:tcMar>
              <w:bottom w:w="0" w:type="dxa"/>
            </w:tcMar>
            <w:vAlign w:val="bottom"/>
          </w:tcPr>
          <w:p>
            <w:pPr>
              <w:pStyle w:val="TableContents"/>
              <w:spacing w:before="0" w:after="0"/>
              <w:jc w:val="right"/>
              <w:rPr>
                <w:color w:val="000000"/>
              </w:rPr>
            </w:pPr>
            <w:r>
              <w:rPr>
                <w:color w:val="000000"/>
              </w:rPr>
              <w:t>4.58</w:t>
            </w:r>
          </w:p>
        </w:tc>
        <w:tc>
          <w:tcPr>
            <w:tcW w:w="260" w:type="dxa"/>
            <w:tcBorders/>
            <w:shd w:fill="auto" w:val="clear"/>
            <w:tcMar>
              <w:bottom w:w="0" w:type="dxa"/>
            </w:tcMar>
            <w:vAlign w:val="bottom"/>
          </w:tcPr>
          <w:p>
            <w:pPr>
              <w:pStyle w:val="TableContents"/>
              <w:spacing w:before="0" w:after="283"/>
              <w:rPr>
                <w:sz w:val="4"/>
                <w:szCs w:val="4"/>
              </w:rPr>
            </w:pPr>
            <w:r>
              <w:rPr>
                <w:sz w:val="4"/>
                <w:szCs w:val="4"/>
              </w:rPr>
            </w:r>
          </w:p>
        </w:tc>
      </w:tr>
      <w:tr>
        <w:trPr/>
        <w:tc>
          <w:tcPr>
            <w:tcW w:w="1310" w:type="dxa"/>
            <w:tcBorders/>
            <w:shd w:fill="CCEEFF" w:val="clear"/>
            <w:tcMar>
              <w:bottom w:w="0" w:type="dxa"/>
            </w:tcMar>
            <w:vAlign w:val="bottom"/>
          </w:tcPr>
          <w:p>
            <w:pPr>
              <w:pStyle w:val="TableContents"/>
              <w:spacing w:before="0" w:after="0"/>
              <w:ind w:left="360" w:right="0" w:hanging="0"/>
              <w:rPr>
                <w:color w:val="000000"/>
              </w:rPr>
            </w:pPr>
            <w:r>
              <w:rPr>
                <w:color w:val="000000"/>
              </w:rPr>
              <w:t>Shryne Group, Inc.</w:t>
            </w:r>
          </w:p>
        </w:tc>
        <w:tc>
          <w:tcPr>
            <w:tcW w:w="1145" w:type="dxa"/>
            <w:tcBorders/>
            <w:shd w:fill="CCEEFF" w:val="clear"/>
            <w:tcMar>
              <w:bottom w:w="0" w:type="dxa"/>
            </w:tcMar>
            <w:vAlign w:val="bottom"/>
          </w:tcPr>
          <w:p>
            <w:pPr>
              <w:pStyle w:val="TableContents"/>
              <w:spacing w:before="0" w:after="0"/>
              <w:rPr>
                <w:color w:val="000000"/>
              </w:rPr>
            </w:pPr>
            <w:r>
              <w:rPr>
                <w:color w:val="000000"/>
              </w:rPr>
              <w:t>Senior Secured First Lien Term Loan</w:t>
            </w:r>
          </w:p>
        </w:tc>
        <w:tc>
          <w:tcPr>
            <w:tcW w:w="1145" w:type="dxa"/>
            <w:tcBorders/>
            <w:shd w:fill="CCEEFF" w:val="clear"/>
            <w:tcMar>
              <w:bottom w:w="0" w:type="dxa"/>
            </w:tcMar>
            <w:vAlign w:val="bottom"/>
          </w:tcPr>
          <w:p>
            <w:pPr>
              <w:pStyle w:val="TableContents"/>
              <w:spacing w:before="0" w:after="0"/>
              <w:jc w:val="center"/>
              <w:rPr>
                <w:color w:val="000000"/>
              </w:rPr>
            </w:pPr>
            <w:r>
              <w:rPr>
                <w:color w:val="000000"/>
              </w:rPr>
              <w:t>5/26/2022</w:t>
            </w:r>
          </w:p>
        </w:tc>
        <w:tc>
          <w:tcPr>
            <w:tcW w:w="935" w:type="dxa"/>
            <w:tcBorders/>
            <w:shd w:fill="CCEEFF" w:val="clear"/>
            <w:tcMar>
              <w:bottom w:w="0" w:type="dxa"/>
            </w:tcMar>
            <w:vAlign w:val="bottom"/>
          </w:tcPr>
          <w:p>
            <w:pPr>
              <w:pStyle w:val="TableContents"/>
              <w:spacing w:before="0" w:after="0"/>
              <w:jc w:val="center"/>
              <w:rPr>
                <w:color w:val="000000"/>
              </w:rPr>
            </w:pPr>
            <w:r>
              <w:rPr>
                <w:color w:val="000000"/>
              </w:rPr>
              <w:t>5/26/2026</w:t>
            </w:r>
          </w:p>
        </w:tc>
        <w:tc>
          <w:tcPr>
            <w:tcW w:w="830" w:type="dxa"/>
            <w:tcBorders/>
            <w:shd w:fill="CCEEFF" w:val="clear"/>
            <w:tcMar>
              <w:bottom w:w="0" w:type="dxa"/>
            </w:tcMar>
            <w:vAlign w:val="bottom"/>
          </w:tcPr>
          <w:p>
            <w:pPr>
              <w:pStyle w:val="TableContents"/>
              <w:spacing w:lineRule="auto" w:line="240" w:before="0" w:after="0"/>
              <w:jc w:val="center"/>
              <w:rPr>
                <w:color w:val="000000"/>
              </w:rPr>
            </w:pPr>
            <w:r>
              <w:rPr>
                <w:color w:val="000000"/>
              </w:rPr>
              <w:t>Variable interest rate PRIME(11) + 8.5%</w:t>
              <w:br/>
              <w:t>(4.0% PRIME Floor)</w:t>
            </w:r>
          </w:p>
        </w:tc>
        <w:tc>
          <w:tcPr>
            <w:tcW w:w="60" w:type="dxa"/>
            <w:tcBorders/>
            <w:shd w:fill="CCEEFF" w:val="clear"/>
            <w:tcMar>
              <w:bottom w:w="0" w:type="dxa"/>
            </w:tcMar>
            <w:vAlign w:val="bottom"/>
          </w:tcPr>
          <w:p>
            <w:pPr>
              <w:pStyle w:val="TableContents"/>
              <w:spacing w:before="0" w:after="283"/>
              <w:jc w:val="right"/>
              <w:rPr/>
            </w:pPr>
            <w:r>
              <w:rPr/>
              <w:t> </w:t>
            </w:r>
          </w:p>
        </w:tc>
        <w:tc>
          <w:tcPr>
            <w:tcW w:w="316" w:type="dxa"/>
            <w:tcBorders/>
            <w:shd w:fill="CCEEFF" w:val="clear"/>
            <w:tcMar>
              <w:bottom w:w="0" w:type="dxa"/>
            </w:tcMar>
            <w:vAlign w:val="bottom"/>
          </w:tcPr>
          <w:p>
            <w:pPr>
              <w:pStyle w:val="TableContents"/>
              <w:spacing w:before="0" w:after="283"/>
              <w:jc w:val="left"/>
              <w:rPr/>
            </w:pPr>
            <w:r>
              <w:rPr/>
              <w:t> </w:t>
            </w:r>
          </w:p>
        </w:tc>
        <w:tc>
          <w:tcPr>
            <w:tcW w:w="739" w:type="dxa"/>
            <w:tcBorders/>
            <w:shd w:fill="CCEEFF" w:val="clear"/>
            <w:tcMar>
              <w:bottom w:w="0" w:type="dxa"/>
            </w:tcMar>
            <w:vAlign w:val="bottom"/>
          </w:tcPr>
          <w:p>
            <w:pPr>
              <w:pStyle w:val="TableContents"/>
              <w:spacing w:before="0" w:after="0"/>
              <w:jc w:val="right"/>
              <w:rPr>
                <w:color w:val="000000"/>
              </w:rPr>
            </w:pPr>
            <w:r>
              <w:rPr>
                <w:color w:val="000000"/>
              </w:rPr>
              <w:t>3</w:t>
            </w:r>
          </w:p>
        </w:tc>
        <w:tc>
          <w:tcPr>
            <w:tcW w:w="60" w:type="dxa"/>
            <w:tcBorders/>
            <w:shd w:fill="CCEEFF" w:val="clear"/>
            <w:tcMar>
              <w:bottom w:w="0" w:type="dxa"/>
            </w:tcMar>
            <w:vAlign w:val="bottom"/>
          </w:tcPr>
          <w:p>
            <w:pPr>
              <w:pStyle w:val="TableContents"/>
              <w:spacing w:before="0" w:after="283"/>
              <w:jc w:val="left"/>
              <w:rPr/>
            </w:pPr>
            <w:r>
              <w:rPr/>
              <w:t> </w:t>
            </w:r>
          </w:p>
        </w:tc>
        <w:tc>
          <w:tcPr>
            <w:tcW w:w="1205" w:type="dxa"/>
            <w:tcBorders/>
            <w:shd w:fill="CCEEFF" w:val="clear"/>
            <w:tcMar>
              <w:bottom w:w="0" w:type="dxa"/>
            </w:tcMar>
            <w:vAlign w:val="bottom"/>
          </w:tcPr>
          <w:p>
            <w:pPr>
              <w:pStyle w:val="TableContents"/>
              <w:spacing w:before="0" w:after="0"/>
              <w:jc w:val="center"/>
              <w:rPr>
                <w:color w:val="000000"/>
              </w:rPr>
            </w:pPr>
            <w:r>
              <w:rPr>
                <w:color w:val="000000"/>
              </w:rPr>
              <w:t>West</w:t>
            </w:r>
          </w:p>
        </w:tc>
        <w:tc>
          <w:tcPr>
            <w:tcW w:w="3000" w:type="dxa"/>
            <w:tcBorders/>
            <w:shd w:fill="CCEEFF" w:val="clear"/>
            <w:tcMar>
              <w:bottom w:w="0" w:type="dxa"/>
            </w:tcMar>
            <w:vAlign w:val="bottom"/>
          </w:tcPr>
          <w:p>
            <w:pPr>
              <w:pStyle w:val="TableContents"/>
              <w:spacing w:before="0" w:after="0"/>
              <w:jc w:val="center"/>
              <w:rPr>
                <w:color w:val="000000"/>
              </w:rPr>
            </w:pPr>
            <w:r>
              <w:rPr>
                <w:color w:val="000000"/>
              </w:rPr>
              <w:t>No</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shd w:fill="CCEEFF" w:val="clear"/>
            <w:tcMar>
              <w:bottom w:w="0" w:type="dxa"/>
            </w:tcMar>
            <w:vAlign w:val="bottom"/>
          </w:tcPr>
          <w:p>
            <w:pPr>
              <w:pStyle w:val="TableContents"/>
              <w:spacing w:before="0" w:after="283"/>
              <w:jc w:val="left"/>
              <w:rPr/>
            </w:pPr>
            <w:r>
              <w:rPr/>
              <w:t> </w:t>
            </w:r>
          </w:p>
        </w:tc>
        <w:tc>
          <w:tcPr>
            <w:tcW w:w="788" w:type="dxa"/>
            <w:tcBorders/>
            <w:shd w:fill="CCEEFF" w:val="clear"/>
            <w:tcMar>
              <w:bottom w:w="0" w:type="dxa"/>
            </w:tcMar>
            <w:vAlign w:val="bottom"/>
          </w:tcPr>
          <w:p>
            <w:pPr>
              <w:pStyle w:val="TableContents"/>
              <w:spacing w:before="0" w:after="0"/>
              <w:jc w:val="right"/>
              <w:rPr>
                <w:color w:val="000000"/>
              </w:rPr>
            </w:pPr>
            <w:r>
              <w:rPr>
                <w:color w:val="000000"/>
              </w:rPr>
              <w:t>21,000</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7" w:type="dxa"/>
            <w:tcBorders/>
            <w:shd w:fill="CCEEFF" w:val="clear"/>
            <w:tcMar>
              <w:bottom w:w="0" w:type="dxa"/>
            </w:tcMar>
            <w:vAlign w:val="bottom"/>
          </w:tcPr>
          <w:p>
            <w:pPr>
              <w:pStyle w:val="TableContents"/>
              <w:spacing w:before="0" w:after="283"/>
              <w:jc w:val="left"/>
              <w:rPr/>
            </w:pPr>
            <w:r>
              <w:rPr/>
              <w:t> </w:t>
            </w:r>
          </w:p>
        </w:tc>
        <w:tc>
          <w:tcPr>
            <w:tcW w:w="913" w:type="dxa"/>
            <w:tcBorders/>
            <w:shd w:fill="CCEEFF" w:val="clear"/>
            <w:tcMar>
              <w:bottom w:w="0" w:type="dxa"/>
            </w:tcMar>
            <w:vAlign w:val="bottom"/>
          </w:tcPr>
          <w:p>
            <w:pPr>
              <w:pStyle w:val="TableContents"/>
              <w:spacing w:before="0" w:after="0"/>
              <w:jc w:val="right"/>
              <w:rPr>
                <w:color w:val="000000"/>
              </w:rPr>
            </w:pPr>
            <w:r>
              <w:rPr>
                <w:color w:val="000000"/>
              </w:rPr>
              <w:t>20,509</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40" w:type="dxa"/>
            <w:tcBorders/>
            <w:shd w:fill="CCEEFF" w:val="clear"/>
            <w:tcMar>
              <w:bottom w:w="0" w:type="dxa"/>
            </w:tcMar>
            <w:vAlign w:val="bottom"/>
          </w:tcPr>
          <w:p>
            <w:pPr>
              <w:pStyle w:val="TableContents"/>
              <w:spacing w:before="0" w:after="283"/>
              <w:jc w:val="left"/>
              <w:rPr/>
            </w:pPr>
            <w:r>
              <w:rPr/>
              <w:t> </w:t>
            </w:r>
          </w:p>
        </w:tc>
        <w:tc>
          <w:tcPr>
            <w:tcW w:w="680" w:type="dxa"/>
            <w:tcBorders/>
            <w:shd w:fill="CCEEFF" w:val="clear"/>
            <w:tcMar>
              <w:bottom w:w="0" w:type="dxa"/>
            </w:tcMar>
            <w:vAlign w:val="bottom"/>
          </w:tcPr>
          <w:p>
            <w:pPr>
              <w:pStyle w:val="TableContents"/>
              <w:spacing w:before="0" w:after="0"/>
              <w:jc w:val="right"/>
              <w:rPr>
                <w:color w:val="000000"/>
              </w:rPr>
            </w:pPr>
            <w:r>
              <w:rPr>
                <w:color w:val="000000"/>
              </w:rPr>
              <w:t>20,571</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2" w:type="dxa"/>
            <w:tcBorders/>
            <w:shd w:fill="CCEEFF" w:val="clear"/>
            <w:tcMar>
              <w:bottom w:w="0" w:type="dxa"/>
            </w:tcMar>
            <w:vAlign w:val="bottom"/>
          </w:tcPr>
          <w:p>
            <w:pPr>
              <w:pStyle w:val="TableContents"/>
              <w:spacing w:before="0" w:after="283"/>
              <w:jc w:val="left"/>
              <w:rPr/>
            </w:pPr>
            <w:r>
              <w:rPr/>
              <w:t> </w:t>
            </w:r>
          </w:p>
        </w:tc>
        <w:tc>
          <w:tcPr>
            <w:tcW w:w="588" w:type="dxa"/>
            <w:tcBorders/>
            <w:shd w:fill="CCEEFF" w:val="clear"/>
            <w:tcMar>
              <w:bottom w:w="0" w:type="dxa"/>
            </w:tcMar>
            <w:vAlign w:val="bottom"/>
          </w:tcPr>
          <w:p>
            <w:pPr>
              <w:pStyle w:val="TableContents"/>
              <w:spacing w:before="0" w:after="0"/>
              <w:jc w:val="right"/>
              <w:rPr>
                <w:color w:val="000000"/>
              </w:rPr>
            </w:pPr>
            <w:r>
              <w:rPr>
                <w:color w:val="000000"/>
              </w:rPr>
              <w:t>23.16</w:t>
            </w:r>
          </w:p>
        </w:tc>
        <w:tc>
          <w:tcPr>
            <w:tcW w:w="260" w:type="dxa"/>
            <w:tcBorders/>
            <w:shd w:fill="CCEEFF" w:val="clear"/>
            <w:tcMar>
              <w:bottom w:w="0" w:type="dxa"/>
            </w:tcMar>
            <w:vAlign w:val="bottom"/>
          </w:tcPr>
          <w:p>
            <w:pPr>
              <w:pStyle w:val="TableContents"/>
              <w:spacing w:before="0" w:after="283"/>
              <w:rPr>
                <w:sz w:val="4"/>
                <w:szCs w:val="4"/>
              </w:rPr>
            </w:pPr>
            <w:r>
              <w:rPr>
                <w:sz w:val="4"/>
                <w:szCs w:val="4"/>
              </w:rPr>
            </w:r>
          </w:p>
        </w:tc>
      </w:tr>
      <w:tr>
        <w:trPr/>
        <w:tc>
          <w:tcPr>
            <w:tcW w:w="1310" w:type="dxa"/>
            <w:tcBorders/>
            <w:shd w:fill="auto" w:val="clear"/>
            <w:tcMar>
              <w:bottom w:w="0" w:type="dxa"/>
            </w:tcMar>
            <w:vAlign w:val="bottom"/>
          </w:tcPr>
          <w:p>
            <w:pPr>
              <w:pStyle w:val="TableContents"/>
              <w:spacing w:before="0" w:after="0"/>
              <w:ind w:left="360" w:right="0" w:hanging="0"/>
              <w:rPr>
                <w:color w:val="000000"/>
              </w:rPr>
            </w:pPr>
            <w:r>
              <w:rPr>
                <w:color w:val="000000"/>
              </w:rPr>
              <w:t>Verano Holdings Corp.</w:t>
            </w:r>
          </w:p>
        </w:tc>
        <w:tc>
          <w:tcPr>
            <w:tcW w:w="1145" w:type="dxa"/>
            <w:tcBorders/>
            <w:shd w:fill="auto" w:val="clear"/>
            <w:tcMar>
              <w:bottom w:w="0" w:type="dxa"/>
            </w:tcMar>
            <w:vAlign w:val="bottom"/>
          </w:tcPr>
          <w:p>
            <w:pPr>
              <w:pStyle w:val="TableContents"/>
              <w:spacing w:before="0" w:after="0"/>
              <w:rPr>
                <w:color w:val="000000"/>
              </w:rPr>
            </w:pPr>
            <w:r>
              <w:rPr>
                <w:color w:val="000000"/>
              </w:rPr>
              <w:t>Senior Secured First Lien Term Loan</w:t>
            </w:r>
          </w:p>
        </w:tc>
        <w:tc>
          <w:tcPr>
            <w:tcW w:w="1145" w:type="dxa"/>
            <w:tcBorders/>
            <w:shd w:fill="auto" w:val="clear"/>
            <w:tcMar>
              <w:bottom w:w="0" w:type="dxa"/>
            </w:tcMar>
            <w:vAlign w:val="bottom"/>
          </w:tcPr>
          <w:p>
            <w:pPr>
              <w:pStyle w:val="TableContents"/>
              <w:spacing w:before="0" w:after="0"/>
              <w:jc w:val="center"/>
              <w:rPr>
                <w:color w:val="000000"/>
              </w:rPr>
            </w:pPr>
            <w:r>
              <w:rPr>
                <w:color w:val="000000"/>
              </w:rPr>
              <w:t>10/27/2022</w:t>
            </w:r>
          </w:p>
        </w:tc>
        <w:tc>
          <w:tcPr>
            <w:tcW w:w="935" w:type="dxa"/>
            <w:tcBorders/>
            <w:shd w:fill="auto" w:val="clear"/>
            <w:tcMar>
              <w:bottom w:w="0" w:type="dxa"/>
            </w:tcMar>
            <w:vAlign w:val="bottom"/>
          </w:tcPr>
          <w:p>
            <w:pPr>
              <w:pStyle w:val="TableContents"/>
              <w:spacing w:before="0" w:after="0"/>
              <w:jc w:val="center"/>
              <w:rPr>
                <w:color w:val="000000"/>
              </w:rPr>
            </w:pPr>
            <w:r>
              <w:rPr>
                <w:color w:val="000000"/>
              </w:rPr>
              <w:t>10/30/2026</w:t>
            </w:r>
          </w:p>
        </w:tc>
        <w:tc>
          <w:tcPr>
            <w:tcW w:w="830" w:type="dxa"/>
            <w:tcBorders/>
            <w:shd w:fill="auto" w:val="clear"/>
            <w:tcMar>
              <w:bottom w:w="0" w:type="dxa"/>
            </w:tcMar>
            <w:vAlign w:val="bottom"/>
          </w:tcPr>
          <w:p>
            <w:pPr>
              <w:pStyle w:val="TableContents"/>
              <w:spacing w:lineRule="auto" w:line="240" w:before="0" w:after="0"/>
              <w:jc w:val="center"/>
              <w:rPr>
                <w:color w:val="000000"/>
              </w:rPr>
            </w:pPr>
            <w:r>
              <w:rPr>
                <w:color w:val="000000"/>
              </w:rPr>
              <w:t>Variable interest rate PRIME(11) + 6.5%</w:t>
              <w:br/>
              <w:t>(6.25% PRIME Floor)</w:t>
            </w:r>
          </w:p>
        </w:tc>
        <w:tc>
          <w:tcPr>
            <w:tcW w:w="60" w:type="dxa"/>
            <w:tcBorders/>
            <w:shd w:fill="auto" w:val="clear"/>
            <w:tcMar>
              <w:bottom w:w="0" w:type="dxa"/>
            </w:tcMar>
            <w:vAlign w:val="bottom"/>
          </w:tcPr>
          <w:p>
            <w:pPr>
              <w:pStyle w:val="TableContents"/>
              <w:spacing w:before="0" w:after="283"/>
              <w:jc w:val="right"/>
              <w:rPr/>
            </w:pPr>
            <w:r>
              <w:rPr/>
              <w:t> </w:t>
            </w:r>
          </w:p>
        </w:tc>
        <w:tc>
          <w:tcPr>
            <w:tcW w:w="316" w:type="dxa"/>
            <w:tcBorders/>
            <w:shd w:fill="auto" w:val="clear"/>
            <w:tcMar>
              <w:bottom w:w="0" w:type="dxa"/>
            </w:tcMar>
            <w:vAlign w:val="bottom"/>
          </w:tcPr>
          <w:p>
            <w:pPr>
              <w:pStyle w:val="TableContents"/>
              <w:spacing w:before="0" w:after="283"/>
              <w:jc w:val="left"/>
              <w:rPr/>
            </w:pPr>
            <w:r>
              <w:rPr/>
              <w:t> </w:t>
            </w:r>
          </w:p>
        </w:tc>
        <w:tc>
          <w:tcPr>
            <w:tcW w:w="739" w:type="dxa"/>
            <w:tcBorders/>
            <w:shd w:fill="auto" w:val="clear"/>
            <w:tcMar>
              <w:bottom w:w="0" w:type="dxa"/>
            </w:tcMar>
            <w:vAlign w:val="bottom"/>
          </w:tcPr>
          <w:p>
            <w:pPr>
              <w:pStyle w:val="TableContents"/>
              <w:spacing w:before="0" w:after="0"/>
              <w:jc w:val="right"/>
              <w:rPr>
                <w:color w:val="000000"/>
              </w:rPr>
            </w:pPr>
            <w:r>
              <w:rPr>
                <w:color w:val="000000"/>
              </w:rPr>
              <w:t>3</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0"/>
              <w:jc w:val="center"/>
              <w:rPr>
                <w:color w:val="000000"/>
              </w:rPr>
            </w:pPr>
            <w:r>
              <w:rPr>
                <w:color w:val="000000"/>
              </w:rPr>
              <w:t>Midwest</w:t>
            </w:r>
          </w:p>
        </w:tc>
        <w:tc>
          <w:tcPr>
            <w:tcW w:w="3000" w:type="dxa"/>
            <w:tcBorders/>
            <w:shd w:fill="auto" w:val="clear"/>
            <w:tcMar>
              <w:bottom w:w="0" w:type="dxa"/>
            </w:tcMar>
            <w:vAlign w:val="bottom"/>
          </w:tcPr>
          <w:p>
            <w:pPr>
              <w:pStyle w:val="TableContents"/>
              <w:spacing w:before="0" w:after="0"/>
              <w:jc w:val="center"/>
              <w:rPr>
                <w:color w:val="000000"/>
              </w:rPr>
            </w:pPr>
            <w:r>
              <w:rPr>
                <w:color w:val="000000"/>
              </w:rPr>
              <w:t>No</w:t>
            </w:r>
          </w:p>
        </w:tc>
        <w:tc>
          <w:tcPr>
            <w:tcW w:w="60" w:type="dxa"/>
            <w:tcBorders/>
            <w:shd w:fill="auto" w:val="clear"/>
            <w:tcMar>
              <w:bottom w:w="0" w:type="dxa"/>
            </w:tcMar>
            <w:vAlign w:val="bottom"/>
          </w:tcPr>
          <w:p>
            <w:pPr>
              <w:pStyle w:val="TableContents"/>
              <w:spacing w:before="0" w:after="283"/>
              <w:jc w:val="right"/>
              <w:rPr/>
            </w:pPr>
            <w:r>
              <w:rPr/>
              <w:t> </w:t>
            </w:r>
          </w:p>
        </w:tc>
        <w:tc>
          <w:tcPr>
            <w:tcW w:w="162" w:type="dxa"/>
            <w:tcBorders>
              <w:bottom w:val="single" w:sz="12" w:space="0" w:color="000000"/>
            </w:tcBorders>
            <w:shd w:fill="auto" w:val="clear"/>
            <w:vAlign w:val="bottom"/>
          </w:tcPr>
          <w:p>
            <w:pPr>
              <w:pStyle w:val="TableContents"/>
              <w:spacing w:before="0" w:after="283"/>
              <w:jc w:val="left"/>
              <w:rPr/>
            </w:pPr>
            <w:r>
              <w:rPr/>
              <w:t> </w:t>
            </w:r>
          </w:p>
        </w:tc>
        <w:tc>
          <w:tcPr>
            <w:tcW w:w="788" w:type="dxa"/>
            <w:tcBorders>
              <w:bottom w:val="single" w:sz="12" w:space="0" w:color="000000"/>
            </w:tcBorders>
            <w:shd w:fill="auto" w:val="clear"/>
            <w:vAlign w:val="bottom"/>
          </w:tcPr>
          <w:p>
            <w:pPr>
              <w:pStyle w:val="TableContents"/>
              <w:spacing w:before="0" w:after="0"/>
              <w:jc w:val="right"/>
              <w:rPr>
                <w:color w:val="000000"/>
              </w:rPr>
            </w:pPr>
            <w:r>
              <w:rPr>
                <w:color w:val="000000"/>
              </w:rPr>
              <w:t>21,000</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87" w:type="dxa"/>
            <w:tcBorders>
              <w:bottom w:val="single" w:sz="12" w:space="0" w:color="000000"/>
            </w:tcBorders>
            <w:shd w:fill="auto" w:val="clear"/>
            <w:vAlign w:val="bottom"/>
          </w:tcPr>
          <w:p>
            <w:pPr>
              <w:pStyle w:val="TableContents"/>
              <w:spacing w:before="0" w:after="283"/>
              <w:jc w:val="left"/>
              <w:rPr/>
            </w:pPr>
            <w:r>
              <w:rPr/>
              <w:t> </w:t>
            </w:r>
          </w:p>
        </w:tc>
        <w:tc>
          <w:tcPr>
            <w:tcW w:w="913" w:type="dxa"/>
            <w:tcBorders>
              <w:bottom w:val="single" w:sz="12" w:space="0" w:color="000000"/>
            </w:tcBorders>
            <w:shd w:fill="auto" w:val="clear"/>
            <w:vAlign w:val="bottom"/>
          </w:tcPr>
          <w:p>
            <w:pPr>
              <w:pStyle w:val="TableContents"/>
              <w:spacing w:before="0" w:after="0"/>
              <w:jc w:val="right"/>
              <w:rPr>
                <w:color w:val="000000"/>
              </w:rPr>
            </w:pPr>
            <w:r>
              <w:rPr>
                <w:color w:val="000000"/>
              </w:rPr>
              <w:t>20,422</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40" w:type="dxa"/>
            <w:tcBorders>
              <w:bottom w:val="single" w:sz="12" w:space="0" w:color="000000"/>
            </w:tcBorders>
            <w:shd w:fill="auto" w:val="clear"/>
            <w:vAlign w:val="bottom"/>
          </w:tcPr>
          <w:p>
            <w:pPr>
              <w:pStyle w:val="TableContents"/>
              <w:spacing w:before="0" w:after="283"/>
              <w:jc w:val="left"/>
              <w:rPr/>
            </w:pPr>
            <w:r>
              <w:rPr/>
              <w:t> </w:t>
            </w:r>
          </w:p>
        </w:tc>
        <w:tc>
          <w:tcPr>
            <w:tcW w:w="680" w:type="dxa"/>
            <w:tcBorders>
              <w:bottom w:val="single" w:sz="12" w:space="0" w:color="000000"/>
            </w:tcBorders>
            <w:shd w:fill="auto" w:val="clear"/>
            <w:vAlign w:val="bottom"/>
          </w:tcPr>
          <w:p>
            <w:pPr>
              <w:pStyle w:val="TableContents"/>
              <w:spacing w:before="0" w:after="0"/>
              <w:jc w:val="right"/>
              <w:rPr>
                <w:color w:val="000000"/>
              </w:rPr>
            </w:pPr>
            <w:r>
              <w:rPr>
                <w:color w:val="000000"/>
              </w:rPr>
              <w:t>20,887</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62" w:type="dxa"/>
            <w:tcBorders>
              <w:bottom w:val="single" w:sz="12" w:space="0" w:color="000000"/>
            </w:tcBorders>
            <w:shd w:fill="auto" w:val="clear"/>
            <w:vAlign w:val="bottom"/>
          </w:tcPr>
          <w:p>
            <w:pPr>
              <w:pStyle w:val="TableContents"/>
              <w:spacing w:before="0" w:after="283"/>
              <w:jc w:val="left"/>
              <w:rPr/>
            </w:pPr>
            <w:r>
              <w:rPr/>
              <w:t> </w:t>
            </w:r>
          </w:p>
        </w:tc>
        <w:tc>
          <w:tcPr>
            <w:tcW w:w="588" w:type="dxa"/>
            <w:tcBorders>
              <w:bottom w:val="single" w:sz="12" w:space="0" w:color="000000"/>
            </w:tcBorders>
            <w:shd w:fill="auto" w:val="clear"/>
            <w:vAlign w:val="bottom"/>
          </w:tcPr>
          <w:p>
            <w:pPr>
              <w:pStyle w:val="TableContents"/>
              <w:spacing w:before="0" w:after="0"/>
              <w:jc w:val="right"/>
              <w:rPr>
                <w:color w:val="000000"/>
              </w:rPr>
            </w:pPr>
            <w:r>
              <w:rPr>
                <w:color w:val="000000"/>
              </w:rPr>
              <w:t>23.51</w:t>
            </w:r>
          </w:p>
        </w:tc>
        <w:tc>
          <w:tcPr>
            <w:tcW w:w="260" w:type="dxa"/>
            <w:tcBorders/>
            <w:shd w:fill="auto" w:val="clear"/>
            <w:tcMar>
              <w:bottom w:w="0" w:type="dxa"/>
            </w:tcMar>
            <w:vAlign w:val="bottom"/>
          </w:tcPr>
          <w:p>
            <w:pPr>
              <w:pStyle w:val="TableContents"/>
              <w:spacing w:before="0" w:after="283"/>
              <w:rPr>
                <w:sz w:val="4"/>
                <w:szCs w:val="4"/>
              </w:rPr>
            </w:pPr>
            <w:r>
              <w:rPr>
                <w:sz w:val="4"/>
                <w:szCs w:val="4"/>
              </w:rPr>
            </w:r>
          </w:p>
        </w:tc>
      </w:tr>
      <w:tr>
        <w:trPr/>
        <w:tc>
          <w:tcPr>
            <w:tcW w:w="1310" w:type="dxa"/>
            <w:tcBorders/>
            <w:shd w:fill="CCEEFF" w:val="clear"/>
            <w:tcMar>
              <w:bottom w:w="0" w:type="dxa"/>
            </w:tcMar>
            <w:vAlign w:val="bottom"/>
          </w:tcPr>
          <w:p>
            <w:pPr>
              <w:pStyle w:val="TableContents"/>
              <w:spacing w:before="0" w:after="0"/>
              <w:ind w:left="180" w:right="0" w:hanging="180"/>
              <w:rPr/>
            </w:pPr>
            <w:r>
              <w:rPr/>
              <w:t> </w:t>
            </w:r>
          </w:p>
        </w:tc>
        <w:tc>
          <w:tcPr>
            <w:tcW w:w="1145" w:type="dxa"/>
            <w:tcBorders/>
            <w:shd w:fill="CCEEFF" w:val="clear"/>
            <w:tcMar>
              <w:bottom w:w="0" w:type="dxa"/>
            </w:tcMar>
            <w:vAlign w:val="bottom"/>
          </w:tcPr>
          <w:p>
            <w:pPr>
              <w:pStyle w:val="TableContents"/>
              <w:spacing w:before="0" w:after="283"/>
              <w:rPr/>
            </w:pPr>
            <w:r>
              <w:rPr/>
              <w:t> </w:t>
            </w:r>
          </w:p>
        </w:tc>
        <w:tc>
          <w:tcPr>
            <w:tcW w:w="1145" w:type="dxa"/>
            <w:tcBorders/>
            <w:shd w:fill="CCEEFF" w:val="clear"/>
            <w:tcMar>
              <w:bottom w:w="0" w:type="dxa"/>
            </w:tcMar>
            <w:vAlign w:val="bottom"/>
          </w:tcPr>
          <w:p>
            <w:pPr>
              <w:pStyle w:val="TableContents"/>
              <w:spacing w:before="0" w:after="283"/>
              <w:rPr/>
            </w:pPr>
            <w:r>
              <w:rPr/>
              <w:t> </w:t>
            </w:r>
          </w:p>
        </w:tc>
        <w:tc>
          <w:tcPr>
            <w:tcW w:w="935" w:type="dxa"/>
            <w:tcBorders/>
            <w:shd w:fill="CCEEFF" w:val="clear"/>
            <w:tcMar>
              <w:bottom w:w="0" w:type="dxa"/>
            </w:tcMar>
            <w:vAlign w:val="bottom"/>
          </w:tcPr>
          <w:p>
            <w:pPr>
              <w:pStyle w:val="TableContents"/>
              <w:spacing w:before="0" w:after="283"/>
              <w:rPr/>
            </w:pPr>
            <w:r>
              <w:rPr/>
              <w:t> </w:t>
            </w:r>
          </w:p>
        </w:tc>
        <w:tc>
          <w:tcPr>
            <w:tcW w:w="83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316" w:type="dxa"/>
            <w:tcBorders/>
            <w:shd w:fill="CCEEFF" w:val="clear"/>
            <w:tcMar>
              <w:bottom w:w="0" w:type="dxa"/>
            </w:tcMar>
            <w:vAlign w:val="bottom"/>
          </w:tcPr>
          <w:p>
            <w:pPr>
              <w:pStyle w:val="TableContents"/>
              <w:spacing w:before="0" w:after="283"/>
              <w:jc w:val="left"/>
              <w:rPr/>
            </w:pPr>
            <w:r>
              <w:rPr/>
              <w:t> </w:t>
            </w:r>
          </w:p>
        </w:tc>
        <w:tc>
          <w:tcPr>
            <w:tcW w:w="739"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1205" w:type="dxa"/>
            <w:tcBorders/>
            <w:shd w:fill="CCEEFF" w:val="clear"/>
            <w:tcMar>
              <w:bottom w:w="0" w:type="dxa"/>
            </w:tcMar>
            <w:vAlign w:val="bottom"/>
          </w:tcPr>
          <w:p>
            <w:pPr>
              <w:pStyle w:val="TableContents"/>
              <w:spacing w:before="0" w:after="283"/>
              <w:rPr/>
            </w:pPr>
            <w:r>
              <w:rPr/>
              <w:t> </w:t>
            </w:r>
          </w:p>
        </w:tc>
        <w:tc>
          <w:tcPr>
            <w:tcW w:w="300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bottom w:val="single" w:sz="12" w:space="0" w:color="000000"/>
            </w:tcBorders>
            <w:shd w:fill="CCEEFF" w:val="clear"/>
            <w:vAlign w:val="bottom"/>
          </w:tcPr>
          <w:p>
            <w:pPr>
              <w:pStyle w:val="TableContents"/>
              <w:spacing w:before="0" w:after="0"/>
              <w:jc w:val="left"/>
              <w:rPr>
                <w:color w:val="000000"/>
              </w:rPr>
            </w:pPr>
            <w:r>
              <w:rPr>
                <w:color w:val="000000"/>
              </w:rPr>
              <w:t>$</w:t>
            </w:r>
          </w:p>
        </w:tc>
        <w:tc>
          <w:tcPr>
            <w:tcW w:w="788" w:type="dxa"/>
            <w:tcBorders>
              <w:bottom w:val="single" w:sz="12" w:space="0" w:color="000000"/>
            </w:tcBorders>
            <w:shd w:fill="CCEEFF" w:val="clear"/>
            <w:vAlign w:val="bottom"/>
          </w:tcPr>
          <w:p>
            <w:pPr>
              <w:pStyle w:val="TableContents"/>
              <w:spacing w:before="0" w:after="0"/>
              <w:jc w:val="right"/>
              <w:rPr>
                <w:color w:val="000000"/>
              </w:rPr>
            </w:pPr>
            <w:r>
              <w:rPr>
                <w:color w:val="000000"/>
              </w:rPr>
              <w:t>57,262</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7" w:type="dxa"/>
            <w:tcBorders>
              <w:bottom w:val="single" w:sz="12" w:space="0" w:color="000000"/>
            </w:tcBorders>
            <w:shd w:fill="CCEEFF" w:val="clear"/>
            <w:vAlign w:val="bottom"/>
          </w:tcPr>
          <w:p>
            <w:pPr>
              <w:pStyle w:val="TableContents"/>
              <w:spacing w:before="0" w:after="283"/>
              <w:jc w:val="left"/>
              <w:rPr/>
            </w:pPr>
            <w:r>
              <w:rPr/>
              <w:t> </w:t>
            </w:r>
          </w:p>
        </w:tc>
        <w:tc>
          <w:tcPr>
            <w:tcW w:w="913" w:type="dxa"/>
            <w:tcBorders>
              <w:bottom w:val="single" w:sz="12" w:space="0" w:color="000000"/>
            </w:tcBorders>
            <w:shd w:fill="CCEEFF" w:val="clear"/>
            <w:vAlign w:val="bottom"/>
          </w:tcPr>
          <w:p>
            <w:pPr>
              <w:pStyle w:val="TableContents"/>
              <w:spacing w:before="0" w:after="0"/>
              <w:jc w:val="right"/>
              <w:rPr>
                <w:color w:val="000000"/>
              </w:rPr>
            </w:pPr>
            <w:r>
              <w:rPr>
                <w:color w:val="000000"/>
              </w:rPr>
              <w:t>54,910</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40" w:type="dxa"/>
            <w:tcBorders>
              <w:bottom w:val="single" w:sz="12" w:space="0" w:color="000000"/>
            </w:tcBorders>
            <w:shd w:fill="CCEEFF" w:val="clear"/>
            <w:vAlign w:val="bottom"/>
          </w:tcPr>
          <w:p>
            <w:pPr>
              <w:pStyle w:val="TableContents"/>
              <w:spacing w:before="0" w:after="283"/>
              <w:jc w:val="left"/>
              <w:rPr/>
            </w:pPr>
            <w:r>
              <w:rPr/>
              <w:t> </w:t>
            </w:r>
          </w:p>
        </w:tc>
        <w:tc>
          <w:tcPr>
            <w:tcW w:w="680" w:type="dxa"/>
            <w:tcBorders>
              <w:bottom w:val="single" w:sz="12" w:space="0" w:color="000000"/>
            </w:tcBorders>
            <w:shd w:fill="CCEEFF" w:val="clear"/>
            <w:vAlign w:val="bottom"/>
          </w:tcPr>
          <w:p>
            <w:pPr>
              <w:pStyle w:val="TableContents"/>
              <w:spacing w:before="0" w:after="0"/>
              <w:jc w:val="right"/>
              <w:rPr>
                <w:color w:val="000000"/>
              </w:rPr>
            </w:pPr>
            <w:r>
              <w:rPr>
                <w:color w:val="000000"/>
              </w:rPr>
              <w:t>55,623</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2" w:type="dxa"/>
            <w:tcBorders>
              <w:bottom w:val="single" w:sz="12" w:space="0" w:color="000000"/>
            </w:tcBorders>
            <w:shd w:fill="CCEEFF" w:val="clear"/>
            <w:vAlign w:val="bottom"/>
          </w:tcPr>
          <w:p>
            <w:pPr>
              <w:pStyle w:val="TableContents"/>
              <w:spacing w:before="0" w:after="283"/>
              <w:jc w:val="left"/>
              <w:rPr/>
            </w:pPr>
            <w:r>
              <w:rPr/>
              <w:t> </w:t>
            </w:r>
          </w:p>
        </w:tc>
        <w:tc>
          <w:tcPr>
            <w:tcW w:w="588" w:type="dxa"/>
            <w:tcBorders>
              <w:bottom w:val="single" w:sz="12" w:space="0" w:color="000000"/>
            </w:tcBorders>
            <w:shd w:fill="CCEEFF" w:val="clear"/>
            <w:vAlign w:val="bottom"/>
          </w:tcPr>
          <w:p>
            <w:pPr>
              <w:pStyle w:val="TableContents"/>
              <w:spacing w:before="0" w:after="0"/>
              <w:jc w:val="right"/>
              <w:rPr>
                <w:color w:val="000000"/>
              </w:rPr>
            </w:pPr>
            <w:r>
              <w:rPr>
                <w:color w:val="000000"/>
              </w:rPr>
              <w:t>62.61</w:t>
            </w:r>
          </w:p>
        </w:tc>
        <w:tc>
          <w:tcPr>
            <w:tcW w:w="260" w:type="dxa"/>
            <w:tcBorders/>
            <w:shd w:fill="CCEEFF" w:val="clear"/>
            <w:tcMar>
              <w:bottom w:w="0" w:type="dxa"/>
            </w:tcMar>
            <w:vAlign w:val="bottom"/>
          </w:tcPr>
          <w:p>
            <w:pPr>
              <w:pStyle w:val="TableContents"/>
              <w:spacing w:before="0" w:after="283"/>
              <w:rPr>
                <w:sz w:val="4"/>
                <w:szCs w:val="4"/>
              </w:rPr>
            </w:pPr>
            <w:r>
              <w:rPr>
                <w:sz w:val="4"/>
                <w:szCs w:val="4"/>
              </w:rPr>
            </w:r>
          </w:p>
        </w:tc>
      </w:tr>
      <w:tr>
        <w:trPr/>
        <w:tc>
          <w:tcPr>
            <w:tcW w:w="1310" w:type="dxa"/>
            <w:tcBorders/>
            <w:shd w:fill="auto" w:val="clear"/>
            <w:tcMar>
              <w:bottom w:w="0" w:type="dxa"/>
            </w:tcMar>
            <w:vAlign w:val="bottom"/>
          </w:tcPr>
          <w:p>
            <w:pPr>
              <w:pStyle w:val="TableContents"/>
              <w:spacing w:before="0" w:after="0"/>
              <w:ind w:left="180" w:right="0" w:hanging="180"/>
              <w:rPr/>
            </w:pPr>
            <w:r>
              <w:rPr/>
              <w:t> </w:t>
            </w:r>
          </w:p>
        </w:tc>
        <w:tc>
          <w:tcPr>
            <w:tcW w:w="1145" w:type="dxa"/>
            <w:tcBorders/>
            <w:shd w:fill="auto" w:val="clear"/>
            <w:tcMar>
              <w:bottom w:w="0" w:type="dxa"/>
            </w:tcMar>
            <w:vAlign w:val="bottom"/>
          </w:tcPr>
          <w:p>
            <w:pPr>
              <w:pStyle w:val="TableContents"/>
              <w:spacing w:before="0" w:after="283"/>
              <w:rPr/>
            </w:pPr>
            <w:r>
              <w:rPr/>
              <w:t> </w:t>
            </w:r>
          </w:p>
        </w:tc>
        <w:tc>
          <w:tcPr>
            <w:tcW w:w="1145" w:type="dxa"/>
            <w:tcBorders/>
            <w:shd w:fill="auto" w:val="clear"/>
            <w:tcMar>
              <w:bottom w:w="0" w:type="dxa"/>
            </w:tcMar>
            <w:vAlign w:val="bottom"/>
          </w:tcPr>
          <w:p>
            <w:pPr>
              <w:pStyle w:val="TableContents"/>
              <w:spacing w:before="0" w:after="283"/>
              <w:rPr/>
            </w:pPr>
            <w:r>
              <w:rPr/>
              <w:t> </w:t>
            </w:r>
          </w:p>
        </w:tc>
        <w:tc>
          <w:tcPr>
            <w:tcW w:w="935" w:type="dxa"/>
            <w:tcBorders/>
            <w:shd w:fill="auto" w:val="clear"/>
            <w:tcMar>
              <w:bottom w:w="0" w:type="dxa"/>
            </w:tcMar>
            <w:vAlign w:val="bottom"/>
          </w:tcPr>
          <w:p>
            <w:pPr>
              <w:pStyle w:val="TableContents"/>
              <w:spacing w:before="0" w:after="283"/>
              <w:rPr/>
            </w:pPr>
            <w:r>
              <w:rPr/>
              <w:t> </w:t>
            </w:r>
          </w:p>
        </w:tc>
        <w:tc>
          <w:tcPr>
            <w:tcW w:w="83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316" w:type="dxa"/>
            <w:tcBorders/>
            <w:shd w:fill="auto" w:val="clear"/>
            <w:tcMar>
              <w:bottom w:w="0" w:type="dxa"/>
            </w:tcMar>
            <w:vAlign w:val="bottom"/>
          </w:tcPr>
          <w:p>
            <w:pPr>
              <w:pStyle w:val="TableContents"/>
              <w:spacing w:before="0" w:after="283"/>
              <w:jc w:val="left"/>
              <w:rPr/>
            </w:pPr>
            <w:r>
              <w:rPr/>
              <w:t> </w:t>
            </w:r>
          </w:p>
        </w:tc>
        <w:tc>
          <w:tcPr>
            <w:tcW w:w="739"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283"/>
              <w:rPr/>
            </w:pPr>
            <w:r>
              <w:rPr/>
              <w:t> </w:t>
            </w:r>
          </w:p>
        </w:tc>
        <w:tc>
          <w:tcPr>
            <w:tcW w:w="300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62" w:type="dxa"/>
            <w:tcBorders/>
            <w:shd w:fill="auto" w:val="clear"/>
            <w:tcMar>
              <w:bottom w:w="0" w:type="dxa"/>
            </w:tcMar>
            <w:vAlign w:val="bottom"/>
          </w:tcPr>
          <w:p>
            <w:pPr>
              <w:pStyle w:val="TableContents"/>
              <w:spacing w:before="0" w:after="283"/>
              <w:jc w:val="left"/>
              <w:rPr/>
            </w:pPr>
            <w:r>
              <w:rPr/>
              <w:t> </w:t>
            </w:r>
          </w:p>
        </w:tc>
        <w:tc>
          <w:tcPr>
            <w:tcW w:w="788"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87" w:type="dxa"/>
            <w:tcBorders>
              <w:bottom w:val="single" w:sz="12" w:space="0" w:color="000000"/>
            </w:tcBorders>
            <w:shd w:fill="auto" w:val="clear"/>
            <w:vAlign w:val="bottom"/>
          </w:tcPr>
          <w:p>
            <w:pPr>
              <w:pStyle w:val="TableContents"/>
              <w:spacing w:before="0" w:after="283"/>
              <w:jc w:val="left"/>
              <w:rPr/>
            </w:pPr>
            <w:r>
              <w:rPr/>
              <w:t> </w:t>
            </w:r>
          </w:p>
        </w:tc>
        <w:tc>
          <w:tcPr>
            <w:tcW w:w="913" w:type="dxa"/>
            <w:tcBorders>
              <w:bottom w:val="single" w:sz="12" w:space="0" w:color="000000"/>
            </w:tcBorders>
            <w:shd w:fill="auto" w:val="cle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40" w:type="dxa"/>
            <w:tcBorders>
              <w:bottom w:val="single" w:sz="12" w:space="0" w:color="000000"/>
            </w:tcBorders>
            <w:shd w:fill="auto" w:val="clear"/>
            <w:vAlign w:val="bottom"/>
          </w:tcPr>
          <w:p>
            <w:pPr>
              <w:pStyle w:val="TableContents"/>
              <w:spacing w:before="0" w:after="283"/>
              <w:jc w:val="left"/>
              <w:rPr/>
            </w:pPr>
            <w:r>
              <w:rPr/>
              <w:t> </w:t>
            </w:r>
          </w:p>
        </w:tc>
        <w:tc>
          <w:tcPr>
            <w:tcW w:w="680" w:type="dxa"/>
            <w:tcBorders>
              <w:bottom w:val="single" w:sz="12" w:space="0" w:color="000000"/>
            </w:tcBorders>
            <w:shd w:fill="auto" w:val="cle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62" w:type="dxa"/>
            <w:tcBorders>
              <w:bottom w:val="single" w:sz="12" w:space="0" w:color="000000"/>
            </w:tcBorders>
            <w:shd w:fill="auto" w:val="clear"/>
            <w:vAlign w:val="bottom"/>
          </w:tcPr>
          <w:p>
            <w:pPr>
              <w:pStyle w:val="TableContents"/>
              <w:spacing w:before="0" w:after="283"/>
              <w:jc w:val="left"/>
              <w:rPr/>
            </w:pPr>
            <w:r>
              <w:rPr/>
              <w:t> </w:t>
            </w:r>
          </w:p>
        </w:tc>
        <w:tc>
          <w:tcPr>
            <w:tcW w:w="588" w:type="dxa"/>
            <w:tcBorders>
              <w:bottom w:val="single" w:sz="12" w:space="0" w:color="000000"/>
            </w:tcBorders>
            <w:shd w:fill="auto" w:val="clear"/>
            <w:vAlign w:val="bottom"/>
          </w:tcPr>
          <w:p>
            <w:pPr>
              <w:pStyle w:val="TableContents"/>
              <w:spacing w:before="0" w:after="283"/>
              <w:jc w:val="right"/>
              <w:rPr/>
            </w:pPr>
            <w:r>
              <w:rPr/>
              <w:t> </w:t>
            </w:r>
          </w:p>
        </w:tc>
        <w:tc>
          <w:tcPr>
            <w:tcW w:w="260" w:type="dxa"/>
            <w:tcBorders/>
            <w:shd w:fill="auto" w:val="clear"/>
            <w:tcMar>
              <w:bottom w:w="0" w:type="dxa"/>
            </w:tcMar>
            <w:vAlign w:val="bottom"/>
          </w:tcPr>
          <w:p>
            <w:pPr>
              <w:pStyle w:val="TableContents"/>
              <w:spacing w:before="0" w:after="283"/>
              <w:jc w:val="left"/>
              <w:rPr/>
            </w:pPr>
            <w:r>
              <w:rPr/>
              <w:t> </w:t>
            </w:r>
          </w:p>
        </w:tc>
      </w:tr>
      <w:tr>
        <w:trPr/>
        <w:tc>
          <w:tcPr>
            <w:tcW w:w="4535" w:type="dxa"/>
            <w:gridSpan w:val="4"/>
            <w:tcBorders/>
            <w:shd w:fill="CCEEFF" w:val="clear"/>
            <w:tcMar>
              <w:bottom w:w="0" w:type="dxa"/>
            </w:tcMar>
            <w:vAlign w:val="bottom"/>
          </w:tcPr>
          <w:p>
            <w:pPr>
              <w:pStyle w:val="TableContents"/>
              <w:spacing w:before="0" w:after="0"/>
              <w:ind w:left="180" w:right="0" w:hanging="0"/>
              <w:rPr>
                <w:b/>
                <w:color w:val="000000"/>
              </w:rPr>
            </w:pPr>
            <w:r>
              <w:rPr>
                <w:b/>
                <w:color w:val="000000"/>
              </w:rPr>
              <w:t>Total: Debt Securities -United States (62.61%):</w:t>
            </w:r>
          </w:p>
        </w:tc>
        <w:tc>
          <w:tcPr>
            <w:tcW w:w="83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316" w:type="dxa"/>
            <w:tcBorders/>
            <w:shd w:fill="CCEEFF" w:val="clear"/>
            <w:tcMar>
              <w:bottom w:w="0" w:type="dxa"/>
            </w:tcMar>
            <w:vAlign w:val="bottom"/>
          </w:tcPr>
          <w:p>
            <w:pPr>
              <w:pStyle w:val="TableContents"/>
              <w:spacing w:before="0" w:after="283"/>
              <w:jc w:val="left"/>
              <w:rPr/>
            </w:pPr>
            <w:r>
              <w:rPr/>
              <w:t> </w:t>
            </w:r>
          </w:p>
        </w:tc>
        <w:tc>
          <w:tcPr>
            <w:tcW w:w="739"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1205" w:type="dxa"/>
            <w:tcBorders/>
            <w:shd w:fill="CCEEFF" w:val="clear"/>
            <w:tcMar>
              <w:bottom w:w="0" w:type="dxa"/>
            </w:tcMar>
            <w:vAlign w:val="bottom"/>
          </w:tcPr>
          <w:p>
            <w:pPr>
              <w:pStyle w:val="TableContents"/>
              <w:spacing w:before="0" w:after="283"/>
              <w:rPr/>
            </w:pPr>
            <w:r>
              <w:rPr/>
              <w:t> </w:t>
            </w:r>
          </w:p>
        </w:tc>
        <w:tc>
          <w:tcPr>
            <w:tcW w:w="300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shd w:fill="CCEEFF" w:val="clear"/>
            <w:tcMar>
              <w:bottom w:w="0" w:type="dxa"/>
            </w:tcMar>
            <w:vAlign w:val="bottom"/>
          </w:tcPr>
          <w:p>
            <w:pPr>
              <w:pStyle w:val="TableContents"/>
              <w:spacing w:before="0" w:after="283"/>
              <w:jc w:val="left"/>
              <w:rPr/>
            </w:pPr>
            <w:r>
              <w:rPr/>
              <w:t> </w:t>
            </w:r>
          </w:p>
        </w:tc>
        <w:tc>
          <w:tcPr>
            <w:tcW w:w="788"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7" w:type="dxa"/>
            <w:tcBorders>
              <w:bottom w:val="single" w:sz="12" w:space="0" w:color="000000"/>
            </w:tcBorders>
            <w:shd w:fill="CCEEFF" w:val="clear"/>
            <w:vAlign w:val="bottom"/>
          </w:tcPr>
          <w:p>
            <w:pPr>
              <w:pStyle w:val="TableContents"/>
              <w:spacing w:before="0" w:after="283"/>
              <w:jc w:val="left"/>
              <w:rPr/>
            </w:pPr>
            <w:r>
              <w:rPr/>
              <w:t> </w:t>
            </w:r>
          </w:p>
        </w:tc>
        <w:tc>
          <w:tcPr>
            <w:tcW w:w="913" w:type="dxa"/>
            <w:tcBorders>
              <w:bottom w:val="single" w:sz="12" w:space="0" w:color="000000"/>
            </w:tcBorders>
            <w:shd w:fill="CCEEFF" w:val="clear"/>
            <w:vAlign w:val="bottom"/>
          </w:tcPr>
          <w:p>
            <w:pPr>
              <w:pStyle w:val="TableContents"/>
              <w:spacing w:before="0" w:after="0"/>
              <w:jc w:val="right"/>
              <w:rPr>
                <w:b/>
                <w:color w:val="000000"/>
              </w:rPr>
            </w:pPr>
            <w:r>
              <w:rPr>
                <w:b/>
                <w:color w:val="000000"/>
              </w:rPr>
              <w:t>54,910</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40" w:type="dxa"/>
            <w:tcBorders>
              <w:bottom w:val="single" w:sz="12" w:space="0" w:color="000000"/>
            </w:tcBorders>
            <w:shd w:fill="CCEEFF" w:val="clear"/>
            <w:vAlign w:val="bottom"/>
          </w:tcPr>
          <w:p>
            <w:pPr>
              <w:pStyle w:val="TableContents"/>
              <w:spacing w:before="0" w:after="283"/>
              <w:jc w:val="left"/>
              <w:rPr/>
            </w:pPr>
            <w:r>
              <w:rPr/>
              <w:t> </w:t>
            </w:r>
          </w:p>
        </w:tc>
        <w:tc>
          <w:tcPr>
            <w:tcW w:w="680" w:type="dxa"/>
            <w:tcBorders>
              <w:bottom w:val="single" w:sz="12" w:space="0" w:color="000000"/>
            </w:tcBorders>
            <w:shd w:fill="CCEEFF" w:val="clear"/>
            <w:vAlign w:val="bottom"/>
          </w:tcPr>
          <w:p>
            <w:pPr>
              <w:pStyle w:val="TableContents"/>
              <w:spacing w:before="0" w:after="0"/>
              <w:jc w:val="right"/>
              <w:rPr>
                <w:b/>
                <w:color w:val="000000"/>
              </w:rPr>
            </w:pPr>
            <w:r>
              <w:rPr>
                <w:b/>
                <w:color w:val="000000"/>
              </w:rPr>
              <w:t>55,623</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2" w:type="dxa"/>
            <w:tcBorders>
              <w:bottom w:val="single" w:sz="12" w:space="0" w:color="000000"/>
            </w:tcBorders>
            <w:shd w:fill="CCEEFF" w:val="clear"/>
            <w:vAlign w:val="bottom"/>
          </w:tcPr>
          <w:p>
            <w:pPr>
              <w:pStyle w:val="TableContents"/>
              <w:spacing w:before="0" w:after="283"/>
              <w:jc w:val="left"/>
              <w:rPr/>
            </w:pPr>
            <w:r>
              <w:rPr/>
              <w:t> </w:t>
            </w:r>
          </w:p>
        </w:tc>
        <w:tc>
          <w:tcPr>
            <w:tcW w:w="588" w:type="dxa"/>
            <w:tcBorders>
              <w:bottom w:val="single" w:sz="12" w:space="0" w:color="000000"/>
            </w:tcBorders>
            <w:shd w:fill="CCEEFF" w:val="clear"/>
            <w:vAlign w:val="bottom"/>
          </w:tcPr>
          <w:p>
            <w:pPr>
              <w:pStyle w:val="TableContents"/>
              <w:spacing w:before="0" w:after="0"/>
              <w:jc w:val="right"/>
              <w:rPr>
                <w:b/>
                <w:color w:val="000000"/>
              </w:rPr>
            </w:pPr>
            <w:r>
              <w:rPr>
                <w:b/>
                <w:color w:val="000000"/>
              </w:rPr>
              <w:t>62.61</w:t>
            </w:r>
          </w:p>
        </w:tc>
        <w:tc>
          <w:tcPr>
            <w:tcW w:w="260" w:type="dxa"/>
            <w:tcBorders/>
            <w:shd w:fill="CCEEFF" w:val="clear"/>
            <w:tcMar>
              <w:bottom w:w="0" w:type="dxa"/>
            </w:tcMar>
            <w:vAlign w:val="bottom"/>
          </w:tcPr>
          <w:p>
            <w:pPr>
              <w:pStyle w:val="TableContents"/>
              <w:spacing w:before="0" w:after="283"/>
              <w:rPr>
                <w:sz w:val="4"/>
                <w:szCs w:val="4"/>
              </w:rPr>
            </w:pPr>
            <w:r>
              <w:rPr>
                <w:sz w:val="4"/>
                <w:szCs w:val="4"/>
              </w:rPr>
            </w:r>
          </w:p>
        </w:tc>
      </w:tr>
      <w:tr>
        <w:trPr/>
        <w:tc>
          <w:tcPr>
            <w:tcW w:w="1310" w:type="dxa"/>
            <w:tcBorders/>
            <w:shd w:fill="auto" w:val="clear"/>
            <w:tcMar>
              <w:bottom w:w="0" w:type="dxa"/>
            </w:tcMar>
            <w:vAlign w:val="bottom"/>
          </w:tcPr>
          <w:p>
            <w:pPr>
              <w:pStyle w:val="TableContents"/>
              <w:spacing w:before="0" w:after="0"/>
              <w:ind w:left="180" w:right="0" w:hanging="180"/>
              <w:rPr/>
            </w:pPr>
            <w:r>
              <w:rPr/>
              <w:t> </w:t>
            </w:r>
          </w:p>
        </w:tc>
        <w:tc>
          <w:tcPr>
            <w:tcW w:w="1145" w:type="dxa"/>
            <w:tcBorders/>
            <w:shd w:fill="auto" w:val="clear"/>
            <w:tcMar>
              <w:bottom w:w="0" w:type="dxa"/>
            </w:tcMar>
            <w:vAlign w:val="bottom"/>
          </w:tcPr>
          <w:p>
            <w:pPr>
              <w:pStyle w:val="TableContents"/>
              <w:spacing w:before="0" w:after="283"/>
              <w:rPr/>
            </w:pPr>
            <w:r>
              <w:rPr/>
              <w:t> </w:t>
            </w:r>
          </w:p>
        </w:tc>
        <w:tc>
          <w:tcPr>
            <w:tcW w:w="1145" w:type="dxa"/>
            <w:tcBorders/>
            <w:shd w:fill="auto" w:val="clear"/>
            <w:tcMar>
              <w:bottom w:w="0" w:type="dxa"/>
            </w:tcMar>
            <w:vAlign w:val="bottom"/>
          </w:tcPr>
          <w:p>
            <w:pPr>
              <w:pStyle w:val="TableContents"/>
              <w:spacing w:before="0" w:after="283"/>
              <w:rPr/>
            </w:pPr>
            <w:r>
              <w:rPr/>
              <w:t> </w:t>
            </w:r>
          </w:p>
        </w:tc>
        <w:tc>
          <w:tcPr>
            <w:tcW w:w="935" w:type="dxa"/>
            <w:tcBorders/>
            <w:shd w:fill="auto" w:val="clear"/>
            <w:tcMar>
              <w:bottom w:w="0" w:type="dxa"/>
            </w:tcMar>
            <w:vAlign w:val="bottom"/>
          </w:tcPr>
          <w:p>
            <w:pPr>
              <w:pStyle w:val="TableContents"/>
              <w:spacing w:before="0" w:after="283"/>
              <w:rPr/>
            </w:pPr>
            <w:r>
              <w:rPr/>
              <w:t> </w:t>
            </w:r>
          </w:p>
        </w:tc>
        <w:tc>
          <w:tcPr>
            <w:tcW w:w="83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316" w:type="dxa"/>
            <w:tcBorders/>
            <w:shd w:fill="auto" w:val="clear"/>
            <w:tcMar>
              <w:bottom w:w="0" w:type="dxa"/>
            </w:tcMar>
            <w:vAlign w:val="bottom"/>
          </w:tcPr>
          <w:p>
            <w:pPr>
              <w:pStyle w:val="TableContents"/>
              <w:spacing w:before="0" w:after="283"/>
              <w:jc w:val="left"/>
              <w:rPr/>
            </w:pPr>
            <w:r>
              <w:rPr/>
              <w:t> </w:t>
            </w:r>
          </w:p>
        </w:tc>
        <w:tc>
          <w:tcPr>
            <w:tcW w:w="739"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283"/>
              <w:rPr/>
            </w:pPr>
            <w:r>
              <w:rPr/>
              <w:t> </w:t>
            </w:r>
          </w:p>
        </w:tc>
        <w:tc>
          <w:tcPr>
            <w:tcW w:w="300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62" w:type="dxa"/>
            <w:tcBorders/>
            <w:shd w:fill="auto" w:val="clear"/>
            <w:tcMar>
              <w:bottom w:w="0" w:type="dxa"/>
            </w:tcMar>
            <w:vAlign w:val="bottom"/>
          </w:tcPr>
          <w:p>
            <w:pPr>
              <w:pStyle w:val="TableContents"/>
              <w:spacing w:before="0" w:after="283"/>
              <w:jc w:val="left"/>
              <w:rPr/>
            </w:pPr>
            <w:r>
              <w:rPr/>
              <w:t> </w:t>
            </w:r>
          </w:p>
        </w:tc>
        <w:tc>
          <w:tcPr>
            <w:tcW w:w="788"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87" w:type="dxa"/>
            <w:tcBorders>
              <w:bottom w:val="single" w:sz="12" w:space="0" w:color="000000"/>
            </w:tcBorders>
            <w:shd w:fill="auto" w:val="clear"/>
            <w:vAlign w:val="bottom"/>
          </w:tcPr>
          <w:p>
            <w:pPr>
              <w:pStyle w:val="TableContents"/>
              <w:spacing w:before="0" w:after="283"/>
              <w:jc w:val="left"/>
              <w:rPr/>
            </w:pPr>
            <w:r>
              <w:rPr/>
              <w:t> </w:t>
            </w:r>
          </w:p>
        </w:tc>
        <w:tc>
          <w:tcPr>
            <w:tcW w:w="913" w:type="dxa"/>
            <w:tcBorders>
              <w:bottom w:val="single" w:sz="12" w:space="0" w:color="000000"/>
            </w:tcBorders>
            <w:shd w:fill="auto" w:val="cle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40" w:type="dxa"/>
            <w:tcBorders>
              <w:bottom w:val="single" w:sz="12" w:space="0" w:color="000000"/>
            </w:tcBorders>
            <w:shd w:fill="auto" w:val="clear"/>
            <w:vAlign w:val="bottom"/>
          </w:tcPr>
          <w:p>
            <w:pPr>
              <w:pStyle w:val="TableContents"/>
              <w:spacing w:before="0" w:after="283"/>
              <w:jc w:val="left"/>
              <w:rPr/>
            </w:pPr>
            <w:r>
              <w:rPr/>
              <w:t> </w:t>
            </w:r>
          </w:p>
        </w:tc>
        <w:tc>
          <w:tcPr>
            <w:tcW w:w="680" w:type="dxa"/>
            <w:tcBorders>
              <w:bottom w:val="single" w:sz="12" w:space="0" w:color="000000"/>
            </w:tcBorders>
            <w:shd w:fill="auto" w:val="cle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62" w:type="dxa"/>
            <w:tcBorders>
              <w:bottom w:val="single" w:sz="12" w:space="0" w:color="000000"/>
            </w:tcBorders>
            <w:shd w:fill="auto" w:val="clear"/>
            <w:vAlign w:val="bottom"/>
          </w:tcPr>
          <w:p>
            <w:pPr>
              <w:pStyle w:val="TableContents"/>
              <w:spacing w:before="0" w:after="283"/>
              <w:jc w:val="left"/>
              <w:rPr/>
            </w:pPr>
            <w:r>
              <w:rPr/>
              <w:t> </w:t>
            </w:r>
          </w:p>
        </w:tc>
        <w:tc>
          <w:tcPr>
            <w:tcW w:w="588" w:type="dxa"/>
            <w:tcBorders>
              <w:bottom w:val="single" w:sz="12" w:space="0" w:color="000000"/>
            </w:tcBorders>
            <w:shd w:fill="auto" w:val="clear"/>
            <w:vAlign w:val="bottom"/>
          </w:tcPr>
          <w:p>
            <w:pPr>
              <w:pStyle w:val="TableContents"/>
              <w:spacing w:before="0" w:after="283"/>
              <w:jc w:val="right"/>
              <w:rPr/>
            </w:pPr>
            <w:r>
              <w:rPr/>
              <w:t> </w:t>
            </w:r>
          </w:p>
        </w:tc>
        <w:tc>
          <w:tcPr>
            <w:tcW w:w="260" w:type="dxa"/>
            <w:tcBorders/>
            <w:shd w:fill="auto" w:val="clear"/>
            <w:tcMar>
              <w:bottom w:w="0" w:type="dxa"/>
            </w:tcMar>
            <w:vAlign w:val="bottom"/>
          </w:tcPr>
          <w:p>
            <w:pPr>
              <w:pStyle w:val="TableContents"/>
              <w:spacing w:before="0" w:after="283"/>
              <w:jc w:val="left"/>
              <w:rPr/>
            </w:pPr>
            <w:r>
              <w:rPr/>
              <w:t> </w:t>
            </w:r>
          </w:p>
        </w:tc>
      </w:tr>
      <w:tr>
        <w:trPr/>
        <w:tc>
          <w:tcPr>
            <w:tcW w:w="4535" w:type="dxa"/>
            <w:gridSpan w:val="4"/>
            <w:tcBorders/>
            <w:shd w:fill="CCEEFF" w:val="clear"/>
            <w:tcMar>
              <w:bottom w:w="0" w:type="dxa"/>
            </w:tcMar>
            <w:vAlign w:val="bottom"/>
          </w:tcPr>
          <w:p>
            <w:pPr>
              <w:pStyle w:val="TableContents"/>
              <w:spacing w:before="0" w:after="0"/>
              <w:ind w:left="180" w:right="0" w:hanging="0"/>
              <w:rPr>
                <w:b/>
                <w:color w:val="000000"/>
              </w:rPr>
            </w:pPr>
            <w:r>
              <w:rPr>
                <w:b/>
                <w:color w:val="000000"/>
              </w:rPr>
              <w:t>Total: Debt Securities (62.61%):</w:t>
            </w:r>
          </w:p>
        </w:tc>
        <w:tc>
          <w:tcPr>
            <w:tcW w:w="83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316" w:type="dxa"/>
            <w:tcBorders/>
            <w:shd w:fill="CCEEFF" w:val="clear"/>
            <w:tcMar>
              <w:bottom w:w="0" w:type="dxa"/>
            </w:tcMar>
            <w:vAlign w:val="bottom"/>
          </w:tcPr>
          <w:p>
            <w:pPr>
              <w:pStyle w:val="TableContents"/>
              <w:spacing w:before="0" w:after="283"/>
              <w:jc w:val="left"/>
              <w:rPr/>
            </w:pPr>
            <w:r>
              <w:rPr/>
              <w:t> </w:t>
            </w:r>
          </w:p>
        </w:tc>
        <w:tc>
          <w:tcPr>
            <w:tcW w:w="739"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1205" w:type="dxa"/>
            <w:tcBorders/>
            <w:shd w:fill="CCEEFF" w:val="clear"/>
            <w:tcMar>
              <w:bottom w:w="0" w:type="dxa"/>
            </w:tcMar>
            <w:vAlign w:val="bottom"/>
          </w:tcPr>
          <w:p>
            <w:pPr>
              <w:pStyle w:val="TableContents"/>
              <w:spacing w:before="0" w:after="283"/>
              <w:rPr/>
            </w:pPr>
            <w:r>
              <w:rPr/>
              <w:t> </w:t>
            </w:r>
          </w:p>
        </w:tc>
        <w:tc>
          <w:tcPr>
            <w:tcW w:w="300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shd w:fill="CCEEFF" w:val="clear"/>
            <w:tcMar>
              <w:bottom w:w="0" w:type="dxa"/>
            </w:tcMar>
            <w:vAlign w:val="bottom"/>
          </w:tcPr>
          <w:p>
            <w:pPr>
              <w:pStyle w:val="TableContents"/>
              <w:spacing w:before="0" w:after="283"/>
              <w:jc w:val="left"/>
              <w:rPr/>
            </w:pPr>
            <w:r>
              <w:rPr/>
              <w:t> </w:t>
            </w:r>
          </w:p>
        </w:tc>
        <w:tc>
          <w:tcPr>
            <w:tcW w:w="788"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7" w:type="dxa"/>
            <w:tcBorders>
              <w:bottom w:val="single" w:sz="12" w:space="0" w:color="000000"/>
            </w:tcBorders>
            <w:shd w:fill="CCEEFF" w:val="clear"/>
            <w:vAlign w:val="bottom"/>
          </w:tcPr>
          <w:p>
            <w:pPr>
              <w:pStyle w:val="TableContents"/>
              <w:spacing w:before="0" w:after="283"/>
              <w:jc w:val="left"/>
              <w:rPr/>
            </w:pPr>
            <w:r>
              <w:rPr/>
              <w:t> </w:t>
            </w:r>
          </w:p>
        </w:tc>
        <w:tc>
          <w:tcPr>
            <w:tcW w:w="913" w:type="dxa"/>
            <w:tcBorders>
              <w:bottom w:val="single" w:sz="12" w:space="0" w:color="000000"/>
            </w:tcBorders>
            <w:shd w:fill="CCEEFF" w:val="clear"/>
            <w:vAlign w:val="bottom"/>
          </w:tcPr>
          <w:p>
            <w:pPr>
              <w:pStyle w:val="TableContents"/>
              <w:spacing w:before="0" w:after="0"/>
              <w:jc w:val="right"/>
              <w:rPr>
                <w:b/>
                <w:color w:val="000000"/>
              </w:rPr>
            </w:pPr>
            <w:r>
              <w:rPr>
                <w:b/>
                <w:color w:val="000000"/>
              </w:rPr>
              <w:t>54,910</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40" w:type="dxa"/>
            <w:tcBorders>
              <w:bottom w:val="single" w:sz="12" w:space="0" w:color="000000"/>
            </w:tcBorders>
            <w:shd w:fill="CCEEFF" w:val="clear"/>
            <w:vAlign w:val="bottom"/>
          </w:tcPr>
          <w:p>
            <w:pPr>
              <w:pStyle w:val="TableContents"/>
              <w:spacing w:before="0" w:after="283"/>
              <w:jc w:val="left"/>
              <w:rPr/>
            </w:pPr>
            <w:r>
              <w:rPr/>
              <w:t> </w:t>
            </w:r>
          </w:p>
        </w:tc>
        <w:tc>
          <w:tcPr>
            <w:tcW w:w="680" w:type="dxa"/>
            <w:tcBorders>
              <w:bottom w:val="single" w:sz="12" w:space="0" w:color="000000"/>
            </w:tcBorders>
            <w:shd w:fill="CCEEFF" w:val="clear"/>
            <w:vAlign w:val="bottom"/>
          </w:tcPr>
          <w:p>
            <w:pPr>
              <w:pStyle w:val="TableContents"/>
              <w:spacing w:before="0" w:after="0"/>
              <w:jc w:val="right"/>
              <w:rPr>
                <w:b/>
                <w:color w:val="000000"/>
              </w:rPr>
            </w:pPr>
            <w:r>
              <w:rPr>
                <w:b/>
                <w:color w:val="000000"/>
              </w:rPr>
              <w:t>55,623</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2" w:type="dxa"/>
            <w:tcBorders>
              <w:bottom w:val="single" w:sz="12" w:space="0" w:color="000000"/>
            </w:tcBorders>
            <w:shd w:fill="CCEEFF" w:val="clear"/>
            <w:vAlign w:val="bottom"/>
          </w:tcPr>
          <w:p>
            <w:pPr>
              <w:pStyle w:val="TableContents"/>
              <w:spacing w:before="0" w:after="283"/>
              <w:jc w:val="left"/>
              <w:rPr/>
            </w:pPr>
            <w:r>
              <w:rPr/>
              <w:t> </w:t>
            </w:r>
          </w:p>
        </w:tc>
        <w:tc>
          <w:tcPr>
            <w:tcW w:w="588" w:type="dxa"/>
            <w:tcBorders>
              <w:bottom w:val="single" w:sz="12" w:space="0" w:color="000000"/>
            </w:tcBorders>
            <w:shd w:fill="CCEEFF" w:val="clear"/>
            <w:vAlign w:val="bottom"/>
          </w:tcPr>
          <w:p>
            <w:pPr>
              <w:pStyle w:val="TableContents"/>
              <w:spacing w:before="0" w:after="0"/>
              <w:jc w:val="right"/>
              <w:rPr>
                <w:b/>
                <w:color w:val="000000"/>
              </w:rPr>
            </w:pPr>
            <w:r>
              <w:rPr>
                <w:b/>
                <w:color w:val="000000"/>
              </w:rPr>
              <w:t>62.61</w:t>
            </w:r>
          </w:p>
        </w:tc>
        <w:tc>
          <w:tcPr>
            <w:tcW w:w="260" w:type="dxa"/>
            <w:tcBorders/>
            <w:shd w:fill="CCEEFF" w:val="clear"/>
            <w:tcMar>
              <w:bottom w:w="0" w:type="dxa"/>
            </w:tcMar>
            <w:vAlign w:val="bottom"/>
          </w:tcPr>
          <w:p>
            <w:pPr>
              <w:pStyle w:val="TableContents"/>
              <w:spacing w:before="0" w:after="283"/>
              <w:rPr>
                <w:sz w:val="4"/>
                <w:szCs w:val="4"/>
              </w:rPr>
            </w:pPr>
            <w:r>
              <w:rPr>
                <w:sz w:val="4"/>
                <w:szCs w:val="4"/>
              </w:rPr>
            </w:r>
          </w:p>
        </w:tc>
      </w:tr>
      <w:tr>
        <w:trPr/>
        <w:tc>
          <w:tcPr>
            <w:tcW w:w="1310" w:type="dxa"/>
            <w:tcBorders/>
            <w:shd w:fill="auto" w:val="clear"/>
            <w:tcMar>
              <w:bottom w:w="0" w:type="dxa"/>
            </w:tcMar>
            <w:vAlign w:val="bottom"/>
          </w:tcPr>
          <w:p>
            <w:pPr>
              <w:pStyle w:val="TableContents"/>
              <w:spacing w:before="0" w:after="0"/>
              <w:ind w:left="180" w:right="0" w:hanging="180"/>
              <w:rPr/>
            </w:pPr>
            <w:r>
              <w:rPr/>
              <w:t> </w:t>
            </w:r>
          </w:p>
        </w:tc>
        <w:tc>
          <w:tcPr>
            <w:tcW w:w="1145" w:type="dxa"/>
            <w:tcBorders/>
            <w:shd w:fill="auto" w:val="clear"/>
            <w:tcMar>
              <w:bottom w:w="0" w:type="dxa"/>
            </w:tcMar>
            <w:vAlign w:val="bottom"/>
          </w:tcPr>
          <w:p>
            <w:pPr>
              <w:pStyle w:val="TableContents"/>
              <w:spacing w:before="0" w:after="283"/>
              <w:rPr/>
            </w:pPr>
            <w:r>
              <w:rPr/>
              <w:t> </w:t>
            </w:r>
          </w:p>
        </w:tc>
        <w:tc>
          <w:tcPr>
            <w:tcW w:w="1145" w:type="dxa"/>
            <w:tcBorders/>
            <w:shd w:fill="auto" w:val="clear"/>
            <w:tcMar>
              <w:bottom w:w="0" w:type="dxa"/>
            </w:tcMar>
            <w:vAlign w:val="bottom"/>
          </w:tcPr>
          <w:p>
            <w:pPr>
              <w:pStyle w:val="TableContents"/>
              <w:spacing w:before="0" w:after="283"/>
              <w:rPr/>
            </w:pPr>
            <w:r>
              <w:rPr/>
              <w:t> </w:t>
            </w:r>
          </w:p>
        </w:tc>
        <w:tc>
          <w:tcPr>
            <w:tcW w:w="935" w:type="dxa"/>
            <w:tcBorders/>
            <w:shd w:fill="auto" w:val="clear"/>
            <w:tcMar>
              <w:bottom w:w="0" w:type="dxa"/>
            </w:tcMar>
            <w:vAlign w:val="bottom"/>
          </w:tcPr>
          <w:p>
            <w:pPr>
              <w:pStyle w:val="TableContents"/>
              <w:spacing w:before="0" w:after="283"/>
              <w:rPr/>
            </w:pPr>
            <w:r>
              <w:rPr/>
              <w:t> </w:t>
            </w:r>
          </w:p>
        </w:tc>
        <w:tc>
          <w:tcPr>
            <w:tcW w:w="83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316" w:type="dxa"/>
            <w:tcBorders/>
            <w:shd w:fill="auto" w:val="clear"/>
            <w:tcMar>
              <w:bottom w:w="0" w:type="dxa"/>
            </w:tcMar>
            <w:vAlign w:val="bottom"/>
          </w:tcPr>
          <w:p>
            <w:pPr>
              <w:pStyle w:val="TableContents"/>
              <w:spacing w:before="0" w:after="283"/>
              <w:jc w:val="left"/>
              <w:rPr/>
            </w:pPr>
            <w:r>
              <w:rPr/>
              <w:t> </w:t>
            </w:r>
          </w:p>
        </w:tc>
        <w:tc>
          <w:tcPr>
            <w:tcW w:w="739"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283"/>
              <w:rPr/>
            </w:pPr>
            <w:r>
              <w:rPr/>
              <w:t> </w:t>
            </w:r>
          </w:p>
        </w:tc>
        <w:tc>
          <w:tcPr>
            <w:tcW w:w="300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62" w:type="dxa"/>
            <w:tcBorders/>
            <w:shd w:fill="auto" w:val="clear"/>
            <w:tcMar>
              <w:bottom w:w="0" w:type="dxa"/>
            </w:tcMar>
            <w:vAlign w:val="bottom"/>
          </w:tcPr>
          <w:p>
            <w:pPr>
              <w:pStyle w:val="TableContents"/>
              <w:spacing w:before="0" w:after="283"/>
              <w:jc w:val="left"/>
              <w:rPr/>
            </w:pPr>
            <w:r>
              <w:rPr/>
              <w:t> </w:t>
            </w:r>
          </w:p>
        </w:tc>
        <w:tc>
          <w:tcPr>
            <w:tcW w:w="788"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87" w:type="dxa"/>
            <w:tcBorders>
              <w:bottom w:val="single" w:sz="12" w:space="0" w:color="000000"/>
            </w:tcBorders>
            <w:shd w:fill="auto" w:val="clear"/>
            <w:vAlign w:val="bottom"/>
          </w:tcPr>
          <w:p>
            <w:pPr>
              <w:pStyle w:val="TableContents"/>
              <w:spacing w:before="0" w:after="283"/>
              <w:jc w:val="left"/>
              <w:rPr/>
            </w:pPr>
            <w:r>
              <w:rPr/>
              <w:t> </w:t>
            </w:r>
          </w:p>
        </w:tc>
        <w:tc>
          <w:tcPr>
            <w:tcW w:w="913" w:type="dxa"/>
            <w:tcBorders>
              <w:bottom w:val="single" w:sz="12" w:space="0" w:color="000000"/>
            </w:tcBorders>
            <w:shd w:fill="auto" w:val="cle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40" w:type="dxa"/>
            <w:tcBorders>
              <w:bottom w:val="single" w:sz="12" w:space="0" w:color="000000"/>
            </w:tcBorders>
            <w:shd w:fill="auto" w:val="clear"/>
            <w:vAlign w:val="bottom"/>
          </w:tcPr>
          <w:p>
            <w:pPr>
              <w:pStyle w:val="TableContents"/>
              <w:spacing w:before="0" w:after="283"/>
              <w:jc w:val="left"/>
              <w:rPr/>
            </w:pPr>
            <w:r>
              <w:rPr/>
              <w:t> </w:t>
            </w:r>
          </w:p>
        </w:tc>
        <w:tc>
          <w:tcPr>
            <w:tcW w:w="680" w:type="dxa"/>
            <w:tcBorders>
              <w:bottom w:val="single" w:sz="12" w:space="0" w:color="000000"/>
            </w:tcBorders>
            <w:shd w:fill="auto" w:val="cle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62" w:type="dxa"/>
            <w:tcBorders>
              <w:bottom w:val="single" w:sz="12" w:space="0" w:color="000000"/>
            </w:tcBorders>
            <w:shd w:fill="auto" w:val="clear"/>
            <w:vAlign w:val="bottom"/>
          </w:tcPr>
          <w:p>
            <w:pPr>
              <w:pStyle w:val="TableContents"/>
              <w:spacing w:before="0" w:after="283"/>
              <w:jc w:val="left"/>
              <w:rPr/>
            </w:pPr>
            <w:r>
              <w:rPr/>
              <w:t> </w:t>
            </w:r>
          </w:p>
        </w:tc>
        <w:tc>
          <w:tcPr>
            <w:tcW w:w="588" w:type="dxa"/>
            <w:tcBorders>
              <w:bottom w:val="single" w:sz="12" w:space="0" w:color="000000"/>
            </w:tcBorders>
            <w:shd w:fill="auto" w:val="clear"/>
            <w:vAlign w:val="bottom"/>
          </w:tcPr>
          <w:p>
            <w:pPr>
              <w:pStyle w:val="TableContents"/>
              <w:spacing w:before="0" w:after="283"/>
              <w:jc w:val="right"/>
              <w:rPr/>
            </w:pPr>
            <w:r>
              <w:rPr/>
              <w:t> </w:t>
            </w:r>
          </w:p>
        </w:tc>
        <w:tc>
          <w:tcPr>
            <w:tcW w:w="260" w:type="dxa"/>
            <w:tcBorders/>
            <w:shd w:fill="auto" w:val="clear"/>
            <w:tcMar>
              <w:bottom w:w="0" w:type="dxa"/>
            </w:tcMar>
            <w:vAlign w:val="bottom"/>
          </w:tcPr>
          <w:p>
            <w:pPr>
              <w:pStyle w:val="TableContents"/>
              <w:spacing w:before="0" w:after="283"/>
              <w:jc w:val="left"/>
              <w:rPr/>
            </w:pPr>
            <w:r>
              <w:rPr/>
              <w:t> </w:t>
            </w:r>
          </w:p>
        </w:tc>
      </w:tr>
      <w:tr>
        <w:trPr/>
        <w:tc>
          <w:tcPr>
            <w:tcW w:w="4535" w:type="dxa"/>
            <w:gridSpan w:val="4"/>
            <w:tcBorders/>
            <w:shd w:fill="CCEEFF" w:val="clear"/>
            <w:tcMar>
              <w:bottom w:w="0" w:type="dxa"/>
            </w:tcMar>
            <w:vAlign w:val="bottom"/>
          </w:tcPr>
          <w:p>
            <w:pPr>
              <w:pStyle w:val="TableContents"/>
              <w:spacing w:before="0" w:after="0"/>
              <w:ind w:left="180" w:right="0" w:hanging="0"/>
              <w:rPr>
                <w:b/>
              </w:rPr>
            </w:pPr>
            <w:r>
              <w:rPr>
                <w:b/>
              </w:rPr>
              <w:t>Total Investment in Securities (62.61%):</w:t>
            </w:r>
          </w:p>
        </w:tc>
        <w:tc>
          <w:tcPr>
            <w:tcW w:w="83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316" w:type="dxa"/>
            <w:tcBorders/>
            <w:shd w:fill="CCEEFF" w:val="clear"/>
            <w:tcMar>
              <w:bottom w:w="0" w:type="dxa"/>
            </w:tcMar>
            <w:vAlign w:val="bottom"/>
          </w:tcPr>
          <w:p>
            <w:pPr>
              <w:pStyle w:val="TableContents"/>
              <w:spacing w:before="0" w:after="283"/>
              <w:jc w:val="left"/>
              <w:rPr/>
            </w:pPr>
            <w:r>
              <w:rPr/>
              <w:t> </w:t>
            </w:r>
          </w:p>
        </w:tc>
        <w:tc>
          <w:tcPr>
            <w:tcW w:w="739"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1205" w:type="dxa"/>
            <w:tcBorders/>
            <w:shd w:fill="CCEEFF" w:val="clear"/>
            <w:tcMar>
              <w:bottom w:w="0" w:type="dxa"/>
            </w:tcMar>
            <w:vAlign w:val="bottom"/>
          </w:tcPr>
          <w:p>
            <w:pPr>
              <w:pStyle w:val="TableContents"/>
              <w:spacing w:before="0" w:after="283"/>
              <w:rPr/>
            </w:pPr>
            <w:r>
              <w:rPr/>
              <w:t> </w:t>
            </w:r>
          </w:p>
        </w:tc>
        <w:tc>
          <w:tcPr>
            <w:tcW w:w="300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shd w:fill="CCEEFF" w:val="clear"/>
            <w:tcMar>
              <w:bottom w:w="0" w:type="dxa"/>
            </w:tcMar>
            <w:vAlign w:val="bottom"/>
          </w:tcPr>
          <w:p>
            <w:pPr>
              <w:pStyle w:val="TableContents"/>
              <w:spacing w:before="0" w:after="283"/>
              <w:jc w:val="left"/>
              <w:rPr/>
            </w:pPr>
            <w:r>
              <w:rPr/>
              <w:t> </w:t>
            </w:r>
          </w:p>
        </w:tc>
        <w:tc>
          <w:tcPr>
            <w:tcW w:w="788"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7" w:type="dxa"/>
            <w:tcBorders>
              <w:bottom w:val="double" w:sz="8" w:space="0" w:color="000000"/>
            </w:tcBorders>
            <w:shd w:fill="CCEEFF" w:val="clear"/>
            <w:vAlign w:val="bottom"/>
          </w:tcPr>
          <w:p>
            <w:pPr>
              <w:pStyle w:val="TableContents"/>
              <w:spacing w:before="0" w:after="0"/>
              <w:jc w:val="left"/>
              <w:rPr>
                <w:b/>
              </w:rPr>
            </w:pPr>
            <w:r>
              <w:rPr>
                <w:b/>
              </w:rPr>
              <w:t>$</w:t>
            </w:r>
          </w:p>
        </w:tc>
        <w:tc>
          <w:tcPr>
            <w:tcW w:w="913" w:type="dxa"/>
            <w:tcBorders>
              <w:bottom w:val="double" w:sz="8" w:space="0" w:color="000000"/>
            </w:tcBorders>
            <w:shd w:fill="CCEEFF" w:val="clear"/>
            <w:vAlign w:val="bottom"/>
          </w:tcPr>
          <w:p>
            <w:pPr>
              <w:pStyle w:val="TableContents"/>
              <w:spacing w:before="0" w:after="0"/>
              <w:jc w:val="right"/>
              <w:rPr>
                <w:b/>
              </w:rPr>
            </w:pPr>
            <w:r>
              <w:rPr>
                <w:b/>
              </w:rPr>
              <w:t>54,910</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40" w:type="dxa"/>
            <w:tcBorders>
              <w:bottom w:val="double" w:sz="8" w:space="0" w:color="000000"/>
            </w:tcBorders>
            <w:shd w:fill="CCEEFF" w:val="clear"/>
            <w:vAlign w:val="bottom"/>
          </w:tcPr>
          <w:p>
            <w:pPr>
              <w:pStyle w:val="TableContents"/>
              <w:spacing w:before="0" w:after="0"/>
              <w:jc w:val="left"/>
              <w:rPr>
                <w:b/>
              </w:rPr>
            </w:pPr>
            <w:r>
              <w:rPr>
                <w:b/>
              </w:rPr>
              <w:t>$</w:t>
            </w:r>
          </w:p>
        </w:tc>
        <w:tc>
          <w:tcPr>
            <w:tcW w:w="680" w:type="dxa"/>
            <w:tcBorders>
              <w:bottom w:val="double" w:sz="8" w:space="0" w:color="000000"/>
            </w:tcBorders>
            <w:shd w:fill="CCEEFF" w:val="clear"/>
            <w:vAlign w:val="bottom"/>
          </w:tcPr>
          <w:p>
            <w:pPr>
              <w:pStyle w:val="TableContents"/>
              <w:spacing w:before="0" w:after="0"/>
              <w:jc w:val="right"/>
              <w:rPr>
                <w:b/>
              </w:rPr>
            </w:pPr>
            <w:r>
              <w:rPr>
                <w:b/>
              </w:rPr>
              <w:t>55,623</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2" w:type="dxa"/>
            <w:tcBorders>
              <w:bottom w:val="double" w:sz="8" w:space="0" w:color="000000"/>
            </w:tcBorders>
            <w:shd w:fill="CCEEFF" w:val="clear"/>
            <w:vAlign w:val="bottom"/>
          </w:tcPr>
          <w:p>
            <w:pPr>
              <w:pStyle w:val="TableContents"/>
              <w:spacing w:before="0" w:after="283"/>
              <w:jc w:val="left"/>
              <w:rPr/>
            </w:pPr>
            <w:r>
              <w:rPr/>
              <w:t> </w:t>
            </w:r>
          </w:p>
        </w:tc>
        <w:tc>
          <w:tcPr>
            <w:tcW w:w="588" w:type="dxa"/>
            <w:tcBorders>
              <w:bottom w:val="double" w:sz="8" w:space="0" w:color="000000"/>
            </w:tcBorders>
            <w:shd w:fill="CCEEFF" w:val="clear"/>
            <w:vAlign w:val="bottom"/>
          </w:tcPr>
          <w:p>
            <w:pPr>
              <w:pStyle w:val="TableContents"/>
              <w:spacing w:before="0" w:after="0"/>
              <w:jc w:val="right"/>
              <w:rPr>
                <w:b/>
              </w:rPr>
            </w:pPr>
            <w:r>
              <w:rPr>
                <w:b/>
              </w:rPr>
              <w:t>62.61</w:t>
            </w:r>
          </w:p>
        </w:tc>
        <w:tc>
          <w:tcPr>
            <w:tcW w:w="260" w:type="dxa"/>
            <w:tcBorders/>
            <w:shd w:fill="CCEEFF" w:val="clear"/>
            <w:tcMar>
              <w:bottom w:w="0" w:type="dxa"/>
            </w:tcMar>
            <w:vAlign w:val="bottom"/>
          </w:tcPr>
          <w:p>
            <w:pPr>
              <w:pStyle w:val="TableContents"/>
              <w:spacing w:before="0" w:after="0"/>
              <w:jc w:val="left"/>
              <w:rPr>
                <w:b/>
              </w:rPr>
            </w:pPr>
            <w:r>
              <w:rPr>
                <w:b/>
              </w:rPr>
              <w:t>%</w:t>
            </w:r>
          </w:p>
        </w:tc>
      </w:tr>
      <w:tr>
        <w:trPr/>
        <w:tc>
          <w:tcPr>
            <w:tcW w:w="1310" w:type="dxa"/>
            <w:tcBorders/>
            <w:shd w:fill="auto" w:val="clear"/>
            <w:tcMar>
              <w:bottom w:w="0" w:type="dxa"/>
            </w:tcMar>
            <w:vAlign w:val="bottom"/>
          </w:tcPr>
          <w:p>
            <w:pPr>
              <w:pStyle w:val="TableContents"/>
              <w:spacing w:before="0" w:after="0"/>
              <w:ind w:left="180" w:right="0" w:hanging="180"/>
              <w:rPr/>
            </w:pPr>
            <w:r>
              <w:rPr/>
              <w:t> </w:t>
            </w:r>
          </w:p>
        </w:tc>
        <w:tc>
          <w:tcPr>
            <w:tcW w:w="1145" w:type="dxa"/>
            <w:tcBorders/>
            <w:shd w:fill="auto" w:val="clear"/>
            <w:tcMar>
              <w:bottom w:w="0" w:type="dxa"/>
            </w:tcMar>
            <w:vAlign w:val="bottom"/>
          </w:tcPr>
          <w:p>
            <w:pPr>
              <w:pStyle w:val="TableContents"/>
              <w:spacing w:before="0" w:after="283"/>
              <w:rPr/>
            </w:pPr>
            <w:r>
              <w:rPr/>
              <w:t> </w:t>
            </w:r>
          </w:p>
        </w:tc>
        <w:tc>
          <w:tcPr>
            <w:tcW w:w="1145" w:type="dxa"/>
            <w:tcBorders/>
            <w:shd w:fill="auto" w:val="clear"/>
            <w:tcMar>
              <w:bottom w:w="0" w:type="dxa"/>
            </w:tcMar>
            <w:vAlign w:val="bottom"/>
          </w:tcPr>
          <w:p>
            <w:pPr>
              <w:pStyle w:val="TableContents"/>
              <w:spacing w:before="0" w:after="283"/>
              <w:rPr/>
            </w:pPr>
            <w:r>
              <w:rPr/>
              <w:t> </w:t>
            </w:r>
          </w:p>
        </w:tc>
        <w:tc>
          <w:tcPr>
            <w:tcW w:w="935" w:type="dxa"/>
            <w:tcBorders/>
            <w:shd w:fill="auto" w:val="clear"/>
            <w:tcMar>
              <w:bottom w:w="0" w:type="dxa"/>
            </w:tcMar>
            <w:vAlign w:val="bottom"/>
          </w:tcPr>
          <w:p>
            <w:pPr>
              <w:pStyle w:val="TableContents"/>
              <w:spacing w:before="0" w:after="283"/>
              <w:rPr/>
            </w:pPr>
            <w:r>
              <w:rPr/>
              <w:t> </w:t>
            </w:r>
          </w:p>
        </w:tc>
        <w:tc>
          <w:tcPr>
            <w:tcW w:w="83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316" w:type="dxa"/>
            <w:tcBorders/>
            <w:shd w:fill="auto" w:val="clear"/>
            <w:tcMar>
              <w:bottom w:w="0" w:type="dxa"/>
            </w:tcMar>
            <w:vAlign w:val="bottom"/>
          </w:tcPr>
          <w:p>
            <w:pPr>
              <w:pStyle w:val="TableContents"/>
              <w:spacing w:before="0" w:after="283"/>
              <w:jc w:val="left"/>
              <w:rPr/>
            </w:pPr>
            <w:r>
              <w:rPr/>
              <w:t> </w:t>
            </w:r>
          </w:p>
        </w:tc>
        <w:tc>
          <w:tcPr>
            <w:tcW w:w="739"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283"/>
              <w:rPr/>
            </w:pPr>
            <w:r>
              <w:rPr/>
              <w:t> </w:t>
            </w:r>
          </w:p>
        </w:tc>
        <w:tc>
          <w:tcPr>
            <w:tcW w:w="300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62" w:type="dxa"/>
            <w:tcBorders/>
            <w:shd w:fill="auto" w:val="clear"/>
            <w:tcMar>
              <w:bottom w:w="0" w:type="dxa"/>
            </w:tcMar>
            <w:vAlign w:val="bottom"/>
          </w:tcPr>
          <w:p>
            <w:pPr>
              <w:pStyle w:val="TableContents"/>
              <w:spacing w:before="0" w:after="283"/>
              <w:jc w:val="left"/>
              <w:rPr/>
            </w:pPr>
            <w:r>
              <w:rPr/>
              <w:t> </w:t>
            </w:r>
          </w:p>
        </w:tc>
        <w:tc>
          <w:tcPr>
            <w:tcW w:w="788"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87" w:type="dxa"/>
            <w:tcBorders/>
            <w:shd w:fill="auto" w:val="clear"/>
            <w:tcMar>
              <w:bottom w:w="0" w:type="dxa"/>
            </w:tcMar>
            <w:vAlign w:val="bottom"/>
          </w:tcPr>
          <w:p>
            <w:pPr>
              <w:pStyle w:val="TableContents"/>
              <w:spacing w:before="0" w:after="283"/>
              <w:jc w:val="left"/>
              <w:rPr/>
            </w:pPr>
            <w:r>
              <w:rPr/>
              <w:t> </w:t>
            </w:r>
          </w:p>
        </w:tc>
        <w:tc>
          <w:tcPr>
            <w:tcW w:w="913"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40" w:type="dxa"/>
            <w:tcBorders/>
            <w:shd w:fill="auto" w:val="clear"/>
            <w:tcMar>
              <w:bottom w:w="0" w:type="dxa"/>
            </w:tcMar>
            <w:vAlign w:val="bottom"/>
          </w:tcPr>
          <w:p>
            <w:pPr>
              <w:pStyle w:val="TableContents"/>
              <w:spacing w:before="0" w:after="283"/>
              <w:jc w:val="left"/>
              <w:rPr/>
            </w:pPr>
            <w:r>
              <w:rPr/>
              <w:t> </w:t>
            </w:r>
          </w:p>
        </w:tc>
        <w:tc>
          <w:tcPr>
            <w:tcW w:w="680"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62" w:type="dxa"/>
            <w:tcBorders/>
            <w:shd w:fill="auto" w:val="clear"/>
            <w:tcMar>
              <w:bottom w:w="0" w:type="dxa"/>
            </w:tcMar>
            <w:vAlign w:val="bottom"/>
          </w:tcPr>
          <w:p>
            <w:pPr>
              <w:pStyle w:val="TableContents"/>
              <w:spacing w:before="0" w:after="283"/>
              <w:jc w:val="left"/>
              <w:rPr/>
            </w:pPr>
            <w:r>
              <w:rPr/>
              <w:t> </w:t>
            </w:r>
          </w:p>
        </w:tc>
        <w:tc>
          <w:tcPr>
            <w:tcW w:w="588" w:type="dxa"/>
            <w:tcBorders/>
            <w:shd w:fill="auto" w:val="clear"/>
            <w:tcMar>
              <w:bottom w:w="0" w:type="dxa"/>
            </w:tcMar>
            <w:vAlign w:val="bottom"/>
          </w:tcPr>
          <w:p>
            <w:pPr>
              <w:pStyle w:val="TableContents"/>
              <w:spacing w:before="0" w:after="283"/>
              <w:jc w:val="right"/>
              <w:rPr/>
            </w:pPr>
            <w:r>
              <w:rPr/>
              <w:t> </w:t>
            </w:r>
          </w:p>
        </w:tc>
        <w:tc>
          <w:tcPr>
            <w:tcW w:w="260" w:type="dxa"/>
            <w:tcBorders/>
            <w:shd w:fill="auto" w:val="clear"/>
            <w:tcMar>
              <w:bottom w:w="0" w:type="dxa"/>
            </w:tcMar>
            <w:vAlign w:val="bottom"/>
          </w:tcPr>
          <w:p>
            <w:pPr>
              <w:pStyle w:val="TableContents"/>
              <w:spacing w:before="0" w:after="283"/>
              <w:jc w:val="left"/>
              <w:rPr/>
            </w:pPr>
            <w:r>
              <w:rPr/>
              <w:t> </w:t>
            </w:r>
          </w:p>
        </w:tc>
      </w:tr>
      <w:tr>
        <w:trPr/>
        <w:tc>
          <w:tcPr>
            <w:tcW w:w="4535" w:type="dxa"/>
            <w:gridSpan w:val="4"/>
            <w:tcBorders/>
            <w:shd w:fill="CCEEFF" w:val="clear"/>
            <w:tcMar>
              <w:bottom w:w="0" w:type="dxa"/>
            </w:tcMar>
            <w:vAlign w:val="bottom"/>
          </w:tcPr>
          <w:p>
            <w:pPr>
              <w:pStyle w:val="TableContents"/>
              <w:spacing w:before="0" w:after="0"/>
              <w:ind w:left="180" w:right="0" w:hanging="180"/>
              <w:rPr>
                <w:b/>
                <w:color w:val="000000"/>
              </w:rPr>
            </w:pPr>
            <w:r>
              <w:rPr>
                <w:b/>
                <w:color w:val="000000"/>
              </w:rPr>
              <w:t>Cash equivalents</w:t>
            </w:r>
          </w:p>
        </w:tc>
        <w:tc>
          <w:tcPr>
            <w:tcW w:w="83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316" w:type="dxa"/>
            <w:tcBorders/>
            <w:shd w:fill="CCEEFF" w:val="clear"/>
            <w:tcMar>
              <w:bottom w:w="0" w:type="dxa"/>
            </w:tcMar>
            <w:vAlign w:val="bottom"/>
          </w:tcPr>
          <w:p>
            <w:pPr>
              <w:pStyle w:val="TableContents"/>
              <w:spacing w:before="0" w:after="283"/>
              <w:jc w:val="left"/>
              <w:rPr/>
            </w:pPr>
            <w:r>
              <w:rPr/>
              <w:t> </w:t>
            </w:r>
          </w:p>
        </w:tc>
        <w:tc>
          <w:tcPr>
            <w:tcW w:w="739"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1205" w:type="dxa"/>
            <w:tcBorders/>
            <w:shd w:fill="CCEEFF" w:val="clear"/>
            <w:tcMar>
              <w:bottom w:w="0" w:type="dxa"/>
            </w:tcMar>
            <w:vAlign w:val="bottom"/>
          </w:tcPr>
          <w:p>
            <w:pPr>
              <w:pStyle w:val="TableContents"/>
              <w:spacing w:before="0" w:after="283"/>
              <w:rPr/>
            </w:pPr>
            <w:r>
              <w:rPr/>
              <w:t> </w:t>
            </w:r>
          </w:p>
        </w:tc>
        <w:tc>
          <w:tcPr>
            <w:tcW w:w="300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shd w:fill="CCEEFF" w:val="clear"/>
            <w:tcMar>
              <w:bottom w:w="0" w:type="dxa"/>
            </w:tcMar>
            <w:vAlign w:val="bottom"/>
          </w:tcPr>
          <w:p>
            <w:pPr>
              <w:pStyle w:val="TableContents"/>
              <w:spacing w:before="0" w:after="283"/>
              <w:jc w:val="left"/>
              <w:rPr/>
            </w:pPr>
            <w:r>
              <w:rPr/>
              <w:t> </w:t>
            </w:r>
          </w:p>
        </w:tc>
        <w:tc>
          <w:tcPr>
            <w:tcW w:w="788"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7" w:type="dxa"/>
            <w:tcBorders/>
            <w:shd w:fill="CCEEFF" w:val="clear"/>
            <w:tcMar>
              <w:bottom w:w="0" w:type="dxa"/>
            </w:tcMar>
            <w:vAlign w:val="bottom"/>
          </w:tcPr>
          <w:p>
            <w:pPr>
              <w:pStyle w:val="TableContents"/>
              <w:spacing w:before="0" w:after="283"/>
              <w:jc w:val="left"/>
              <w:rPr/>
            </w:pPr>
            <w:r>
              <w:rPr/>
              <w:t> </w:t>
            </w:r>
          </w:p>
        </w:tc>
        <w:tc>
          <w:tcPr>
            <w:tcW w:w="913"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40" w:type="dxa"/>
            <w:tcBorders/>
            <w:shd w:fill="CCEEFF" w:val="clear"/>
            <w:tcMar>
              <w:bottom w:w="0" w:type="dxa"/>
            </w:tcMar>
            <w:vAlign w:val="bottom"/>
          </w:tcPr>
          <w:p>
            <w:pPr>
              <w:pStyle w:val="TableContents"/>
              <w:spacing w:before="0" w:after="283"/>
              <w:jc w:val="left"/>
              <w:rPr/>
            </w:pPr>
            <w:r>
              <w:rPr/>
              <w:t> </w:t>
            </w:r>
          </w:p>
        </w:tc>
        <w:tc>
          <w:tcPr>
            <w:tcW w:w="680"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2" w:type="dxa"/>
            <w:tcBorders/>
            <w:shd w:fill="CCEEFF" w:val="clear"/>
            <w:tcMar>
              <w:bottom w:w="0" w:type="dxa"/>
            </w:tcMar>
            <w:vAlign w:val="bottom"/>
          </w:tcPr>
          <w:p>
            <w:pPr>
              <w:pStyle w:val="TableContents"/>
              <w:spacing w:before="0" w:after="283"/>
              <w:jc w:val="left"/>
              <w:rPr/>
            </w:pPr>
            <w:r>
              <w:rPr/>
              <w:t> </w:t>
            </w:r>
          </w:p>
        </w:tc>
        <w:tc>
          <w:tcPr>
            <w:tcW w:w="588" w:type="dxa"/>
            <w:tcBorders/>
            <w:shd w:fill="CCEEFF" w:val="clear"/>
            <w:tcMar>
              <w:bottom w:w="0" w:type="dxa"/>
            </w:tcMar>
            <w:vAlign w:val="bottom"/>
          </w:tcPr>
          <w:p>
            <w:pPr>
              <w:pStyle w:val="TableContents"/>
              <w:spacing w:before="0" w:after="283"/>
              <w:jc w:val="right"/>
              <w:rPr/>
            </w:pPr>
            <w:r>
              <w:rPr/>
              <w:t> </w:t>
            </w:r>
          </w:p>
        </w:tc>
        <w:tc>
          <w:tcPr>
            <w:tcW w:w="260" w:type="dxa"/>
            <w:tcBorders/>
            <w:shd w:fill="CCEEFF" w:val="clear"/>
            <w:tcMar>
              <w:bottom w:w="0" w:type="dxa"/>
            </w:tcMar>
            <w:vAlign w:val="bottom"/>
          </w:tcPr>
          <w:p>
            <w:pPr>
              <w:pStyle w:val="TableContents"/>
              <w:spacing w:before="0" w:after="283"/>
              <w:jc w:val="left"/>
              <w:rPr/>
            </w:pPr>
            <w:r>
              <w:rPr/>
              <w:t> </w:t>
            </w:r>
          </w:p>
        </w:tc>
      </w:tr>
      <w:tr>
        <w:trPr/>
        <w:tc>
          <w:tcPr>
            <w:tcW w:w="4535" w:type="dxa"/>
            <w:gridSpan w:val="4"/>
            <w:tcBorders/>
            <w:shd w:fill="auto" w:val="clear"/>
            <w:tcMar>
              <w:bottom w:w="0" w:type="dxa"/>
            </w:tcMar>
            <w:vAlign w:val="bottom"/>
          </w:tcPr>
          <w:p>
            <w:pPr>
              <w:pStyle w:val="TableContents"/>
              <w:spacing w:lineRule="auto" w:line="240" w:before="0" w:after="0"/>
              <w:ind w:left="360" w:right="0" w:hanging="180"/>
              <w:rPr>
                <w:color w:val="000000"/>
              </w:rPr>
            </w:pPr>
            <w:r>
              <w:rPr>
                <w:color w:val="000000"/>
              </w:rPr>
              <w:t>State Street Institutional U.S. Government Money Market Fund (12)</w:t>
            </w:r>
          </w:p>
        </w:tc>
        <w:tc>
          <w:tcPr>
            <w:tcW w:w="83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316" w:type="dxa"/>
            <w:tcBorders/>
            <w:shd w:fill="auto" w:val="clear"/>
            <w:tcMar>
              <w:bottom w:w="0" w:type="dxa"/>
            </w:tcMar>
            <w:vAlign w:val="bottom"/>
          </w:tcPr>
          <w:p>
            <w:pPr>
              <w:pStyle w:val="TableContents"/>
              <w:spacing w:before="0" w:after="283"/>
              <w:jc w:val="left"/>
              <w:rPr/>
            </w:pPr>
            <w:r>
              <w:rPr/>
              <w:t> </w:t>
            </w:r>
          </w:p>
        </w:tc>
        <w:tc>
          <w:tcPr>
            <w:tcW w:w="739" w:type="dxa"/>
            <w:tcBorders/>
            <w:shd w:fill="auto" w:val="clear"/>
            <w:tcMar>
              <w:bottom w:w="0" w:type="dxa"/>
            </w:tcMar>
            <w:vAlign w:val="bottom"/>
          </w:tcPr>
          <w:p>
            <w:pPr>
              <w:pStyle w:val="TableContents"/>
              <w:spacing w:before="0" w:after="283"/>
              <w:jc w:val="right"/>
              <w:rPr/>
            </w:pPr>
            <w:r>
              <w:rPr/>
              <w:t>1</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283"/>
              <w:rPr/>
            </w:pPr>
            <w:r>
              <w:rPr/>
              <w:t> </w:t>
            </w:r>
          </w:p>
        </w:tc>
        <w:tc>
          <w:tcPr>
            <w:tcW w:w="300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62" w:type="dxa"/>
            <w:tcBorders/>
            <w:shd w:fill="auto" w:val="clear"/>
            <w:tcMar>
              <w:bottom w:w="0" w:type="dxa"/>
            </w:tcMar>
            <w:vAlign w:val="bottom"/>
          </w:tcPr>
          <w:p>
            <w:pPr>
              <w:pStyle w:val="TableContents"/>
              <w:spacing w:before="0" w:after="283"/>
              <w:jc w:val="left"/>
              <w:rPr/>
            </w:pPr>
            <w:r>
              <w:rPr/>
              <w:t> </w:t>
            </w:r>
          </w:p>
        </w:tc>
        <w:tc>
          <w:tcPr>
            <w:tcW w:w="788"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87" w:type="dxa"/>
            <w:tcBorders>
              <w:bottom w:val="single" w:sz="12" w:space="0" w:color="000000"/>
            </w:tcBorders>
            <w:shd w:fill="auto" w:val="clear"/>
            <w:vAlign w:val="bottom"/>
          </w:tcPr>
          <w:p>
            <w:pPr>
              <w:pStyle w:val="TableContents"/>
              <w:spacing w:before="0" w:after="0"/>
              <w:jc w:val="left"/>
              <w:rPr>
                <w:color w:val="000000"/>
              </w:rPr>
            </w:pPr>
            <w:r>
              <w:rPr>
                <w:color w:val="000000"/>
              </w:rPr>
              <w:t>$</w:t>
            </w:r>
          </w:p>
        </w:tc>
        <w:tc>
          <w:tcPr>
            <w:tcW w:w="913" w:type="dxa"/>
            <w:tcBorders>
              <w:bottom w:val="single" w:sz="12" w:space="0" w:color="000000"/>
            </w:tcBorders>
            <w:shd w:fill="auto" w:val="clear"/>
            <w:vAlign w:val="bottom"/>
          </w:tcPr>
          <w:p>
            <w:pPr>
              <w:pStyle w:val="TableContents"/>
              <w:spacing w:before="0" w:after="0"/>
              <w:jc w:val="right"/>
              <w:rPr>
                <w:color w:val="000000"/>
              </w:rPr>
            </w:pPr>
            <w:r>
              <w:rPr>
                <w:color w:val="000000"/>
              </w:rPr>
              <w:t>32,544</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40" w:type="dxa"/>
            <w:tcBorders>
              <w:bottom w:val="single" w:sz="12" w:space="0" w:color="000000"/>
            </w:tcBorders>
            <w:shd w:fill="auto" w:val="clear"/>
            <w:vAlign w:val="bottom"/>
          </w:tcPr>
          <w:p>
            <w:pPr>
              <w:pStyle w:val="TableContents"/>
              <w:spacing w:before="0" w:after="0"/>
              <w:jc w:val="left"/>
              <w:rPr>
                <w:color w:val="000000"/>
              </w:rPr>
            </w:pPr>
            <w:r>
              <w:rPr>
                <w:color w:val="000000"/>
              </w:rPr>
              <w:t>$</w:t>
            </w:r>
          </w:p>
        </w:tc>
        <w:tc>
          <w:tcPr>
            <w:tcW w:w="680" w:type="dxa"/>
            <w:tcBorders>
              <w:bottom w:val="single" w:sz="12" w:space="0" w:color="000000"/>
            </w:tcBorders>
            <w:shd w:fill="auto" w:val="clear"/>
            <w:vAlign w:val="bottom"/>
          </w:tcPr>
          <w:p>
            <w:pPr>
              <w:pStyle w:val="TableContents"/>
              <w:spacing w:before="0" w:after="0"/>
              <w:jc w:val="right"/>
              <w:rPr>
                <w:color w:val="000000"/>
              </w:rPr>
            </w:pPr>
            <w:r>
              <w:rPr>
                <w:color w:val="000000"/>
              </w:rPr>
              <w:t>32,544</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62" w:type="dxa"/>
            <w:tcBorders>
              <w:bottom w:val="single" w:sz="12" w:space="0" w:color="000000"/>
            </w:tcBorders>
            <w:shd w:fill="auto" w:val="clear"/>
            <w:vAlign w:val="bottom"/>
          </w:tcPr>
          <w:p>
            <w:pPr>
              <w:pStyle w:val="TableContents"/>
              <w:spacing w:before="0" w:after="283"/>
              <w:jc w:val="left"/>
              <w:rPr/>
            </w:pPr>
            <w:r>
              <w:rPr/>
              <w:t> </w:t>
            </w:r>
          </w:p>
        </w:tc>
        <w:tc>
          <w:tcPr>
            <w:tcW w:w="588" w:type="dxa"/>
            <w:tcBorders>
              <w:bottom w:val="single" w:sz="12" w:space="0" w:color="000000"/>
            </w:tcBorders>
            <w:shd w:fill="auto" w:val="clear"/>
            <w:vAlign w:val="bottom"/>
          </w:tcPr>
          <w:p>
            <w:pPr>
              <w:pStyle w:val="TableContents"/>
              <w:spacing w:before="0" w:after="0"/>
              <w:jc w:val="right"/>
              <w:rPr>
                <w:color w:val="000000"/>
              </w:rPr>
            </w:pPr>
            <w:r>
              <w:rPr>
                <w:color w:val="000000"/>
              </w:rPr>
              <w:t>36.64</w:t>
            </w:r>
          </w:p>
        </w:tc>
        <w:tc>
          <w:tcPr>
            <w:tcW w:w="260" w:type="dxa"/>
            <w:tcBorders/>
            <w:shd w:fill="auto" w:val="clear"/>
            <w:tcMar>
              <w:bottom w:w="0" w:type="dxa"/>
            </w:tcMar>
            <w:vAlign w:val="bottom"/>
          </w:tcPr>
          <w:p>
            <w:pPr>
              <w:pStyle w:val="TableContents"/>
              <w:spacing w:before="0" w:after="0"/>
              <w:jc w:val="left"/>
              <w:rPr>
                <w:color w:val="000000"/>
              </w:rPr>
            </w:pPr>
            <w:r>
              <w:rPr>
                <w:color w:val="000000"/>
              </w:rPr>
              <w:t>%</w:t>
            </w:r>
          </w:p>
        </w:tc>
      </w:tr>
      <w:tr>
        <w:trPr/>
        <w:tc>
          <w:tcPr>
            <w:tcW w:w="4535" w:type="dxa"/>
            <w:gridSpan w:val="4"/>
            <w:tcBorders/>
            <w:shd w:fill="CCEEFF" w:val="clear"/>
            <w:tcMar>
              <w:bottom w:w="0" w:type="dxa"/>
            </w:tcMar>
            <w:vAlign w:val="bottom"/>
          </w:tcPr>
          <w:p>
            <w:pPr>
              <w:pStyle w:val="TableContents"/>
              <w:spacing w:before="0" w:after="0"/>
              <w:ind w:left="180" w:right="0" w:hanging="0"/>
              <w:rPr>
                <w:b/>
                <w:color w:val="000000"/>
              </w:rPr>
            </w:pPr>
            <w:r>
              <w:rPr>
                <w:b/>
                <w:color w:val="000000"/>
              </w:rPr>
              <w:t>Cash equivalents (36.64%):</w:t>
            </w:r>
          </w:p>
        </w:tc>
        <w:tc>
          <w:tcPr>
            <w:tcW w:w="83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316" w:type="dxa"/>
            <w:tcBorders/>
            <w:shd w:fill="CCEEFF" w:val="clear"/>
            <w:tcMar>
              <w:bottom w:w="0" w:type="dxa"/>
            </w:tcMar>
            <w:vAlign w:val="bottom"/>
          </w:tcPr>
          <w:p>
            <w:pPr>
              <w:pStyle w:val="TableContents"/>
              <w:spacing w:before="0" w:after="283"/>
              <w:jc w:val="left"/>
              <w:rPr/>
            </w:pPr>
            <w:r>
              <w:rPr/>
              <w:t> </w:t>
            </w:r>
          </w:p>
        </w:tc>
        <w:tc>
          <w:tcPr>
            <w:tcW w:w="739"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1205" w:type="dxa"/>
            <w:tcBorders/>
            <w:shd w:fill="CCEEFF" w:val="clear"/>
            <w:tcMar>
              <w:bottom w:w="0" w:type="dxa"/>
            </w:tcMar>
            <w:vAlign w:val="bottom"/>
          </w:tcPr>
          <w:p>
            <w:pPr>
              <w:pStyle w:val="TableContents"/>
              <w:spacing w:before="0" w:after="283"/>
              <w:rPr/>
            </w:pPr>
            <w:r>
              <w:rPr/>
              <w:t> </w:t>
            </w:r>
          </w:p>
        </w:tc>
        <w:tc>
          <w:tcPr>
            <w:tcW w:w="300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shd w:fill="CCEEFF" w:val="clear"/>
            <w:tcMar>
              <w:bottom w:w="0" w:type="dxa"/>
            </w:tcMar>
            <w:vAlign w:val="bottom"/>
          </w:tcPr>
          <w:p>
            <w:pPr>
              <w:pStyle w:val="TableContents"/>
              <w:spacing w:before="0" w:after="283"/>
              <w:jc w:val="left"/>
              <w:rPr/>
            </w:pPr>
            <w:r>
              <w:rPr/>
              <w:t> </w:t>
            </w:r>
          </w:p>
        </w:tc>
        <w:tc>
          <w:tcPr>
            <w:tcW w:w="788"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7" w:type="dxa"/>
            <w:tcBorders>
              <w:bottom w:val="single" w:sz="12" w:space="0" w:color="000000"/>
            </w:tcBorders>
            <w:shd w:fill="CCEEFF" w:val="clear"/>
            <w:vAlign w:val="bottom"/>
          </w:tcPr>
          <w:p>
            <w:pPr>
              <w:pStyle w:val="TableContents"/>
              <w:spacing w:before="0" w:after="283"/>
              <w:jc w:val="left"/>
              <w:rPr/>
            </w:pPr>
            <w:r>
              <w:rPr/>
              <w:t> </w:t>
            </w:r>
          </w:p>
        </w:tc>
        <w:tc>
          <w:tcPr>
            <w:tcW w:w="913" w:type="dxa"/>
            <w:tcBorders>
              <w:bottom w:val="single" w:sz="12" w:space="0" w:color="000000"/>
            </w:tcBorders>
            <w:shd w:fill="CCEEFF" w:val="clear"/>
            <w:vAlign w:val="bottom"/>
          </w:tcPr>
          <w:p>
            <w:pPr>
              <w:pStyle w:val="TableContents"/>
              <w:spacing w:before="0" w:after="0"/>
              <w:jc w:val="right"/>
              <w:rPr>
                <w:color w:val="000000"/>
              </w:rPr>
            </w:pPr>
            <w:r>
              <w:rPr>
                <w:color w:val="000000"/>
              </w:rPr>
              <w:t>32,544</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40" w:type="dxa"/>
            <w:tcBorders>
              <w:bottom w:val="single" w:sz="12" w:space="0" w:color="000000"/>
            </w:tcBorders>
            <w:shd w:fill="CCEEFF" w:val="clear"/>
            <w:vAlign w:val="bottom"/>
          </w:tcPr>
          <w:p>
            <w:pPr>
              <w:pStyle w:val="TableContents"/>
              <w:spacing w:before="0" w:after="283"/>
              <w:jc w:val="left"/>
              <w:rPr/>
            </w:pPr>
            <w:r>
              <w:rPr/>
              <w:t> </w:t>
            </w:r>
          </w:p>
        </w:tc>
        <w:tc>
          <w:tcPr>
            <w:tcW w:w="680" w:type="dxa"/>
            <w:tcBorders>
              <w:bottom w:val="single" w:sz="12" w:space="0" w:color="000000"/>
            </w:tcBorders>
            <w:shd w:fill="CCEEFF" w:val="clear"/>
            <w:vAlign w:val="bottom"/>
          </w:tcPr>
          <w:p>
            <w:pPr>
              <w:pStyle w:val="TableContents"/>
              <w:spacing w:before="0" w:after="0"/>
              <w:jc w:val="right"/>
              <w:rPr>
                <w:color w:val="000000"/>
              </w:rPr>
            </w:pPr>
            <w:r>
              <w:rPr>
                <w:color w:val="000000"/>
              </w:rPr>
              <w:t>32,544</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2" w:type="dxa"/>
            <w:tcBorders>
              <w:bottom w:val="single" w:sz="12" w:space="0" w:color="000000"/>
            </w:tcBorders>
            <w:shd w:fill="CCEEFF" w:val="clear"/>
            <w:vAlign w:val="bottom"/>
          </w:tcPr>
          <w:p>
            <w:pPr>
              <w:pStyle w:val="TableContents"/>
              <w:spacing w:before="0" w:after="283"/>
              <w:jc w:val="left"/>
              <w:rPr/>
            </w:pPr>
            <w:r>
              <w:rPr/>
              <w:t> </w:t>
            </w:r>
          </w:p>
        </w:tc>
        <w:tc>
          <w:tcPr>
            <w:tcW w:w="588" w:type="dxa"/>
            <w:tcBorders>
              <w:bottom w:val="single" w:sz="12" w:space="0" w:color="000000"/>
            </w:tcBorders>
            <w:shd w:fill="CCEEFF" w:val="clear"/>
            <w:vAlign w:val="bottom"/>
          </w:tcPr>
          <w:p>
            <w:pPr>
              <w:pStyle w:val="TableContents"/>
              <w:spacing w:before="0" w:after="0"/>
              <w:jc w:val="right"/>
              <w:rPr>
                <w:color w:val="000000"/>
              </w:rPr>
            </w:pPr>
            <w:r>
              <w:rPr>
                <w:color w:val="000000"/>
              </w:rPr>
              <w:t>36.64</w:t>
            </w:r>
          </w:p>
        </w:tc>
        <w:tc>
          <w:tcPr>
            <w:tcW w:w="260" w:type="dxa"/>
            <w:tcBorders/>
            <w:shd w:fill="CCEEFF" w:val="clear"/>
            <w:tcMar>
              <w:bottom w:w="0" w:type="dxa"/>
            </w:tcMar>
            <w:vAlign w:val="bottom"/>
          </w:tcPr>
          <w:p>
            <w:pPr>
              <w:pStyle w:val="TableContents"/>
              <w:spacing w:before="0" w:after="283"/>
              <w:rPr>
                <w:sz w:val="4"/>
                <w:szCs w:val="4"/>
              </w:rPr>
            </w:pPr>
            <w:r>
              <w:rPr>
                <w:sz w:val="4"/>
                <w:szCs w:val="4"/>
              </w:rPr>
            </w:r>
          </w:p>
        </w:tc>
      </w:tr>
      <w:tr>
        <w:trPr/>
        <w:tc>
          <w:tcPr>
            <w:tcW w:w="1310" w:type="dxa"/>
            <w:tcBorders/>
            <w:shd w:fill="auto" w:val="clear"/>
            <w:tcMar>
              <w:bottom w:w="0" w:type="dxa"/>
            </w:tcMar>
            <w:vAlign w:val="bottom"/>
          </w:tcPr>
          <w:p>
            <w:pPr>
              <w:pStyle w:val="TableContents"/>
              <w:spacing w:before="0" w:after="0"/>
              <w:ind w:left="180" w:right="0" w:hanging="180"/>
              <w:rPr/>
            </w:pPr>
            <w:r>
              <w:rPr/>
              <w:t> </w:t>
            </w:r>
          </w:p>
        </w:tc>
        <w:tc>
          <w:tcPr>
            <w:tcW w:w="1145" w:type="dxa"/>
            <w:tcBorders/>
            <w:shd w:fill="auto" w:val="clear"/>
            <w:tcMar>
              <w:bottom w:w="0" w:type="dxa"/>
            </w:tcMar>
            <w:vAlign w:val="bottom"/>
          </w:tcPr>
          <w:p>
            <w:pPr>
              <w:pStyle w:val="TableContents"/>
              <w:spacing w:before="0" w:after="283"/>
              <w:rPr/>
            </w:pPr>
            <w:r>
              <w:rPr/>
              <w:t> </w:t>
            </w:r>
          </w:p>
        </w:tc>
        <w:tc>
          <w:tcPr>
            <w:tcW w:w="1145" w:type="dxa"/>
            <w:tcBorders/>
            <w:shd w:fill="auto" w:val="clear"/>
            <w:tcMar>
              <w:bottom w:w="0" w:type="dxa"/>
            </w:tcMar>
            <w:vAlign w:val="bottom"/>
          </w:tcPr>
          <w:p>
            <w:pPr>
              <w:pStyle w:val="TableContents"/>
              <w:spacing w:before="0" w:after="283"/>
              <w:rPr/>
            </w:pPr>
            <w:r>
              <w:rPr/>
              <w:t> </w:t>
            </w:r>
          </w:p>
        </w:tc>
        <w:tc>
          <w:tcPr>
            <w:tcW w:w="935" w:type="dxa"/>
            <w:tcBorders/>
            <w:shd w:fill="auto" w:val="clear"/>
            <w:tcMar>
              <w:bottom w:w="0" w:type="dxa"/>
            </w:tcMar>
            <w:vAlign w:val="bottom"/>
          </w:tcPr>
          <w:p>
            <w:pPr>
              <w:pStyle w:val="TableContents"/>
              <w:spacing w:before="0" w:after="283"/>
              <w:rPr/>
            </w:pPr>
            <w:r>
              <w:rPr/>
              <w:t> </w:t>
            </w:r>
          </w:p>
        </w:tc>
        <w:tc>
          <w:tcPr>
            <w:tcW w:w="83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316" w:type="dxa"/>
            <w:tcBorders/>
            <w:shd w:fill="auto" w:val="clear"/>
            <w:tcMar>
              <w:bottom w:w="0" w:type="dxa"/>
            </w:tcMar>
            <w:vAlign w:val="bottom"/>
          </w:tcPr>
          <w:p>
            <w:pPr>
              <w:pStyle w:val="TableContents"/>
              <w:spacing w:before="0" w:after="283"/>
              <w:jc w:val="left"/>
              <w:rPr/>
            </w:pPr>
            <w:r>
              <w:rPr/>
              <w:t> </w:t>
            </w:r>
          </w:p>
        </w:tc>
        <w:tc>
          <w:tcPr>
            <w:tcW w:w="739"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283"/>
              <w:rPr/>
            </w:pPr>
            <w:r>
              <w:rPr/>
              <w:t> </w:t>
            </w:r>
          </w:p>
        </w:tc>
        <w:tc>
          <w:tcPr>
            <w:tcW w:w="300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62" w:type="dxa"/>
            <w:tcBorders/>
            <w:shd w:fill="auto" w:val="clear"/>
            <w:tcMar>
              <w:bottom w:w="0" w:type="dxa"/>
            </w:tcMar>
            <w:vAlign w:val="bottom"/>
          </w:tcPr>
          <w:p>
            <w:pPr>
              <w:pStyle w:val="TableContents"/>
              <w:spacing w:before="0" w:after="283"/>
              <w:jc w:val="left"/>
              <w:rPr/>
            </w:pPr>
            <w:r>
              <w:rPr/>
              <w:t> </w:t>
            </w:r>
          </w:p>
        </w:tc>
        <w:tc>
          <w:tcPr>
            <w:tcW w:w="788"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87" w:type="dxa"/>
            <w:tcBorders>
              <w:bottom w:val="single" w:sz="12" w:space="0" w:color="000000"/>
            </w:tcBorders>
            <w:shd w:fill="auto" w:val="clear"/>
            <w:vAlign w:val="bottom"/>
          </w:tcPr>
          <w:p>
            <w:pPr>
              <w:pStyle w:val="TableContents"/>
              <w:spacing w:before="0" w:after="283"/>
              <w:jc w:val="left"/>
              <w:rPr/>
            </w:pPr>
            <w:r>
              <w:rPr/>
              <w:t> </w:t>
            </w:r>
          </w:p>
        </w:tc>
        <w:tc>
          <w:tcPr>
            <w:tcW w:w="913" w:type="dxa"/>
            <w:tcBorders>
              <w:bottom w:val="single" w:sz="12" w:space="0" w:color="000000"/>
            </w:tcBorders>
            <w:shd w:fill="auto" w:val="cle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40" w:type="dxa"/>
            <w:tcBorders>
              <w:bottom w:val="single" w:sz="12" w:space="0" w:color="000000"/>
            </w:tcBorders>
            <w:shd w:fill="auto" w:val="clear"/>
            <w:vAlign w:val="bottom"/>
          </w:tcPr>
          <w:p>
            <w:pPr>
              <w:pStyle w:val="TableContents"/>
              <w:spacing w:before="0" w:after="283"/>
              <w:jc w:val="left"/>
              <w:rPr/>
            </w:pPr>
            <w:r>
              <w:rPr/>
              <w:t> </w:t>
            </w:r>
          </w:p>
        </w:tc>
        <w:tc>
          <w:tcPr>
            <w:tcW w:w="680" w:type="dxa"/>
            <w:tcBorders>
              <w:bottom w:val="single" w:sz="12" w:space="0" w:color="000000"/>
            </w:tcBorders>
            <w:shd w:fill="auto" w:val="cle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62" w:type="dxa"/>
            <w:tcBorders>
              <w:bottom w:val="single" w:sz="12" w:space="0" w:color="000000"/>
            </w:tcBorders>
            <w:shd w:fill="auto" w:val="clear"/>
            <w:vAlign w:val="bottom"/>
          </w:tcPr>
          <w:p>
            <w:pPr>
              <w:pStyle w:val="TableContents"/>
              <w:spacing w:before="0" w:after="283"/>
              <w:jc w:val="left"/>
              <w:rPr/>
            </w:pPr>
            <w:r>
              <w:rPr/>
              <w:t> </w:t>
            </w:r>
          </w:p>
        </w:tc>
        <w:tc>
          <w:tcPr>
            <w:tcW w:w="588" w:type="dxa"/>
            <w:tcBorders>
              <w:bottom w:val="single" w:sz="12" w:space="0" w:color="000000"/>
            </w:tcBorders>
            <w:shd w:fill="auto" w:val="clear"/>
            <w:vAlign w:val="bottom"/>
          </w:tcPr>
          <w:p>
            <w:pPr>
              <w:pStyle w:val="TableContents"/>
              <w:spacing w:before="0" w:after="283"/>
              <w:jc w:val="right"/>
              <w:rPr/>
            </w:pPr>
            <w:r>
              <w:rPr/>
              <w:t> </w:t>
            </w:r>
          </w:p>
        </w:tc>
        <w:tc>
          <w:tcPr>
            <w:tcW w:w="260" w:type="dxa"/>
            <w:tcBorders/>
            <w:shd w:fill="auto" w:val="clear"/>
            <w:tcMar>
              <w:bottom w:w="0" w:type="dxa"/>
            </w:tcMar>
            <w:vAlign w:val="bottom"/>
          </w:tcPr>
          <w:p>
            <w:pPr>
              <w:pStyle w:val="TableContents"/>
              <w:spacing w:before="0" w:after="283"/>
              <w:jc w:val="left"/>
              <w:rPr/>
            </w:pPr>
            <w:r>
              <w:rPr/>
              <w:t> </w:t>
            </w:r>
          </w:p>
        </w:tc>
      </w:tr>
      <w:tr>
        <w:trPr/>
        <w:tc>
          <w:tcPr>
            <w:tcW w:w="4535" w:type="dxa"/>
            <w:gridSpan w:val="4"/>
            <w:tcBorders/>
            <w:shd w:fill="CCEEFF" w:val="clear"/>
            <w:tcMar>
              <w:bottom w:w="0" w:type="dxa"/>
            </w:tcMar>
            <w:vAlign w:val="bottom"/>
          </w:tcPr>
          <w:p>
            <w:pPr>
              <w:pStyle w:val="TableContents"/>
              <w:spacing w:before="0" w:after="0"/>
              <w:ind w:left="180" w:right="0" w:hanging="0"/>
              <w:rPr>
                <w:b/>
              </w:rPr>
            </w:pPr>
            <w:r>
              <w:rPr>
                <w:b/>
              </w:rPr>
              <w:t>Total Portfolio Investments and Cash equivalents (99.25%):</w:t>
            </w:r>
          </w:p>
        </w:tc>
        <w:tc>
          <w:tcPr>
            <w:tcW w:w="83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316" w:type="dxa"/>
            <w:tcBorders/>
            <w:shd w:fill="CCEEFF" w:val="clear"/>
            <w:tcMar>
              <w:bottom w:w="0" w:type="dxa"/>
            </w:tcMar>
            <w:vAlign w:val="bottom"/>
          </w:tcPr>
          <w:p>
            <w:pPr>
              <w:pStyle w:val="TableContents"/>
              <w:spacing w:before="0" w:after="283"/>
              <w:jc w:val="left"/>
              <w:rPr/>
            </w:pPr>
            <w:r>
              <w:rPr/>
              <w:t> </w:t>
            </w:r>
          </w:p>
        </w:tc>
        <w:tc>
          <w:tcPr>
            <w:tcW w:w="739"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1205" w:type="dxa"/>
            <w:tcBorders/>
            <w:shd w:fill="CCEEFF" w:val="clear"/>
            <w:tcMar>
              <w:bottom w:w="0" w:type="dxa"/>
            </w:tcMar>
            <w:vAlign w:val="bottom"/>
          </w:tcPr>
          <w:p>
            <w:pPr>
              <w:pStyle w:val="TableContents"/>
              <w:spacing w:before="0" w:after="283"/>
              <w:rPr/>
            </w:pPr>
            <w:r>
              <w:rPr/>
              <w:t> </w:t>
            </w:r>
          </w:p>
        </w:tc>
        <w:tc>
          <w:tcPr>
            <w:tcW w:w="300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shd w:fill="CCEEFF" w:val="clear"/>
            <w:tcMar>
              <w:bottom w:w="0" w:type="dxa"/>
            </w:tcMar>
            <w:vAlign w:val="bottom"/>
          </w:tcPr>
          <w:p>
            <w:pPr>
              <w:pStyle w:val="TableContents"/>
              <w:spacing w:before="0" w:after="283"/>
              <w:jc w:val="left"/>
              <w:rPr/>
            </w:pPr>
            <w:r>
              <w:rPr/>
              <w:t> </w:t>
            </w:r>
          </w:p>
        </w:tc>
        <w:tc>
          <w:tcPr>
            <w:tcW w:w="788"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7" w:type="dxa"/>
            <w:tcBorders>
              <w:bottom w:val="double" w:sz="8" w:space="0" w:color="000000"/>
            </w:tcBorders>
            <w:shd w:fill="CCEEFF" w:val="clear"/>
            <w:vAlign w:val="bottom"/>
          </w:tcPr>
          <w:p>
            <w:pPr>
              <w:pStyle w:val="TableContents"/>
              <w:spacing w:before="0" w:after="0"/>
              <w:jc w:val="left"/>
              <w:rPr>
                <w:b/>
                <w:color w:val="000000"/>
              </w:rPr>
            </w:pPr>
            <w:r>
              <w:rPr>
                <w:b/>
                <w:color w:val="000000"/>
              </w:rPr>
              <w:t>$</w:t>
            </w:r>
          </w:p>
        </w:tc>
        <w:tc>
          <w:tcPr>
            <w:tcW w:w="913" w:type="dxa"/>
            <w:tcBorders>
              <w:bottom w:val="double" w:sz="8" w:space="0" w:color="000000"/>
            </w:tcBorders>
            <w:shd w:fill="CCEEFF" w:val="clear"/>
            <w:vAlign w:val="bottom"/>
          </w:tcPr>
          <w:p>
            <w:pPr>
              <w:pStyle w:val="TableContents"/>
              <w:spacing w:before="0" w:after="0"/>
              <w:jc w:val="right"/>
              <w:rPr>
                <w:b/>
                <w:color w:val="000000"/>
              </w:rPr>
            </w:pPr>
            <w:r>
              <w:rPr>
                <w:b/>
                <w:color w:val="000000"/>
              </w:rPr>
              <w:t>87,454</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40" w:type="dxa"/>
            <w:tcBorders>
              <w:bottom w:val="double" w:sz="8" w:space="0" w:color="000000"/>
            </w:tcBorders>
            <w:shd w:fill="CCEEFF" w:val="clear"/>
            <w:vAlign w:val="bottom"/>
          </w:tcPr>
          <w:p>
            <w:pPr>
              <w:pStyle w:val="TableContents"/>
              <w:spacing w:before="0" w:after="0"/>
              <w:jc w:val="left"/>
              <w:rPr>
                <w:b/>
                <w:color w:val="000000"/>
              </w:rPr>
            </w:pPr>
            <w:r>
              <w:rPr>
                <w:b/>
                <w:color w:val="000000"/>
              </w:rPr>
              <w:t>$</w:t>
            </w:r>
          </w:p>
        </w:tc>
        <w:tc>
          <w:tcPr>
            <w:tcW w:w="680" w:type="dxa"/>
            <w:tcBorders>
              <w:bottom w:val="double" w:sz="8" w:space="0" w:color="000000"/>
            </w:tcBorders>
            <w:shd w:fill="CCEEFF" w:val="clear"/>
            <w:vAlign w:val="bottom"/>
          </w:tcPr>
          <w:p>
            <w:pPr>
              <w:pStyle w:val="TableContents"/>
              <w:spacing w:before="0" w:after="0"/>
              <w:jc w:val="right"/>
              <w:rPr>
                <w:b/>
                <w:color w:val="000000"/>
              </w:rPr>
            </w:pPr>
            <w:r>
              <w:rPr>
                <w:b/>
                <w:color w:val="000000"/>
              </w:rPr>
              <w:t>88,167</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2" w:type="dxa"/>
            <w:tcBorders>
              <w:bottom w:val="double" w:sz="8" w:space="0" w:color="000000"/>
            </w:tcBorders>
            <w:shd w:fill="CCEEFF" w:val="clear"/>
            <w:vAlign w:val="bottom"/>
          </w:tcPr>
          <w:p>
            <w:pPr>
              <w:pStyle w:val="TableContents"/>
              <w:spacing w:before="0" w:after="283"/>
              <w:jc w:val="left"/>
              <w:rPr/>
            </w:pPr>
            <w:r>
              <w:rPr/>
              <w:t> </w:t>
            </w:r>
          </w:p>
        </w:tc>
        <w:tc>
          <w:tcPr>
            <w:tcW w:w="588" w:type="dxa"/>
            <w:tcBorders>
              <w:bottom w:val="double" w:sz="8" w:space="0" w:color="000000"/>
            </w:tcBorders>
            <w:shd w:fill="CCEEFF" w:val="clear"/>
            <w:vAlign w:val="bottom"/>
          </w:tcPr>
          <w:p>
            <w:pPr>
              <w:pStyle w:val="TableContents"/>
              <w:spacing w:before="0" w:after="0"/>
              <w:jc w:val="right"/>
              <w:rPr>
                <w:b/>
                <w:color w:val="000000"/>
              </w:rPr>
            </w:pPr>
            <w:r>
              <w:rPr>
                <w:b/>
                <w:color w:val="000000"/>
              </w:rPr>
              <w:t>99.25</w:t>
            </w:r>
          </w:p>
        </w:tc>
        <w:tc>
          <w:tcPr>
            <w:tcW w:w="260" w:type="dxa"/>
            <w:tcBorders/>
            <w:shd w:fill="CCEEFF" w:val="clear"/>
            <w:tcMar>
              <w:bottom w:w="0" w:type="dxa"/>
            </w:tcMar>
            <w:vAlign w:val="bottom"/>
          </w:tcPr>
          <w:p>
            <w:pPr>
              <w:pStyle w:val="TableContents"/>
              <w:spacing w:before="0" w:after="0"/>
              <w:jc w:val="left"/>
              <w:rPr>
                <w:b/>
                <w:color w:val="000000"/>
              </w:rPr>
            </w:pPr>
            <w:r>
              <w:rPr>
                <w:b/>
                <w:color w:val="000000"/>
              </w:rPr>
              <w:t>%</w:t>
            </w:r>
          </w:p>
        </w:tc>
      </w:tr>
    </w:tbl>
    <w:p>
      <w:pPr>
        <w:pStyle w:val="TextBody"/>
        <w:spacing w:before="0" w:after="0"/>
        <w:rPr>
          <w:rFonts w:ascii="Times New Roman" w:hAnsi="Times New Roman"/>
          <w:sz w:val="20"/>
        </w:rPr>
      </w:pPr>
      <w:r>
        <w:rPr>
          <w:rFonts w:ascii="Times New Roman" w:hAnsi="Times New Roman"/>
          <w:sz w:val="20"/>
        </w:rPr>
      </w:r>
    </w:p>
    <w:tbl>
      <w:tblPr>
        <w:tblW w:w="5643" w:type="dxa"/>
        <w:jc w:val="left"/>
        <w:tblInd w:w="0" w:type="dxa"/>
        <w:tblCellMar>
          <w:top w:w="0" w:type="dxa"/>
          <w:left w:w="0" w:type="dxa"/>
          <w:bottom w:w="0" w:type="dxa"/>
          <w:right w:w="0" w:type="dxa"/>
        </w:tblCellMar>
      </w:tblPr>
      <w:tblGrid>
        <w:gridCol w:w="38"/>
        <w:gridCol w:w="290"/>
        <w:gridCol w:w="5315"/>
      </w:tblGrid>
      <w:tr>
        <w:trPr/>
        <w:tc>
          <w:tcPr>
            <w:tcW w:w="38" w:type="dxa"/>
            <w:tcBorders/>
            <w:shd w:fill="auto" w:val="clear"/>
            <w:vAlign w:val="center"/>
          </w:tcPr>
          <w:p>
            <w:pPr>
              <w:pStyle w:val="TableContents"/>
              <w:spacing w:before="0" w:after="283"/>
              <w:rPr/>
            </w:pPr>
            <w:r>
              <w:rPr/>
            </w:r>
          </w:p>
        </w:tc>
        <w:tc>
          <w:tcPr>
            <w:tcW w:w="290" w:type="dxa"/>
            <w:tcBorders/>
            <w:shd w:fill="auto" w:val="clear"/>
            <w:vAlign w:val="center"/>
          </w:tcPr>
          <w:p>
            <w:pPr>
              <w:pStyle w:val="TableContents"/>
              <w:spacing w:before="0" w:after="283"/>
              <w:rPr/>
            </w:pPr>
            <w:r>
              <w:rPr/>
              <w:t>(1)</w:t>
            </w:r>
          </w:p>
        </w:tc>
        <w:tc>
          <w:tcPr>
            <w:tcW w:w="5315" w:type="dxa"/>
            <w:tcBorders/>
            <w:shd w:fill="auto" w:val="clear"/>
            <w:vAlign w:val="center"/>
          </w:tcPr>
          <w:p>
            <w:pPr>
              <w:pStyle w:val="TableContents"/>
              <w:spacing w:before="0" w:after="0"/>
              <w:rPr/>
            </w:pPr>
            <w:r>
              <w:rPr/>
              <w:t>All portfolio companies are located in the United States.</w:t>
            </w:r>
          </w:p>
        </w:tc>
      </w:tr>
    </w:tbl>
    <w:tbl>
      <w:tblPr>
        <w:tblW w:w="6768" w:type="dxa"/>
        <w:jc w:val="left"/>
        <w:tblInd w:w="0" w:type="dxa"/>
        <w:tblCellMar>
          <w:top w:w="0" w:type="dxa"/>
          <w:left w:w="0" w:type="dxa"/>
          <w:bottom w:w="0" w:type="dxa"/>
          <w:right w:w="0" w:type="dxa"/>
        </w:tblCellMar>
      </w:tblPr>
      <w:tblGrid>
        <w:gridCol w:w="38"/>
        <w:gridCol w:w="290"/>
        <w:gridCol w:w="6440"/>
      </w:tblGrid>
      <w:tr>
        <w:trPr/>
        <w:tc>
          <w:tcPr>
            <w:tcW w:w="38" w:type="dxa"/>
            <w:tcBorders/>
            <w:shd w:fill="auto" w:val="clear"/>
            <w:vAlign w:val="center"/>
          </w:tcPr>
          <w:p>
            <w:pPr>
              <w:pStyle w:val="TableContents"/>
              <w:spacing w:before="0" w:after="283"/>
              <w:rPr/>
            </w:pPr>
            <w:r>
              <w:rPr/>
            </w:r>
          </w:p>
        </w:tc>
        <w:tc>
          <w:tcPr>
            <w:tcW w:w="290" w:type="dxa"/>
            <w:tcBorders/>
            <w:shd w:fill="auto" w:val="clear"/>
            <w:vAlign w:val="center"/>
          </w:tcPr>
          <w:p>
            <w:pPr>
              <w:pStyle w:val="TableContents"/>
              <w:spacing w:before="0" w:after="283"/>
              <w:rPr/>
            </w:pPr>
            <w:r>
              <w:rPr/>
              <w:t>(2)</w:t>
            </w:r>
          </w:p>
        </w:tc>
        <w:tc>
          <w:tcPr>
            <w:tcW w:w="6440" w:type="dxa"/>
            <w:tcBorders/>
            <w:shd w:fill="auto" w:val="clear"/>
            <w:vAlign w:val="center"/>
          </w:tcPr>
          <w:p>
            <w:pPr>
              <w:pStyle w:val="TableContents"/>
              <w:spacing w:before="0" w:after="0"/>
              <w:rPr/>
            </w:pPr>
            <w:r>
              <w:rPr/>
              <w:t>No debt investment is non-income producing as of March 31, 2023.</w:t>
            </w:r>
          </w:p>
        </w:tc>
      </w:tr>
    </w:tbl>
    <w:tbl>
      <w:tblPr>
        <w:tblW w:w="9243" w:type="dxa"/>
        <w:jc w:val="left"/>
        <w:tblInd w:w="0" w:type="dxa"/>
        <w:tblCellMar>
          <w:top w:w="0" w:type="dxa"/>
          <w:left w:w="0" w:type="dxa"/>
          <w:bottom w:w="0" w:type="dxa"/>
          <w:right w:w="0" w:type="dxa"/>
        </w:tblCellMar>
      </w:tblPr>
      <w:tblGrid>
        <w:gridCol w:w="38"/>
        <w:gridCol w:w="290"/>
        <w:gridCol w:w="8915"/>
      </w:tblGrid>
      <w:tr>
        <w:trPr/>
        <w:tc>
          <w:tcPr>
            <w:tcW w:w="38" w:type="dxa"/>
            <w:tcBorders/>
            <w:shd w:fill="auto" w:val="clear"/>
            <w:vAlign w:val="center"/>
          </w:tcPr>
          <w:p>
            <w:pPr>
              <w:pStyle w:val="TableContents"/>
              <w:spacing w:before="0" w:after="283"/>
              <w:rPr/>
            </w:pPr>
            <w:r>
              <w:rPr/>
            </w:r>
          </w:p>
        </w:tc>
        <w:tc>
          <w:tcPr>
            <w:tcW w:w="290" w:type="dxa"/>
            <w:tcBorders/>
            <w:shd w:fill="auto" w:val="clear"/>
            <w:vAlign w:val="center"/>
          </w:tcPr>
          <w:p>
            <w:pPr>
              <w:pStyle w:val="TableContents"/>
              <w:spacing w:before="0" w:after="283"/>
              <w:rPr/>
            </w:pPr>
            <w:r>
              <w:rPr/>
              <w:t>(3)</w:t>
            </w:r>
          </w:p>
        </w:tc>
        <w:tc>
          <w:tcPr>
            <w:tcW w:w="8915" w:type="dxa"/>
            <w:tcBorders/>
            <w:shd w:fill="auto" w:val="clear"/>
            <w:vAlign w:val="center"/>
          </w:tcPr>
          <w:p>
            <w:pPr>
              <w:pStyle w:val="TableContents"/>
              <w:spacing w:before="0" w:after="0"/>
              <w:rPr/>
            </w:pPr>
            <w:r>
              <w:rPr/>
              <w:t>Investment date represents the date of initial investment, at which date interest began accruing.</w:t>
            </w:r>
          </w:p>
        </w:tc>
      </w:tr>
    </w:tbl>
    <w:tbl>
      <w:tblPr>
        <w:tblW w:w="6318" w:type="dxa"/>
        <w:jc w:val="left"/>
        <w:tblInd w:w="0" w:type="dxa"/>
        <w:tblCellMar>
          <w:top w:w="0" w:type="dxa"/>
          <w:left w:w="0" w:type="dxa"/>
          <w:bottom w:w="0" w:type="dxa"/>
          <w:right w:w="0" w:type="dxa"/>
        </w:tblCellMar>
      </w:tblPr>
      <w:tblGrid>
        <w:gridCol w:w="38"/>
        <w:gridCol w:w="290"/>
        <w:gridCol w:w="5990"/>
      </w:tblGrid>
      <w:tr>
        <w:trPr/>
        <w:tc>
          <w:tcPr>
            <w:tcW w:w="38" w:type="dxa"/>
            <w:tcBorders/>
            <w:shd w:fill="auto" w:val="clear"/>
            <w:vAlign w:val="center"/>
          </w:tcPr>
          <w:p>
            <w:pPr>
              <w:pStyle w:val="TableContents"/>
              <w:spacing w:before="0" w:after="283"/>
              <w:rPr/>
            </w:pPr>
            <w:r>
              <w:rPr/>
            </w:r>
          </w:p>
        </w:tc>
        <w:tc>
          <w:tcPr>
            <w:tcW w:w="290" w:type="dxa"/>
            <w:tcBorders/>
            <w:shd w:fill="auto" w:val="clear"/>
            <w:vAlign w:val="center"/>
          </w:tcPr>
          <w:p>
            <w:pPr>
              <w:pStyle w:val="TableContents"/>
              <w:spacing w:before="0" w:after="283"/>
              <w:rPr/>
            </w:pPr>
            <w:r>
              <w:rPr/>
              <w:t>(4)</w:t>
            </w:r>
          </w:p>
        </w:tc>
        <w:tc>
          <w:tcPr>
            <w:tcW w:w="5990" w:type="dxa"/>
            <w:tcBorders/>
            <w:shd w:fill="auto" w:val="clear"/>
            <w:vAlign w:val="center"/>
          </w:tcPr>
          <w:p>
            <w:pPr>
              <w:pStyle w:val="TableContents"/>
              <w:spacing w:before="0" w:after="0"/>
              <w:rPr/>
            </w:pPr>
            <w:r>
              <w:rPr/>
              <w:t>Interest rate is the fixed or variable rate of the debt investments.</w:t>
            </w:r>
          </w:p>
        </w:tc>
      </w:tr>
    </w:tbl>
    <w:tbl>
      <w:tblPr>
        <w:tblW w:w="10539" w:type="dxa"/>
        <w:jc w:val="left"/>
        <w:tblInd w:w="0" w:type="dxa"/>
        <w:tblCellMar>
          <w:top w:w="0" w:type="dxa"/>
          <w:left w:w="0" w:type="dxa"/>
          <w:bottom w:w="0" w:type="dxa"/>
          <w:right w:w="0" w:type="dxa"/>
        </w:tblCellMar>
      </w:tblPr>
      <w:tblGrid>
        <w:gridCol w:w="38"/>
        <w:gridCol w:w="266"/>
        <w:gridCol w:w="10235"/>
      </w:tblGrid>
      <w:tr>
        <w:trPr/>
        <w:tc>
          <w:tcPr>
            <w:tcW w:w="38" w:type="dxa"/>
            <w:tcBorders/>
            <w:shd w:fill="auto" w:val="clear"/>
            <w:vAlign w:val="center"/>
          </w:tcPr>
          <w:p>
            <w:pPr>
              <w:pStyle w:val="TableContents"/>
              <w:spacing w:before="0" w:after="283"/>
              <w:rPr/>
            </w:pPr>
            <w:r>
              <w:rPr/>
            </w:r>
          </w:p>
        </w:tc>
        <w:tc>
          <w:tcPr>
            <w:tcW w:w="266" w:type="dxa"/>
            <w:tcBorders/>
            <w:shd w:fill="auto" w:val="clear"/>
            <w:vAlign w:val="center"/>
          </w:tcPr>
          <w:p>
            <w:pPr>
              <w:pStyle w:val="TableContents"/>
              <w:spacing w:before="0" w:after="283"/>
              <w:rPr/>
            </w:pPr>
            <w:r>
              <w:rPr/>
              <w:t>(5)</w:t>
            </w:r>
          </w:p>
        </w:tc>
        <w:tc>
          <w:tcPr>
            <w:tcW w:w="10235" w:type="dxa"/>
            <w:tcBorders/>
            <w:shd w:fill="auto" w:val="clear"/>
            <w:vAlign w:val="center"/>
          </w:tcPr>
          <w:p>
            <w:pPr>
              <w:pStyle w:val="TableContents"/>
              <w:spacing w:before="0" w:after="0"/>
              <w:rPr/>
            </w:pPr>
            <w:r>
              <w:rPr/>
              <w:t>See Note 2 – Significant Accounting Policies and Note 4 — Fair Value of Financial Instruments in the accompanying notes to the financial statements.</w:t>
            </w:r>
          </w:p>
        </w:tc>
      </w:tr>
    </w:tbl>
    <w:tbl>
      <w:tblPr>
        <w:tblW w:w="9498" w:type="dxa"/>
        <w:jc w:val="left"/>
        <w:tblInd w:w="0" w:type="dxa"/>
        <w:tblCellMar>
          <w:top w:w="0" w:type="dxa"/>
          <w:left w:w="0" w:type="dxa"/>
          <w:bottom w:w="0" w:type="dxa"/>
          <w:right w:w="0" w:type="dxa"/>
        </w:tblCellMar>
      </w:tblPr>
      <w:tblGrid>
        <w:gridCol w:w="38"/>
        <w:gridCol w:w="290"/>
        <w:gridCol w:w="9170"/>
      </w:tblGrid>
      <w:tr>
        <w:trPr/>
        <w:tc>
          <w:tcPr>
            <w:tcW w:w="38" w:type="dxa"/>
            <w:tcBorders/>
            <w:shd w:fill="auto" w:val="clear"/>
            <w:vAlign w:val="center"/>
          </w:tcPr>
          <w:p>
            <w:pPr>
              <w:pStyle w:val="TableContents"/>
              <w:spacing w:before="0" w:after="283"/>
              <w:rPr/>
            </w:pPr>
            <w:r>
              <w:rPr/>
            </w:r>
          </w:p>
        </w:tc>
        <w:tc>
          <w:tcPr>
            <w:tcW w:w="290" w:type="dxa"/>
            <w:tcBorders/>
            <w:shd w:fill="auto" w:val="clear"/>
            <w:vAlign w:val="center"/>
          </w:tcPr>
          <w:p>
            <w:pPr>
              <w:pStyle w:val="TableContents"/>
              <w:spacing w:before="0" w:after="283"/>
              <w:rPr/>
            </w:pPr>
            <w:r>
              <w:rPr/>
              <w:t>(6)</w:t>
            </w:r>
          </w:p>
        </w:tc>
        <w:tc>
          <w:tcPr>
            <w:tcW w:w="9170" w:type="dxa"/>
            <w:tcBorders/>
            <w:shd w:fill="auto" w:val="clear"/>
            <w:vAlign w:val="center"/>
          </w:tcPr>
          <w:p>
            <w:pPr>
              <w:pStyle w:val="TableContents"/>
              <w:spacing w:before="0" w:after="0"/>
              <w:rPr/>
            </w:pPr>
            <w:r>
              <w:rPr/>
              <w:t>Geographic regions are determined by the respective portfolio company’s headquarters’ location.</w:t>
            </w:r>
          </w:p>
        </w:tc>
      </w:tr>
    </w:tbl>
    <w:tbl>
      <w:tblPr>
        <w:tblW w:w="10539" w:type="dxa"/>
        <w:jc w:val="left"/>
        <w:tblInd w:w="0" w:type="dxa"/>
        <w:tblCellMar>
          <w:top w:w="0" w:type="dxa"/>
          <w:left w:w="0" w:type="dxa"/>
          <w:bottom w:w="0" w:type="dxa"/>
          <w:right w:w="0" w:type="dxa"/>
        </w:tblCellMar>
      </w:tblPr>
      <w:tblGrid>
        <w:gridCol w:w="38"/>
        <w:gridCol w:w="233"/>
        <w:gridCol w:w="10268"/>
      </w:tblGrid>
      <w:tr>
        <w:trPr/>
        <w:tc>
          <w:tcPr>
            <w:tcW w:w="38" w:type="dxa"/>
            <w:tcBorders/>
            <w:shd w:fill="auto" w:val="clear"/>
            <w:vAlign w:val="center"/>
          </w:tcPr>
          <w:p>
            <w:pPr>
              <w:pStyle w:val="TableContents"/>
              <w:spacing w:before="0" w:after="283"/>
              <w:rPr/>
            </w:pPr>
            <w:r>
              <w:rPr/>
            </w:r>
          </w:p>
        </w:tc>
        <w:tc>
          <w:tcPr>
            <w:tcW w:w="233" w:type="dxa"/>
            <w:tcBorders/>
            <w:shd w:fill="auto" w:val="clear"/>
            <w:vAlign w:val="center"/>
          </w:tcPr>
          <w:p>
            <w:pPr>
              <w:pStyle w:val="TableContents"/>
              <w:spacing w:before="0" w:after="283"/>
              <w:rPr/>
            </w:pPr>
            <w:r>
              <w:rPr/>
              <w:t>(7)</w:t>
            </w:r>
          </w:p>
        </w:tc>
        <w:tc>
          <w:tcPr>
            <w:tcW w:w="10268" w:type="dxa"/>
            <w:tcBorders/>
            <w:shd w:fill="auto" w:val="clear"/>
            <w:vAlign w:val="center"/>
          </w:tcPr>
          <w:p>
            <w:pPr>
              <w:pStyle w:val="TableContents"/>
              <w:spacing w:before="0" w:after="0"/>
              <w:rPr/>
            </w:pPr>
            <w:r>
              <w:rPr/>
              <w:t>Under the Investment Company Act of 1940, as amended (the “1940 Act”), a business development company (“BDC”) may not acquire any “non-qualifying asset” (i.e., an asset other than assets of the type listed in Section 55(a) of the 1940 Act, which are referred to as “qualifying assets”), unless, at the time the acquisition is made, qualifying assets represent at least 70% of the BDC’s total assets.</w:t>
            </w:r>
          </w:p>
        </w:tc>
      </w:tr>
    </w:tbl>
    <w:tbl>
      <w:tblPr>
        <w:tblW w:w="8553" w:type="dxa"/>
        <w:jc w:val="left"/>
        <w:tblInd w:w="0" w:type="dxa"/>
        <w:tblCellMar>
          <w:top w:w="0" w:type="dxa"/>
          <w:left w:w="0" w:type="dxa"/>
          <w:bottom w:w="0" w:type="dxa"/>
          <w:right w:w="0" w:type="dxa"/>
        </w:tblCellMar>
      </w:tblPr>
      <w:tblGrid>
        <w:gridCol w:w="38"/>
        <w:gridCol w:w="290"/>
        <w:gridCol w:w="8225"/>
      </w:tblGrid>
      <w:tr>
        <w:trPr/>
        <w:tc>
          <w:tcPr>
            <w:tcW w:w="38" w:type="dxa"/>
            <w:tcBorders/>
            <w:shd w:fill="auto" w:val="clear"/>
            <w:vAlign w:val="center"/>
          </w:tcPr>
          <w:p>
            <w:pPr>
              <w:pStyle w:val="TableContents"/>
              <w:spacing w:before="0" w:after="283"/>
              <w:rPr/>
            </w:pPr>
            <w:r>
              <w:rPr/>
            </w:r>
          </w:p>
        </w:tc>
        <w:tc>
          <w:tcPr>
            <w:tcW w:w="290" w:type="dxa"/>
            <w:tcBorders/>
            <w:shd w:fill="auto" w:val="clear"/>
            <w:vAlign w:val="center"/>
          </w:tcPr>
          <w:p>
            <w:pPr>
              <w:pStyle w:val="TableContents"/>
              <w:spacing w:before="0" w:after="283"/>
              <w:rPr/>
            </w:pPr>
            <w:r>
              <w:rPr/>
              <w:t>(8)</w:t>
            </w:r>
          </w:p>
        </w:tc>
        <w:tc>
          <w:tcPr>
            <w:tcW w:w="8225" w:type="dxa"/>
            <w:tcBorders/>
            <w:shd w:fill="auto" w:val="clear"/>
            <w:vAlign w:val="center"/>
          </w:tcPr>
          <w:p>
            <w:pPr>
              <w:pStyle w:val="TableContents"/>
              <w:spacing w:before="0" w:after="0"/>
              <w:rPr/>
            </w:pPr>
            <w:r>
              <w:rPr/>
              <w:t>Principal is net of repayments, if any, as per the terms of the debt instrument’s contract.</w:t>
            </w:r>
          </w:p>
        </w:tc>
      </w:tr>
    </w:tbl>
    <w:tbl>
      <w:tblPr>
        <w:tblW w:w="10539" w:type="dxa"/>
        <w:jc w:val="left"/>
        <w:tblInd w:w="0" w:type="dxa"/>
        <w:tblCellMar>
          <w:top w:w="0" w:type="dxa"/>
          <w:left w:w="0" w:type="dxa"/>
          <w:bottom w:w="0" w:type="dxa"/>
          <w:right w:w="0" w:type="dxa"/>
        </w:tblCellMar>
      </w:tblPr>
      <w:tblGrid>
        <w:gridCol w:w="38"/>
        <w:gridCol w:w="267"/>
        <w:gridCol w:w="10234"/>
      </w:tblGrid>
      <w:tr>
        <w:trPr/>
        <w:tc>
          <w:tcPr>
            <w:tcW w:w="38" w:type="dxa"/>
            <w:tcBorders/>
            <w:shd w:fill="auto" w:val="clear"/>
            <w:vAlign w:val="center"/>
          </w:tcPr>
          <w:p>
            <w:pPr>
              <w:pStyle w:val="TableContents"/>
              <w:spacing w:before="0" w:after="283"/>
              <w:rPr/>
            </w:pPr>
            <w:r>
              <w:rPr/>
            </w:r>
          </w:p>
        </w:tc>
        <w:tc>
          <w:tcPr>
            <w:tcW w:w="267" w:type="dxa"/>
            <w:tcBorders/>
            <w:shd w:fill="auto" w:val="clear"/>
            <w:vAlign w:val="center"/>
          </w:tcPr>
          <w:p>
            <w:pPr>
              <w:pStyle w:val="TableContents"/>
              <w:spacing w:before="0" w:after="283"/>
              <w:rPr/>
            </w:pPr>
            <w:r>
              <w:rPr/>
              <w:t>(9)</w:t>
            </w:r>
          </w:p>
        </w:tc>
        <w:tc>
          <w:tcPr>
            <w:tcW w:w="10234" w:type="dxa"/>
            <w:tcBorders/>
            <w:shd w:fill="auto" w:val="clear"/>
            <w:vAlign w:val="center"/>
          </w:tcPr>
          <w:p>
            <w:pPr>
              <w:pStyle w:val="TableContents"/>
              <w:spacing w:before="0" w:after="0"/>
              <w:rPr/>
            </w:pPr>
            <w:r>
              <w:rPr/>
              <w:t>All investments were valued at fair value. See Note 4 — Fair Value of Financial Instruments in the accompanying notes to the financial statements.</w:t>
            </w:r>
          </w:p>
        </w:tc>
      </w:tr>
    </w:tbl>
    <w:tbl>
      <w:tblPr>
        <w:tblW w:w="10539" w:type="dxa"/>
        <w:jc w:val="left"/>
        <w:tblInd w:w="0" w:type="dxa"/>
        <w:tblCellMar>
          <w:top w:w="0" w:type="dxa"/>
          <w:left w:w="0" w:type="dxa"/>
          <w:bottom w:w="0" w:type="dxa"/>
          <w:right w:w="0" w:type="dxa"/>
        </w:tblCellMar>
      </w:tblPr>
      <w:tblGrid>
        <w:gridCol w:w="38"/>
        <w:gridCol w:w="385"/>
        <w:gridCol w:w="10116"/>
      </w:tblGrid>
      <w:tr>
        <w:trPr/>
        <w:tc>
          <w:tcPr>
            <w:tcW w:w="38" w:type="dxa"/>
            <w:tcBorders/>
            <w:shd w:fill="auto" w:val="clear"/>
            <w:vAlign w:val="center"/>
          </w:tcPr>
          <w:p>
            <w:pPr>
              <w:pStyle w:val="TableContents"/>
              <w:spacing w:before="0" w:after="283"/>
              <w:rPr/>
            </w:pPr>
            <w:r>
              <w:rPr/>
            </w:r>
          </w:p>
        </w:tc>
        <w:tc>
          <w:tcPr>
            <w:tcW w:w="385" w:type="dxa"/>
            <w:tcBorders/>
            <w:shd w:fill="auto" w:val="clear"/>
            <w:vAlign w:val="center"/>
          </w:tcPr>
          <w:p>
            <w:pPr>
              <w:pStyle w:val="TableContents"/>
              <w:spacing w:before="0" w:after="283"/>
              <w:rPr/>
            </w:pPr>
            <w:r>
              <w:rPr/>
              <w:t>(10)</w:t>
            </w:r>
          </w:p>
        </w:tc>
        <w:tc>
          <w:tcPr>
            <w:tcW w:w="10116" w:type="dxa"/>
            <w:tcBorders/>
            <w:shd w:fill="auto" w:val="clear"/>
            <w:vAlign w:val="center"/>
          </w:tcPr>
          <w:p>
            <w:pPr>
              <w:pStyle w:val="TableContents"/>
              <w:spacing w:before="0" w:after="0"/>
              <w:rPr/>
            </w:pPr>
            <w:r>
              <w:rPr/>
              <w:t>The Company uses the North American Industry Classification System (“NAICS”) code for classifying the industry grouping of its portfolio companies.</w:t>
            </w:r>
          </w:p>
        </w:tc>
      </w:tr>
    </w:tbl>
    <w:tbl>
      <w:tblPr>
        <w:tblW w:w="4323" w:type="dxa"/>
        <w:jc w:val="left"/>
        <w:tblInd w:w="0" w:type="dxa"/>
        <w:tblCellMar>
          <w:top w:w="0" w:type="dxa"/>
          <w:left w:w="0" w:type="dxa"/>
          <w:bottom w:w="0" w:type="dxa"/>
          <w:right w:w="0" w:type="dxa"/>
        </w:tblCellMar>
      </w:tblPr>
      <w:tblGrid>
        <w:gridCol w:w="38"/>
        <w:gridCol w:w="410"/>
        <w:gridCol w:w="3875"/>
      </w:tblGrid>
      <w:tr>
        <w:trPr/>
        <w:tc>
          <w:tcPr>
            <w:tcW w:w="38" w:type="dxa"/>
            <w:tcBorders/>
            <w:shd w:fill="auto" w:val="clear"/>
            <w:vAlign w:val="center"/>
          </w:tcPr>
          <w:p>
            <w:pPr>
              <w:pStyle w:val="TableContents"/>
              <w:spacing w:before="0" w:after="283"/>
              <w:rPr/>
            </w:pPr>
            <w:r>
              <w:rPr/>
            </w:r>
          </w:p>
        </w:tc>
        <w:tc>
          <w:tcPr>
            <w:tcW w:w="410" w:type="dxa"/>
            <w:tcBorders/>
            <w:shd w:fill="auto" w:val="clear"/>
            <w:vAlign w:val="center"/>
          </w:tcPr>
          <w:p>
            <w:pPr>
              <w:pStyle w:val="TableContents"/>
              <w:spacing w:before="0" w:after="283"/>
              <w:rPr/>
            </w:pPr>
            <w:r>
              <w:rPr/>
              <w:t>(11)</w:t>
            </w:r>
          </w:p>
        </w:tc>
        <w:tc>
          <w:tcPr>
            <w:tcW w:w="3875" w:type="dxa"/>
            <w:tcBorders/>
            <w:shd w:fill="auto" w:val="clear"/>
            <w:vAlign w:val="center"/>
          </w:tcPr>
          <w:p>
            <w:pPr>
              <w:pStyle w:val="TableContents"/>
              <w:spacing w:before="0" w:after="0"/>
              <w:rPr/>
            </w:pPr>
            <w:r>
              <w:rPr/>
              <w:t>As of March 31, 2023 PRIME is 8.00%.</w:t>
            </w:r>
          </w:p>
        </w:tc>
      </w:tr>
    </w:tbl>
    <w:tbl>
      <w:tblPr>
        <w:tblW w:w="6513" w:type="dxa"/>
        <w:jc w:val="left"/>
        <w:tblInd w:w="0" w:type="dxa"/>
        <w:tblCellMar>
          <w:top w:w="0" w:type="dxa"/>
          <w:left w:w="0" w:type="dxa"/>
          <w:bottom w:w="0" w:type="dxa"/>
          <w:right w:w="0" w:type="dxa"/>
        </w:tblCellMar>
      </w:tblPr>
      <w:tblGrid>
        <w:gridCol w:w="38"/>
        <w:gridCol w:w="410"/>
        <w:gridCol w:w="6065"/>
      </w:tblGrid>
      <w:tr>
        <w:trPr/>
        <w:tc>
          <w:tcPr>
            <w:tcW w:w="38" w:type="dxa"/>
            <w:tcBorders/>
            <w:shd w:fill="auto" w:val="clear"/>
            <w:vAlign w:val="center"/>
          </w:tcPr>
          <w:p>
            <w:pPr>
              <w:pStyle w:val="TableContents"/>
              <w:spacing w:before="0" w:after="283"/>
              <w:rPr/>
            </w:pPr>
            <w:r>
              <w:rPr/>
            </w:r>
          </w:p>
        </w:tc>
        <w:tc>
          <w:tcPr>
            <w:tcW w:w="410" w:type="dxa"/>
            <w:tcBorders/>
            <w:shd w:fill="auto" w:val="clear"/>
            <w:vAlign w:val="center"/>
          </w:tcPr>
          <w:p>
            <w:pPr>
              <w:pStyle w:val="TableContents"/>
              <w:spacing w:before="0" w:after="283"/>
              <w:rPr/>
            </w:pPr>
            <w:r>
              <w:rPr/>
              <w:t>(12)</w:t>
            </w:r>
          </w:p>
        </w:tc>
        <w:tc>
          <w:tcPr>
            <w:tcW w:w="6065" w:type="dxa"/>
            <w:tcBorders/>
            <w:shd w:fill="auto" w:val="clear"/>
            <w:vAlign w:val="center"/>
          </w:tcPr>
          <w:p>
            <w:pPr>
              <w:pStyle w:val="TableContents"/>
              <w:spacing w:before="0" w:after="0"/>
              <w:rPr/>
            </w:pPr>
            <w:r>
              <w:rPr/>
              <w:t>The annualized seven-day yield as of March 31, 2023 is 4.70%.</w:t>
            </w:r>
          </w:p>
        </w:tc>
      </w:tr>
    </w:tbl>
    <w:p>
      <w:pPr>
        <w:pStyle w:val="TextBody"/>
        <w:spacing w:before="0" w:after="0"/>
        <w:jc w:val="center"/>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color w:val="000000"/>
          <w:sz w:val="20"/>
        </w:rPr>
      </w:pPr>
      <w:r>
        <w:rPr>
          <w:rFonts w:ascii="Times New Roman" w:hAnsi="Times New Roman"/>
          <w:color w:val="000000"/>
          <w:sz w:val="20"/>
        </w:rPr>
        <w:t>See notes to financial statements.</w:t>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SILVER SPIKE INVESTMENT CORP.</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Schedule of Investments</w:t>
      </w:r>
    </w:p>
    <w:p>
      <w:pPr>
        <w:pStyle w:val="TextBody"/>
        <w:spacing w:before="0" w:after="0"/>
        <w:jc w:val="center"/>
        <w:rPr>
          <w:rFonts w:ascii="Times New Roman" w:hAnsi="Times New Roman"/>
          <w:b/>
          <w:color w:val="000000"/>
          <w:sz w:val="20"/>
        </w:rPr>
      </w:pPr>
      <w:r>
        <w:rPr>
          <w:rFonts w:ascii="Times New Roman" w:hAnsi="Times New Roman"/>
          <w:b/>
          <w:color w:val="000000"/>
          <w:sz w:val="20"/>
        </w:rPr>
        <w:t>December 31, 2022</w:t>
      </w:r>
    </w:p>
    <w:p>
      <w:pPr>
        <w:pStyle w:val="TextBody"/>
        <w:spacing w:before="0" w:after="0"/>
        <w:jc w:val="center"/>
        <w:rPr>
          <w:color w:val="000000"/>
        </w:rPr>
      </w:pPr>
      <w:r>
        <w:rPr>
          <w:color w:val="000000"/>
        </w:rPr>
        <w:t> </w:t>
      </w:r>
      <w:r>
        <w:rPr>
          <w:rFonts w:ascii="Times New Roman" w:hAnsi="Times New Roman"/>
          <w:b/>
          <w:color w:val="000000"/>
          <w:sz w:val="20"/>
        </w:rPr>
        <w:t>(in thousands)</w:t>
      </w:r>
    </w:p>
    <w:p>
      <w:pPr>
        <w:pStyle w:val="TextBody"/>
        <w:spacing w:before="0" w:after="0"/>
        <w:jc w:val="left"/>
        <w:rPr>
          <w:rFonts w:ascii="Times New Roman" w:hAnsi="Times New Roman"/>
          <w:sz w:val="20"/>
        </w:rPr>
      </w:pPr>
      <w:r>
        <w:rPr>
          <w:rFonts w:ascii="Times New Roman" w:hAnsi="Times New Roman"/>
          <w:sz w:val="20"/>
        </w:rPr>
      </w:r>
    </w:p>
    <w:tbl>
      <w:tblPr>
        <w:tblW w:w="14975" w:type="dxa"/>
        <w:jc w:val="left"/>
        <w:tblInd w:w="0" w:type="dxa"/>
        <w:tblCellMar>
          <w:top w:w="0" w:type="dxa"/>
          <w:left w:w="0" w:type="dxa"/>
          <w:bottom w:w="28" w:type="dxa"/>
          <w:right w:w="0" w:type="dxa"/>
        </w:tblCellMar>
      </w:tblPr>
      <w:tblGrid>
        <w:gridCol w:w="1325"/>
        <w:gridCol w:w="1145"/>
        <w:gridCol w:w="1145"/>
        <w:gridCol w:w="935"/>
        <w:gridCol w:w="830"/>
        <w:gridCol w:w="60"/>
        <w:gridCol w:w="316"/>
        <w:gridCol w:w="739"/>
        <w:gridCol w:w="60"/>
        <w:gridCol w:w="1205"/>
        <w:gridCol w:w="3000"/>
        <w:gridCol w:w="60"/>
        <w:gridCol w:w="162"/>
        <w:gridCol w:w="788"/>
        <w:gridCol w:w="60"/>
        <w:gridCol w:w="60"/>
        <w:gridCol w:w="187"/>
        <w:gridCol w:w="913"/>
        <w:gridCol w:w="60"/>
        <w:gridCol w:w="60"/>
        <w:gridCol w:w="140"/>
        <w:gridCol w:w="680"/>
        <w:gridCol w:w="60"/>
        <w:gridCol w:w="60"/>
        <w:gridCol w:w="62"/>
        <w:gridCol w:w="588"/>
        <w:gridCol w:w="275"/>
      </w:tblGrid>
      <w:tr>
        <w:trPr/>
        <w:tc>
          <w:tcPr>
            <w:tcW w:w="1325" w:type="dxa"/>
            <w:tcBorders>
              <w:bottom w:val="single" w:sz="12" w:space="0" w:color="000000"/>
            </w:tcBorders>
            <w:shd w:fill="auto" w:val="clear"/>
            <w:vAlign w:val="bottom"/>
          </w:tcPr>
          <w:p>
            <w:pPr>
              <w:pStyle w:val="TableContents"/>
              <w:spacing w:before="0" w:after="0"/>
              <w:rPr>
                <w:b/>
                <w:color w:val="000000"/>
              </w:rPr>
            </w:pPr>
            <w:r>
              <w:rPr>
                <w:b/>
                <w:color w:val="000000"/>
              </w:rPr>
              <w:t>Portfolio Company (1)</w:t>
            </w:r>
          </w:p>
        </w:tc>
        <w:tc>
          <w:tcPr>
            <w:tcW w:w="1145" w:type="dxa"/>
            <w:tcBorders>
              <w:bottom w:val="single" w:sz="12" w:space="0" w:color="000000"/>
            </w:tcBorders>
            <w:shd w:fill="auto" w:val="clear"/>
            <w:vAlign w:val="bottom"/>
          </w:tcPr>
          <w:p>
            <w:pPr>
              <w:pStyle w:val="TableContents"/>
              <w:spacing w:before="0" w:after="0"/>
              <w:jc w:val="center"/>
              <w:rPr>
                <w:b/>
                <w:color w:val="000000"/>
              </w:rPr>
            </w:pPr>
            <w:r>
              <w:rPr>
                <w:b/>
                <w:color w:val="000000"/>
              </w:rPr>
              <w:t>Type of Investment (2)</w:t>
            </w:r>
          </w:p>
        </w:tc>
        <w:tc>
          <w:tcPr>
            <w:tcW w:w="1145" w:type="dxa"/>
            <w:tcBorders>
              <w:bottom w:val="single" w:sz="12" w:space="0" w:color="000000"/>
            </w:tcBorders>
            <w:shd w:fill="auto" w:val="clear"/>
            <w:vAlign w:val="bottom"/>
          </w:tcPr>
          <w:p>
            <w:pPr>
              <w:pStyle w:val="TableContents"/>
              <w:spacing w:before="0" w:after="0"/>
              <w:jc w:val="center"/>
              <w:rPr>
                <w:b/>
                <w:color w:val="000000"/>
              </w:rPr>
            </w:pPr>
            <w:r>
              <w:rPr>
                <w:b/>
                <w:color w:val="000000"/>
              </w:rPr>
              <w:t xml:space="preserve">Investment </w:t>
            </w:r>
          </w:p>
          <w:p>
            <w:pPr>
              <w:pStyle w:val="TableContents"/>
              <w:spacing w:before="0" w:after="0"/>
              <w:jc w:val="center"/>
              <w:rPr>
                <w:b/>
                <w:color w:val="000000"/>
              </w:rPr>
            </w:pPr>
            <w:r>
              <w:rPr>
                <w:b/>
                <w:color w:val="000000"/>
              </w:rPr>
              <w:t>Date (3)</w:t>
            </w:r>
          </w:p>
        </w:tc>
        <w:tc>
          <w:tcPr>
            <w:tcW w:w="935" w:type="dxa"/>
            <w:tcBorders>
              <w:bottom w:val="single" w:sz="12" w:space="0" w:color="000000"/>
            </w:tcBorders>
            <w:shd w:fill="auto" w:val="clear"/>
            <w:vAlign w:val="bottom"/>
          </w:tcPr>
          <w:p>
            <w:pPr>
              <w:pStyle w:val="TableContents"/>
              <w:spacing w:before="0" w:after="0"/>
              <w:jc w:val="center"/>
              <w:rPr>
                <w:b/>
                <w:color w:val="000000"/>
              </w:rPr>
            </w:pPr>
            <w:r>
              <w:rPr>
                <w:b/>
                <w:color w:val="000000"/>
              </w:rPr>
              <w:t>Maturity</w:t>
            </w:r>
          </w:p>
          <w:p>
            <w:pPr>
              <w:pStyle w:val="TableContents"/>
              <w:spacing w:before="0" w:after="0"/>
              <w:jc w:val="center"/>
              <w:rPr>
                <w:b/>
                <w:color w:val="000000"/>
              </w:rPr>
            </w:pPr>
            <w:r>
              <w:rPr>
                <w:b/>
                <w:color w:val="000000"/>
              </w:rPr>
              <w:t>Date</w:t>
            </w:r>
          </w:p>
        </w:tc>
        <w:tc>
          <w:tcPr>
            <w:tcW w:w="830" w:type="dxa"/>
            <w:tcBorders>
              <w:bottom w:val="single" w:sz="12" w:space="0" w:color="000000"/>
            </w:tcBorders>
            <w:shd w:fill="auto" w:val="clear"/>
            <w:vAlign w:val="bottom"/>
          </w:tcPr>
          <w:p>
            <w:pPr>
              <w:pStyle w:val="TableContents"/>
              <w:spacing w:before="0" w:after="0"/>
              <w:jc w:val="center"/>
              <w:rPr>
                <w:b/>
                <w:color w:val="000000"/>
              </w:rPr>
            </w:pPr>
            <w:r>
              <w:rPr>
                <w:b/>
                <w:color w:val="000000"/>
              </w:rPr>
              <w:t>Interest Rate (4)</w:t>
            </w:r>
          </w:p>
        </w:tc>
        <w:tc>
          <w:tcPr>
            <w:tcW w:w="60" w:type="dxa"/>
            <w:tcBorders/>
            <w:shd w:fill="auto" w:val="clear"/>
            <w:tcMar>
              <w:bottom w:w="0" w:type="dxa"/>
            </w:tcMar>
            <w:vAlign w:val="bottom"/>
          </w:tcPr>
          <w:p>
            <w:pPr>
              <w:pStyle w:val="TableContents"/>
              <w:spacing w:before="0" w:after="283"/>
              <w:rPr/>
            </w:pPr>
            <w:r>
              <w:rPr/>
              <w:t> </w:t>
            </w:r>
          </w:p>
        </w:tc>
        <w:tc>
          <w:tcPr>
            <w:tcW w:w="1055"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Fair Value</w:t>
              <w:br/>
              <w:t>Hierarchy (5)</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bottom w:val="single" w:sz="12" w:space="0" w:color="000000"/>
            </w:tcBorders>
            <w:shd w:fill="auto" w:val="clear"/>
            <w:vAlign w:val="bottom"/>
          </w:tcPr>
          <w:p>
            <w:pPr>
              <w:pStyle w:val="TableContents"/>
              <w:spacing w:before="0" w:after="0"/>
              <w:jc w:val="center"/>
              <w:rPr>
                <w:b/>
                <w:color w:val="000000"/>
              </w:rPr>
            </w:pPr>
            <w:r>
              <w:rPr>
                <w:b/>
                <w:color w:val="000000"/>
              </w:rPr>
              <w:t>Geographic</w:t>
              <w:br/>
              <w:t>Region (6)</w:t>
            </w:r>
          </w:p>
        </w:tc>
        <w:tc>
          <w:tcPr>
            <w:tcW w:w="3000" w:type="dxa"/>
            <w:tcBorders>
              <w:bottom w:val="single" w:sz="12" w:space="0" w:color="000000"/>
            </w:tcBorders>
            <w:shd w:fill="auto" w:val="clear"/>
            <w:vAlign w:val="bottom"/>
          </w:tcPr>
          <w:p>
            <w:pPr>
              <w:pStyle w:val="TableContents"/>
              <w:spacing w:before="0" w:after="0"/>
              <w:jc w:val="center"/>
              <w:rPr>
                <w:b/>
                <w:color w:val="000000"/>
              </w:rPr>
            </w:pPr>
            <w:r>
              <w:rPr>
                <w:b/>
                <w:color w:val="000000"/>
              </w:rPr>
              <w:t>Non-</w:t>
            </w:r>
          </w:p>
          <w:p>
            <w:pPr>
              <w:pStyle w:val="TableContents"/>
              <w:spacing w:before="0" w:after="0"/>
              <w:jc w:val="center"/>
              <w:rPr>
                <w:b/>
                <w:color w:val="000000"/>
              </w:rPr>
            </w:pPr>
            <w:r>
              <w:rPr>
                <w:b/>
                <w:color w:val="000000"/>
              </w:rPr>
              <w:t>Qualifying</w:t>
            </w:r>
          </w:p>
          <w:p>
            <w:pPr>
              <w:pStyle w:val="TableContents"/>
              <w:spacing w:before="0" w:after="0"/>
              <w:jc w:val="center"/>
              <w:rPr>
                <w:b/>
                <w:color w:val="000000"/>
              </w:rPr>
            </w:pPr>
            <w:r>
              <w:rPr>
                <w:b/>
                <w:color w:val="000000"/>
              </w:rPr>
              <w:t>Asset (7)</w:t>
            </w:r>
          </w:p>
        </w:tc>
        <w:tc>
          <w:tcPr>
            <w:tcW w:w="60" w:type="dxa"/>
            <w:tcBorders/>
            <w:shd w:fill="auto" w:val="clear"/>
            <w:tcMar>
              <w:bottom w:w="0" w:type="dxa"/>
            </w:tcMar>
            <w:vAlign w:val="bottom"/>
          </w:tcPr>
          <w:p>
            <w:pPr>
              <w:pStyle w:val="TableContents"/>
              <w:spacing w:before="0" w:after="283"/>
              <w:rPr/>
            </w:pPr>
            <w:r>
              <w:rPr/>
              <w:t> </w:t>
            </w:r>
          </w:p>
        </w:tc>
        <w:tc>
          <w:tcPr>
            <w:tcW w:w="950"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 xml:space="preserve">Principal </w:t>
            </w:r>
          </w:p>
          <w:p>
            <w:pPr>
              <w:pStyle w:val="TableContents"/>
              <w:spacing w:before="0" w:after="0"/>
              <w:jc w:val="center"/>
              <w:rPr>
                <w:b/>
                <w:color w:val="000000"/>
              </w:rPr>
            </w:pPr>
            <w:r>
              <w:rPr>
                <w:b/>
                <w:color w:val="000000"/>
              </w:rPr>
              <w:t>Amount (8)</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1100"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 xml:space="preserve">Amortized </w:t>
            </w:r>
          </w:p>
          <w:p>
            <w:pPr>
              <w:pStyle w:val="TableContents"/>
              <w:spacing w:before="0" w:after="0"/>
              <w:jc w:val="center"/>
              <w:rPr>
                <w:b/>
                <w:color w:val="000000"/>
              </w:rPr>
            </w:pPr>
            <w:r>
              <w:rPr>
                <w:b/>
                <w:color w:val="000000"/>
              </w:rPr>
              <w:t>Cost</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820"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Fair</w:t>
              <w:br/>
              <w:t>Value (9)</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650"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 of</w:t>
            </w:r>
          </w:p>
          <w:p>
            <w:pPr>
              <w:pStyle w:val="TableContents"/>
              <w:spacing w:before="0" w:after="0"/>
              <w:jc w:val="center"/>
              <w:rPr>
                <w:b/>
                <w:color w:val="000000"/>
              </w:rPr>
            </w:pPr>
            <w:r>
              <w:rPr>
                <w:b/>
                <w:color w:val="000000"/>
              </w:rPr>
              <w:t>Net Assets</w:t>
            </w:r>
          </w:p>
        </w:tc>
        <w:tc>
          <w:tcPr>
            <w:tcW w:w="275" w:type="dxa"/>
            <w:tcBorders/>
            <w:shd w:fill="auto" w:val="clear"/>
            <w:tcMar>
              <w:bottom w:w="0" w:type="dxa"/>
            </w:tcMar>
            <w:vAlign w:val="bottom"/>
          </w:tcPr>
          <w:p>
            <w:pPr>
              <w:pStyle w:val="TableContents"/>
              <w:spacing w:before="0" w:after="283"/>
              <w:jc w:val="left"/>
              <w:rPr/>
            </w:pPr>
            <w:r>
              <w:rPr/>
              <w:t> </w:t>
            </w:r>
          </w:p>
        </w:tc>
      </w:tr>
      <w:tr>
        <w:trPr/>
        <w:tc>
          <w:tcPr>
            <w:tcW w:w="1325" w:type="dxa"/>
            <w:tcBorders/>
            <w:shd w:fill="auto" w:val="clear"/>
            <w:tcMar>
              <w:bottom w:w="0" w:type="dxa"/>
            </w:tcMar>
            <w:vAlign w:val="bottom"/>
          </w:tcPr>
          <w:p>
            <w:pPr>
              <w:pStyle w:val="TableContents"/>
              <w:spacing w:before="0" w:after="0"/>
              <w:rPr>
                <w:b/>
                <w:color w:val="000000"/>
              </w:rPr>
            </w:pPr>
            <w:r>
              <w:rPr>
                <w:b/>
                <w:color w:val="000000"/>
              </w:rPr>
              <w:t>Debt Securities - United States</w:t>
            </w:r>
          </w:p>
        </w:tc>
        <w:tc>
          <w:tcPr>
            <w:tcW w:w="1145" w:type="dxa"/>
            <w:tcBorders/>
            <w:shd w:fill="auto" w:val="clear"/>
            <w:tcMar>
              <w:bottom w:w="0" w:type="dxa"/>
            </w:tcMar>
            <w:vAlign w:val="bottom"/>
          </w:tcPr>
          <w:p>
            <w:pPr>
              <w:pStyle w:val="TableContents"/>
              <w:spacing w:before="0" w:after="0"/>
              <w:jc w:val="center"/>
              <w:rPr>
                <w:color w:val="000000"/>
              </w:rPr>
            </w:pPr>
            <w:r>
              <w:rPr>
                <w:color w:val="000000"/>
              </w:rPr>
              <w:t> </w:t>
            </w:r>
          </w:p>
        </w:tc>
        <w:tc>
          <w:tcPr>
            <w:tcW w:w="1145" w:type="dxa"/>
            <w:tcBorders/>
            <w:shd w:fill="auto" w:val="clear"/>
            <w:tcMar>
              <w:bottom w:w="0" w:type="dxa"/>
            </w:tcMar>
            <w:vAlign w:val="bottom"/>
          </w:tcPr>
          <w:p>
            <w:pPr>
              <w:pStyle w:val="TableContents"/>
              <w:spacing w:before="0" w:after="0"/>
              <w:jc w:val="center"/>
              <w:rPr>
                <w:color w:val="000000"/>
              </w:rPr>
            </w:pPr>
            <w:r>
              <w:rPr>
                <w:color w:val="000000"/>
              </w:rPr>
              <w:t> </w:t>
            </w:r>
          </w:p>
        </w:tc>
        <w:tc>
          <w:tcPr>
            <w:tcW w:w="935" w:type="dxa"/>
            <w:tcBorders/>
            <w:shd w:fill="auto" w:val="clear"/>
            <w:tcMar>
              <w:bottom w:w="0" w:type="dxa"/>
            </w:tcMar>
            <w:vAlign w:val="bottom"/>
          </w:tcPr>
          <w:p>
            <w:pPr>
              <w:pStyle w:val="TableContents"/>
              <w:spacing w:before="0" w:after="0"/>
              <w:jc w:val="center"/>
              <w:rPr>
                <w:color w:val="000000"/>
              </w:rPr>
            </w:pPr>
            <w:r>
              <w:rPr>
                <w:color w:val="000000"/>
              </w:rPr>
              <w:t> </w:t>
            </w:r>
          </w:p>
        </w:tc>
        <w:tc>
          <w:tcPr>
            <w:tcW w:w="830" w:type="dxa"/>
            <w:tcBorders/>
            <w:shd w:fill="auto" w:val="clear"/>
            <w:tcMar>
              <w:bottom w:w="0" w:type="dxa"/>
            </w:tcMar>
            <w:vAlign w:val="bottom"/>
          </w:tcPr>
          <w:p>
            <w:pPr>
              <w:pStyle w:val="TableContents"/>
              <w:spacing w:before="0" w:after="0"/>
              <w:jc w:val="center"/>
              <w:rPr>
                <w:color w:val="000000"/>
              </w:rPr>
            </w:pPr>
            <w:r>
              <w:rPr>
                <w:color w:val="000000"/>
              </w:rPr>
              <w:t> </w:t>
            </w:r>
          </w:p>
        </w:tc>
        <w:tc>
          <w:tcPr>
            <w:tcW w:w="60" w:type="dxa"/>
            <w:tcBorders/>
            <w:shd w:fill="auto" w:val="clear"/>
            <w:tcMar>
              <w:bottom w:w="0" w:type="dxa"/>
            </w:tcMar>
            <w:vAlign w:val="bottom"/>
          </w:tcPr>
          <w:p>
            <w:pPr>
              <w:pStyle w:val="TableContents"/>
              <w:spacing w:before="0" w:after="283"/>
              <w:rPr/>
            </w:pPr>
            <w:r>
              <w:rPr/>
              <w:t> </w:t>
            </w:r>
          </w:p>
        </w:tc>
        <w:tc>
          <w:tcPr>
            <w:tcW w:w="1055"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283"/>
              <w:rPr/>
            </w:pPr>
            <w:r>
              <w:rPr/>
              <w:t> </w:t>
            </w:r>
          </w:p>
        </w:tc>
        <w:tc>
          <w:tcPr>
            <w:tcW w:w="3000" w:type="dxa"/>
            <w:tcBorders/>
            <w:shd w:fill="auto" w:val="clear"/>
            <w:tcMar>
              <w:bottom w:w="0" w:type="dxa"/>
            </w:tcMar>
            <w:vAlign w:val="bottom"/>
          </w:tcPr>
          <w:p>
            <w:pPr>
              <w:pStyle w:val="TableContents"/>
              <w:spacing w:before="0" w:after="0"/>
              <w:jc w:val="center"/>
              <w:rPr>
                <w:color w:val="000000"/>
              </w:rPr>
            </w:pPr>
            <w:r>
              <w:rPr>
                <w:color w:val="000000"/>
              </w:rPr>
              <w:t> </w:t>
            </w:r>
          </w:p>
        </w:tc>
        <w:tc>
          <w:tcPr>
            <w:tcW w:w="60" w:type="dxa"/>
            <w:tcBorders/>
            <w:shd w:fill="auto" w:val="clear"/>
            <w:tcMar>
              <w:bottom w:w="0" w:type="dxa"/>
            </w:tcMar>
            <w:vAlign w:val="bottom"/>
          </w:tcPr>
          <w:p>
            <w:pPr>
              <w:pStyle w:val="TableContents"/>
              <w:spacing w:before="0" w:after="283"/>
              <w:rPr/>
            </w:pPr>
            <w:r>
              <w:rPr/>
              <w:t> </w:t>
            </w:r>
          </w:p>
        </w:tc>
        <w:tc>
          <w:tcPr>
            <w:tcW w:w="950"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1100"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820"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650" w:type="dxa"/>
            <w:gridSpan w:val="2"/>
            <w:tcBorders/>
            <w:shd w:fill="auto" w:val="clear"/>
            <w:tcMar>
              <w:bottom w:w="0" w:type="dxa"/>
            </w:tcMar>
            <w:vAlign w:val="bottom"/>
          </w:tcPr>
          <w:p>
            <w:pPr>
              <w:pStyle w:val="TableContents"/>
              <w:spacing w:before="0" w:after="283"/>
              <w:rPr/>
            </w:pPr>
            <w:r>
              <w:rPr/>
              <w:t> </w:t>
            </w:r>
          </w:p>
        </w:tc>
        <w:tc>
          <w:tcPr>
            <w:tcW w:w="275" w:type="dxa"/>
            <w:tcBorders/>
            <w:shd w:fill="auto" w:val="clear"/>
            <w:tcMar>
              <w:bottom w:w="0" w:type="dxa"/>
            </w:tcMar>
            <w:vAlign w:val="bottom"/>
          </w:tcPr>
          <w:p>
            <w:pPr>
              <w:pStyle w:val="TableContents"/>
              <w:spacing w:before="0" w:after="283"/>
              <w:jc w:val="left"/>
              <w:rPr/>
            </w:pPr>
            <w:r>
              <w:rPr/>
              <w:t> </w:t>
            </w:r>
          </w:p>
        </w:tc>
      </w:tr>
      <w:tr>
        <w:trPr/>
        <w:tc>
          <w:tcPr>
            <w:tcW w:w="1325" w:type="dxa"/>
            <w:tcBorders>
              <w:bottom w:val="single" w:sz="12" w:space="0" w:color="000000"/>
            </w:tcBorders>
            <w:shd w:fill="auto" w:val="clear"/>
            <w:vAlign w:val="bottom"/>
          </w:tcPr>
          <w:p>
            <w:pPr>
              <w:pStyle w:val="TableContents"/>
              <w:spacing w:before="0" w:after="0"/>
              <w:rPr>
                <w:b/>
                <w:color w:val="000000"/>
              </w:rPr>
            </w:pPr>
            <w:r>
              <w:rPr>
                <w:b/>
                <w:color w:val="000000"/>
              </w:rPr>
              <w:t>Wholesale Trade (10)</w:t>
            </w:r>
          </w:p>
        </w:tc>
        <w:tc>
          <w:tcPr>
            <w:tcW w:w="1145" w:type="dxa"/>
            <w:tcBorders/>
            <w:shd w:fill="auto" w:val="clear"/>
            <w:tcMar>
              <w:bottom w:w="0" w:type="dxa"/>
            </w:tcMar>
            <w:vAlign w:val="bottom"/>
          </w:tcPr>
          <w:p>
            <w:pPr>
              <w:pStyle w:val="TableContents"/>
              <w:spacing w:before="0" w:after="0"/>
              <w:jc w:val="center"/>
              <w:rPr>
                <w:color w:val="000000"/>
              </w:rPr>
            </w:pPr>
            <w:r>
              <w:rPr>
                <w:color w:val="000000"/>
              </w:rPr>
              <w:t> </w:t>
            </w:r>
          </w:p>
        </w:tc>
        <w:tc>
          <w:tcPr>
            <w:tcW w:w="1145" w:type="dxa"/>
            <w:tcBorders/>
            <w:shd w:fill="auto" w:val="clear"/>
            <w:tcMar>
              <w:bottom w:w="0" w:type="dxa"/>
            </w:tcMar>
            <w:vAlign w:val="bottom"/>
          </w:tcPr>
          <w:p>
            <w:pPr>
              <w:pStyle w:val="TableContents"/>
              <w:spacing w:before="0" w:after="283"/>
              <w:rPr/>
            </w:pPr>
            <w:r>
              <w:rPr/>
              <w:t> </w:t>
            </w:r>
          </w:p>
        </w:tc>
        <w:tc>
          <w:tcPr>
            <w:tcW w:w="935" w:type="dxa"/>
            <w:tcBorders/>
            <w:shd w:fill="auto" w:val="clear"/>
            <w:tcMar>
              <w:bottom w:w="0" w:type="dxa"/>
            </w:tcMar>
            <w:vAlign w:val="bottom"/>
          </w:tcPr>
          <w:p>
            <w:pPr>
              <w:pStyle w:val="TableContents"/>
              <w:spacing w:before="0" w:after="283"/>
              <w:rPr/>
            </w:pPr>
            <w:r>
              <w:rPr/>
              <w:t> </w:t>
            </w:r>
          </w:p>
        </w:tc>
        <w:tc>
          <w:tcPr>
            <w:tcW w:w="83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055"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283"/>
              <w:rPr/>
            </w:pPr>
            <w:r>
              <w:rPr/>
              <w:t> </w:t>
            </w:r>
          </w:p>
        </w:tc>
        <w:tc>
          <w:tcPr>
            <w:tcW w:w="3000" w:type="dxa"/>
            <w:tcBorders/>
            <w:shd w:fill="auto" w:val="clear"/>
            <w:tcMar>
              <w:bottom w:w="0" w:type="dxa"/>
            </w:tcMar>
            <w:vAlign w:val="bottom"/>
          </w:tcPr>
          <w:p>
            <w:pPr>
              <w:pStyle w:val="TableContents"/>
              <w:spacing w:before="0" w:after="0"/>
              <w:jc w:val="center"/>
              <w:rPr>
                <w:color w:val="000000"/>
              </w:rPr>
            </w:pPr>
            <w:r>
              <w:rPr>
                <w:color w:val="000000"/>
              </w:rPr>
              <w:t> </w:t>
            </w:r>
          </w:p>
        </w:tc>
        <w:tc>
          <w:tcPr>
            <w:tcW w:w="60" w:type="dxa"/>
            <w:tcBorders/>
            <w:shd w:fill="auto" w:val="clear"/>
            <w:tcMar>
              <w:bottom w:w="0" w:type="dxa"/>
            </w:tcMar>
            <w:vAlign w:val="bottom"/>
          </w:tcPr>
          <w:p>
            <w:pPr>
              <w:pStyle w:val="TableContents"/>
              <w:spacing w:before="0" w:after="283"/>
              <w:rPr/>
            </w:pPr>
            <w:r>
              <w:rPr/>
              <w:t> </w:t>
            </w:r>
          </w:p>
        </w:tc>
        <w:tc>
          <w:tcPr>
            <w:tcW w:w="950"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1100"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820"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650" w:type="dxa"/>
            <w:gridSpan w:val="2"/>
            <w:tcBorders/>
            <w:shd w:fill="auto" w:val="clear"/>
            <w:tcMar>
              <w:bottom w:w="0" w:type="dxa"/>
            </w:tcMar>
            <w:vAlign w:val="bottom"/>
          </w:tcPr>
          <w:p>
            <w:pPr>
              <w:pStyle w:val="TableContents"/>
              <w:spacing w:before="0" w:after="283"/>
              <w:rPr/>
            </w:pPr>
            <w:r>
              <w:rPr/>
              <w:t> </w:t>
            </w:r>
          </w:p>
        </w:tc>
        <w:tc>
          <w:tcPr>
            <w:tcW w:w="275" w:type="dxa"/>
            <w:tcBorders/>
            <w:shd w:fill="auto" w:val="clear"/>
            <w:tcMar>
              <w:bottom w:w="0" w:type="dxa"/>
            </w:tcMar>
            <w:vAlign w:val="bottom"/>
          </w:tcPr>
          <w:p>
            <w:pPr>
              <w:pStyle w:val="TableContents"/>
              <w:spacing w:before="0" w:after="283"/>
              <w:jc w:val="left"/>
              <w:rPr/>
            </w:pPr>
            <w:r>
              <w:rPr/>
              <w:t> </w:t>
            </w:r>
          </w:p>
        </w:tc>
      </w:tr>
      <w:tr>
        <w:trPr/>
        <w:tc>
          <w:tcPr>
            <w:tcW w:w="1325" w:type="dxa"/>
            <w:tcBorders/>
            <w:shd w:fill="CCEEFF" w:val="clear"/>
            <w:tcMar>
              <w:bottom w:w="0" w:type="dxa"/>
            </w:tcMar>
            <w:vAlign w:val="bottom"/>
          </w:tcPr>
          <w:p>
            <w:pPr>
              <w:pStyle w:val="TableContents"/>
              <w:spacing w:before="0" w:after="0"/>
              <w:ind w:left="180" w:right="0" w:hanging="0"/>
              <w:rPr>
                <w:color w:val="000000"/>
              </w:rPr>
            </w:pPr>
            <w:r>
              <w:rPr>
                <w:color w:val="000000"/>
              </w:rPr>
              <w:t>AYR Wellness, Inc.</w:t>
            </w:r>
          </w:p>
        </w:tc>
        <w:tc>
          <w:tcPr>
            <w:tcW w:w="1145" w:type="dxa"/>
            <w:tcBorders/>
            <w:shd w:fill="CCEEFF" w:val="clear"/>
            <w:tcMar>
              <w:bottom w:w="0" w:type="dxa"/>
            </w:tcMar>
            <w:vAlign w:val="bottom"/>
          </w:tcPr>
          <w:p>
            <w:pPr>
              <w:pStyle w:val="TableContents"/>
              <w:spacing w:before="0" w:after="0"/>
              <w:rPr>
                <w:color w:val="000000"/>
              </w:rPr>
            </w:pPr>
            <w:r>
              <w:rPr>
                <w:color w:val="000000"/>
              </w:rPr>
              <w:t>Senior Secured Note</w:t>
            </w:r>
          </w:p>
        </w:tc>
        <w:tc>
          <w:tcPr>
            <w:tcW w:w="1145" w:type="dxa"/>
            <w:tcBorders/>
            <w:shd w:fill="CCEEFF" w:val="clear"/>
            <w:tcMar>
              <w:bottom w:w="0" w:type="dxa"/>
            </w:tcMar>
            <w:vAlign w:val="bottom"/>
          </w:tcPr>
          <w:p>
            <w:pPr>
              <w:pStyle w:val="TableContents"/>
              <w:spacing w:before="0" w:after="0"/>
              <w:jc w:val="center"/>
              <w:rPr>
                <w:color w:val="000000"/>
              </w:rPr>
            </w:pPr>
            <w:r>
              <w:rPr>
                <w:color w:val="000000"/>
              </w:rPr>
              <w:t>10/11/2022</w:t>
            </w:r>
          </w:p>
        </w:tc>
        <w:tc>
          <w:tcPr>
            <w:tcW w:w="935" w:type="dxa"/>
            <w:tcBorders/>
            <w:shd w:fill="CCEEFF" w:val="clear"/>
            <w:tcMar>
              <w:bottom w:w="0" w:type="dxa"/>
            </w:tcMar>
            <w:vAlign w:val="bottom"/>
          </w:tcPr>
          <w:p>
            <w:pPr>
              <w:pStyle w:val="TableContents"/>
              <w:spacing w:before="0" w:after="0"/>
              <w:jc w:val="center"/>
              <w:rPr>
                <w:color w:val="000000"/>
              </w:rPr>
            </w:pPr>
            <w:r>
              <w:rPr>
                <w:color w:val="000000"/>
              </w:rPr>
              <w:t>12/10/2024</w:t>
            </w:r>
          </w:p>
        </w:tc>
        <w:tc>
          <w:tcPr>
            <w:tcW w:w="830" w:type="dxa"/>
            <w:tcBorders/>
            <w:shd w:fill="CCEEFF" w:val="clear"/>
            <w:tcMar>
              <w:bottom w:w="0" w:type="dxa"/>
            </w:tcMar>
            <w:vAlign w:val="bottom"/>
          </w:tcPr>
          <w:p>
            <w:pPr>
              <w:pStyle w:val="TableContents"/>
              <w:spacing w:before="0" w:after="0"/>
              <w:jc w:val="center"/>
              <w:rPr>
                <w:color w:val="000000"/>
              </w:rPr>
            </w:pPr>
            <w:r>
              <w:rPr>
                <w:color w:val="000000"/>
              </w:rPr>
              <w:t>Fixed interest rate 12.5%</w:t>
            </w:r>
          </w:p>
        </w:tc>
        <w:tc>
          <w:tcPr>
            <w:tcW w:w="60" w:type="dxa"/>
            <w:tcBorders/>
            <w:shd w:fill="CCEEFF" w:val="clear"/>
            <w:tcMar>
              <w:bottom w:w="0" w:type="dxa"/>
            </w:tcMar>
            <w:vAlign w:val="bottom"/>
          </w:tcPr>
          <w:p>
            <w:pPr>
              <w:pStyle w:val="TableContents"/>
              <w:spacing w:before="0" w:after="283"/>
              <w:jc w:val="right"/>
              <w:rPr/>
            </w:pPr>
            <w:r>
              <w:rPr/>
              <w:t> </w:t>
            </w:r>
          </w:p>
        </w:tc>
        <w:tc>
          <w:tcPr>
            <w:tcW w:w="316" w:type="dxa"/>
            <w:tcBorders/>
            <w:shd w:fill="CCEEFF" w:val="clear"/>
            <w:tcMar>
              <w:bottom w:w="0" w:type="dxa"/>
            </w:tcMar>
            <w:vAlign w:val="bottom"/>
          </w:tcPr>
          <w:p>
            <w:pPr>
              <w:pStyle w:val="TableContents"/>
              <w:spacing w:before="0" w:after="283"/>
              <w:jc w:val="left"/>
              <w:rPr/>
            </w:pPr>
            <w:r>
              <w:rPr/>
              <w:t> </w:t>
            </w:r>
          </w:p>
        </w:tc>
        <w:tc>
          <w:tcPr>
            <w:tcW w:w="739" w:type="dxa"/>
            <w:tcBorders/>
            <w:shd w:fill="CCEEFF" w:val="clear"/>
            <w:tcMar>
              <w:bottom w:w="0" w:type="dxa"/>
            </w:tcMar>
            <w:vAlign w:val="bottom"/>
          </w:tcPr>
          <w:p>
            <w:pPr>
              <w:pStyle w:val="TableContents"/>
              <w:spacing w:before="0" w:after="0"/>
              <w:jc w:val="right"/>
              <w:rPr>
                <w:color w:val="000000"/>
              </w:rPr>
            </w:pPr>
            <w:r>
              <w:rPr>
                <w:color w:val="000000"/>
              </w:rPr>
              <w:t>3</w:t>
            </w:r>
          </w:p>
        </w:tc>
        <w:tc>
          <w:tcPr>
            <w:tcW w:w="60" w:type="dxa"/>
            <w:tcBorders/>
            <w:shd w:fill="CCEEFF" w:val="clear"/>
            <w:tcMar>
              <w:bottom w:w="0" w:type="dxa"/>
            </w:tcMar>
            <w:vAlign w:val="bottom"/>
          </w:tcPr>
          <w:p>
            <w:pPr>
              <w:pStyle w:val="TableContents"/>
              <w:spacing w:before="0" w:after="283"/>
              <w:jc w:val="left"/>
              <w:rPr/>
            </w:pPr>
            <w:r>
              <w:rPr/>
              <w:t> </w:t>
            </w:r>
          </w:p>
        </w:tc>
        <w:tc>
          <w:tcPr>
            <w:tcW w:w="1205" w:type="dxa"/>
            <w:tcBorders/>
            <w:shd w:fill="CCEEFF" w:val="clear"/>
            <w:tcMar>
              <w:bottom w:w="0" w:type="dxa"/>
            </w:tcMar>
            <w:vAlign w:val="bottom"/>
          </w:tcPr>
          <w:p>
            <w:pPr>
              <w:pStyle w:val="TableContents"/>
              <w:spacing w:before="0" w:after="0"/>
              <w:rPr>
                <w:color w:val="000000"/>
              </w:rPr>
            </w:pPr>
            <w:r>
              <w:rPr>
                <w:color w:val="000000"/>
              </w:rPr>
              <w:t>Southeast</w:t>
            </w:r>
          </w:p>
        </w:tc>
        <w:tc>
          <w:tcPr>
            <w:tcW w:w="3000" w:type="dxa"/>
            <w:tcBorders/>
            <w:shd w:fill="CCEEFF" w:val="clear"/>
            <w:tcMar>
              <w:bottom w:w="0" w:type="dxa"/>
            </w:tcMar>
            <w:vAlign w:val="bottom"/>
          </w:tcPr>
          <w:p>
            <w:pPr>
              <w:pStyle w:val="TableContents"/>
              <w:spacing w:before="0" w:after="0"/>
              <w:jc w:val="center"/>
              <w:rPr>
                <w:color w:val="000000"/>
              </w:rPr>
            </w:pPr>
            <w:r>
              <w:rPr>
                <w:color w:val="000000"/>
              </w:rPr>
              <w:t>No</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shd w:fill="CCEEFF" w:val="clear"/>
            <w:tcMar>
              <w:bottom w:w="0" w:type="dxa"/>
            </w:tcMar>
            <w:vAlign w:val="bottom"/>
          </w:tcPr>
          <w:p>
            <w:pPr>
              <w:pStyle w:val="TableContents"/>
              <w:spacing w:before="0" w:after="0"/>
              <w:jc w:val="left"/>
              <w:rPr>
                <w:color w:val="000000"/>
              </w:rPr>
            </w:pPr>
            <w:r>
              <w:rPr>
                <w:color w:val="000000"/>
              </w:rPr>
              <w:t>$</w:t>
            </w:r>
          </w:p>
        </w:tc>
        <w:tc>
          <w:tcPr>
            <w:tcW w:w="788" w:type="dxa"/>
            <w:tcBorders/>
            <w:shd w:fill="CCEEFF" w:val="clear"/>
            <w:tcMar>
              <w:bottom w:w="0" w:type="dxa"/>
            </w:tcMar>
            <w:vAlign w:val="bottom"/>
          </w:tcPr>
          <w:p>
            <w:pPr>
              <w:pStyle w:val="TableContents"/>
              <w:spacing w:before="0" w:after="0"/>
              <w:jc w:val="right"/>
              <w:rPr>
                <w:color w:val="000000"/>
              </w:rPr>
            </w:pPr>
            <w:r>
              <w:rPr>
                <w:color w:val="000000"/>
              </w:rPr>
              <w:t>2,000</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7" w:type="dxa"/>
            <w:tcBorders/>
            <w:shd w:fill="CCEEFF" w:val="clear"/>
            <w:tcMar>
              <w:bottom w:w="0" w:type="dxa"/>
            </w:tcMar>
            <w:vAlign w:val="bottom"/>
          </w:tcPr>
          <w:p>
            <w:pPr>
              <w:pStyle w:val="TableContents"/>
              <w:spacing w:before="0" w:after="0"/>
              <w:jc w:val="left"/>
              <w:rPr>
                <w:color w:val="000000"/>
              </w:rPr>
            </w:pPr>
            <w:r>
              <w:rPr>
                <w:color w:val="000000"/>
              </w:rPr>
              <w:t>$</w:t>
            </w:r>
          </w:p>
        </w:tc>
        <w:tc>
          <w:tcPr>
            <w:tcW w:w="913" w:type="dxa"/>
            <w:tcBorders/>
            <w:shd w:fill="CCEEFF" w:val="clear"/>
            <w:tcMar>
              <w:bottom w:w="0" w:type="dxa"/>
            </w:tcMar>
            <w:vAlign w:val="bottom"/>
          </w:tcPr>
          <w:p>
            <w:pPr>
              <w:pStyle w:val="TableContents"/>
              <w:spacing w:before="0" w:after="0"/>
              <w:jc w:val="right"/>
              <w:rPr>
                <w:color w:val="000000"/>
              </w:rPr>
            </w:pPr>
            <w:r>
              <w:rPr>
                <w:color w:val="000000"/>
              </w:rPr>
              <w:t>1,773</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40" w:type="dxa"/>
            <w:tcBorders/>
            <w:shd w:fill="CCEEFF" w:val="clear"/>
            <w:tcMar>
              <w:bottom w:w="0" w:type="dxa"/>
            </w:tcMar>
            <w:vAlign w:val="bottom"/>
          </w:tcPr>
          <w:p>
            <w:pPr>
              <w:pStyle w:val="TableContents"/>
              <w:spacing w:before="0" w:after="0"/>
              <w:jc w:val="left"/>
              <w:rPr>
                <w:color w:val="000000"/>
              </w:rPr>
            </w:pPr>
            <w:r>
              <w:rPr>
                <w:color w:val="000000"/>
              </w:rPr>
              <w:t>$</w:t>
            </w:r>
          </w:p>
        </w:tc>
        <w:tc>
          <w:tcPr>
            <w:tcW w:w="680" w:type="dxa"/>
            <w:tcBorders/>
            <w:shd w:fill="CCEEFF" w:val="clear"/>
            <w:tcMar>
              <w:bottom w:w="0" w:type="dxa"/>
            </w:tcMar>
            <w:vAlign w:val="bottom"/>
          </w:tcPr>
          <w:p>
            <w:pPr>
              <w:pStyle w:val="TableContents"/>
              <w:spacing w:before="0" w:after="0"/>
              <w:jc w:val="right"/>
              <w:rPr>
                <w:color w:val="000000"/>
              </w:rPr>
            </w:pPr>
            <w:r>
              <w:rPr>
                <w:color w:val="000000"/>
              </w:rPr>
              <w:t>1,773</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2" w:type="dxa"/>
            <w:tcBorders/>
            <w:shd w:fill="CCEEFF" w:val="clear"/>
            <w:tcMar>
              <w:bottom w:w="0" w:type="dxa"/>
            </w:tcMar>
            <w:vAlign w:val="bottom"/>
          </w:tcPr>
          <w:p>
            <w:pPr>
              <w:pStyle w:val="TableContents"/>
              <w:spacing w:before="0" w:after="283"/>
              <w:jc w:val="left"/>
              <w:rPr/>
            </w:pPr>
            <w:r>
              <w:rPr/>
              <w:t> </w:t>
            </w:r>
          </w:p>
        </w:tc>
        <w:tc>
          <w:tcPr>
            <w:tcW w:w="588" w:type="dxa"/>
            <w:tcBorders/>
            <w:shd w:fill="CCEEFF" w:val="clear"/>
            <w:tcMar>
              <w:bottom w:w="0" w:type="dxa"/>
            </w:tcMar>
            <w:vAlign w:val="bottom"/>
          </w:tcPr>
          <w:p>
            <w:pPr>
              <w:pStyle w:val="TableContents"/>
              <w:spacing w:before="0" w:after="0"/>
              <w:jc w:val="right"/>
              <w:rPr>
                <w:color w:val="000000"/>
              </w:rPr>
            </w:pPr>
            <w:r>
              <w:rPr>
                <w:color w:val="000000"/>
              </w:rPr>
              <w:t>2.05</w:t>
            </w:r>
          </w:p>
        </w:tc>
        <w:tc>
          <w:tcPr>
            <w:tcW w:w="275" w:type="dxa"/>
            <w:tcBorders/>
            <w:shd w:fill="CCEEFF" w:val="clear"/>
            <w:tcMar>
              <w:bottom w:w="0" w:type="dxa"/>
            </w:tcMar>
            <w:vAlign w:val="bottom"/>
          </w:tcPr>
          <w:p>
            <w:pPr>
              <w:pStyle w:val="TableContents"/>
              <w:spacing w:before="0" w:after="0"/>
              <w:jc w:val="left"/>
              <w:rPr>
                <w:color w:val="000000"/>
              </w:rPr>
            </w:pPr>
            <w:r>
              <w:rPr>
                <w:color w:val="000000"/>
              </w:rPr>
              <w:t>%</w:t>
            </w:r>
          </w:p>
        </w:tc>
      </w:tr>
      <w:tr>
        <w:trPr/>
        <w:tc>
          <w:tcPr>
            <w:tcW w:w="1325" w:type="dxa"/>
            <w:tcBorders/>
            <w:shd w:fill="auto" w:val="clear"/>
            <w:tcMar>
              <w:bottom w:w="0" w:type="dxa"/>
            </w:tcMar>
            <w:vAlign w:val="bottom"/>
          </w:tcPr>
          <w:p>
            <w:pPr>
              <w:pStyle w:val="TableContents"/>
              <w:spacing w:before="0" w:after="0"/>
              <w:ind w:left="180" w:right="0" w:hanging="0"/>
              <w:rPr>
                <w:color w:val="000000"/>
              </w:rPr>
            </w:pPr>
            <w:r>
              <w:rPr>
                <w:color w:val="000000"/>
              </w:rPr>
              <w:t>Curaleaf Holdings, Inc.</w:t>
            </w:r>
          </w:p>
        </w:tc>
        <w:tc>
          <w:tcPr>
            <w:tcW w:w="1145" w:type="dxa"/>
            <w:tcBorders/>
            <w:shd w:fill="auto" w:val="clear"/>
            <w:tcMar>
              <w:bottom w:w="0" w:type="dxa"/>
            </w:tcMar>
            <w:vAlign w:val="bottom"/>
          </w:tcPr>
          <w:p>
            <w:pPr>
              <w:pStyle w:val="TableContents"/>
              <w:spacing w:before="0" w:after="0"/>
              <w:rPr>
                <w:color w:val="000000"/>
              </w:rPr>
            </w:pPr>
            <w:r>
              <w:rPr>
                <w:color w:val="000000"/>
              </w:rPr>
              <w:t>Senior Secured Note</w:t>
            </w:r>
          </w:p>
        </w:tc>
        <w:tc>
          <w:tcPr>
            <w:tcW w:w="1145" w:type="dxa"/>
            <w:tcBorders/>
            <w:shd w:fill="auto" w:val="clear"/>
            <w:tcMar>
              <w:bottom w:w="0" w:type="dxa"/>
            </w:tcMar>
            <w:vAlign w:val="bottom"/>
          </w:tcPr>
          <w:p>
            <w:pPr>
              <w:pStyle w:val="TableContents"/>
              <w:spacing w:before="0" w:after="0"/>
              <w:jc w:val="center"/>
              <w:rPr>
                <w:color w:val="000000"/>
              </w:rPr>
            </w:pPr>
            <w:r>
              <w:rPr>
                <w:color w:val="000000"/>
              </w:rPr>
              <w:t>10/11/2022</w:t>
            </w:r>
          </w:p>
        </w:tc>
        <w:tc>
          <w:tcPr>
            <w:tcW w:w="935" w:type="dxa"/>
            <w:tcBorders/>
            <w:shd w:fill="auto" w:val="clear"/>
            <w:tcMar>
              <w:bottom w:w="0" w:type="dxa"/>
            </w:tcMar>
            <w:vAlign w:val="bottom"/>
          </w:tcPr>
          <w:p>
            <w:pPr>
              <w:pStyle w:val="TableContents"/>
              <w:spacing w:before="0" w:after="0"/>
              <w:jc w:val="center"/>
              <w:rPr>
                <w:color w:val="000000"/>
              </w:rPr>
            </w:pPr>
            <w:r>
              <w:rPr>
                <w:color w:val="000000"/>
              </w:rPr>
              <w:t>12/15/2026</w:t>
            </w:r>
          </w:p>
        </w:tc>
        <w:tc>
          <w:tcPr>
            <w:tcW w:w="830" w:type="dxa"/>
            <w:tcBorders/>
            <w:shd w:fill="auto" w:val="clear"/>
            <w:tcMar>
              <w:bottom w:w="0" w:type="dxa"/>
            </w:tcMar>
            <w:vAlign w:val="bottom"/>
          </w:tcPr>
          <w:p>
            <w:pPr>
              <w:pStyle w:val="TableContents"/>
              <w:spacing w:before="0" w:after="0"/>
              <w:jc w:val="center"/>
              <w:rPr>
                <w:color w:val="000000"/>
              </w:rPr>
            </w:pPr>
            <w:r>
              <w:rPr>
                <w:color w:val="000000"/>
              </w:rPr>
              <w:t>Fixed interest rate 8.0%</w:t>
            </w:r>
          </w:p>
        </w:tc>
        <w:tc>
          <w:tcPr>
            <w:tcW w:w="60" w:type="dxa"/>
            <w:tcBorders/>
            <w:shd w:fill="auto" w:val="clear"/>
            <w:tcMar>
              <w:bottom w:w="0" w:type="dxa"/>
            </w:tcMar>
            <w:vAlign w:val="bottom"/>
          </w:tcPr>
          <w:p>
            <w:pPr>
              <w:pStyle w:val="TableContents"/>
              <w:spacing w:before="0" w:after="283"/>
              <w:jc w:val="right"/>
              <w:rPr/>
            </w:pPr>
            <w:r>
              <w:rPr/>
              <w:t> </w:t>
            </w:r>
          </w:p>
        </w:tc>
        <w:tc>
          <w:tcPr>
            <w:tcW w:w="316" w:type="dxa"/>
            <w:tcBorders/>
            <w:shd w:fill="auto" w:val="clear"/>
            <w:tcMar>
              <w:bottom w:w="0" w:type="dxa"/>
            </w:tcMar>
            <w:vAlign w:val="bottom"/>
          </w:tcPr>
          <w:p>
            <w:pPr>
              <w:pStyle w:val="TableContents"/>
              <w:spacing w:before="0" w:after="283"/>
              <w:jc w:val="left"/>
              <w:rPr/>
            </w:pPr>
            <w:r>
              <w:rPr/>
              <w:t> </w:t>
            </w:r>
          </w:p>
        </w:tc>
        <w:tc>
          <w:tcPr>
            <w:tcW w:w="739" w:type="dxa"/>
            <w:tcBorders/>
            <w:shd w:fill="auto" w:val="clear"/>
            <w:tcMar>
              <w:bottom w:w="0" w:type="dxa"/>
            </w:tcMar>
            <w:vAlign w:val="bottom"/>
          </w:tcPr>
          <w:p>
            <w:pPr>
              <w:pStyle w:val="TableContents"/>
              <w:spacing w:before="0" w:after="0"/>
              <w:jc w:val="right"/>
              <w:rPr>
                <w:color w:val="000000"/>
              </w:rPr>
            </w:pPr>
            <w:r>
              <w:rPr>
                <w:color w:val="000000"/>
              </w:rPr>
              <w:t>3</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0"/>
              <w:rPr>
                <w:color w:val="000000"/>
              </w:rPr>
            </w:pPr>
            <w:r>
              <w:rPr>
                <w:color w:val="000000"/>
              </w:rPr>
              <w:t>Northeast</w:t>
            </w:r>
          </w:p>
        </w:tc>
        <w:tc>
          <w:tcPr>
            <w:tcW w:w="3000" w:type="dxa"/>
            <w:tcBorders/>
            <w:shd w:fill="auto" w:val="clear"/>
            <w:tcMar>
              <w:bottom w:w="0" w:type="dxa"/>
            </w:tcMar>
            <w:vAlign w:val="bottom"/>
          </w:tcPr>
          <w:p>
            <w:pPr>
              <w:pStyle w:val="TableContents"/>
              <w:spacing w:before="0" w:after="0"/>
              <w:jc w:val="center"/>
              <w:rPr>
                <w:color w:val="000000"/>
              </w:rPr>
            </w:pPr>
            <w:r>
              <w:rPr>
                <w:color w:val="000000"/>
              </w:rPr>
              <w:t>No</w:t>
            </w:r>
          </w:p>
        </w:tc>
        <w:tc>
          <w:tcPr>
            <w:tcW w:w="60" w:type="dxa"/>
            <w:tcBorders/>
            <w:shd w:fill="auto" w:val="clear"/>
            <w:tcMar>
              <w:bottom w:w="0" w:type="dxa"/>
            </w:tcMar>
            <w:vAlign w:val="bottom"/>
          </w:tcPr>
          <w:p>
            <w:pPr>
              <w:pStyle w:val="TableContents"/>
              <w:spacing w:before="0" w:after="283"/>
              <w:jc w:val="right"/>
              <w:rPr/>
            </w:pPr>
            <w:r>
              <w:rPr/>
              <w:t> </w:t>
            </w:r>
          </w:p>
        </w:tc>
        <w:tc>
          <w:tcPr>
            <w:tcW w:w="162" w:type="dxa"/>
            <w:tcBorders/>
            <w:shd w:fill="auto" w:val="clear"/>
            <w:tcMar>
              <w:bottom w:w="0" w:type="dxa"/>
            </w:tcMar>
            <w:vAlign w:val="bottom"/>
          </w:tcPr>
          <w:p>
            <w:pPr>
              <w:pStyle w:val="TableContents"/>
              <w:spacing w:before="0" w:after="283"/>
              <w:jc w:val="left"/>
              <w:rPr/>
            </w:pPr>
            <w:r>
              <w:rPr/>
              <w:t> </w:t>
            </w:r>
          </w:p>
        </w:tc>
        <w:tc>
          <w:tcPr>
            <w:tcW w:w="788" w:type="dxa"/>
            <w:tcBorders/>
            <w:shd w:fill="auto" w:val="clear"/>
            <w:tcMar>
              <w:bottom w:w="0" w:type="dxa"/>
            </w:tcMar>
            <w:vAlign w:val="bottom"/>
          </w:tcPr>
          <w:p>
            <w:pPr>
              <w:pStyle w:val="TableContents"/>
              <w:spacing w:before="0" w:after="0"/>
              <w:jc w:val="right"/>
              <w:rPr>
                <w:color w:val="000000"/>
              </w:rPr>
            </w:pPr>
            <w:r>
              <w:rPr>
                <w:color w:val="000000"/>
              </w:rPr>
              <w:t>4,500</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87" w:type="dxa"/>
            <w:tcBorders/>
            <w:shd w:fill="auto" w:val="clear"/>
            <w:tcMar>
              <w:bottom w:w="0" w:type="dxa"/>
            </w:tcMar>
            <w:vAlign w:val="bottom"/>
          </w:tcPr>
          <w:p>
            <w:pPr>
              <w:pStyle w:val="TableContents"/>
              <w:spacing w:before="0" w:after="283"/>
              <w:jc w:val="left"/>
              <w:rPr/>
            </w:pPr>
            <w:r>
              <w:rPr/>
              <w:t> </w:t>
            </w:r>
          </w:p>
        </w:tc>
        <w:tc>
          <w:tcPr>
            <w:tcW w:w="913" w:type="dxa"/>
            <w:tcBorders/>
            <w:shd w:fill="auto" w:val="clear"/>
            <w:tcMar>
              <w:bottom w:w="0" w:type="dxa"/>
            </w:tcMar>
            <w:vAlign w:val="bottom"/>
          </w:tcPr>
          <w:p>
            <w:pPr>
              <w:pStyle w:val="TableContents"/>
              <w:spacing w:before="0" w:after="0"/>
              <w:jc w:val="right"/>
              <w:rPr>
                <w:color w:val="000000"/>
              </w:rPr>
            </w:pPr>
            <w:r>
              <w:rPr>
                <w:color w:val="000000"/>
              </w:rPr>
              <w:t>3,854</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40" w:type="dxa"/>
            <w:tcBorders/>
            <w:shd w:fill="auto" w:val="clear"/>
            <w:tcMar>
              <w:bottom w:w="0" w:type="dxa"/>
            </w:tcMar>
            <w:vAlign w:val="bottom"/>
          </w:tcPr>
          <w:p>
            <w:pPr>
              <w:pStyle w:val="TableContents"/>
              <w:spacing w:before="0" w:after="283"/>
              <w:jc w:val="left"/>
              <w:rPr/>
            </w:pPr>
            <w:r>
              <w:rPr/>
              <w:t> </w:t>
            </w:r>
          </w:p>
        </w:tc>
        <w:tc>
          <w:tcPr>
            <w:tcW w:w="680" w:type="dxa"/>
            <w:tcBorders/>
            <w:shd w:fill="auto" w:val="clear"/>
            <w:tcMar>
              <w:bottom w:w="0" w:type="dxa"/>
            </w:tcMar>
            <w:vAlign w:val="bottom"/>
          </w:tcPr>
          <w:p>
            <w:pPr>
              <w:pStyle w:val="TableContents"/>
              <w:spacing w:before="0" w:after="0"/>
              <w:jc w:val="right"/>
              <w:rPr>
                <w:color w:val="000000"/>
              </w:rPr>
            </w:pPr>
            <w:r>
              <w:rPr>
                <w:color w:val="000000"/>
              </w:rPr>
              <w:t>3,854</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62" w:type="dxa"/>
            <w:tcBorders/>
            <w:shd w:fill="auto" w:val="clear"/>
            <w:tcMar>
              <w:bottom w:w="0" w:type="dxa"/>
            </w:tcMar>
            <w:vAlign w:val="bottom"/>
          </w:tcPr>
          <w:p>
            <w:pPr>
              <w:pStyle w:val="TableContents"/>
              <w:spacing w:before="0" w:after="283"/>
              <w:jc w:val="left"/>
              <w:rPr/>
            </w:pPr>
            <w:r>
              <w:rPr/>
              <w:t> </w:t>
            </w:r>
          </w:p>
        </w:tc>
        <w:tc>
          <w:tcPr>
            <w:tcW w:w="588" w:type="dxa"/>
            <w:tcBorders/>
            <w:shd w:fill="auto" w:val="clear"/>
            <w:tcMar>
              <w:bottom w:w="0" w:type="dxa"/>
            </w:tcMar>
            <w:vAlign w:val="bottom"/>
          </w:tcPr>
          <w:p>
            <w:pPr>
              <w:pStyle w:val="TableContents"/>
              <w:spacing w:before="0" w:after="0"/>
              <w:jc w:val="right"/>
              <w:rPr>
                <w:color w:val="000000"/>
              </w:rPr>
            </w:pPr>
            <w:r>
              <w:rPr>
                <w:color w:val="000000"/>
              </w:rPr>
              <w:t>4.46</w:t>
            </w:r>
          </w:p>
        </w:tc>
        <w:tc>
          <w:tcPr>
            <w:tcW w:w="275" w:type="dxa"/>
            <w:tcBorders/>
            <w:shd w:fill="auto" w:val="clear"/>
            <w:tcMar>
              <w:bottom w:w="0" w:type="dxa"/>
            </w:tcMar>
            <w:vAlign w:val="bottom"/>
          </w:tcPr>
          <w:p>
            <w:pPr>
              <w:pStyle w:val="TableContents"/>
              <w:spacing w:before="0" w:after="283"/>
              <w:rPr>
                <w:sz w:val="4"/>
                <w:szCs w:val="4"/>
              </w:rPr>
            </w:pPr>
            <w:r>
              <w:rPr>
                <w:sz w:val="4"/>
                <w:szCs w:val="4"/>
              </w:rPr>
            </w:r>
          </w:p>
        </w:tc>
      </w:tr>
      <w:tr>
        <w:trPr/>
        <w:tc>
          <w:tcPr>
            <w:tcW w:w="1325" w:type="dxa"/>
            <w:tcBorders/>
            <w:shd w:fill="CCEEFF" w:val="clear"/>
            <w:tcMar>
              <w:bottom w:w="0" w:type="dxa"/>
            </w:tcMar>
            <w:vAlign w:val="bottom"/>
          </w:tcPr>
          <w:p>
            <w:pPr>
              <w:pStyle w:val="TableContents"/>
              <w:spacing w:before="0" w:after="0"/>
              <w:ind w:left="180" w:right="0" w:hanging="0"/>
              <w:rPr>
                <w:color w:val="000000"/>
              </w:rPr>
            </w:pPr>
            <w:r>
              <w:rPr>
                <w:color w:val="000000"/>
              </w:rPr>
              <w:t>PharmaCann, Inc.</w:t>
            </w:r>
          </w:p>
        </w:tc>
        <w:tc>
          <w:tcPr>
            <w:tcW w:w="1145" w:type="dxa"/>
            <w:tcBorders/>
            <w:shd w:fill="CCEEFF" w:val="clear"/>
            <w:tcMar>
              <w:bottom w:w="0" w:type="dxa"/>
            </w:tcMar>
            <w:vAlign w:val="bottom"/>
          </w:tcPr>
          <w:p>
            <w:pPr>
              <w:pStyle w:val="TableContents"/>
              <w:spacing w:before="0" w:after="0"/>
              <w:rPr>
                <w:color w:val="000000"/>
              </w:rPr>
            </w:pPr>
            <w:r>
              <w:rPr>
                <w:color w:val="000000"/>
              </w:rPr>
              <w:t>Senior Secured Note</w:t>
            </w:r>
          </w:p>
        </w:tc>
        <w:tc>
          <w:tcPr>
            <w:tcW w:w="1145" w:type="dxa"/>
            <w:tcBorders/>
            <w:shd w:fill="CCEEFF" w:val="clear"/>
            <w:tcMar>
              <w:bottom w:w="0" w:type="dxa"/>
            </w:tcMar>
            <w:vAlign w:val="bottom"/>
          </w:tcPr>
          <w:p>
            <w:pPr>
              <w:pStyle w:val="TableContents"/>
              <w:spacing w:before="0" w:after="0"/>
              <w:jc w:val="center"/>
              <w:rPr>
                <w:color w:val="000000"/>
              </w:rPr>
            </w:pPr>
            <w:r>
              <w:rPr>
                <w:color w:val="000000"/>
              </w:rPr>
              <w:t>6/30/2022</w:t>
            </w:r>
          </w:p>
        </w:tc>
        <w:tc>
          <w:tcPr>
            <w:tcW w:w="935" w:type="dxa"/>
            <w:tcBorders/>
            <w:shd w:fill="CCEEFF" w:val="clear"/>
            <w:tcMar>
              <w:bottom w:w="0" w:type="dxa"/>
            </w:tcMar>
            <w:vAlign w:val="bottom"/>
          </w:tcPr>
          <w:p>
            <w:pPr>
              <w:pStyle w:val="TableContents"/>
              <w:spacing w:before="0" w:after="0"/>
              <w:jc w:val="center"/>
              <w:rPr>
                <w:color w:val="000000"/>
              </w:rPr>
            </w:pPr>
            <w:r>
              <w:rPr>
                <w:color w:val="000000"/>
              </w:rPr>
              <w:t>6/30/2025</w:t>
            </w:r>
          </w:p>
        </w:tc>
        <w:tc>
          <w:tcPr>
            <w:tcW w:w="830" w:type="dxa"/>
            <w:tcBorders/>
            <w:shd w:fill="CCEEFF" w:val="clear"/>
            <w:tcMar>
              <w:bottom w:w="0" w:type="dxa"/>
            </w:tcMar>
            <w:vAlign w:val="bottom"/>
          </w:tcPr>
          <w:p>
            <w:pPr>
              <w:pStyle w:val="TableContents"/>
              <w:spacing w:before="0" w:after="0"/>
              <w:jc w:val="center"/>
              <w:rPr>
                <w:color w:val="000000"/>
              </w:rPr>
            </w:pPr>
            <w:r>
              <w:rPr>
                <w:color w:val="000000"/>
              </w:rPr>
              <w:t>Fixed interest rate 12.0%</w:t>
            </w:r>
          </w:p>
        </w:tc>
        <w:tc>
          <w:tcPr>
            <w:tcW w:w="60" w:type="dxa"/>
            <w:tcBorders/>
            <w:shd w:fill="CCEEFF" w:val="clear"/>
            <w:tcMar>
              <w:bottom w:w="0" w:type="dxa"/>
            </w:tcMar>
            <w:vAlign w:val="bottom"/>
          </w:tcPr>
          <w:p>
            <w:pPr>
              <w:pStyle w:val="TableContents"/>
              <w:spacing w:before="0" w:after="283"/>
              <w:jc w:val="right"/>
              <w:rPr/>
            </w:pPr>
            <w:r>
              <w:rPr/>
              <w:t> </w:t>
            </w:r>
          </w:p>
        </w:tc>
        <w:tc>
          <w:tcPr>
            <w:tcW w:w="316" w:type="dxa"/>
            <w:tcBorders/>
            <w:shd w:fill="CCEEFF" w:val="clear"/>
            <w:tcMar>
              <w:bottom w:w="0" w:type="dxa"/>
            </w:tcMar>
            <w:vAlign w:val="bottom"/>
          </w:tcPr>
          <w:p>
            <w:pPr>
              <w:pStyle w:val="TableContents"/>
              <w:spacing w:before="0" w:after="283"/>
              <w:jc w:val="left"/>
              <w:rPr/>
            </w:pPr>
            <w:r>
              <w:rPr/>
              <w:t> </w:t>
            </w:r>
          </w:p>
        </w:tc>
        <w:tc>
          <w:tcPr>
            <w:tcW w:w="739" w:type="dxa"/>
            <w:tcBorders/>
            <w:shd w:fill="CCEEFF" w:val="clear"/>
            <w:tcMar>
              <w:bottom w:w="0" w:type="dxa"/>
            </w:tcMar>
            <w:vAlign w:val="bottom"/>
          </w:tcPr>
          <w:p>
            <w:pPr>
              <w:pStyle w:val="TableContents"/>
              <w:spacing w:before="0" w:after="0"/>
              <w:jc w:val="right"/>
              <w:rPr>
                <w:color w:val="000000"/>
              </w:rPr>
            </w:pPr>
            <w:r>
              <w:rPr>
                <w:color w:val="000000"/>
              </w:rPr>
              <w:t>3</w:t>
            </w:r>
          </w:p>
        </w:tc>
        <w:tc>
          <w:tcPr>
            <w:tcW w:w="60" w:type="dxa"/>
            <w:tcBorders/>
            <w:shd w:fill="CCEEFF" w:val="clear"/>
            <w:tcMar>
              <w:bottom w:w="0" w:type="dxa"/>
            </w:tcMar>
            <w:vAlign w:val="bottom"/>
          </w:tcPr>
          <w:p>
            <w:pPr>
              <w:pStyle w:val="TableContents"/>
              <w:spacing w:before="0" w:after="283"/>
              <w:jc w:val="left"/>
              <w:rPr/>
            </w:pPr>
            <w:r>
              <w:rPr/>
              <w:t> </w:t>
            </w:r>
          </w:p>
        </w:tc>
        <w:tc>
          <w:tcPr>
            <w:tcW w:w="1205" w:type="dxa"/>
            <w:tcBorders/>
            <w:shd w:fill="CCEEFF" w:val="clear"/>
            <w:tcMar>
              <w:bottom w:w="0" w:type="dxa"/>
            </w:tcMar>
            <w:vAlign w:val="bottom"/>
          </w:tcPr>
          <w:p>
            <w:pPr>
              <w:pStyle w:val="TableContents"/>
              <w:spacing w:before="0" w:after="0"/>
              <w:rPr>
                <w:color w:val="000000"/>
              </w:rPr>
            </w:pPr>
            <w:r>
              <w:rPr>
                <w:color w:val="000000"/>
              </w:rPr>
              <w:t>Midwest</w:t>
            </w:r>
          </w:p>
        </w:tc>
        <w:tc>
          <w:tcPr>
            <w:tcW w:w="3000" w:type="dxa"/>
            <w:tcBorders/>
            <w:shd w:fill="CCEEFF" w:val="clear"/>
            <w:tcMar>
              <w:bottom w:w="0" w:type="dxa"/>
            </w:tcMar>
            <w:vAlign w:val="bottom"/>
          </w:tcPr>
          <w:p>
            <w:pPr>
              <w:pStyle w:val="TableContents"/>
              <w:spacing w:before="0" w:after="0"/>
              <w:jc w:val="center"/>
              <w:rPr>
                <w:color w:val="000000"/>
              </w:rPr>
            </w:pPr>
            <w:r>
              <w:rPr>
                <w:color w:val="000000"/>
              </w:rPr>
              <w:t>No</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shd w:fill="CCEEFF" w:val="clear"/>
            <w:tcMar>
              <w:bottom w:w="0" w:type="dxa"/>
            </w:tcMar>
            <w:vAlign w:val="bottom"/>
          </w:tcPr>
          <w:p>
            <w:pPr>
              <w:pStyle w:val="TableContents"/>
              <w:spacing w:before="0" w:after="283"/>
              <w:jc w:val="left"/>
              <w:rPr/>
            </w:pPr>
            <w:r>
              <w:rPr/>
              <w:t> </w:t>
            </w:r>
          </w:p>
        </w:tc>
        <w:tc>
          <w:tcPr>
            <w:tcW w:w="788" w:type="dxa"/>
            <w:tcBorders/>
            <w:shd w:fill="CCEEFF" w:val="clear"/>
            <w:tcMar>
              <w:bottom w:w="0" w:type="dxa"/>
            </w:tcMar>
            <w:vAlign w:val="bottom"/>
          </w:tcPr>
          <w:p>
            <w:pPr>
              <w:pStyle w:val="TableContents"/>
              <w:spacing w:before="0" w:after="0"/>
              <w:jc w:val="right"/>
              <w:rPr>
                <w:color w:val="000000"/>
              </w:rPr>
            </w:pPr>
            <w:r>
              <w:rPr>
                <w:color w:val="000000"/>
              </w:rPr>
              <w:t>4,250</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7" w:type="dxa"/>
            <w:tcBorders/>
            <w:shd w:fill="CCEEFF" w:val="clear"/>
            <w:tcMar>
              <w:bottom w:w="0" w:type="dxa"/>
            </w:tcMar>
            <w:vAlign w:val="bottom"/>
          </w:tcPr>
          <w:p>
            <w:pPr>
              <w:pStyle w:val="TableContents"/>
              <w:spacing w:before="0" w:after="283"/>
              <w:jc w:val="left"/>
              <w:rPr/>
            </w:pPr>
            <w:r>
              <w:rPr/>
              <w:t> </w:t>
            </w:r>
          </w:p>
        </w:tc>
        <w:tc>
          <w:tcPr>
            <w:tcW w:w="913" w:type="dxa"/>
            <w:tcBorders/>
            <w:shd w:fill="CCEEFF" w:val="clear"/>
            <w:tcMar>
              <w:bottom w:w="0" w:type="dxa"/>
            </w:tcMar>
            <w:vAlign w:val="bottom"/>
          </w:tcPr>
          <w:p>
            <w:pPr>
              <w:pStyle w:val="TableContents"/>
              <w:spacing w:before="0" w:after="0"/>
              <w:jc w:val="right"/>
              <w:rPr>
                <w:color w:val="000000"/>
              </w:rPr>
            </w:pPr>
            <w:r>
              <w:rPr>
                <w:color w:val="000000"/>
              </w:rPr>
              <w:t>4,029</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40" w:type="dxa"/>
            <w:tcBorders/>
            <w:shd w:fill="CCEEFF" w:val="clear"/>
            <w:tcMar>
              <w:bottom w:w="0" w:type="dxa"/>
            </w:tcMar>
            <w:vAlign w:val="bottom"/>
          </w:tcPr>
          <w:p>
            <w:pPr>
              <w:pStyle w:val="TableContents"/>
              <w:spacing w:before="0" w:after="283"/>
              <w:jc w:val="left"/>
              <w:rPr/>
            </w:pPr>
            <w:r>
              <w:rPr/>
              <w:t> </w:t>
            </w:r>
          </w:p>
        </w:tc>
        <w:tc>
          <w:tcPr>
            <w:tcW w:w="680" w:type="dxa"/>
            <w:tcBorders/>
            <w:shd w:fill="CCEEFF" w:val="clear"/>
            <w:tcMar>
              <w:bottom w:w="0" w:type="dxa"/>
            </w:tcMar>
            <w:vAlign w:val="bottom"/>
          </w:tcPr>
          <w:p>
            <w:pPr>
              <w:pStyle w:val="TableContents"/>
              <w:spacing w:before="0" w:after="0"/>
              <w:jc w:val="right"/>
              <w:rPr>
                <w:color w:val="000000"/>
              </w:rPr>
            </w:pPr>
            <w:r>
              <w:rPr>
                <w:color w:val="000000"/>
              </w:rPr>
              <w:t>3,967</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2" w:type="dxa"/>
            <w:tcBorders/>
            <w:shd w:fill="CCEEFF" w:val="clear"/>
            <w:tcMar>
              <w:bottom w:w="0" w:type="dxa"/>
            </w:tcMar>
            <w:vAlign w:val="bottom"/>
          </w:tcPr>
          <w:p>
            <w:pPr>
              <w:pStyle w:val="TableContents"/>
              <w:spacing w:before="0" w:after="283"/>
              <w:jc w:val="left"/>
              <w:rPr/>
            </w:pPr>
            <w:r>
              <w:rPr/>
              <w:t> </w:t>
            </w:r>
          </w:p>
        </w:tc>
        <w:tc>
          <w:tcPr>
            <w:tcW w:w="588" w:type="dxa"/>
            <w:tcBorders/>
            <w:shd w:fill="CCEEFF" w:val="clear"/>
            <w:tcMar>
              <w:bottom w:w="0" w:type="dxa"/>
            </w:tcMar>
            <w:vAlign w:val="bottom"/>
          </w:tcPr>
          <w:p>
            <w:pPr>
              <w:pStyle w:val="TableContents"/>
              <w:spacing w:before="0" w:after="0"/>
              <w:jc w:val="right"/>
              <w:rPr>
                <w:color w:val="000000"/>
              </w:rPr>
            </w:pPr>
            <w:r>
              <w:rPr>
                <w:color w:val="000000"/>
              </w:rPr>
              <w:t>4.59</w:t>
            </w:r>
          </w:p>
        </w:tc>
        <w:tc>
          <w:tcPr>
            <w:tcW w:w="275" w:type="dxa"/>
            <w:tcBorders/>
            <w:shd w:fill="CCEEFF" w:val="clear"/>
            <w:tcMar>
              <w:bottom w:w="0" w:type="dxa"/>
            </w:tcMar>
            <w:vAlign w:val="bottom"/>
          </w:tcPr>
          <w:p>
            <w:pPr>
              <w:pStyle w:val="TableContents"/>
              <w:spacing w:before="0" w:after="283"/>
              <w:rPr>
                <w:sz w:val="4"/>
                <w:szCs w:val="4"/>
              </w:rPr>
            </w:pPr>
            <w:r>
              <w:rPr>
                <w:sz w:val="4"/>
                <w:szCs w:val="4"/>
              </w:rPr>
            </w:r>
          </w:p>
        </w:tc>
      </w:tr>
      <w:tr>
        <w:trPr/>
        <w:tc>
          <w:tcPr>
            <w:tcW w:w="1325" w:type="dxa"/>
            <w:tcBorders/>
            <w:shd w:fill="auto" w:val="clear"/>
            <w:tcMar>
              <w:bottom w:w="0" w:type="dxa"/>
            </w:tcMar>
            <w:vAlign w:val="bottom"/>
          </w:tcPr>
          <w:p>
            <w:pPr>
              <w:pStyle w:val="TableContents"/>
              <w:spacing w:before="0" w:after="0"/>
              <w:ind w:left="180" w:right="0" w:hanging="0"/>
              <w:rPr>
                <w:color w:val="000000"/>
              </w:rPr>
            </w:pPr>
            <w:r>
              <w:rPr>
                <w:color w:val="000000"/>
              </w:rPr>
              <w:t>Shryne Group, Inc.</w:t>
            </w:r>
          </w:p>
        </w:tc>
        <w:tc>
          <w:tcPr>
            <w:tcW w:w="1145" w:type="dxa"/>
            <w:tcBorders/>
            <w:shd w:fill="auto" w:val="clear"/>
            <w:tcMar>
              <w:bottom w:w="0" w:type="dxa"/>
            </w:tcMar>
            <w:vAlign w:val="bottom"/>
          </w:tcPr>
          <w:p>
            <w:pPr>
              <w:pStyle w:val="TableContents"/>
              <w:spacing w:before="0" w:after="0"/>
              <w:rPr>
                <w:color w:val="000000"/>
              </w:rPr>
            </w:pPr>
            <w:r>
              <w:rPr>
                <w:color w:val="000000"/>
              </w:rPr>
              <w:t>Senior Secured First Lien Term Loan</w:t>
            </w:r>
          </w:p>
        </w:tc>
        <w:tc>
          <w:tcPr>
            <w:tcW w:w="1145" w:type="dxa"/>
            <w:tcBorders/>
            <w:shd w:fill="auto" w:val="clear"/>
            <w:tcMar>
              <w:bottom w:w="0" w:type="dxa"/>
            </w:tcMar>
            <w:vAlign w:val="bottom"/>
          </w:tcPr>
          <w:p>
            <w:pPr>
              <w:pStyle w:val="TableContents"/>
              <w:spacing w:before="0" w:after="0"/>
              <w:jc w:val="center"/>
              <w:rPr>
                <w:color w:val="000000"/>
              </w:rPr>
            </w:pPr>
            <w:r>
              <w:rPr>
                <w:color w:val="000000"/>
              </w:rPr>
              <w:t>5/26/2022</w:t>
            </w:r>
          </w:p>
        </w:tc>
        <w:tc>
          <w:tcPr>
            <w:tcW w:w="935" w:type="dxa"/>
            <w:tcBorders/>
            <w:shd w:fill="auto" w:val="clear"/>
            <w:tcMar>
              <w:bottom w:w="0" w:type="dxa"/>
            </w:tcMar>
            <w:vAlign w:val="bottom"/>
          </w:tcPr>
          <w:p>
            <w:pPr>
              <w:pStyle w:val="TableContents"/>
              <w:spacing w:before="0" w:after="0"/>
              <w:jc w:val="center"/>
              <w:rPr>
                <w:color w:val="000000"/>
              </w:rPr>
            </w:pPr>
            <w:r>
              <w:rPr>
                <w:color w:val="000000"/>
              </w:rPr>
              <w:t>5/26/2026</w:t>
            </w:r>
          </w:p>
        </w:tc>
        <w:tc>
          <w:tcPr>
            <w:tcW w:w="830" w:type="dxa"/>
            <w:tcBorders/>
            <w:shd w:fill="auto" w:val="clear"/>
            <w:tcMar>
              <w:bottom w:w="0" w:type="dxa"/>
            </w:tcMar>
            <w:vAlign w:val="bottom"/>
          </w:tcPr>
          <w:p>
            <w:pPr>
              <w:pStyle w:val="TableContents"/>
              <w:spacing w:before="0" w:after="0"/>
              <w:jc w:val="center"/>
              <w:rPr>
                <w:color w:val="000000"/>
              </w:rPr>
            </w:pPr>
            <w:r>
              <w:rPr>
                <w:color w:val="000000"/>
              </w:rPr>
              <w:t>Variable interest rate PRIME(11) + 8.5%</w:t>
              <w:br/>
              <w:t>(4.0% PRIME Floor)</w:t>
            </w:r>
          </w:p>
        </w:tc>
        <w:tc>
          <w:tcPr>
            <w:tcW w:w="60" w:type="dxa"/>
            <w:tcBorders/>
            <w:shd w:fill="auto" w:val="clear"/>
            <w:tcMar>
              <w:bottom w:w="0" w:type="dxa"/>
            </w:tcMar>
            <w:vAlign w:val="bottom"/>
          </w:tcPr>
          <w:p>
            <w:pPr>
              <w:pStyle w:val="TableContents"/>
              <w:spacing w:before="0" w:after="283"/>
              <w:jc w:val="right"/>
              <w:rPr/>
            </w:pPr>
            <w:r>
              <w:rPr/>
              <w:t> </w:t>
            </w:r>
          </w:p>
        </w:tc>
        <w:tc>
          <w:tcPr>
            <w:tcW w:w="316" w:type="dxa"/>
            <w:tcBorders/>
            <w:shd w:fill="auto" w:val="clear"/>
            <w:tcMar>
              <w:bottom w:w="0" w:type="dxa"/>
            </w:tcMar>
            <w:vAlign w:val="bottom"/>
          </w:tcPr>
          <w:p>
            <w:pPr>
              <w:pStyle w:val="TableContents"/>
              <w:spacing w:before="0" w:after="283"/>
              <w:jc w:val="left"/>
              <w:rPr/>
            </w:pPr>
            <w:r>
              <w:rPr/>
              <w:t> </w:t>
            </w:r>
          </w:p>
        </w:tc>
        <w:tc>
          <w:tcPr>
            <w:tcW w:w="739" w:type="dxa"/>
            <w:tcBorders/>
            <w:shd w:fill="auto" w:val="clear"/>
            <w:tcMar>
              <w:bottom w:w="0" w:type="dxa"/>
            </w:tcMar>
            <w:vAlign w:val="bottom"/>
          </w:tcPr>
          <w:p>
            <w:pPr>
              <w:pStyle w:val="TableContents"/>
              <w:spacing w:before="0" w:after="0"/>
              <w:jc w:val="right"/>
              <w:rPr>
                <w:color w:val="000000"/>
              </w:rPr>
            </w:pPr>
            <w:r>
              <w:rPr>
                <w:color w:val="000000"/>
              </w:rPr>
              <w:t>3</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0"/>
              <w:rPr>
                <w:color w:val="000000"/>
              </w:rPr>
            </w:pPr>
            <w:r>
              <w:rPr>
                <w:color w:val="000000"/>
              </w:rPr>
              <w:t>West</w:t>
            </w:r>
          </w:p>
        </w:tc>
        <w:tc>
          <w:tcPr>
            <w:tcW w:w="3000" w:type="dxa"/>
            <w:tcBorders/>
            <w:shd w:fill="auto" w:val="clear"/>
            <w:tcMar>
              <w:bottom w:w="0" w:type="dxa"/>
            </w:tcMar>
            <w:vAlign w:val="bottom"/>
          </w:tcPr>
          <w:p>
            <w:pPr>
              <w:pStyle w:val="TableContents"/>
              <w:spacing w:before="0" w:after="0"/>
              <w:jc w:val="center"/>
              <w:rPr>
                <w:color w:val="000000"/>
              </w:rPr>
            </w:pPr>
            <w:r>
              <w:rPr>
                <w:color w:val="000000"/>
              </w:rPr>
              <w:t>No</w:t>
            </w:r>
          </w:p>
        </w:tc>
        <w:tc>
          <w:tcPr>
            <w:tcW w:w="60" w:type="dxa"/>
            <w:tcBorders/>
            <w:shd w:fill="auto" w:val="clear"/>
            <w:tcMar>
              <w:bottom w:w="0" w:type="dxa"/>
            </w:tcMar>
            <w:vAlign w:val="bottom"/>
          </w:tcPr>
          <w:p>
            <w:pPr>
              <w:pStyle w:val="TableContents"/>
              <w:spacing w:before="0" w:after="283"/>
              <w:jc w:val="right"/>
              <w:rPr/>
            </w:pPr>
            <w:r>
              <w:rPr/>
              <w:t> </w:t>
            </w:r>
          </w:p>
        </w:tc>
        <w:tc>
          <w:tcPr>
            <w:tcW w:w="162" w:type="dxa"/>
            <w:tcBorders/>
            <w:shd w:fill="auto" w:val="clear"/>
            <w:tcMar>
              <w:bottom w:w="0" w:type="dxa"/>
            </w:tcMar>
            <w:vAlign w:val="bottom"/>
          </w:tcPr>
          <w:p>
            <w:pPr>
              <w:pStyle w:val="TableContents"/>
              <w:spacing w:before="0" w:after="283"/>
              <w:jc w:val="left"/>
              <w:rPr/>
            </w:pPr>
            <w:r>
              <w:rPr/>
              <w:t> </w:t>
            </w:r>
          </w:p>
        </w:tc>
        <w:tc>
          <w:tcPr>
            <w:tcW w:w="788" w:type="dxa"/>
            <w:tcBorders/>
            <w:shd w:fill="auto" w:val="clear"/>
            <w:tcMar>
              <w:bottom w:w="0" w:type="dxa"/>
            </w:tcMar>
            <w:vAlign w:val="bottom"/>
          </w:tcPr>
          <w:p>
            <w:pPr>
              <w:pStyle w:val="TableContents"/>
              <w:spacing w:before="0" w:after="0"/>
              <w:jc w:val="right"/>
              <w:rPr>
                <w:color w:val="000000"/>
              </w:rPr>
            </w:pPr>
            <w:r>
              <w:rPr>
                <w:color w:val="000000"/>
              </w:rPr>
              <w:t>21,000</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87" w:type="dxa"/>
            <w:tcBorders/>
            <w:shd w:fill="auto" w:val="clear"/>
            <w:tcMar>
              <w:bottom w:w="0" w:type="dxa"/>
            </w:tcMar>
            <w:vAlign w:val="bottom"/>
          </w:tcPr>
          <w:p>
            <w:pPr>
              <w:pStyle w:val="TableContents"/>
              <w:spacing w:before="0" w:after="283"/>
              <w:jc w:val="left"/>
              <w:rPr/>
            </w:pPr>
            <w:r>
              <w:rPr/>
              <w:t> </w:t>
            </w:r>
          </w:p>
        </w:tc>
        <w:tc>
          <w:tcPr>
            <w:tcW w:w="913" w:type="dxa"/>
            <w:tcBorders/>
            <w:shd w:fill="auto" w:val="clear"/>
            <w:tcMar>
              <w:bottom w:w="0" w:type="dxa"/>
            </w:tcMar>
            <w:vAlign w:val="bottom"/>
          </w:tcPr>
          <w:p>
            <w:pPr>
              <w:pStyle w:val="TableContents"/>
              <w:spacing w:before="0" w:after="0"/>
              <w:jc w:val="right"/>
              <w:rPr>
                <w:color w:val="000000"/>
              </w:rPr>
            </w:pPr>
            <w:r>
              <w:rPr>
                <w:color w:val="000000"/>
              </w:rPr>
              <w:t>20,480</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40" w:type="dxa"/>
            <w:tcBorders/>
            <w:shd w:fill="auto" w:val="clear"/>
            <w:tcMar>
              <w:bottom w:w="0" w:type="dxa"/>
            </w:tcMar>
            <w:vAlign w:val="bottom"/>
          </w:tcPr>
          <w:p>
            <w:pPr>
              <w:pStyle w:val="TableContents"/>
              <w:spacing w:before="0" w:after="283"/>
              <w:jc w:val="left"/>
              <w:rPr/>
            </w:pPr>
            <w:r>
              <w:rPr/>
              <w:t> </w:t>
            </w:r>
          </w:p>
        </w:tc>
        <w:tc>
          <w:tcPr>
            <w:tcW w:w="680" w:type="dxa"/>
            <w:tcBorders/>
            <w:shd w:fill="auto" w:val="clear"/>
            <w:tcMar>
              <w:bottom w:w="0" w:type="dxa"/>
            </w:tcMar>
            <w:vAlign w:val="bottom"/>
          </w:tcPr>
          <w:p>
            <w:pPr>
              <w:pStyle w:val="TableContents"/>
              <w:spacing w:before="0" w:after="0"/>
              <w:jc w:val="right"/>
              <w:rPr>
                <w:color w:val="000000"/>
              </w:rPr>
            </w:pPr>
            <w:r>
              <w:rPr>
                <w:color w:val="000000"/>
              </w:rPr>
              <w:t>20,269</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62" w:type="dxa"/>
            <w:tcBorders/>
            <w:shd w:fill="auto" w:val="clear"/>
            <w:tcMar>
              <w:bottom w:w="0" w:type="dxa"/>
            </w:tcMar>
            <w:vAlign w:val="bottom"/>
          </w:tcPr>
          <w:p>
            <w:pPr>
              <w:pStyle w:val="TableContents"/>
              <w:spacing w:before="0" w:after="283"/>
              <w:jc w:val="left"/>
              <w:rPr/>
            </w:pPr>
            <w:r>
              <w:rPr/>
              <w:t> </w:t>
            </w:r>
          </w:p>
        </w:tc>
        <w:tc>
          <w:tcPr>
            <w:tcW w:w="588" w:type="dxa"/>
            <w:tcBorders/>
            <w:shd w:fill="auto" w:val="clear"/>
            <w:tcMar>
              <w:bottom w:w="0" w:type="dxa"/>
            </w:tcMar>
            <w:vAlign w:val="bottom"/>
          </w:tcPr>
          <w:p>
            <w:pPr>
              <w:pStyle w:val="TableContents"/>
              <w:spacing w:before="0" w:after="0"/>
              <w:jc w:val="right"/>
              <w:rPr>
                <w:color w:val="000000"/>
              </w:rPr>
            </w:pPr>
            <w:r>
              <w:rPr>
                <w:color w:val="000000"/>
              </w:rPr>
              <w:t>23.44</w:t>
            </w:r>
          </w:p>
        </w:tc>
        <w:tc>
          <w:tcPr>
            <w:tcW w:w="275" w:type="dxa"/>
            <w:tcBorders/>
            <w:shd w:fill="auto" w:val="clear"/>
            <w:tcMar>
              <w:bottom w:w="0" w:type="dxa"/>
            </w:tcMar>
            <w:vAlign w:val="bottom"/>
          </w:tcPr>
          <w:p>
            <w:pPr>
              <w:pStyle w:val="TableContents"/>
              <w:spacing w:before="0" w:after="283"/>
              <w:rPr>
                <w:sz w:val="4"/>
                <w:szCs w:val="4"/>
              </w:rPr>
            </w:pPr>
            <w:r>
              <w:rPr>
                <w:sz w:val="4"/>
                <w:szCs w:val="4"/>
              </w:rPr>
            </w:r>
          </w:p>
        </w:tc>
      </w:tr>
      <w:tr>
        <w:trPr/>
        <w:tc>
          <w:tcPr>
            <w:tcW w:w="1325" w:type="dxa"/>
            <w:tcBorders/>
            <w:shd w:fill="CCEEFF" w:val="clear"/>
            <w:tcMar>
              <w:bottom w:w="0" w:type="dxa"/>
            </w:tcMar>
            <w:vAlign w:val="bottom"/>
          </w:tcPr>
          <w:p>
            <w:pPr>
              <w:pStyle w:val="TableContents"/>
              <w:spacing w:before="0" w:after="0"/>
              <w:ind w:left="180" w:right="0" w:hanging="0"/>
              <w:rPr>
                <w:color w:val="000000"/>
              </w:rPr>
            </w:pPr>
            <w:r>
              <w:rPr>
                <w:color w:val="000000"/>
              </w:rPr>
              <w:t>Verano Holdings Corp.</w:t>
            </w:r>
          </w:p>
        </w:tc>
        <w:tc>
          <w:tcPr>
            <w:tcW w:w="1145" w:type="dxa"/>
            <w:tcBorders/>
            <w:shd w:fill="CCEEFF" w:val="clear"/>
            <w:tcMar>
              <w:bottom w:w="0" w:type="dxa"/>
            </w:tcMar>
            <w:vAlign w:val="bottom"/>
          </w:tcPr>
          <w:p>
            <w:pPr>
              <w:pStyle w:val="TableContents"/>
              <w:spacing w:before="0" w:after="0"/>
              <w:rPr>
                <w:color w:val="000000"/>
              </w:rPr>
            </w:pPr>
            <w:r>
              <w:rPr>
                <w:color w:val="000000"/>
              </w:rPr>
              <w:t>Senior Secured First Lien Term Loan</w:t>
            </w:r>
          </w:p>
        </w:tc>
        <w:tc>
          <w:tcPr>
            <w:tcW w:w="1145" w:type="dxa"/>
            <w:tcBorders/>
            <w:shd w:fill="CCEEFF" w:val="clear"/>
            <w:tcMar>
              <w:bottom w:w="0" w:type="dxa"/>
            </w:tcMar>
            <w:vAlign w:val="bottom"/>
          </w:tcPr>
          <w:p>
            <w:pPr>
              <w:pStyle w:val="TableContents"/>
              <w:spacing w:before="0" w:after="0"/>
              <w:jc w:val="center"/>
              <w:rPr>
                <w:color w:val="000000"/>
              </w:rPr>
            </w:pPr>
            <w:r>
              <w:rPr>
                <w:color w:val="000000"/>
              </w:rPr>
              <w:t>10/27/2022</w:t>
            </w:r>
          </w:p>
        </w:tc>
        <w:tc>
          <w:tcPr>
            <w:tcW w:w="935" w:type="dxa"/>
            <w:tcBorders/>
            <w:shd w:fill="CCEEFF" w:val="clear"/>
            <w:tcMar>
              <w:bottom w:w="0" w:type="dxa"/>
            </w:tcMar>
            <w:vAlign w:val="bottom"/>
          </w:tcPr>
          <w:p>
            <w:pPr>
              <w:pStyle w:val="TableContents"/>
              <w:spacing w:before="0" w:after="0"/>
              <w:jc w:val="center"/>
              <w:rPr>
                <w:color w:val="000000"/>
              </w:rPr>
            </w:pPr>
            <w:r>
              <w:rPr>
                <w:color w:val="000000"/>
              </w:rPr>
              <w:t>10/30/2026</w:t>
            </w:r>
          </w:p>
        </w:tc>
        <w:tc>
          <w:tcPr>
            <w:tcW w:w="830" w:type="dxa"/>
            <w:tcBorders/>
            <w:shd w:fill="CCEEFF" w:val="clear"/>
            <w:tcMar>
              <w:bottom w:w="0" w:type="dxa"/>
            </w:tcMar>
            <w:vAlign w:val="bottom"/>
          </w:tcPr>
          <w:p>
            <w:pPr>
              <w:pStyle w:val="TableContents"/>
              <w:spacing w:before="0" w:after="0"/>
              <w:jc w:val="center"/>
              <w:rPr>
                <w:color w:val="000000"/>
              </w:rPr>
            </w:pPr>
            <w:r>
              <w:rPr>
                <w:color w:val="000000"/>
              </w:rPr>
              <w:t>Variable interest rate PRIME(11) + 6.5%</w:t>
              <w:br/>
              <w:t>(6.25% PRIME Floor)</w:t>
            </w:r>
          </w:p>
        </w:tc>
        <w:tc>
          <w:tcPr>
            <w:tcW w:w="60" w:type="dxa"/>
            <w:tcBorders/>
            <w:shd w:fill="CCEEFF" w:val="clear"/>
            <w:tcMar>
              <w:bottom w:w="0" w:type="dxa"/>
            </w:tcMar>
            <w:vAlign w:val="bottom"/>
          </w:tcPr>
          <w:p>
            <w:pPr>
              <w:pStyle w:val="TableContents"/>
              <w:spacing w:before="0" w:after="283"/>
              <w:jc w:val="right"/>
              <w:rPr/>
            </w:pPr>
            <w:r>
              <w:rPr/>
              <w:t> </w:t>
            </w:r>
          </w:p>
        </w:tc>
        <w:tc>
          <w:tcPr>
            <w:tcW w:w="316" w:type="dxa"/>
            <w:tcBorders/>
            <w:shd w:fill="CCEEFF" w:val="clear"/>
            <w:tcMar>
              <w:bottom w:w="0" w:type="dxa"/>
            </w:tcMar>
            <w:vAlign w:val="bottom"/>
          </w:tcPr>
          <w:p>
            <w:pPr>
              <w:pStyle w:val="TableContents"/>
              <w:spacing w:before="0" w:after="283"/>
              <w:jc w:val="left"/>
              <w:rPr/>
            </w:pPr>
            <w:r>
              <w:rPr/>
              <w:t> </w:t>
            </w:r>
          </w:p>
        </w:tc>
        <w:tc>
          <w:tcPr>
            <w:tcW w:w="739" w:type="dxa"/>
            <w:tcBorders/>
            <w:shd w:fill="CCEEFF" w:val="clear"/>
            <w:tcMar>
              <w:bottom w:w="0" w:type="dxa"/>
            </w:tcMar>
            <w:vAlign w:val="bottom"/>
          </w:tcPr>
          <w:p>
            <w:pPr>
              <w:pStyle w:val="TableContents"/>
              <w:spacing w:before="0" w:after="0"/>
              <w:jc w:val="right"/>
              <w:rPr>
                <w:color w:val="000000"/>
              </w:rPr>
            </w:pPr>
            <w:r>
              <w:rPr>
                <w:color w:val="000000"/>
              </w:rPr>
              <w:t>3</w:t>
            </w:r>
          </w:p>
        </w:tc>
        <w:tc>
          <w:tcPr>
            <w:tcW w:w="60" w:type="dxa"/>
            <w:tcBorders/>
            <w:shd w:fill="CCEEFF" w:val="clear"/>
            <w:tcMar>
              <w:bottom w:w="0" w:type="dxa"/>
            </w:tcMar>
            <w:vAlign w:val="bottom"/>
          </w:tcPr>
          <w:p>
            <w:pPr>
              <w:pStyle w:val="TableContents"/>
              <w:spacing w:before="0" w:after="283"/>
              <w:jc w:val="left"/>
              <w:rPr/>
            </w:pPr>
            <w:r>
              <w:rPr/>
              <w:t> </w:t>
            </w:r>
          </w:p>
        </w:tc>
        <w:tc>
          <w:tcPr>
            <w:tcW w:w="1205" w:type="dxa"/>
            <w:tcBorders/>
            <w:shd w:fill="CCEEFF" w:val="clear"/>
            <w:tcMar>
              <w:bottom w:w="0" w:type="dxa"/>
            </w:tcMar>
            <w:vAlign w:val="bottom"/>
          </w:tcPr>
          <w:p>
            <w:pPr>
              <w:pStyle w:val="TableContents"/>
              <w:spacing w:before="0" w:after="0"/>
              <w:rPr>
                <w:color w:val="000000"/>
              </w:rPr>
            </w:pPr>
            <w:r>
              <w:rPr>
                <w:color w:val="000000"/>
              </w:rPr>
              <w:t>Midwest</w:t>
            </w:r>
          </w:p>
        </w:tc>
        <w:tc>
          <w:tcPr>
            <w:tcW w:w="3000" w:type="dxa"/>
            <w:tcBorders/>
            <w:shd w:fill="CCEEFF" w:val="clear"/>
            <w:tcMar>
              <w:bottom w:w="0" w:type="dxa"/>
            </w:tcMar>
            <w:vAlign w:val="bottom"/>
          </w:tcPr>
          <w:p>
            <w:pPr>
              <w:pStyle w:val="TableContents"/>
              <w:spacing w:before="0" w:after="0"/>
              <w:jc w:val="center"/>
              <w:rPr>
                <w:color w:val="000000"/>
              </w:rPr>
            </w:pPr>
            <w:r>
              <w:rPr>
                <w:color w:val="000000"/>
              </w:rPr>
              <w:t>No</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bottom w:val="single" w:sz="12" w:space="0" w:color="000000"/>
            </w:tcBorders>
            <w:shd w:fill="CCEEFF" w:val="clear"/>
            <w:vAlign w:val="bottom"/>
          </w:tcPr>
          <w:p>
            <w:pPr>
              <w:pStyle w:val="TableContents"/>
              <w:spacing w:before="0" w:after="283"/>
              <w:jc w:val="left"/>
              <w:rPr/>
            </w:pPr>
            <w:r>
              <w:rPr/>
              <w:t> </w:t>
            </w:r>
          </w:p>
        </w:tc>
        <w:tc>
          <w:tcPr>
            <w:tcW w:w="788" w:type="dxa"/>
            <w:tcBorders>
              <w:bottom w:val="single" w:sz="12" w:space="0" w:color="000000"/>
            </w:tcBorders>
            <w:shd w:fill="CCEEFF" w:val="clear"/>
            <w:vAlign w:val="bottom"/>
          </w:tcPr>
          <w:p>
            <w:pPr>
              <w:pStyle w:val="TableContents"/>
              <w:spacing w:before="0" w:after="0"/>
              <w:jc w:val="right"/>
              <w:rPr>
                <w:color w:val="000000"/>
              </w:rPr>
            </w:pPr>
            <w:r>
              <w:rPr>
                <w:color w:val="000000"/>
              </w:rPr>
              <w:t>21,000</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7" w:type="dxa"/>
            <w:tcBorders>
              <w:bottom w:val="single" w:sz="12" w:space="0" w:color="000000"/>
            </w:tcBorders>
            <w:shd w:fill="CCEEFF" w:val="clear"/>
            <w:vAlign w:val="bottom"/>
          </w:tcPr>
          <w:p>
            <w:pPr>
              <w:pStyle w:val="TableContents"/>
              <w:spacing w:before="0" w:after="283"/>
              <w:jc w:val="left"/>
              <w:rPr/>
            </w:pPr>
            <w:r>
              <w:rPr/>
              <w:t> </w:t>
            </w:r>
          </w:p>
        </w:tc>
        <w:tc>
          <w:tcPr>
            <w:tcW w:w="913" w:type="dxa"/>
            <w:tcBorders>
              <w:bottom w:val="single" w:sz="12" w:space="0" w:color="000000"/>
            </w:tcBorders>
            <w:shd w:fill="CCEEFF" w:val="clear"/>
            <w:vAlign w:val="bottom"/>
          </w:tcPr>
          <w:p>
            <w:pPr>
              <w:pStyle w:val="TableContents"/>
              <w:spacing w:before="0" w:after="0"/>
              <w:jc w:val="right"/>
              <w:rPr>
                <w:color w:val="000000"/>
              </w:rPr>
            </w:pPr>
            <w:r>
              <w:rPr>
                <w:color w:val="000000"/>
              </w:rPr>
              <w:t>20,392</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40" w:type="dxa"/>
            <w:tcBorders>
              <w:bottom w:val="single" w:sz="12" w:space="0" w:color="000000"/>
            </w:tcBorders>
            <w:shd w:fill="CCEEFF" w:val="clear"/>
            <w:vAlign w:val="bottom"/>
          </w:tcPr>
          <w:p>
            <w:pPr>
              <w:pStyle w:val="TableContents"/>
              <w:spacing w:before="0" w:after="283"/>
              <w:jc w:val="left"/>
              <w:rPr/>
            </w:pPr>
            <w:r>
              <w:rPr/>
              <w:t> </w:t>
            </w:r>
          </w:p>
        </w:tc>
        <w:tc>
          <w:tcPr>
            <w:tcW w:w="680" w:type="dxa"/>
            <w:tcBorders>
              <w:bottom w:val="single" w:sz="12" w:space="0" w:color="000000"/>
            </w:tcBorders>
            <w:shd w:fill="CCEEFF" w:val="clear"/>
            <w:vAlign w:val="bottom"/>
          </w:tcPr>
          <w:p>
            <w:pPr>
              <w:pStyle w:val="TableContents"/>
              <w:spacing w:before="0" w:after="0"/>
              <w:jc w:val="right"/>
              <w:rPr>
                <w:color w:val="000000"/>
              </w:rPr>
            </w:pPr>
            <w:r>
              <w:rPr>
                <w:color w:val="000000"/>
              </w:rPr>
              <w:t>20,392</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2" w:type="dxa"/>
            <w:tcBorders>
              <w:bottom w:val="single" w:sz="12" w:space="0" w:color="000000"/>
            </w:tcBorders>
            <w:shd w:fill="CCEEFF" w:val="clear"/>
            <w:vAlign w:val="bottom"/>
          </w:tcPr>
          <w:p>
            <w:pPr>
              <w:pStyle w:val="TableContents"/>
              <w:spacing w:before="0" w:after="283"/>
              <w:jc w:val="left"/>
              <w:rPr/>
            </w:pPr>
            <w:r>
              <w:rPr/>
              <w:t> </w:t>
            </w:r>
          </w:p>
        </w:tc>
        <w:tc>
          <w:tcPr>
            <w:tcW w:w="588" w:type="dxa"/>
            <w:tcBorders>
              <w:bottom w:val="single" w:sz="12" w:space="0" w:color="000000"/>
            </w:tcBorders>
            <w:shd w:fill="CCEEFF" w:val="clear"/>
            <w:vAlign w:val="bottom"/>
          </w:tcPr>
          <w:p>
            <w:pPr>
              <w:pStyle w:val="TableContents"/>
              <w:spacing w:before="0" w:after="0"/>
              <w:jc w:val="right"/>
              <w:rPr>
                <w:color w:val="000000"/>
              </w:rPr>
            </w:pPr>
            <w:r>
              <w:rPr>
                <w:color w:val="000000"/>
              </w:rPr>
              <w:t>23.58</w:t>
            </w:r>
          </w:p>
        </w:tc>
        <w:tc>
          <w:tcPr>
            <w:tcW w:w="275" w:type="dxa"/>
            <w:tcBorders/>
            <w:shd w:fill="CCEEFF" w:val="clear"/>
            <w:tcMar>
              <w:bottom w:w="0" w:type="dxa"/>
            </w:tcMar>
            <w:vAlign w:val="bottom"/>
          </w:tcPr>
          <w:p>
            <w:pPr>
              <w:pStyle w:val="TableContents"/>
              <w:spacing w:before="0" w:after="283"/>
              <w:rPr>
                <w:sz w:val="4"/>
                <w:szCs w:val="4"/>
              </w:rPr>
            </w:pPr>
            <w:r>
              <w:rPr>
                <w:sz w:val="4"/>
                <w:szCs w:val="4"/>
              </w:rPr>
            </w:r>
          </w:p>
        </w:tc>
      </w:tr>
      <w:tr>
        <w:trPr/>
        <w:tc>
          <w:tcPr>
            <w:tcW w:w="1325" w:type="dxa"/>
            <w:tcBorders/>
            <w:shd w:fill="auto" w:val="clear"/>
            <w:tcMar>
              <w:bottom w:w="0" w:type="dxa"/>
            </w:tcMar>
            <w:vAlign w:val="bottom"/>
          </w:tcPr>
          <w:p>
            <w:pPr>
              <w:pStyle w:val="TableContents"/>
              <w:spacing w:before="0" w:after="0"/>
              <w:ind w:left="180" w:right="0" w:hanging="180"/>
              <w:rPr>
                <w:color w:val="000000"/>
              </w:rPr>
            </w:pPr>
            <w:r>
              <w:rPr>
                <w:color w:val="000000"/>
              </w:rPr>
              <w:t> </w:t>
            </w:r>
          </w:p>
        </w:tc>
        <w:tc>
          <w:tcPr>
            <w:tcW w:w="1145" w:type="dxa"/>
            <w:tcBorders/>
            <w:shd w:fill="auto" w:val="clear"/>
            <w:tcMar>
              <w:bottom w:w="0" w:type="dxa"/>
            </w:tcMar>
            <w:vAlign w:val="bottom"/>
          </w:tcPr>
          <w:p>
            <w:pPr>
              <w:pStyle w:val="TableContents"/>
              <w:spacing w:before="0" w:after="0"/>
              <w:jc w:val="center"/>
              <w:rPr>
                <w:color w:val="000000"/>
              </w:rPr>
            </w:pPr>
            <w:r>
              <w:rPr>
                <w:color w:val="000000"/>
              </w:rPr>
              <w:t> </w:t>
            </w:r>
          </w:p>
        </w:tc>
        <w:tc>
          <w:tcPr>
            <w:tcW w:w="1145" w:type="dxa"/>
            <w:tcBorders/>
            <w:shd w:fill="auto" w:val="clear"/>
            <w:tcMar>
              <w:bottom w:w="0" w:type="dxa"/>
            </w:tcMar>
            <w:vAlign w:val="bottom"/>
          </w:tcPr>
          <w:p>
            <w:pPr>
              <w:pStyle w:val="TableContents"/>
              <w:spacing w:before="0" w:after="0"/>
              <w:jc w:val="center"/>
              <w:rPr>
                <w:color w:val="000000"/>
              </w:rPr>
            </w:pPr>
            <w:r>
              <w:rPr>
                <w:color w:val="000000"/>
              </w:rPr>
              <w:t> </w:t>
            </w:r>
          </w:p>
        </w:tc>
        <w:tc>
          <w:tcPr>
            <w:tcW w:w="935" w:type="dxa"/>
            <w:tcBorders/>
            <w:shd w:fill="auto" w:val="clear"/>
            <w:tcMar>
              <w:bottom w:w="0" w:type="dxa"/>
            </w:tcMar>
            <w:vAlign w:val="bottom"/>
          </w:tcPr>
          <w:p>
            <w:pPr>
              <w:pStyle w:val="TableContents"/>
              <w:spacing w:before="0" w:after="0"/>
              <w:jc w:val="center"/>
              <w:rPr>
                <w:color w:val="000000"/>
              </w:rPr>
            </w:pPr>
            <w:r>
              <w:rPr>
                <w:color w:val="000000"/>
              </w:rPr>
              <w:t> </w:t>
            </w:r>
          </w:p>
        </w:tc>
        <w:tc>
          <w:tcPr>
            <w:tcW w:w="830" w:type="dxa"/>
            <w:tcBorders/>
            <w:shd w:fill="auto" w:val="clear"/>
            <w:tcMar>
              <w:bottom w:w="0" w:type="dxa"/>
            </w:tcMar>
            <w:vAlign w:val="bottom"/>
          </w:tcPr>
          <w:p>
            <w:pPr>
              <w:pStyle w:val="TableContents"/>
              <w:spacing w:before="0" w:after="0"/>
              <w:jc w:val="center"/>
              <w:rPr>
                <w:color w:val="000000"/>
              </w:rPr>
            </w:pPr>
            <w:r>
              <w:rPr>
                <w:color w:val="000000"/>
              </w:rPr>
              <w:t> </w:t>
            </w:r>
          </w:p>
        </w:tc>
        <w:tc>
          <w:tcPr>
            <w:tcW w:w="60" w:type="dxa"/>
            <w:tcBorders/>
            <w:shd w:fill="auto" w:val="clear"/>
            <w:tcMar>
              <w:bottom w:w="0" w:type="dxa"/>
            </w:tcMar>
            <w:vAlign w:val="bottom"/>
          </w:tcPr>
          <w:p>
            <w:pPr>
              <w:pStyle w:val="TableContents"/>
              <w:spacing w:before="0" w:after="283"/>
              <w:jc w:val="right"/>
              <w:rPr/>
            </w:pPr>
            <w:r>
              <w:rPr/>
              <w:t> </w:t>
            </w:r>
          </w:p>
        </w:tc>
        <w:tc>
          <w:tcPr>
            <w:tcW w:w="316" w:type="dxa"/>
            <w:tcBorders/>
            <w:shd w:fill="auto" w:val="clear"/>
            <w:tcMar>
              <w:bottom w:w="0" w:type="dxa"/>
            </w:tcMar>
            <w:vAlign w:val="bottom"/>
          </w:tcPr>
          <w:p>
            <w:pPr>
              <w:pStyle w:val="TableContents"/>
              <w:spacing w:before="0" w:after="283"/>
              <w:jc w:val="left"/>
              <w:rPr/>
            </w:pPr>
            <w:r>
              <w:rPr/>
              <w:t> </w:t>
            </w:r>
          </w:p>
        </w:tc>
        <w:tc>
          <w:tcPr>
            <w:tcW w:w="739"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283"/>
              <w:rPr/>
            </w:pPr>
            <w:r>
              <w:rPr/>
              <w:t> </w:t>
            </w:r>
          </w:p>
        </w:tc>
        <w:tc>
          <w:tcPr>
            <w:tcW w:w="3000" w:type="dxa"/>
            <w:tcBorders/>
            <w:shd w:fill="auto" w:val="clear"/>
            <w:tcMar>
              <w:bottom w:w="0" w:type="dxa"/>
            </w:tcMar>
            <w:vAlign w:val="bottom"/>
          </w:tcPr>
          <w:p>
            <w:pPr>
              <w:pStyle w:val="TableContents"/>
              <w:spacing w:before="0" w:after="0"/>
              <w:jc w:val="center"/>
              <w:rPr>
                <w:color w:val="000000"/>
              </w:rPr>
            </w:pPr>
            <w:r>
              <w:rPr>
                <w:color w:val="000000"/>
              </w:rPr>
              <w:t>                                                  </w:t>
            </w:r>
          </w:p>
        </w:tc>
        <w:tc>
          <w:tcPr>
            <w:tcW w:w="60" w:type="dxa"/>
            <w:tcBorders/>
            <w:shd w:fill="auto" w:val="clear"/>
            <w:tcMar>
              <w:bottom w:w="0" w:type="dxa"/>
            </w:tcMar>
            <w:vAlign w:val="bottom"/>
          </w:tcPr>
          <w:p>
            <w:pPr>
              <w:pStyle w:val="TableContents"/>
              <w:spacing w:before="0" w:after="283"/>
              <w:jc w:val="right"/>
              <w:rPr/>
            </w:pPr>
            <w:r>
              <w:rPr/>
              <w:t> </w:t>
            </w:r>
          </w:p>
        </w:tc>
        <w:tc>
          <w:tcPr>
            <w:tcW w:w="162" w:type="dxa"/>
            <w:tcBorders>
              <w:bottom w:val="single" w:sz="12" w:space="0" w:color="000000"/>
            </w:tcBorders>
            <w:shd w:fill="auto" w:val="clear"/>
            <w:vAlign w:val="bottom"/>
          </w:tcPr>
          <w:p>
            <w:pPr>
              <w:pStyle w:val="TableContents"/>
              <w:spacing w:before="0" w:after="0"/>
              <w:jc w:val="left"/>
              <w:rPr>
                <w:color w:val="000000"/>
              </w:rPr>
            </w:pPr>
            <w:r>
              <w:rPr>
                <w:color w:val="000000"/>
              </w:rPr>
              <w:t>$</w:t>
            </w:r>
          </w:p>
        </w:tc>
        <w:tc>
          <w:tcPr>
            <w:tcW w:w="788" w:type="dxa"/>
            <w:tcBorders>
              <w:bottom w:val="single" w:sz="12" w:space="0" w:color="000000"/>
            </w:tcBorders>
            <w:shd w:fill="auto" w:val="clear"/>
            <w:vAlign w:val="bottom"/>
          </w:tcPr>
          <w:p>
            <w:pPr>
              <w:pStyle w:val="TableContents"/>
              <w:spacing w:before="0" w:after="0"/>
              <w:jc w:val="right"/>
              <w:rPr>
                <w:color w:val="000000"/>
              </w:rPr>
            </w:pPr>
            <w:r>
              <w:rPr>
                <w:color w:val="000000"/>
              </w:rPr>
              <w:t>52,750</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87" w:type="dxa"/>
            <w:tcBorders>
              <w:bottom w:val="single" w:sz="12" w:space="0" w:color="000000"/>
            </w:tcBorders>
            <w:shd w:fill="auto" w:val="clear"/>
            <w:vAlign w:val="bottom"/>
          </w:tcPr>
          <w:p>
            <w:pPr>
              <w:pStyle w:val="TableContents"/>
              <w:spacing w:before="0" w:after="283"/>
              <w:jc w:val="left"/>
              <w:rPr/>
            </w:pPr>
            <w:r>
              <w:rPr/>
              <w:t> </w:t>
            </w:r>
          </w:p>
        </w:tc>
        <w:tc>
          <w:tcPr>
            <w:tcW w:w="913" w:type="dxa"/>
            <w:tcBorders>
              <w:bottom w:val="single" w:sz="12" w:space="0" w:color="000000"/>
            </w:tcBorders>
            <w:shd w:fill="auto" w:val="clear"/>
            <w:vAlign w:val="bottom"/>
          </w:tcPr>
          <w:p>
            <w:pPr>
              <w:pStyle w:val="TableContents"/>
              <w:spacing w:before="0" w:after="0"/>
              <w:jc w:val="right"/>
              <w:rPr>
                <w:color w:val="000000"/>
              </w:rPr>
            </w:pPr>
            <w:r>
              <w:rPr>
                <w:color w:val="000000"/>
              </w:rPr>
              <w:t>50,528</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40" w:type="dxa"/>
            <w:tcBorders>
              <w:bottom w:val="single" w:sz="12" w:space="0" w:color="000000"/>
            </w:tcBorders>
            <w:shd w:fill="auto" w:val="clear"/>
            <w:vAlign w:val="bottom"/>
          </w:tcPr>
          <w:p>
            <w:pPr>
              <w:pStyle w:val="TableContents"/>
              <w:spacing w:before="0" w:after="283"/>
              <w:jc w:val="left"/>
              <w:rPr/>
            </w:pPr>
            <w:r>
              <w:rPr/>
              <w:t> </w:t>
            </w:r>
          </w:p>
        </w:tc>
        <w:tc>
          <w:tcPr>
            <w:tcW w:w="680" w:type="dxa"/>
            <w:tcBorders>
              <w:bottom w:val="single" w:sz="12" w:space="0" w:color="000000"/>
            </w:tcBorders>
            <w:shd w:fill="auto" w:val="clear"/>
            <w:vAlign w:val="bottom"/>
          </w:tcPr>
          <w:p>
            <w:pPr>
              <w:pStyle w:val="TableContents"/>
              <w:spacing w:before="0" w:after="0"/>
              <w:jc w:val="right"/>
              <w:rPr>
                <w:color w:val="000000"/>
              </w:rPr>
            </w:pPr>
            <w:r>
              <w:rPr>
                <w:color w:val="000000"/>
              </w:rPr>
              <w:t>50,255</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62" w:type="dxa"/>
            <w:tcBorders>
              <w:bottom w:val="single" w:sz="12" w:space="0" w:color="000000"/>
            </w:tcBorders>
            <w:shd w:fill="auto" w:val="clear"/>
            <w:vAlign w:val="bottom"/>
          </w:tcPr>
          <w:p>
            <w:pPr>
              <w:pStyle w:val="TableContents"/>
              <w:spacing w:before="0" w:after="283"/>
              <w:jc w:val="left"/>
              <w:rPr/>
            </w:pPr>
            <w:r>
              <w:rPr/>
              <w:t> </w:t>
            </w:r>
          </w:p>
        </w:tc>
        <w:tc>
          <w:tcPr>
            <w:tcW w:w="588" w:type="dxa"/>
            <w:tcBorders>
              <w:bottom w:val="single" w:sz="12" w:space="0" w:color="000000"/>
            </w:tcBorders>
            <w:shd w:fill="auto" w:val="clear"/>
            <w:vAlign w:val="bottom"/>
          </w:tcPr>
          <w:p>
            <w:pPr>
              <w:pStyle w:val="TableContents"/>
              <w:spacing w:before="0" w:after="0"/>
              <w:jc w:val="right"/>
              <w:rPr>
                <w:color w:val="000000"/>
              </w:rPr>
            </w:pPr>
            <w:r>
              <w:rPr>
                <w:color w:val="000000"/>
              </w:rPr>
              <w:t>58.12</w:t>
            </w:r>
          </w:p>
        </w:tc>
        <w:tc>
          <w:tcPr>
            <w:tcW w:w="275" w:type="dxa"/>
            <w:tcBorders/>
            <w:shd w:fill="auto" w:val="clear"/>
            <w:tcMar>
              <w:bottom w:w="0" w:type="dxa"/>
            </w:tcMar>
            <w:vAlign w:val="bottom"/>
          </w:tcPr>
          <w:p>
            <w:pPr>
              <w:pStyle w:val="TableContents"/>
              <w:spacing w:before="0" w:after="283"/>
              <w:rPr>
                <w:sz w:val="4"/>
                <w:szCs w:val="4"/>
              </w:rPr>
            </w:pPr>
            <w:r>
              <w:rPr>
                <w:sz w:val="4"/>
                <w:szCs w:val="4"/>
              </w:rPr>
            </w:r>
          </w:p>
        </w:tc>
      </w:tr>
      <w:tr>
        <w:trPr/>
        <w:tc>
          <w:tcPr>
            <w:tcW w:w="1325" w:type="dxa"/>
            <w:tcBorders/>
            <w:shd w:fill="CCEEFF" w:val="clear"/>
            <w:tcMar>
              <w:bottom w:w="0" w:type="dxa"/>
            </w:tcMar>
            <w:vAlign w:val="bottom"/>
          </w:tcPr>
          <w:p>
            <w:pPr>
              <w:pStyle w:val="TableContents"/>
              <w:spacing w:before="0" w:after="0"/>
              <w:ind w:left="180" w:right="0" w:hanging="180"/>
              <w:rPr>
                <w:color w:val="000000"/>
              </w:rPr>
            </w:pPr>
            <w:r>
              <w:rPr>
                <w:color w:val="000000"/>
              </w:rPr>
              <w:t> </w:t>
            </w:r>
          </w:p>
        </w:tc>
        <w:tc>
          <w:tcPr>
            <w:tcW w:w="1145" w:type="dxa"/>
            <w:tcBorders/>
            <w:shd w:fill="CCEEFF" w:val="clear"/>
            <w:tcMar>
              <w:bottom w:w="0" w:type="dxa"/>
            </w:tcMar>
            <w:vAlign w:val="bottom"/>
          </w:tcPr>
          <w:p>
            <w:pPr>
              <w:pStyle w:val="TableContents"/>
              <w:spacing w:before="0" w:after="0"/>
              <w:jc w:val="center"/>
              <w:rPr>
                <w:color w:val="000000"/>
              </w:rPr>
            </w:pPr>
            <w:r>
              <w:rPr>
                <w:color w:val="000000"/>
              </w:rPr>
              <w:t> </w:t>
            </w:r>
          </w:p>
        </w:tc>
        <w:tc>
          <w:tcPr>
            <w:tcW w:w="1145" w:type="dxa"/>
            <w:tcBorders/>
            <w:shd w:fill="CCEEFF" w:val="clear"/>
            <w:tcMar>
              <w:bottom w:w="0" w:type="dxa"/>
            </w:tcMar>
            <w:vAlign w:val="bottom"/>
          </w:tcPr>
          <w:p>
            <w:pPr>
              <w:pStyle w:val="TableContents"/>
              <w:spacing w:before="0" w:after="0"/>
              <w:jc w:val="center"/>
              <w:rPr>
                <w:color w:val="000000"/>
              </w:rPr>
            </w:pPr>
            <w:r>
              <w:rPr>
                <w:color w:val="000000"/>
              </w:rPr>
              <w:t> </w:t>
            </w:r>
          </w:p>
        </w:tc>
        <w:tc>
          <w:tcPr>
            <w:tcW w:w="935" w:type="dxa"/>
            <w:tcBorders/>
            <w:shd w:fill="CCEEFF" w:val="clear"/>
            <w:tcMar>
              <w:bottom w:w="0" w:type="dxa"/>
            </w:tcMar>
            <w:vAlign w:val="bottom"/>
          </w:tcPr>
          <w:p>
            <w:pPr>
              <w:pStyle w:val="TableContents"/>
              <w:spacing w:before="0" w:after="0"/>
              <w:jc w:val="center"/>
              <w:rPr>
                <w:color w:val="000000"/>
              </w:rPr>
            </w:pPr>
            <w:r>
              <w:rPr>
                <w:color w:val="000000"/>
              </w:rPr>
              <w:t> </w:t>
            </w:r>
          </w:p>
        </w:tc>
        <w:tc>
          <w:tcPr>
            <w:tcW w:w="830" w:type="dxa"/>
            <w:tcBorders/>
            <w:shd w:fill="CCEEFF" w:val="clear"/>
            <w:tcMar>
              <w:bottom w:w="0" w:type="dxa"/>
            </w:tcMar>
            <w:vAlign w:val="bottom"/>
          </w:tcPr>
          <w:p>
            <w:pPr>
              <w:pStyle w:val="TableContents"/>
              <w:spacing w:before="0" w:after="0"/>
              <w:jc w:val="center"/>
              <w:rPr>
                <w:color w:val="000000"/>
              </w:rPr>
            </w:pPr>
            <w:r>
              <w:rPr>
                <w:color w:val="000000"/>
              </w:rPr>
              <w:t> </w:t>
            </w:r>
          </w:p>
        </w:tc>
        <w:tc>
          <w:tcPr>
            <w:tcW w:w="60" w:type="dxa"/>
            <w:tcBorders/>
            <w:shd w:fill="CCEEFF" w:val="clear"/>
            <w:tcMar>
              <w:bottom w:w="0" w:type="dxa"/>
            </w:tcMar>
            <w:vAlign w:val="bottom"/>
          </w:tcPr>
          <w:p>
            <w:pPr>
              <w:pStyle w:val="TableContents"/>
              <w:spacing w:before="0" w:after="283"/>
              <w:jc w:val="right"/>
              <w:rPr/>
            </w:pPr>
            <w:r>
              <w:rPr/>
              <w:t> </w:t>
            </w:r>
          </w:p>
        </w:tc>
        <w:tc>
          <w:tcPr>
            <w:tcW w:w="316" w:type="dxa"/>
            <w:tcBorders/>
            <w:shd w:fill="CCEEFF" w:val="clear"/>
            <w:tcMar>
              <w:bottom w:w="0" w:type="dxa"/>
            </w:tcMar>
            <w:vAlign w:val="bottom"/>
          </w:tcPr>
          <w:p>
            <w:pPr>
              <w:pStyle w:val="TableContents"/>
              <w:spacing w:before="0" w:after="283"/>
              <w:jc w:val="left"/>
              <w:rPr/>
            </w:pPr>
            <w:r>
              <w:rPr/>
              <w:t> </w:t>
            </w:r>
          </w:p>
        </w:tc>
        <w:tc>
          <w:tcPr>
            <w:tcW w:w="739"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1205" w:type="dxa"/>
            <w:tcBorders/>
            <w:shd w:fill="CCEEFF" w:val="clear"/>
            <w:tcMar>
              <w:bottom w:w="0" w:type="dxa"/>
            </w:tcMar>
            <w:vAlign w:val="bottom"/>
          </w:tcPr>
          <w:p>
            <w:pPr>
              <w:pStyle w:val="TableContents"/>
              <w:spacing w:before="0" w:after="283"/>
              <w:rPr/>
            </w:pPr>
            <w:r>
              <w:rPr/>
              <w:t> </w:t>
            </w:r>
          </w:p>
        </w:tc>
        <w:tc>
          <w:tcPr>
            <w:tcW w:w="3000" w:type="dxa"/>
            <w:tcBorders/>
            <w:shd w:fill="CCEEFF" w:val="clear"/>
            <w:tcMar>
              <w:bottom w:w="0" w:type="dxa"/>
            </w:tcMar>
            <w:vAlign w:val="bottom"/>
          </w:tcPr>
          <w:p>
            <w:pPr>
              <w:pStyle w:val="TableContents"/>
              <w:spacing w:before="0" w:after="0"/>
              <w:jc w:val="center"/>
              <w:rPr>
                <w:color w:val="000000"/>
              </w:rPr>
            </w:pPr>
            <w:r>
              <w:rPr>
                <w:color w:val="000000"/>
              </w:rPr>
              <w:t> </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shd w:fill="CCEEFF" w:val="clear"/>
            <w:tcMar>
              <w:bottom w:w="0" w:type="dxa"/>
            </w:tcMar>
            <w:vAlign w:val="bottom"/>
          </w:tcPr>
          <w:p>
            <w:pPr>
              <w:pStyle w:val="TableContents"/>
              <w:spacing w:before="0" w:after="283"/>
              <w:jc w:val="left"/>
              <w:rPr/>
            </w:pPr>
            <w:r>
              <w:rPr/>
              <w:t> </w:t>
            </w:r>
          </w:p>
        </w:tc>
        <w:tc>
          <w:tcPr>
            <w:tcW w:w="788"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7" w:type="dxa"/>
            <w:tcBorders>
              <w:bottom w:val="single" w:sz="12" w:space="0" w:color="000000"/>
            </w:tcBorders>
            <w:shd w:fill="CCEEFF" w:val="clear"/>
            <w:vAlign w:val="bottom"/>
          </w:tcPr>
          <w:p>
            <w:pPr>
              <w:pStyle w:val="TableContents"/>
              <w:spacing w:before="0" w:after="283"/>
              <w:jc w:val="left"/>
              <w:rPr/>
            </w:pPr>
            <w:r>
              <w:rPr/>
              <w:t> </w:t>
            </w:r>
          </w:p>
        </w:tc>
        <w:tc>
          <w:tcPr>
            <w:tcW w:w="913" w:type="dxa"/>
            <w:tcBorders>
              <w:bottom w:val="single" w:sz="12" w:space="0" w:color="000000"/>
            </w:tcBorders>
            <w:shd w:fill="CCEEFF" w:val="cle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40" w:type="dxa"/>
            <w:tcBorders>
              <w:bottom w:val="single" w:sz="12" w:space="0" w:color="000000"/>
            </w:tcBorders>
            <w:shd w:fill="CCEEFF" w:val="clear"/>
            <w:vAlign w:val="bottom"/>
          </w:tcPr>
          <w:p>
            <w:pPr>
              <w:pStyle w:val="TableContents"/>
              <w:spacing w:before="0" w:after="283"/>
              <w:jc w:val="left"/>
              <w:rPr/>
            </w:pPr>
            <w:r>
              <w:rPr/>
              <w:t> </w:t>
            </w:r>
          </w:p>
        </w:tc>
        <w:tc>
          <w:tcPr>
            <w:tcW w:w="680" w:type="dxa"/>
            <w:tcBorders>
              <w:bottom w:val="single" w:sz="12" w:space="0" w:color="000000"/>
            </w:tcBorders>
            <w:shd w:fill="CCEEFF" w:val="cle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2" w:type="dxa"/>
            <w:tcBorders>
              <w:bottom w:val="single" w:sz="12" w:space="0" w:color="000000"/>
            </w:tcBorders>
            <w:shd w:fill="CCEEFF" w:val="clear"/>
            <w:vAlign w:val="bottom"/>
          </w:tcPr>
          <w:p>
            <w:pPr>
              <w:pStyle w:val="TableContents"/>
              <w:spacing w:before="0" w:after="283"/>
              <w:jc w:val="left"/>
              <w:rPr/>
            </w:pPr>
            <w:r>
              <w:rPr/>
              <w:t> </w:t>
            </w:r>
          </w:p>
        </w:tc>
        <w:tc>
          <w:tcPr>
            <w:tcW w:w="588" w:type="dxa"/>
            <w:tcBorders>
              <w:bottom w:val="single" w:sz="12" w:space="0" w:color="000000"/>
            </w:tcBorders>
            <w:shd w:fill="CCEEFF" w:val="clear"/>
            <w:vAlign w:val="bottom"/>
          </w:tcPr>
          <w:p>
            <w:pPr>
              <w:pStyle w:val="TableContents"/>
              <w:spacing w:before="0" w:after="283"/>
              <w:jc w:val="right"/>
              <w:rPr/>
            </w:pPr>
            <w:r>
              <w:rPr/>
              <w:t> </w:t>
            </w:r>
          </w:p>
        </w:tc>
        <w:tc>
          <w:tcPr>
            <w:tcW w:w="275" w:type="dxa"/>
            <w:tcBorders/>
            <w:shd w:fill="CCEEFF" w:val="clear"/>
            <w:tcMar>
              <w:bottom w:w="0" w:type="dxa"/>
            </w:tcMar>
            <w:vAlign w:val="bottom"/>
          </w:tcPr>
          <w:p>
            <w:pPr>
              <w:pStyle w:val="TableContents"/>
              <w:spacing w:before="0" w:after="283"/>
              <w:jc w:val="left"/>
              <w:rPr/>
            </w:pPr>
            <w:r>
              <w:rPr/>
              <w:t> </w:t>
            </w:r>
          </w:p>
        </w:tc>
      </w:tr>
      <w:tr>
        <w:trPr/>
        <w:tc>
          <w:tcPr>
            <w:tcW w:w="4550" w:type="dxa"/>
            <w:gridSpan w:val="4"/>
            <w:tcBorders/>
            <w:shd w:fill="auto" w:val="clear"/>
            <w:tcMar>
              <w:bottom w:w="0" w:type="dxa"/>
            </w:tcMar>
            <w:vAlign w:val="bottom"/>
          </w:tcPr>
          <w:p>
            <w:pPr>
              <w:pStyle w:val="TableContents"/>
              <w:spacing w:before="0" w:after="0"/>
              <w:ind w:left="180" w:right="0" w:hanging="0"/>
              <w:rPr>
                <w:b/>
                <w:color w:val="000000"/>
              </w:rPr>
            </w:pPr>
            <w:r>
              <w:rPr>
                <w:b/>
                <w:color w:val="000000"/>
              </w:rPr>
              <w:t xml:space="preserve">Total: Debt Securities - United States (58.12%): </w:t>
            </w:r>
          </w:p>
        </w:tc>
        <w:tc>
          <w:tcPr>
            <w:tcW w:w="830" w:type="dxa"/>
            <w:tcBorders/>
            <w:shd w:fill="auto" w:val="clear"/>
            <w:tcMar>
              <w:bottom w:w="0" w:type="dxa"/>
            </w:tcMar>
            <w:vAlign w:val="bottom"/>
          </w:tcPr>
          <w:p>
            <w:pPr>
              <w:pStyle w:val="TableContents"/>
              <w:spacing w:before="0" w:after="0"/>
              <w:jc w:val="center"/>
              <w:rPr>
                <w:color w:val="000000"/>
              </w:rPr>
            </w:pPr>
            <w:r>
              <w:rPr>
                <w:color w:val="000000"/>
              </w:rPr>
              <w:t> </w:t>
            </w:r>
          </w:p>
        </w:tc>
        <w:tc>
          <w:tcPr>
            <w:tcW w:w="60" w:type="dxa"/>
            <w:tcBorders/>
            <w:shd w:fill="auto" w:val="clear"/>
            <w:tcMar>
              <w:bottom w:w="0" w:type="dxa"/>
            </w:tcMar>
            <w:vAlign w:val="bottom"/>
          </w:tcPr>
          <w:p>
            <w:pPr>
              <w:pStyle w:val="TableContents"/>
              <w:spacing w:before="0" w:after="283"/>
              <w:jc w:val="right"/>
              <w:rPr/>
            </w:pPr>
            <w:r>
              <w:rPr/>
              <w:t> </w:t>
            </w:r>
          </w:p>
        </w:tc>
        <w:tc>
          <w:tcPr>
            <w:tcW w:w="316" w:type="dxa"/>
            <w:tcBorders/>
            <w:shd w:fill="auto" w:val="clear"/>
            <w:tcMar>
              <w:bottom w:w="0" w:type="dxa"/>
            </w:tcMar>
            <w:vAlign w:val="bottom"/>
          </w:tcPr>
          <w:p>
            <w:pPr>
              <w:pStyle w:val="TableContents"/>
              <w:spacing w:before="0" w:after="283"/>
              <w:jc w:val="left"/>
              <w:rPr/>
            </w:pPr>
            <w:r>
              <w:rPr/>
              <w:t> </w:t>
            </w:r>
          </w:p>
        </w:tc>
        <w:tc>
          <w:tcPr>
            <w:tcW w:w="739"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283"/>
              <w:rPr/>
            </w:pPr>
            <w:r>
              <w:rPr/>
              <w:t> </w:t>
            </w:r>
          </w:p>
        </w:tc>
        <w:tc>
          <w:tcPr>
            <w:tcW w:w="3000" w:type="dxa"/>
            <w:tcBorders/>
            <w:shd w:fill="auto" w:val="clear"/>
            <w:tcMar>
              <w:bottom w:w="0" w:type="dxa"/>
            </w:tcMar>
            <w:vAlign w:val="bottom"/>
          </w:tcPr>
          <w:p>
            <w:pPr>
              <w:pStyle w:val="TableContents"/>
              <w:spacing w:before="0" w:after="0"/>
              <w:jc w:val="center"/>
              <w:rPr>
                <w:color w:val="000000"/>
              </w:rPr>
            </w:pPr>
            <w:r>
              <w:rPr>
                <w:color w:val="000000"/>
              </w:rPr>
              <w:t> </w:t>
            </w:r>
          </w:p>
        </w:tc>
        <w:tc>
          <w:tcPr>
            <w:tcW w:w="60" w:type="dxa"/>
            <w:tcBorders/>
            <w:shd w:fill="auto" w:val="clear"/>
            <w:tcMar>
              <w:bottom w:w="0" w:type="dxa"/>
            </w:tcMar>
            <w:vAlign w:val="bottom"/>
          </w:tcPr>
          <w:p>
            <w:pPr>
              <w:pStyle w:val="TableContents"/>
              <w:spacing w:before="0" w:after="283"/>
              <w:jc w:val="right"/>
              <w:rPr/>
            </w:pPr>
            <w:r>
              <w:rPr/>
              <w:t> </w:t>
            </w:r>
          </w:p>
        </w:tc>
        <w:tc>
          <w:tcPr>
            <w:tcW w:w="162" w:type="dxa"/>
            <w:tcBorders/>
            <w:shd w:fill="auto" w:val="clear"/>
            <w:tcMar>
              <w:bottom w:w="0" w:type="dxa"/>
            </w:tcMar>
            <w:vAlign w:val="bottom"/>
          </w:tcPr>
          <w:p>
            <w:pPr>
              <w:pStyle w:val="TableContents"/>
              <w:spacing w:before="0" w:after="283"/>
              <w:jc w:val="left"/>
              <w:rPr/>
            </w:pPr>
            <w:r>
              <w:rPr/>
              <w:t> </w:t>
            </w:r>
          </w:p>
        </w:tc>
        <w:tc>
          <w:tcPr>
            <w:tcW w:w="788"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87" w:type="dxa"/>
            <w:tcBorders>
              <w:bottom w:val="single" w:sz="12" w:space="0" w:color="000000"/>
            </w:tcBorders>
            <w:shd w:fill="auto" w:val="clear"/>
            <w:vAlign w:val="bottom"/>
          </w:tcPr>
          <w:p>
            <w:pPr>
              <w:pStyle w:val="TableContents"/>
              <w:spacing w:before="0" w:after="283"/>
              <w:jc w:val="left"/>
              <w:rPr/>
            </w:pPr>
            <w:r>
              <w:rPr/>
              <w:t> </w:t>
            </w:r>
          </w:p>
        </w:tc>
        <w:tc>
          <w:tcPr>
            <w:tcW w:w="913" w:type="dxa"/>
            <w:tcBorders>
              <w:bottom w:val="single" w:sz="12" w:space="0" w:color="000000"/>
            </w:tcBorders>
            <w:shd w:fill="auto" w:val="clear"/>
            <w:vAlign w:val="bottom"/>
          </w:tcPr>
          <w:p>
            <w:pPr>
              <w:pStyle w:val="TableContents"/>
              <w:spacing w:before="0" w:after="0"/>
              <w:jc w:val="right"/>
              <w:rPr>
                <w:b/>
                <w:color w:val="000000"/>
              </w:rPr>
            </w:pPr>
            <w:r>
              <w:rPr>
                <w:b/>
                <w:color w:val="000000"/>
              </w:rPr>
              <w:t>50,528</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40" w:type="dxa"/>
            <w:tcBorders>
              <w:bottom w:val="single" w:sz="12" w:space="0" w:color="000000"/>
            </w:tcBorders>
            <w:shd w:fill="auto" w:val="clear"/>
            <w:vAlign w:val="bottom"/>
          </w:tcPr>
          <w:p>
            <w:pPr>
              <w:pStyle w:val="TableContents"/>
              <w:spacing w:before="0" w:after="283"/>
              <w:jc w:val="left"/>
              <w:rPr/>
            </w:pPr>
            <w:r>
              <w:rPr/>
              <w:t> </w:t>
            </w:r>
          </w:p>
        </w:tc>
        <w:tc>
          <w:tcPr>
            <w:tcW w:w="680" w:type="dxa"/>
            <w:tcBorders>
              <w:bottom w:val="single" w:sz="12" w:space="0" w:color="000000"/>
            </w:tcBorders>
            <w:shd w:fill="auto" w:val="clear"/>
            <w:vAlign w:val="bottom"/>
          </w:tcPr>
          <w:p>
            <w:pPr>
              <w:pStyle w:val="TableContents"/>
              <w:spacing w:before="0" w:after="0"/>
              <w:jc w:val="right"/>
              <w:rPr>
                <w:b/>
                <w:color w:val="000000"/>
              </w:rPr>
            </w:pPr>
            <w:r>
              <w:rPr>
                <w:b/>
                <w:color w:val="000000"/>
              </w:rPr>
              <w:t>50,255</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62" w:type="dxa"/>
            <w:tcBorders>
              <w:bottom w:val="single" w:sz="12" w:space="0" w:color="000000"/>
            </w:tcBorders>
            <w:shd w:fill="auto" w:val="clear"/>
            <w:vAlign w:val="bottom"/>
          </w:tcPr>
          <w:p>
            <w:pPr>
              <w:pStyle w:val="TableContents"/>
              <w:spacing w:before="0" w:after="283"/>
              <w:jc w:val="left"/>
              <w:rPr/>
            </w:pPr>
            <w:r>
              <w:rPr/>
              <w:t> </w:t>
            </w:r>
          </w:p>
        </w:tc>
        <w:tc>
          <w:tcPr>
            <w:tcW w:w="588" w:type="dxa"/>
            <w:tcBorders>
              <w:bottom w:val="single" w:sz="12" w:space="0" w:color="000000"/>
            </w:tcBorders>
            <w:shd w:fill="auto" w:val="clear"/>
            <w:vAlign w:val="bottom"/>
          </w:tcPr>
          <w:p>
            <w:pPr>
              <w:pStyle w:val="TableContents"/>
              <w:spacing w:before="0" w:after="0"/>
              <w:jc w:val="right"/>
              <w:rPr>
                <w:b/>
                <w:color w:val="000000"/>
              </w:rPr>
            </w:pPr>
            <w:r>
              <w:rPr>
                <w:b/>
                <w:color w:val="000000"/>
              </w:rPr>
              <w:t>58.12</w:t>
            </w:r>
          </w:p>
        </w:tc>
        <w:tc>
          <w:tcPr>
            <w:tcW w:w="275" w:type="dxa"/>
            <w:tcBorders/>
            <w:shd w:fill="auto" w:val="clear"/>
            <w:tcMar>
              <w:bottom w:w="0" w:type="dxa"/>
            </w:tcMar>
            <w:vAlign w:val="bottom"/>
          </w:tcPr>
          <w:p>
            <w:pPr>
              <w:pStyle w:val="TableContents"/>
              <w:spacing w:before="0" w:after="283"/>
              <w:rPr>
                <w:sz w:val="4"/>
                <w:szCs w:val="4"/>
              </w:rPr>
            </w:pPr>
            <w:r>
              <w:rPr>
                <w:sz w:val="4"/>
                <w:szCs w:val="4"/>
              </w:rPr>
            </w:r>
          </w:p>
        </w:tc>
      </w:tr>
      <w:tr>
        <w:trPr/>
        <w:tc>
          <w:tcPr>
            <w:tcW w:w="1325" w:type="dxa"/>
            <w:tcBorders/>
            <w:shd w:fill="CCEEFF" w:val="clear"/>
            <w:tcMar>
              <w:bottom w:w="0" w:type="dxa"/>
            </w:tcMar>
            <w:vAlign w:val="bottom"/>
          </w:tcPr>
          <w:p>
            <w:pPr>
              <w:pStyle w:val="TableContents"/>
              <w:spacing w:before="0" w:after="0"/>
              <w:ind w:left="180" w:right="0" w:hanging="180"/>
              <w:rPr>
                <w:color w:val="000000"/>
              </w:rPr>
            </w:pPr>
            <w:r>
              <w:rPr>
                <w:color w:val="000000"/>
              </w:rPr>
              <w:t> </w:t>
            </w:r>
          </w:p>
        </w:tc>
        <w:tc>
          <w:tcPr>
            <w:tcW w:w="1145" w:type="dxa"/>
            <w:tcBorders/>
            <w:shd w:fill="CCEEFF" w:val="clear"/>
            <w:tcMar>
              <w:bottom w:w="0" w:type="dxa"/>
            </w:tcMar>
            <w:vAlign w:val="bottom"/>
          </w:tcPr>
          <w:p>
            <w:pPr>
              <w:pStyle w:val="TableContents"/>
              <w:spacing w:before="0" w:after="0"/>
              <w:jc w:val="center"/>
              <w:rPr>
                <w:color w:val="000000"/>
              </w:rPr>
            </w:pPr>
            <w:r>
              <w:rPr>
                <w:color w:val="000000"/>
              </w:rPr>
              <w:t> </w:t>
            </w:r>
          </w:p>
        </w:tc>
        <w:tc>
          <w:tcPr>
            <w:tcW w:w="1145" w:type="dxa"/>
            <w:tcBorders/>
            <w:shd w:fill="CCEEFF" w:val="clear"/>
            <w:tcMar>
              <w:bottom w:w="0" w:type="dxa"/>
            </w:tcMar>
            <w:vAlign w:val="bottom"/>
          </w:tcPr>
          <w:p>
            <w:pPr>
              <w:pStyle w:val="TableContents"/>
              <w:spacing w:before="0" w:after="0"/>
              <w:jc w:val="center"/>
              <w:rPr>
                <w:color w:val="000000"/>
              </w:rPr>
            </w:pPr>
            <w:r>
              <w:rPr>
                <w:color w:val="000000"/>
              </w:rPr>
              <w:t> </w:t>
            </w:r>
          </w:p>
        </w:tc>
        <w:tc>
          <w:tcPr>
            <w:tcW w:w="935" w:type="dxa"/>
            <w:tcBorders/>
            <w:shd w:fill="CCEEFF" w:val="clear"/>
            <w:tcMar>
              <w:bottom w:w="0" w:type="dxa"/>
            </w:tcMar>
            <w:vAlign w:val="bottom"/>
          </w:tcPr>
          <w:p>
            <w:pPr>
              <w:pStyle w:val="TableContents"/>
              <w:spacing w:before="0" w:after="0"/>
              <w:jc w:val="center"/>
              <w:rPr>
                <w:color w:val="000000"/>
              </w:rPr>
            </w:pPr>
            <w:r>
              <w:rPr>
                <w:color w:val="000000"/>
              </w:rPr>
              <w:t> </w:t>
            </w:r>
          </w:p>
        </w:tc>
        <w:tc>
          <w:tcPr>
            <w:tcW w:w="830" w:type="dxa"/>
            <w:tcBorders/>
            <w:shd w:fill="CCEEFF" w:val="clear"/>
            <w:tcMar>
              <w:bottom w:w="0" w:type="dxa"/>
            </w:tcMar>
            <w:vAlign w:val="bottom"/>
          </w:tcPr>
          <w:p>
            <w:pPr>
              <w:pStyle w:val="TableContents"/>
              <w:spacing w:before="0" w:after="0"/>
              <w:jc w:val="center"/>
              <w:rPr>
                <w:color w:val="000000"/>
              </w:rPr>
            </w:pPr>
            <w:r>
              <w:rPr>
                <w:color w:val="000000"/>
              </w:rPr>
              <w:t> </w:t>
            </w:r>
          </w:p>
        </w:tc>
        <w:tc>
          <w:tcPr>
            <w:tcW w:w="60" w:type="dxa"/>
            <w:tcBorders/>
            <w:shd w:fill="CCEEFF" w:val="clear"/>
            <w:tcMar>
              <w:bottom w:w="0" w:type="dxa"/>
            </w:tcMar>
            <w:vAlign w:val="bottom"/>
          </w:tcPr>
          <w:p>
            <w:pPr>
              <w:pStyle w:val="TableContents"/>
              <w:spacing w:before="0" w:after="283"/>
              <w:jc w:val="right"/>
              <w:rPr/>
            </w:pPr>
            <w:r>
              <w:rPr/>
              <w:t> </w:t>
            </w:r>
          </w:p>
        </w:tc>
        <w:tc>
          <w:tcPr>
            <w:tcW w:w="316" w:type="dxa"/>
            <w:tcBorders/>
            <w:shd w:fill="CCEEFF" w:val="clear"/>
            <w:tcMar>
              <w:bottom w:w="0" w:type="dxa"/>
            </w:tcMar>
            <w:vAlign w:val="bottom"/>
          </w:tcPr>
          <w:p>
            <w:pPr>
              <w:pStyle w:val="TableContents"/>
              <w:spacing w:before="0" w:after="283"/>
              <w:jc w:val="left"/>
              <w:rPr/>
            </w:pPr>
            <w:r>
              <w:rPr/>
              <w:t> </w:t>
            </w:r>
          </w:p>
        </w:tc>
        <w:tc>
          <w:tcPr>
            <w:tcW w:w="739"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1205" w:type="dxa"/>
            <w:tcBorders/>
            <w:shd w:fill="CCEEFF" w:val="clear"/>
            <w:tcMar>
              <w:bottom w:w="0" w:type="dxa"/>
            </w:tcMar>
            <w:vAlign w:val="bottom"/>
          </w:tcPr>
          <w:p>
            <w:pPr>
              <w:pStyle w:val="TableContents"/>
              <w:spacing w:before="0" w:after="283"/>
              <w:rPr/>
            </w:pPr>
            <w:r>
              <w:rPr/>
              <w:t> </w:t>
            </w:r>
          </w:p>
        </w:tc>
        <w:tc>
          <w:tcPr>
            <w:tcW w:w="3000" w:type="dxa"/>
            <w:tcBorders/>
            <w:shd w:fill="CCEEFF" w:val="clear"/>
            <w:tcMar>
              <w:bottom w:w="0" w:type="dxa"/>
            </w:tcMar>
            <w:vAlign w:val="bottom"/>
          </w:tcPr>
          <w:p>
            <w:pPr>
              <w:pStyle w:val="TableContents"/>
              <w:spacing w:before="0" w:after="0"/>
              <w:jc w:val="center"/>
              <w:rPr>
                <w:color w:val="000000"/>
              </w:rPr>
            </w:pPr>
            <w:r>
              <w:rPr>
                <w:color w:val="000000"/>
              </w:rPr>
              <w:t> </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shd w:fill="CCEEFF" w:val="clear"/>
            <w:tcMar>
              <w:bottom w:w="0" w:type="dxa"/>
            </w:tcMar>
            <w:vAlign w:val="bottom"/>
          </w:tcPr>
          <w:p>
            <w:pPr>
              <w:pStyle w:val="TableContents"/>
              <w:spacing w:before="0" w:after="283"/>
              <w:jc w:val="left"/>
              <w:rPr/>
            </w:pPr>
            <w:r>
              <w:rPr/>
              <w:t> </w:t>
            </w:r>
          </w:p>
        </w:tc>
        <w:tc>
          <w:tcPr>
            <w:tcW w:w="788"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7" w:type="dxa"/>
            <w:tcBorders>
              <w:bottom w:val="single" w:sz="12" w:space="0" w:color="000000"/>
            </w:tcBorders>
            <w:shd w:fill="CCEEFF" w:val="clear"/>
            <w:vAlign w:val="bottom"/>
          </w:tcPr>
          <w:p>
            <w:pPr>
              <w:pStyle w:val="TableContents"/>
              <w:spacing w:before="0" w:after="283"/>
              <w:jc w:val="left"/>
              <w:rPr/>
            </w:pPr>
            <w:r>
              <w:rPr/>
              <w:t> </w:t>
            </w:r>
          </w:p>
        </w:tc>
        <w:tc>
          <w:tcPr>
            <w:tcW w:w="913" w:type="dxa"/>
            <w:tcBorders>
              <w:bottom w:val="single" w:sz="12" w:space="0" w:color="000000"/>
            </w:tcBorders>
            <w:shd w:fill="CCEEFF" w:val="cle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40" w:type="dxa"/>
            <w:tcBorders>
              <w:bottom w:val="single" w:sz="12" w:space="0" w:color="000000"/>
            </w:tcBorders>
            <w:shd w:fill="CCEEFF" w:val="clear"/>
            <w:vAlign w:val="bottom"/>
          </w:tcPr>
          <w:p>
            <w:pPr>
              <w:pStyle w:val="TableContents"/>
              <w:spacing w:before="0" w:after="283"/>
              <w:jc w:val="left"/>
              <w:rPr/>
            </w:pPr>
            <w:r>
              <w:rPr/>
              <w:t> </w:t>
            </w:r>
          </w:p>
        </w:tc>
        <w:tc>
          <w:tcPr>
            <w:tcW w:w="680" w:type="dxa"/>
            <w:tcBorders>
              <w:bottom w:val="single" w:sz="12" w:space="0" w:color="000000"/>
            </w:tcBorders>
            <w:shd w:fill="CCEEFF" w:val="cle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2" w:type="dxa"/>
            <w:tcBorders>
              <w:bottom w:val="single" w:sz="12" w:space="0" w:color="000000"/>
            </w:tcBorders>
            <w:shd w:fill="CCEEFF" w:val="clear"/>
            <w:vAlign w:val="bottom"/>
          </w:tcPr>
          <w:p>
            <w:pPr>
              <w:pStyle w:val="TableContents"/>
              <w:spacing w:before="0" w:after="283"/>
              <w:jc w:val="left"/>
              <w:rPr/>
            </w:pPr>
            <w:r>
              <w:rPr/>
              <w:t> </w:t>
            </w:r>
          </w:p>
        </w:tc>
        <w:tc>
          <w:tcPr>
            <w:tcW w:w="588" w:type="dxa"/>
            <w:tcBorders>
              <w:bottom w:val="single" w:sz="12" w:space="0" w:color="000000"/>
            </w:tcBorders>
            <w:shd w:fill="CCEEFF" w:val="clear"/>
            <w:vAlign w:val="bottom"/>
          </w:tcPr>
          <w:p>
            <w:pPr>
              <w:pStyle w:val="TableContents"/>
              <w:spacing w:before="0" w:after="283"/>
              <w:jc w:val="right"/>
              <w:rPr/>
            </w:pPr>
            <w:r>
              <w:rPr/>
              <w:t> </w:t>
            </w:r>
          </w:p>
        </w:tc>
        <w:tc>
          <w:tcPr>
            <w:tcW w:w="275" w:type="dxa"/>
            <w:tcBorders/>
            <w:shd w:fill="CCEEFF" w:val="clear"/>
            <w:tcMar>
              <w:bottom w:w="0" w:type="dxa"/>
            </w:tcMar>
            <w:vAlign w:val="bottom"/>
          </w:tcPr>
          <w:p>
            <w:pPr>
              <w:pStyle w:val="TableContents"/>
              <w:spacing w:before="0" w:after="283"/>
              <w:jc w:val="left"/>
              <w:rPr/>
            </w:pPr>
            <w:r>
              <w:rPr/>
              <w:t> </w:t>
            </w:r>
          </w:p>
        </w:tc>
      </w:tr>
      <w:tr>
        <w:trPr/>
        <w:tc>
          <w:tcPr>
            <w:tcW w:w="4550" w:type="dxa"/>
            <w:gridSpan w:val="4"/>
            <w:tcBorders/>
            <w:shd w:fill="auto" w:val="clear"/>
            <w:tcMar>
              <w:bottom w:w="0" w:type="dxa"/>
            </w:tcMar>
            <w:vAlign w:val="bottom"/>
          </w:tcPr>
          <w:p>
            <w:pPr>
              <w:pStyle w:val="TableContents"/>
              <w:spacing w:before="0" w:after="0"/>
              <w:ind w:left="180" w:right="0" w:hanging="0"/>
              <w:rPr>
                <w:b/>
                <w:color w:val="000000"/>
              </w:rPr>
            </w:pPr>
            <w:r>
              <w:rPr>
                <w:b/>
                <w:color w:val="000000"/>
              </w:rPr>
              <w:t>Total: Debt Securities (58.12%):</w:t>
            </w:r>
          </w:p>
        </w:tc>
        <w:tc>
          <w:tcPr>
            <w:tcW w:w="830" w:type="dxa"/>
            <w:tcBorders/>
            <w:shd w:fill="auto" w:val="clear"/>
            <w:tcMar>
              <w:bottom w:w="0" w:type="dxa"/>
            </w:tcMar>
            <w:vAlign w:val="bottom"/>
          </w:tcPr>
          <w:p>
            <w:pPr>
              <w:pStyle w:val="TableContents"/>
              <w:spacing w:before="0" w:after="0"/>
              <w:jc w:val="center"/>
              <w:rPr>
                <w:color w:val="000000"/>
              </w:rPr>
            </w:pPr>
            <w:r>
              <w:rPr>
                <w:color w:val="000000"/>
              </w:rPr>
              <w:t> </w:t>
            </w:r>
          </w:p>
        </w:tc>
        <w:tc>
          <w:tcPr>
            <w:tcW w:w="60" w:type="dxa"/>
            <w:tcBorders/>
            <w:shd w:fill="auto" w:val="clear"/>
            <w:tcMar>
              <w:bottom w:w="0" w:type="dxa"/>
            </w:tcMar>
            <w:vAlign w:val="bottom"/>
          </w:tcPr>
          <w:p>
            <w:pPr>
              <w:pStyle w:val="TableContents"/>
              <w:spacing w:before="0" w:after="283"/>
              <w:jc w:val="right"/>
              <w:rPr/>
            </w:pPr>
            <w:r>
              <w:rPr/>
              <w:t> </w:t>
            </w:r>
          </w:p>
        </w:tc>
        <w:tc>
          <w:tcPr>
            <w:tcW w:w="316" w:type="dxa"/>
            <w:tcBorders/>
            <w:shd w:fill="auto" w:val="clear"/>
            <w:tcMar>
              <w:bottom w:w="0" w:type="dxa"/>
            </w:tcMar>
            <w:vAlign w:val="bottom"/>
          </w:tcPr>
          <w:p>
            <w:pPr>
              <w:pStyle w:val="TableContents"/>
              <w:spacing w:before="0" w:after="283"/>
              <w:jc w:val="left"/>
              <w:rPr/>
            </w:pPr>
            <w:r>
              <w:rPr/>
              <w:t> </w:t>
            </w:r>
          </w:p>
        </w:tc>
        <w:tc>
          <w:tcPr>
            <w:tcW w:w="739"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283"/>
              <w:rPr/>
            </w:pPr>
            <w:r>
              <w:rPr/>
              <w:t> </w:t>
            </w:r>
          </w:p>
        </w:tc>
        <w:tc>
          <w:tcPr>
            <w:tcW w:w="3000" w:type="dxa"/>
            <w:tcBorders/>
            <w:shd w:fill="auto" w:val="clear"/>
            <w:tcMar>
              <w:bottom w:w="0" w:type="dxa"/>
            </w:tcMar>
            <w:vAlign w:val="bottom"/>
          </w:tcPr>
          <w:p>
            <w:pPr>
              <w:pStyle w:val="TableContents"/>
              <w:spacing w:before="0" w:after="0"/>
              <w:jc w:val="center"/>
              <w:rPr>
                <w:color w:val="000000"/>
              </w:rPr>
            </w:pPr>
            <w:r>
              <w:rPr>
                <w:color w:val="000000"/>
              </w:rPr>
              <w:t> </w:t>
            </w:r>
          </w:p>
        </w:tc>
        <w:tc>
          <w:tcPr>
            <w:tcW w:w="60" w:type="dxa"/>
            <w:tcBorders/>
            <w:shd w:fill="auto" w:val="clear"/>
            <w:tcMar>
              <w:bottom w:w="0" w:type="dxa"/>
            </w:tcMar>
            <w:vAlign w:val="bottom"/>
          </w:tcPr>
          <w:p>
            <w:pPr>
              <w:pStyle w:val="TableContents"/>
              <w:spacing w:before="0" w:after="283"/>
              <w:jc w:val="right"/>
              <w:rPr/>
            </w:pPr>
            <w:r>
              <w:rPr/>
              <w:t> </w:t>
            </w:r>
          </w:p>
        </w:tc>
        <w:tc>
          <w:tcPr>
            <w:tcW w:w="162" w:type="dxa"/>
            <w:tcBorders/>
            <w:shd w:fill="auto" w:val="clear"/>
            <w:tcMar>
              <w:bottom w:w="0" w:type="dxa"/>
            </w:tcMar>
            <w:vAlign w:val="bottom"/>
          </w:tcPr>
          <w:p>
            <w:pPr>
              <w:pStyle w:val="TableContents"/>
              <w:spacing w:before="0" w:after="283"/>
              <w:jc w:val="left"/>
              <w:rPr/>
            </w:pPr>
            <w:r>
              <w:rPr/>
              <w:t> </w:t>
            </w:r>
          </w:p>
        </w:tc>
        <w:tc>
          <w:tcPr>
            <w:tcW w:w="788"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87" w:type="dxa"/>
            <w:tcBorders>
              <w:bottom w:val="single" w:sz="12" w:space="0" w:color="000000"/>
            </w:tcBorders>
            <w:shd w:fill="auto" w:val="clear"/>
            <w:vAlign w:val="bottom"/>
          </w:tcPr>
          <w:p>
            <w:pPr>
              <w:pStyle w:val="TableContents"/>
              <w:spacing w:before="0" w:after="283"/>
              <w:jc w:val="left"/>
              <w:rPr/>
            </w:pPr>
            <w:r>
              <w:rPr/>
              <w:t> </w:t>
            </w:r>
          </w:p>
        </w:tc>
        <w:tc>
          <w:tcPr>
            <w:tcW w:w="913" w:type="dxa"/>
            <w:tcBorders>
              <w:bottom w:val="single" w:sz="12" w:space="0" w:color="000000"/>
            </w:tcBorders>
            <w:shd w:fill="auto" w:val="clear"/>
            <w:vAlign w:val="bottom"/>
          </w:tcPr>
          <w:p>
            <w:pPr>
              <w:pStyle w:val="TableContents"/>
              <w:spacing w:before="0" w:after="0"/>
              <w:jc w:val="right"/>
              <w:rPr>
                <w:b/>
                <w:color w:val="000000"/>
              </w:rPr>
            </w:pPr>
            <w:r>
              <w:rPr>
                <w:b/>
                <w:color w:val="000000"/>
              </w:rPr>
              <w:t>50,528</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40" w:type="dxa"/>
            <w:tcBorders>
              <w:bottom w:val="single" w:sz="12" w:space="0" w:color="000000"/>
            </w:tcBorders>
            <w:shd w:fill="auto" w:val="clear"/>
            <w:vAlign w:val="bottom"/>
          </w:tcPr>
          <w:p>
            <w:pPr>
              <w:pStyle w:val="TableContents"/>
              <w:spacing w:before="0" w:after="283"/>
              <w:jc w:val="left"/>
              <w:rPr/>
            </w:pPr>
            <w:r>
              <w:rPr/>
              <w:t> </w:t>
            </w:r>
          </w:p>
        </w:tc>
        <w:tc>
          <w:tcPr>
            <w:tcW w:w="680" w:type="dxa"/>
            <w:tcBorders>
              <w:bottom w:val="single" w:sz="12" w:space="0" w:color="000000"/>
            </w:tcBorders>
            <w:shd w:fill="auto" w:val="clear"/>
            <w:vAlign w:val="bottom"/>
          </w:tcPr>
          <w:p>
            <w:pPr>
              <w:pStyle w:val="TableContents"/>
              <w:spacing w:before="0" w:after="0"/>
              <w:jc w:val="right"/>
              <w:rPr>
                <w:b/>
                <w:color w:val="000000"/>
              </w:rPr>
            </w:pPr>
            <w:r>
              <w:rPr>
                <w:b/>
                <w:color w:val="000000"/>
              </w:rPr>
              <w:t>50,255</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62" w:type="dxa"/>
            <w:tcBorders>
              <w:bottom w:val="single" w:sz="12" w:space="0" w:color="000000"/>
            </w:tcBorders>
            <w:shd w:fill="auto" w:val="clear"/>
            <w:vAlign w:val="bottom"/>
          </w:tcPr>
          <w:p>
            <w:pPr>
              <w:pStyle w:val="TableContents"/>
              <w:spacing w:before="0" w:after="283"/>
              <w:jc w:val="left"/>
              <w:rPr/>
            </w:pPr>
            <w:r>
              <w:rPr/>
              <w:t> </w:t>
            </w:r>
          </w:p>
        </w:tc>
        <w:tc>
          <w:tcPr>
            <w:tcW w:w="588" w:type="dxa"/>
            <w:tcBorders>
              <w:bottom w:val="single" w:sz="12" w:space="0" w:color="000000"/>
            </w:tcBorders>
            <w:shd w:fill="auto" w:val="clear"/>
            <w:vAlign w:val="bottom"/>
          </w:tcPr>
          <w:p>
            <w:pPr>
              <w:pStyle w:val="TableContents"/>
              <w:spacing w:before="0" w:after="0"/>
              <w:jc w:val="right"/>
              <w:rPr>
                <w:b/>
                <w:color w:val="000000"/>
              </w:rPr>
            </w:pPr>
            <w:r>
              <w:rPr>
                <w:b/>
                <w:color w:val="000000"/>
              </w:rPr>
              <w:t>58.12</w:t>
            </w:r>
          </w:p>
        </w:tc>
        <w:tc>
          <w:tcPr>
            <w:tcW w:w="275" w:type="dxa"/>
            <w:tcBorders/>
            <w:shd w:fill="auto" w:val="clear"/>
            <w:tcMar>
              <w:bottom w:w="0" w:type="dxa"/>
            </w:tcMar>
            <w:vAlign w:val="bottom"/>
          </w:tcPr>
          <w:p>
            <w:pPr>
              <w:pStyle w:val="TableContents"/>
              <w:spacing w:before="0" w:after="283"/>
              <w:rPr>
                <w:sz w:val="4"/>
                <w:szCs w:val="4"/>
              </w:rPr>
            </w:pPr>
            <w:r>
              <w:rPr>
                <w:sz w:val="4"/>
                <w:szCs w:val="4"/>
              </w:rPr>
            </w:r>
          </w:p>
        </w:tc>
      </w:tr>
      <w:tr>
        <w:trPr/>
        <w:tc>
          <w:tcPr>
            <w:tcW w:w="1325" w:type="dxa"/>
            <w:tcBorders/>
            <w:shd w:fill="CCEEFF" w:val="clear"/>
            <w:tcMar>
              <w:bottom w:w="0" w:type="dxa"/>
            </w:tcMar>
            <w:vAlign w:val="bottom"/>
          </w:tcPr>
          <w:p>
            <w:pPr>
              <w:pStyle w:val="TableContents"/>
              <w:spacing w:before="0" w:after="0"/>
              <w:ind w:left="180" w:right="0" w:hanging="180"/>
              <w:rPr>
                <w:color w:val="000000"/>
              </w:rPr>
            </w:pPr>
            <w:r>
              <w:rPr>
                <w:color w:val="000000"/>
              </w:rPr>
              <w:t> </w:t>
            </w:r>
          </w:p>
        </w:tc>
        <w:tc>
          <w:tcPr>
            <w:tcW w:w="1145" w:type="dxa"/>
            <w:tcBorders/>
            <w:shd w:fill="CCEEFF" w:val="clear"/>
            <w:tcMar>
              <w:bottom w:w="0" w:type="dxa"/>
            </w:tcMar>
            <w:vAlign w:val="bottom"/>
          </w:tcPr>
          <w:p>
            <w:pPr>
              <w:pStyle w:val="TableContents"/>
              <w:spacing w:before="0" w:after="0"/>
              <w:jc w:val="center"/>
              <w:rPr>
                <w:color w:val="000000"/>
              </w:rPr>
            </w:pPr>
            <w:r>
              <w:rPr>
                <w:color w:val="000000"/>
              </w:rPr>
              <w:t> </w:t>
            </w:r>
          </w:p>
        </w:tc>
        <w:tc>
          <w:tcPr>
            <w:tcW w:w="1145" w:type="dxa"/>
            <w:tcBorders/>
            <w:shd w:fill="CCEEFF" w:val="clear"/>
            <w:tcMar>
              <w:bottom w:w="0" w:type="dxa"/>
            </w:tcMar>
            <w:vAlign w:val="bottom"/>
          </w:tcPr>
          <w:p>
            <w:pPr>
              <w:pStyle w:val="TableContents"/>
              <w:spacing w:before="0" w:after="0"/>
              <w:jc w:val="center"/>
              <w:rPr>
                <w:color w:val="000000"/>
              </w:rPr>
            </w:pPr>
            <w:r>
              <w:rPr>
                <w:color w:val="000000"/>
              </w:rPr>
              <w:t> </w:t>
            </w:r>
          </w:p>
        </w:tc>
        <w:tc>
          <w:tcPr>
            <w:tcW w:w="935" w:type="dxa"/>
            <w:tcBorders/>
            <w:shd w:fill="CCEEFF" w:val="clear"/>
            <w:tcMar>
              <w:bottom w:w="0" w:type="dxa"/>
            </w:tcMar>
            <w:vAlign w:val="bottom"/>
          </w:tcPr>
          <w:p>
            <w:pPr>
              <w:pStyle w:val="TableContents"/>
              <w:spacing w:before="0" w:after="0"/>
              <w:jc w:val="center"/>
              <w:rPr>
                <w:color w:val="000000"/>
              </w:rPr>
            </w:pPr>
            <w:r>
              <w:rPr>
                <w:color w:val="000000"/>
              </w:rPr>
              <w:t> </w:t>
            </w:r>
          </w:p>
        </w:tc>
        <w:tc>
          <w:tcPr>
            <w:tcW w:w="830" w:type="dxa"/>
            <w:tcBorders/>
            <w:shd w:fill="CCEEFF" w:val="clear"/>
            <w:tcMar>
              <w:bottom w:w="0" w:type="dxa"/>
            </w:tcMar>
            <w:vAlign w:val="bottom"/>
          </w:tcPr>
          <w:p>
            <w:pPr>
              <w:pStyle w:val="TableContents"/>
              <w:spacing w:before="0" w:after="0"/>
              <w:jc w:val="center"/>
              <w:rPr>
                <w:color w:val="000000"/>
              </w:rPr>
            </w:pPr>
            <w:r>
              <w:rPr>
                <w:color w:val="000000"/>
              </w:rPr>
              <w:t> </w:t>
            </w:r>
          </w:p>
        </w:tc>
        <w:tc>
          <w:tcPr>
            <w:tcW w:w="60" w:type="dxa"/>
            <w:tcBorders/>
            <w:shd w:fill="CCEEFF" w:val="clear"/>
            <w:tcMar>
              <w:bottom w:w="0" w:type="dxa"/>
            </w:tcMar>
            <w:vAlign w:val="bottom"/>
          </w:tcPr>
          <w:p>
            <w:pPr>
              <w:pStyle w:val="TableContents"/>
              <w:spacing w:before="0" w:after="283"/>
              <w:jc w:val="right"/>
              <w:rPr/>
            </w:pPr>
            <w:r>
              <w:rPr/>
              <w:t> </w:t>
            </w:r>
          </w:p>
        </w:tc>
        <w:tc>
          <w:tcPr>
            <w:tcW w:w="316" w:type="dxa"/>
            <w:tcBorders/>
            <w:shd w:fill="CCEEFF" w:val="clear"/>
            <w:tcMar>
              <w:bottom w:w="0" w:type="dxa"/>
            </w:tcMar>
            <w:vAlign w:val="bottom"/>
          </w:tcPr>
          <w:p>
            <w:pPr>
              <w:pStyle w:val="TableContents"/>
              <w:spacing w:before="0" w:after="283"/>
              <w:jc w:val="left"/>
              <w:rPr/>
            </w:pPr>
            <w:r>
              <w:rPr/>
              <w:t> </w:t>
            </w:r>
          </w:p>
        </w:tc>
        <w:tc>
          <w:tcPr>
            <w:tcW w:w="739"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1205" w:type="dxa"/>
            <w:tcBorders/>
            <w:shd w:fill="CCEEFF" w:val="clear"/>
            <w:tcMar>
              <w:bottom w:w="0" w:type="dxa"/>
            </w:tcMar>
            <w:vAlign w:val="bottom"/>
          </w:tcPr>
          <w:p>
            <w:pPr>
              <w:pStyle w:val="TableContents"/>
              <w:spacing w:before="0" w:after="283"/>
              <w:rPr/>
            </w:pPr>
            <w:r>
              <w:rPr/>
              <w:t> </w:t>
            </w:r>
          </w:p>
        </w:tc>
        <w:tc>
          <w:tcPr>
            <w:tcW w:w="3000" w:type="dxa"/>
            <w:tcBorders/>
            <w:shd w:fill="CCEEFF" w:val="clear"/>
            <w:tcMar>
              <w:bottom w:w="0" w:type="dxa"/>
            </w:tcMar>
            <w:vAlign w:val="bottom"/>
          </w:tcPr>
          <w:p>
            <w:pPr>
              <w:pStyle w:val="TableContents"/>
              <w:spacing w:before="0" w:after="0"/>
              <w:jc w:val="center"/>
              <w:rPr>
                <w:color w:val="000000"/>
              </w:rPr>
            </w:pPr>
            <w:r>
              <w:rPr>
                <w:color w:val="000000"/>
              </w:rPr>
              <w:t> </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shd w:fill="CCEEFF" w:val="clear"/>
            <w:tcMar>
              <w:bottom w:w="0" w:type="dxa"/>
            </w:tcMar>
            <w:vAlign w:val="bottom"/>
          </w:tcPr>
          <w:p>
            <w:pPr>
              <w:pStyle w:val="TableContents"/>
              <w:spacing w:before="0" w:after="283"/>
              <w:jc w:val="left"/>
              <w:rPr/>
            </w:pPr>
            <w:r>
              <w:rPr/>
              <w:t> </w:t>
            </w:r>
          </w:p>
        </w:tc>
        <w:tc>
          <w:tcPr>
            <w:tcW w:w="788"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7" w:type="dxa"/>
            <w:tcBorders/>
            <w:shd w:fill="CCEEFF" w:val="clear"/>
            <w:tcMar>
              <w:bottom w:w="0" w:type="dxa"/>
            </w:tcMar>
            <w:vAlign w:val="bottom"/>
          </w:tcPr>
          <w:p>
            <w:pPr>
              <w:pStyle w:val="TableContents"/>
              <w:spacing w:before="0" w:after="283"/>
              <w:jc w:val="left"/>
              <w:rPr/>
            </w:pPr>
            <w:r>
              <w:rPr/>
              <w:t> </w:t>
            </w:r>
          </w:p>
        </w:tc>
        <w:tc>
          <w:tcPr>
            <w:tcW w:w="913"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40" w:type="dxa"/>
            <w:tcBorders/>
            <w:shd w:fill="CCEEFF" w:val="clear"/>
            <w:tcMar>
              <w:bottom w:w="0" w:type="dxa"/>
            </w:tcMar>
            <w:vAlign w:val="bottom"/>
          </w:tcPr>
          <w:p>
            <w:pPr>
              <w:pStyle w:val="TableContents"/>
              <w:spacing w:before="0" w:after="283"/>
              <w:jc w:val="left"/>
              <w:rPr/>
            </w:pPr>
            <w:r>
              <w:rPr/>
              <w:t> </w:t>
            </w:r>
          </w:p>
        </w:tc>
        <w:tc>
          <w:tcPr>
            <w:tcW w:w="680"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2" w:type="dxa"/>
            <w:tcBorders/>
            <w:shd w:fill="CCEEFF" w:val="clear"/>
            <w:tcMar>
              <w:bottom w:w="0" w:type="dxa"/>
            </w:tcMar>
            <w:vAlign w:val="bottom"/>
          </w:tcPr>
          <w:p>
            <w:pPr>
              <w:pStyle w:val="TableContents"/>
              <w:spacing w:before="0" w:after="283"/>
              <w:jc w:val="left"/>
              <w:rPr/>
            </w:pPr>
            <w:r>
              <w:rPr/>
              <w:t> </w:t>
            </w:r>
          </w:p>
        </w:tc>
        <w:tc>
          <w:tcPr>
            <w:tcW w:w="588" w:type="dxa"/>
            <w:tcBorders/>
            <w:shd w:fill="CCEEFF" w:val="clear"/>
            <w:tcMar>
              <w:bottom w:w="0" w:type="dxa"/>
            </w:tcMar>
            <w:vAlign w:val="bottom"/>
          </w:tcPr>
          <w:p>
            <w:pPr>
              <w:pStyle w:val="TableContents"/>
              <w:spacing w:before="0" w:after="283"/>
              <w:jc w:val="right"/>
              <w:rPr/>
            </w:pPr>
            <w:r>
              <w:rPr/>
              <w:t> </w:t>
            </w:r>
          </w:p>
        </w:tc>
        <w:tc>
          <w:tcPr>
            <w:tcW w:w="275" w:type="dxa"/>
            <w:tcBorders/>
            <w:shd w:fill="CCEEFF" w:val="clear"/>
            <w:tcMar>
              <w:bottom w:w="0" w:type="dxa"/>
            </w:tcMar>
            <w:vAlign w:val="bottom"/>
          </w:tcPr>
          <w:p>
            <w:pPr>
              <w:pStyle w:val="TableContents"/>
              <w:spacing w:before="0" w:after="283"/>
              <w:jc w:val="left"/>
              <w:rPr/>
            </w:pPr>
            <w:r>
              <w:rPr/>
              <w:t> </w:t>
            </w:r>
          </w:p>
        </w:tc>
      </w:tr>
      <w:tr>
        <w:trPr/>
        <w:tc>
          <w:tcPr>
            <w:tcW w:w="4550" w:type="dxa"/>
            <w:gridSpan w:val="4"/>
            <w:tcBorders/>
            <w:shd w:fill="auto" w:val="clear"/>
            <w:tcMar>
              <w:bottom w:w="0" w:type="dxa"/>
            </w:tcMar>
            <w:vAlign w:val="bottom"/>
          </w:tcPr>
          <w:p>
            <w:pPr>
              <w:pStyle w:val="TableContents"/>
              <w:spacing w:before="0" w:after="0"/>
              <w:ind w:left="180" w:right="0" w:hanging="0"/>
              <w:rPr>
                <w:b/>
              </w:rPr>
            </w:pPr>
            <w:r>
              <w:rPr>
                <w:b/>
              </w:rPr>
              <w:t xml:space="preserve">Total Investment in Securities (58.12%): </w:t>
            </w:r>
          </w:p>
        </w:tc>
        <w:tc>
          <w:tcPr>
            <w:tcW w:w="830" w:type="dxa"/>
            <w:tcBorders/>
            <w:shd w:fill="auto" w:val="clear"/>
            <w:tcMar>
              <w:bottom w:w="0" w:type="dxa"/>
            </w:tcMar>
            <w:vAlign w:val="bottom"/>
          </w:tcPr>
          <w:p>
            <w:pPr>
              <w:pStyle w:val="TableContents"/>
              <w:spacing w:before="0" w:after="0"/>
              <w:jc w:val="center"/>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316" w:type="dxa"/>
            <w:tcBorders/>
            <w:shd w:fill="auto" w:val="clear"/>
            <w:tcMar>
              <w:bottom w:w="0" w:type="dxa"/>
            </w:tcMar>
            <w:vAlign w:val="bottom"/>
          </w:tcPr>
          <w:p>
            <w:pPr>
              <w:pStyle w:val="TableContents"/>
              <w:spacing w:before="0" w:after="283"/>
              <w:jc w:val="left"/>
              <w:rPr/>
            </w:pPr>
            <w:r>
              <w:rPr/>
              <w:t> </w:t>
            </w:r>
          </w:p>
        </w:tc>
        <w:tc>
          <w:tcPr>
            <w:tcW w:w="739"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283"/>
              <w:rPr/>
            </w:pPr>
            <w:r>
              <w:rPr/>
              <w:t> </w:t>
            </w:r>
          </w:p>
        </w:tc>
        <w:tc>
          <w:tcPr>
            <w:tcW w:w="3000" w:type="dxa"/>
            <w:tcBorders/>
            <w:shd w:fill="auto" w:val="clear"/>
            <w:tcMar>
              <w:bottom w:w="0" w:type="dxa"/>
            </w:tcMar>
            <w:vAlign w:val="bottom"/>
          </w:tcPr>
          <w:p>
            <w:pPr>
              <w:pStyle w:val="TableContents"/>
              <w:spacing w:before="0" w:after="0"/>
              <w:jc w:val="center"/>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62" w:type="dxa"/>
            <w:tcBorders/>
            <w:shd w:fill="auto" w:val="clear"/>
            <w:tcMar>
              <w:bottom w:w="0" w:type="dxa"/>
            </w:tcMar>
            <w:vAlign w:val="bottom"/>
          </w:tcPr>
          <w:p>
            <w:pPr>
              <w:pStyle w:val="TableContents"/>
              <w:spacing w:before="0" w:after="283"/>
              <w:jc w:val="left"/>
              <w:rPr/>
            </w:pPr>
            <w:r>
              <w:rPr/>
              <w:t> </w:t>
            </w:r>
          </w:p>
        </w:tc>
        <w:tc>
          <w:tcPr>
            <w:tcW w:w="788"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87" w:type="dxa"/>
            <w:tcBorders>
              <w:bottom w:val="double" w:sz="8" w:space="0" w:color="000000"/>
            </w:tcBorders>
            <w:shd w:fill="auto" w:val="clear"/>
            <w:vAlign w:val="bottom"/>
          </w:tcPr>
          <w:p>
            <w:pPr>
              <w:pStyle w:val="TableContents"/>
              <w:spacing w:before="0" w:after="0"/>
              <w:jc w:val="left"/>
              <w:rPr>
                <w:b/>
              </w:rPr>
            </w:pPr>
            <w:r>
              <w:rPr>
                <w:b/>
              </w:rPr>
              <w:t>$</w:t>
            </w:r>
          </w:p>
        </w:tc>
        <w:tc>
          <w:tcPr>
            <w:tcW w:w="913" w:type="dxa"/>
            <w:tcBorders>
              <w:bottom w:val="double" w:sz="8" w:space="0" w:color="000000"/>
            </w:tcBorders>
            <w:shd w:fill="auto" w:val="clear"/>
            <w:vAlign w:val="bottom"/>
          </w:tcPr>
          <w:p>
            <w:pPr>
              <w:pStyle w:val="TableContents"/>
              <w:spacing w:before="0" w:after="0"/>
              <w:jc w:val="right"/>
              <w:rPr>
                <w:b/>
              </w:rPr>
            </w:pPr>
            <w:r>
              <w:rPr>
                <w:b/>
              </w:rPr>
              <w:t>50,528</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40" w:type="dxa"/>
            <w:tcBorders>
              <w:bottom w:val="double" w:sz="8" w:space="0" w:color="000000"/>
            </w:tcBorders>
            <w:shd w:fill="auto" w:val="clear"/>
            <w:vAlign w:val="bottom"/>
          </w:tcPr>
          <w:p>
            <w:pPr>
              <w:pStyle w:val="TableContents"/>
              <w:spacing w:before="0" w:after="0"/>
              <w:jc w:val="left"/>
              <w:rPr>
                <w:b/>
              </w:rPr>
            </w:pPr>
            <w:r>
              <w:rPr>
                <w:b/>
              </w:rPr>
              <w:t>$</w:t>
            </w:r>
          </w:p>
        </w:tc>
        <w:tc>
          <w:tcPr>
            <w:tcW w:w="680" w:type="dxa"/>
            <w:tcBorders>
              <w:bottom w:val="double" w:sz="8" w:space="0" w:color="000000"/>
            </w:tcBorders>
            <w:shd w:fill="auto" w:val="clear"/>
            <w:vAlign w:val="bottom"/>
          </w:tcPr>
          <w:p>
            <w:pPr>
              <w:pStyle w:val="TableContents"/>
              <w:spacing w:before="0" w:after="0"/>
              <w:jc w:val="right"/>
              <w:rPr>
                <w:b/>
              </w:rPr>
            </w:pPr>
            <w:r>
              <w:rPr>
                <w:b/>
              </w:rPr>
              <w:t>50,255</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62" w:type="dxa"/>
            <w:tcBorders>
              <w:bottom w:val="double" w:sz="8" w:space="0" w:color="000000"/>
            </w:tcBorders>
            <w:shd w:fill="auto" w:val="clear"/>
            <w:vAlign w:val="bottom"/>
          </w:tcPr>
          <w:p>
            <w:pPr>
              <w:pStyle w:val="TableContents"/>
              <w:spacing w:before="0" w:after="283"/>
              <w:jc w:val="left"/>
              <w:rPr/>
            </w:pPr>
            <w:r>
              <w:rPr/>
              <w:t> </w:t>
            </w:r>
          </w:p>
        </w:tc>
        <w:tc>
          <w:tcPr>
            <w:tcW w:w="588" w:type="dxa"/>
            <w:tcBorders>
              <w:bottom w:val="double" w:sz="8" w:space="0" w:color="000000"/>
            </w:tcBorders>
            <w:shd w:fill="auto" w:val="clear"/>
            <w:vAlign w:val="bottom"/>
          </w:tcPr>
          <w:p>
            <w:pPr>
              <w:pStyle w:val="TableContents"/>
              <w:spacing w:before="0" w:after="0"/>
              <w:jc w:val="right"/>
              <w:rPr>
                <w:b/>
              </w:rPr>
            </w:pPr>
            <w:r>
              <w:rPr>
                <w:b/>
              </w:rPr>
              <w:t>58.12</w:t>
            </w:r>
          </w:p>
        </w:tc>
        <w:tc>
          <w:tcPr>
            <w:tcW w:w="275" w:type="dxa"/>
            <w:tcBorders/>
            <w:shd w:fill="auto" w:val="clear"/>
            <w:tcMar>
              <w:bottom w:w="0" w:type="dxa"/>
            </w:tcMar>
            <w:vAlign w:val="bottom"/>
          </w:tcPr>
          <w:p>
            <w:pPr>
              <w:pStyle w:val="TableContents"/>
              <w:spacing w:before="0" w:after="0"/>
              <w:jc w:val="left"/>
              <w:rPr>
                <w:b/>
              </w:rPr>
            </w:pPr>
            <w:r>
              <w:rPr>
                <w:b/>
              </w:rPr>
              <w:t>%</w:t>
            </w:r>
          </w:p>
        </w:tc>
      </w:tr>
      <w:tr>
        <w:trPr/>
        <w:tc>
          <w:tcPr>
            <w:tcW w:w="1325" w:type="dxa"/>
            <w:tcBorders/>
            <w:shd w:fill="CCEEFF" w:val="clear"/>
            <w:tcMar>
              <w:bottom w:w="0" w:type="dxa"/>
            </w:tcMar>
            <w:vAlign w:val="bottom"/>
          </w:tcPr>
          <w:p>
            <w:pPr>
              <w:pStyle w:val="TableContents"/>
              <w:spacing w:before="0" w:after="0"/>
              <w:ind w:left="180" w:right="0" w:hanging="180"/>
              <w:rPr>
                <w:color w:val="000000"/>
              </w:rPr>
            </w:pPr>
            <w:r>
              <w:rPr>
                <w:color w:val="000000"/>
              </w:rPr>
              <w:t> </w:t>
            </w:r>
          </w:p>
        </w:tc>
        <w:tc>
          <w:tcPr>
            <w:tcW w:w="1145" w:type="dxa"/>
            <w:tcBorders/>
            <w:shd w:fill="CCEEFF" w:val="clear"/>
            <w:tcMar>
              <w:bottom w:w="0" w:type="dxa"/>
            </w:tcMar>
            <w:vAlign w:val="bottom"/>
          </w:tcPr>
          <w:p>
            <w:pPr>
              <w:pStyle w:val="TableContents"/>
              <w:spacing w:before="0" w:after="0"/>
              <w:jc w:val="center"/>
              <w:rPr>
                <w:color w:val="000000"/>
              </w:rPr>
            </w:pPr>
            <w:r>
              <w:rPr>
                <w:color w:val="000000"/>
              </w:rPr>
              <w:t> </w:t>
            </w:r>
          </w:p>
        </w:tc>
        <w:tc>
          <w:tcPr>
            <w:tcW w:w="1145" w:type="dxa"/>
            <w:tcBorders/>
            <w:shd w:fill="CCEEFF" w:val="clear"/>
            <w:tcMar>
              <w:bottom w:w="0" w:type="dxa"/>
            </w:tcMar>
            <w:vAlign w:val="bottom"/>
          </w:tcPr>
          <w:p>
            <w:pPr>
              <w:pStyle w:val="TableContents"/>
              <w:spacing w:before="0" w:after="0"/>
              <w:jc w:val="center"/>
              <w:rPr>
                <w:color w:val="000000"/>
              </w:rPr>
            </w:pPr>
            <w:r>
              <w:rPr>
                <w:color w:val="000000"/>
              </w:rPr>
              <w:t> </w:t>
            </w:r>
          </w:p>
        </w:tc>
        <w:tc>
          <w:tcPr>
            <w:tcW w:w="935" w:type="dxa"/>
            <w:tcBorders/>
            <w:shd w:fill="CCEEFF" w:val="clear"/>
            <w:tcMar>
              <w:bottom w:w="0" w:type="dxa"/>
            </w:tcMar>
            <w:vAlign w:val="bottom"/>
          </w:tcPr>
          <w:p>
            <w:pPr>
              <w:pStyle w:val="TableContents"/>
              <w:spacing w:before="0" w:after="0"/>
              <w:jc w:val="center"/>
              <w:rPr>
                <w:color w:val="000000"/>
              </w:rPr>
            </w:pPr>
            <w:r>
              <w:rPr>
                <w:color w:val="000000"/>
              </w:rPr>
              <w:t> </w:t>
            </w:r>
          </w:p>
        </w:tc>
        <w:tc>
          <w:tcPr>
            <w:tcW w:w="830" w:type="dxa"/>
            <w:tcBorders/>
            <w:shd w:fill="CCEEFF" w:val="clear"/>
            <w:tcMar>
              <w:bottom w:w="0" w:type="dxa"/>
            </w:tcMar>
            <w:vAlign w:val="bottom"/>
          </w:tcPr>
          <w:p>
            <w:pPr>
              <w:pStyle w:val="TableContents"/>
              <w:spacing w:before="0" w:after="0"/>
              <w:jc w:val="center"/>
              <w:rPr>
                <w:color w:val="000000"/>
              </w:rPr>
            </w:pPr>
            <w:r>
              <w:rPr>
                <w:color w:val="000000"/>
              </w:rPr>
              <w:t> </w:t>
            </w:r>
          </w:p>
        </w:tc>
        <w:tc>
          <w:tcPr>
            <w:tcW w:w="60" w:type="dxa"/>
            <w:tcBorders/>
            <w:shd w:fill="CCEEFF" w:val="clear"/>
            <w:tcMar>
              <w:bottom w:w="0" w:type="dxa"/>
            </w:tcMar>
            <w:vAlign w:val="bottom"/>
          </w:tcPr>
          <w:p>
            <w:pPr>
              <w:pStyle w:val="TableContents"/>
              <w:spacing w:before="0" w:after="283"/>
              <w:jc w:val="right"/>
              <w:rPr/>
            </w:pPr>
            <w:r>
              <w:rPr/>
              <w:t> </w:t>
            </w:r>
          </w:p>
        </w:tc>
        <w:tc>
          <w:tcPr>
            <w:tcW w:w="316" w:type="dxa"/>
            <w:tcBorders/>
            <w:shd w:fill="CCEEFF" w:val="clear"/>
            <w:tcMar>
              <w:bottom w:w="0" w:type="dxa"/>
            </w:tcMar>
            <w:vAlign w:val="bottom"/>
          </w:tcPr>
          <w:p>
            <w:pPr>
              <w:pStyle w:val="TableContents"/>
              <w:spacing w:before="0" w:after="283"/>
              <w:jc w:val="left"/>
              <w:rPr/>
            </w:pPr>
            <w:r>
              <w:rPr/>
              <w:t> </w:t>
            </w:r>
          </w:p>
        </w:tc>
        <w:tc>
          <w:tcPr>
            <w:tcW w:w="739"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1205" w:type="dxa"/>
            <w:tcBorders/>
            <w:shd w:fill="CCEEFF" w:val="clear"/>
            <w:tcMar>
              <w:bottom w:w="0" w:type="dxa"/>
            </w:tcMar>
            <w:vAlign w:val="bottom"/>
          </w:tcPr>
          <w:p>
            <w:pPr>
              <w:pStyle w:val="TableContents"/>
              <w:spacing w:before="0" w:after="283"/>
              <w:rPr/>
            </w:pPr>
            <w:r>
              <w:rPr/>
              <w:t> </w:t>
            </w:r>
          </w:p>
        </w:tc>
        <w:tc>
          <w:tcPr>
            <w:tcW w:w="3000" w:type="dxa"/>
            <w:tcBorders/>
            <w:shd w:fill="CCEEFF" w:val="clear"/>
            <w:tcMar>
              <w:bottom w:w="0" w:type="dxa"/>
            </w:tcMar>
            <w:vAlign w:val="bottom"/>
          </w:tcPr>
          <w:p>
            <w:pPr>
              <w:pStyle w:val="TableContents"/>
              <w:spacing w:before="0" w:after="0"/>
              <w:jc w:val="center"/>
              <w:rPr>
                <w:color w:val="000000"/>
              </w:rPr>
            </w:pPr>
            <w:r>
              <w:rPr>
                <w:color w:val="000000"/>
              </w:rPr>
              <w:t> </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shd w:fill="CCEEFF" w:val="clear"/>
            <w:tcMar>
              <w:bottom w:w="0" w:type="dxa"/>
            </w:tcMar>
            <w:vAlign w:val="bottom"/>
          </w:tcPr>
          <w:p>
            <w:pPr>
              <w:pStyle w:val="TableContents"/>
              <w:spacing w:before="0" w:after="283"/>
              <w:jc w:val="left"/>
              <w:rPr/>
            </w:pPr>
            <w:r>
              <w:rPr/>
              <w:t> </w:t>
            </w:r>
          </w:p>
        </w:tc>
        <w:tc>
          <w:tcPr>
            <w:tcW w:w="788"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7" w:type="dxa"/>
            <w:tcBorders/>
            <w:shd w:fill="CCEEFF" w:val="clear"/>
            <w:tcMar>
              <w:bottom w:w="0" w:type="dxa"/>
            </w:tcMar>
            <w:vAlign w:val="bottom"/>
          </w:tcPr>
          <w:p>
            <w:pPr>
              <w:pStyle w:val="TableContents"/>
              <w:spacing w:before="0" w:after="283"/>
              <w:jc w:val="left"/>
              <w:rPr/>
            </w:pPr>
            <w:r>
              <w:rPr/>
              <w:t> </w:t>
            </w:r>
          </w:p>
        </w:tc>
        <w:tc>
          <w:tcPr>
            <w:tcW w:w="913"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40" w:type="dxa"/>
            <w:tcBorders/>
            <w:shd w:fill="CCEEFF" w:val="clear"/>
            <w:tcMar>
              <w:bottom w:w="0" w:type="dxa"/>
            </w:tcMar>
            <w:vAlign w:val="bottom"/>
          </w:tcPr>
          <w:p>
            <w:pPr>
              <w:pStyle w:val="TableContents"/>
              <w:spacing w:before="0" w:after="283"/>
              <w:jc w:val="left"/>
              <w:rPr/>
            </w:pPr>
            <w:r>
              <w:rPr/>
              <w:t> </w:t>
            </w:r>
          </w:p>
        </w:tc>
        <w:tc>
          <w:tcPr>
            <w:tcW w:w="680"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2" w:type="dxa"/>
            <w:tcBorders/>
            <w:shd w:fill="CCEEFF" w:val="clear"/>
            <w:tcMar>
              <w:bottom w:w="0" w:type="dxa"/>
            </w:tcMar>
            <w:vAlign w:val="bottom"/>
          </w:tcPr>
          <w:p>
            <w:pPr>
              <w:pStyle w:val="TableContents"/>
              <w:spacing w:before="0" w:after="283"/>
              <w:jc w:val="left"/>
              <w:rPr/>
            </w:pPr>
            <w:r>
              <w:rPr/>
              <w:t> </w:t>
            </w:r>
          </w:p>
        </w:tc>
        <w:tc>
          <w:tcPr>
            <w:tcW w:w="588" w:type="dxa"/>
            <w:tcBorders/>
            <w:shd w:fill="CCEEFF" w:val="clear"/>
            <w:tcMar>
              <w:bottom w:w="0" w:type="dxa"/>
            </w:tcMar>
            <w:vAlign w:val="bottom"/>
          </w:tcPr>
          <w:p>
            <w:pPr>
              <w:pStyle w:val="TableContents"/>
              <w:spacing w:before="0" w:after="283"/>
              <w:jc w:val="right"/>
              <w:rPr/>
            </w:pPr>
            <w:r>
              <w:rPr/>
              <w:t> </w:t>
            </w:r>
          </w:p>
        </w:tc>
        <w:tc>
          <w:tcPr>
            <w:tcW w:w="275" w:type="dxa"/>
            <w:tcBorders/>
            <w:shd w:fill="CCEEFF" w:val="clear"/>
            <w:tcMar>
              <w:bottom w:w="0" w:type="dxa"/>
            </w:tcMar>
            <w:vAlign w:val="bottom"/>
          </w:tcPr>
          <w:p>
            <w:pPr>
              <w:pStyle w:val="TableContents"/>
              <w:spacing w:before="0" w:after="283"/>
              <w:jc w:val="left"/>
              <w:rPr/>
            </w:pPr>
            <w:r>
              <w:rPr/>
              <w:t> </w:t>
            </w:r>
          </w:p>
        </w:tc>
      </w:tr>
      <w:tr>
        <w:trPr/>
        <w:tc>
          <w:tcPr>
            <w:tcW w:w="4550" w:type="dxa"/>
            <w:gridSpan w:val="4"/>
            <w:tcBorders/>
            <w:shd w:fill="auto" w:val="clear"/>
            <w:tcMar>
              <w:bottom w:w="0" w:type="dxa"/>
            </w:tcMar>
            <w:vAlign w:val="bottom"/>
          </w:tcPr>
          <w:p>
            <w:pPr>
              <w:pStyle w:val="TableContents"/>
              <w:spacing w:before="0" w:after="0"/>
              <w:ind w:left="180" w:right="0" w:hanging="180"/>
              <w:rPr>
                <w:b/>
                <w:color w:val="000000"/>
              </w:rPr>
            </w:pPr>
            <w:r>
              <w:rPr>
                <w:b/>
                <w:color w:val="000000"/>
              </w:rPr>
              <w:t>Cash equivalents</w:t>
            </w:r>
          </w:p>
        </w:tc>
        <w:tc>
          <w:tcPr>
            <w:tcW w:w="830" w:type="dxa"/>
            <w:tcBorders/>
            <w:shd w:fill="auto" w:val="clear"/>
            <w:tcMar>
              <w:bottom w:w="0" w:type="dxa"/>
            </w:tcMar>
            <w:vAlign w:val="bottom"/>
          </w:tcPr>
          <w:p>
            <w:pPr>
              <w:pStyle w:val="TableContents"/>
              <w:spacing w:before="0" w:after="0"/>
              <w:rPr>
                <w:color w:val="000000"/>
              </w:rPr>
            </w:pPr>
            <w:r>
              <w:rPr>
                <w:color w:val="000000"/>
              </w:rPr>
              <w:t> </w:t>
            </w:r>
          </w:p>
        </w:tc>
        <w:tc>
          <w:tcPr>
            <w:tcW w:w="60" w:type="dxa"/>
            <w:tcBorders/>
            <w:shd w:fill="auto" w:val="clear"/>
            <w:tcMar>
              <w:bottom w:w="0" w:type="dxa"/>
            </w:tcMar>
            <w:vAlign w:val="bottom"/>
          </w:tcPr>
          <w:p>
            <w:pPr>
              <w:pStyle w:val="TableContents"/>
              <w:spacing w:before="0" w:after="283"/>
              <w:jc w:val="right"/>
              <w:rPr/>
            </w:pPr>
            <w:r>
              <w:rPr/>
              <w:t> </w:t>
            </w:r>
          </w:p>
        </w:tc>
        <w:tc>
          <w:tcPr>
            <w:tcW w:w="316" w:type="dxa"/>
            <w:tcBorders/>
            <w:shd w:fill="auto" w:val="clear"/>
            <w:tcMar>
              <w:bottom w:w="0" w:type="dxa"/>
            </w:tcMar>
            <w:vAlign w:val="bottom"/>
          </w:tcPr>
          <w:p>
            <w:pPr>
              <w:pStyle w:val="TableContents"/>
              <w:spacing w:before="0" w:after="283"/>
              <w:jc w:val="left"/>
              <w:rPr/>
            </w:pPr>
            <w:r>
              <w:rPr/>
              <w:t> </w:t>
            </w:r>
          </w:p>
        </w:tc>
        <w:tc>
          <w:tcPr>
            <w:tcW w:w="739"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283"/>
              <w:rPr/>
            </w:pPr>
            <w:r>
              <w:rPr/>
              <w:t> </w:t>
            </w:r>
          </w:p>
        </w:tc>
        <w:tc>
          <w:tcPr>
            <w:tcW w:w="3000" w:type="dxa"/>
            <w:tcBorders/>
            <w:shd w:fill="auto" w:val="clear"/>
            <w:tcMar>
              <w:bottom w:w="0" w:type="dxa"/>
            </w:tcMar>
            <w:vAlign w:val="bottom"/>
          </w:tcPr>
          <w:p>
            <w:pPr>
              <w:pStyle w:val="TableContents"/>
              <w:spacing w:before="0" w:after="0"/>
              <w:jc w:val="center"/>
              <w:rPr>
                <w:color w:val="000000"/>
              </w:rPr>
            </w:pPr>
            <w:r>
              <w:rPr>
                <w:color w:val="000000"/>
              </w:rPr>
              <w:t> </w:t>
            </w:r>
          </w:p>
        </w:tc>
        <w:tc>
          <w:tcPr>
            <w:tcW w:w="60" w:type="dxa"/>
            <w:tcBorders/>
            <w:shd w:fill="auto" w:val="clear"/>
            <w:tcMar>
              <w:bottom w:w="0" w:type="dxa"/>
            </w:tcMar>
            <w:vAlign w:val="bottom"/>
          </w:tcPr>
          <w:p>
            <w:pPr>
              <w:pStyle w:val="TableContents"/>
              <w:spacing w:before="0" w:after="283"/>
              <w:jc w:val="right"/>
              <w:rPr/>
            </w:pPr>
            <w:r>
              <w:rPr/>
              <w:t> </w:t>
            </w:r>
          </w:p>
        </w:tc>
        <w:tc>
          <w:tcPr>
            <w:tcW w:w="162" w:type="dxa"/>
            <w:tcBorders/>
            <w:shd w:fill="auto" w:val="clear"/>
            <w:tcMar>
              <w:bottom w:w="0" w:type="dxa"/>
            </w:tcMar>
            <w:vAlign w:val="bottom"/>
          </w:tcPr>
          <w:p>
            <w:pPr>
              <w:pStyle w:val="TableContents"/>
              <w:spacing w:before="0" w:after="283"/>
              <w:jc w:val="left"/>
              <w:rPr/>
            </w:pPr>
            <w:r>
              <w:rPr/>
              <w:t> </w:t>
            </w:r>
          </w:p>
        </w:tc>
        <w:tc>
          <w:tcPr>
            <w:tcW w:w="788"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87" w:type="dxa"/>
            <w:tcBorders/>
            <w:shd w:fill="auto" w:val="clear"/>
            <w:tcMar>
              <w:bottom w:w="0" w:type="dxa"/>
            </w:tcMar>
            <w:vAlign w:val="bottom"/>
          </w:tcPr>
          <w:p>
            <w:pPr>
              <w:pStyle w:val="TableContents"/>
              <w:spacing w:before="0" w:after="283"/>
              <w:jc w:val="left"/>
              <w:rPr/>
            </w:pPr>
            <w:r>
              <w:rPr/>
              <w:t> </w:t>
            </w:r>
          </w:p>
        </w:tc>
        <w:tc>
          <w:tcPr>
            <w:tcW w:w="913"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40" w:type="dxa"/>
            <w:tcBorders/>
            <w:shd w:fill="auto" w:val="clear"/>
            <w:tcMar>
              <w:bottom w:w="0" w:type="dxa"/>
            </w:tcMar>
            <w:vAlign w:val="bottom"/>
          </w:tcPr>
          <w:p>
            <w:pPr>
              <w:pStyle w:val="TableContents"/>
              <w:spacing w:before="0" w:after="283"/>
              <w:jc w:val="left"/>
              <w:rPr/>
            </w:pPr>
            <w:r>
              <w:rPr/>
              <w:t> </w:t>
            </w:r>
          </w:p>
        </w:tc>
        <w:tc>
          <w:tcPr>
            <w:tcW w:w="680"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62" w:type="dxa"/>
            <w:tcBorders/>
            <w:shd w:fill="auto" w:val="clear"/>
            <w:tcMar>
              <w:bottom w:w="0" w:type="dxa"/>
            </w:tcMar>
            <w:vAlign w:val="bottom"/>
          </w:tcPr>
          <w:p>
            <w:pPr>
              <w:pStyle w:val="TableContents"/>
              <w:spacing w:before="0" w:after="283"/>
              <w:jc w:val="left"/>
              <w:rPr/>
            </w:pPr>
            <w:r>
              <w:rPr/>
              <w:t> </w:t>
            </w:r>
          </w:p>
        </w:tc>
        <w:tc>
          <w:tcPr>
            <w:tcW w:w="588" w:type="dxa"/>
            <w:tcBorders/>
            <w:shd w:fill="auto" w:val="clear"/>
            <w:tcMar>
              <w:bottom w:w="0" w:type="dxa"/>
            </w:tcMar>
            <w:vAlign w:val="bottom"/>
          </w:tcPr>
          <w:p>
            <w:pPr>
              <w:pStyle w:val="TableContents"/>
              <w:spacing w:before="0" w:after="283"/>
              <w:jc w:val="right"/>
              <w:rPr/>
            </w:pPr>
            <w:r>
              <w:rPr/>
              <w:t> </w:t>
            </w:r>
          </w:p>
        </w:tc>
        <w:tc>
          <w:tcPr>
            <w:tcW w:w="275" w:type="dxa"/>
            <w:tcBorders/>
            <w:shd w:fill="auto" w:val="clear"/>
            <w:tcMar>
              <w:bottom w:w="0" w:type="dxa"/>
            </w:tcMar>
            <w:vAlign w:val="bottom"/>
          </w:tcPr>
          <w:p>
            <w:pPr>
              <w:pStyle w:val="TableContents"/>
              <w:spacing w:before="0" w:after="283"/>
              <w:jc w:val="left"/>
              <w:rPr/>
            </w:pPr>
            <w:r>
              <w:rPr/>
              <w:t> </w:t>
            </w:r>
          </w:p>
        </w:tc>
      </w:tr>
      <w:tr>
        <w:trPr/>
        <w:tc>
          <w:tcPr>
            <w:tcW w:w="4550" w:type="dxa"/>
            <w:gridSpan w:val="4"/>
            <w:tcBorders/>
            <w:shd w:fill="CCEEFF" w:val="clear"/>
            <w:tcMar>
              <w:bottom w:w="0" w:type="dxa"/>
            </w:tcMar>
            <w:vAlign w:val="bottom"/>
          </w:tcPr>
          <w:p>
            <w:pPr>
              <w:pStyle w:val="TableContents"/>
              <w:spacing w:before="0" w:after="0"/>
              <w:ind w:left="360" w:right="0" w:hanging="180"/>
              <w:rPr>
                <w:color w:val="000000"/>
              </w:rPr>
            </w:pPr>
            <w:r>
              <w:rPr>
                <w:color w:val="000000"/>
              </w:rPr>
              <w:t>State Street Institutional U.S. Government Money Market Fund (12)</w:t>
            </w:r>
          </w:p>
        </w:tc>
        <w:tc>
          <w:tcPr>
            <w:tcW w:w="830" w:type="dxa"/>
            <w:tcBorders/>
            <w:shd w:fill="CCEEFF" w:val="clear"/>
            <w:tcMar>
              <w:bottom w:w="0" w:type="dxa"/>
            </w:tcMar>
            <w:vAlign w:val="bottom"/>
          </w:tcPr>
          <w:p>
            <w:pPr>
              <w:pStyle w:val="TableContents"/>
              <w:spacing w:before="0" w:after="0"/>
              <w:rPr>
                <w:color w:val="000000"/>
              </w:rPr>
            </w:pPr>
            <w:r>
              <w:rPr>
                <w:color w:val="000000"/>
              </w:rPr>
              <w:t> </w:t>
            </w:r>
          </w:p>
        </w:tc>
        <w:tc>
          <w:tcPr>
            <w:tcW w:w="60" w:type="dxa"/>
            <w:tcBorders/>
            <w:shd w:fill="CCEEFF" w:val="clear"/>
            <w:tcMar>
              <w:bottom w:w="0" w:type="dxa"/>
            </w:tcMar>
            <w:vAlign w:val="bottom"/>
          </w:tcPr>
          <w:p>
            <w:pPr>
              <w:pStyle w:val="TableContents"/>
              <w:spacing w:before="0" w:after="283"/>
              <w:jc w:val="right"/>
              <w:rPr/>
            </w:pPr>
            <w:r>
              <w:rPr/>
              <w:t> </w:t>
            </w:r>
          </w:p>
        </w:tc>
        <w:tc>
          <w:tcPr>
            <w:tcW w:w="316" w:type="dxa"/>
            <w:tcBorders/>
            <w:shd w:fill="CCEEFF" w:val="clear"/>
            <w:tcMar>
              <w:bottom w:w="0" w:type="dxa"/>
            </w:tcMar>
            <w:vAlign w:val="bottom"/>
          </w:tcPr>
          <w:p>
            <w:pPr>
              <w:pStyle w:val="TableContents"/>
              <w:spacing w:before="0" w:after="283"/>
              <w:jc w:val="left"/>
              <w:rPr/>
            </w:pPr>
            <w:r>
              <w:rPr/>
              <w:t> </w:t>
            </w:r>
          </w:p>
        </w:tc>
        <w:tc>
          <w:tcPr>
            <w:tcW w:w="739" w:type="dxa"/>
            <w:tcBorders/>
            <w:shd w:fill="CCEEFF" w:val="clear"/>
            <w:tcMar>
              <w:bottom w:w="0" w:type="dxa"/>
            </w:tcMar>
            <w:vAlign w:val="bottom"/>
          </w:tcPr>
          <w:p>
            <w:pPr>
              <w:pStyle w:val="TableContents"/>
              <w:spacing w:before="0" w:after="283"/>
              <w:jc w:val="right"/>
              <w:rPr/>
            </w:pPr>
            <w:r>
              <w:rPr/>
              <w:t>1</w:t>
            </w:r>
          </w:p>
        </w:tc>
        <w:tc>
          <w:tcPr>
            <w:tcW w:w="60" w:type="dxa"/>
            <w:tcBorders/>
            <w:shd w:fill="CCEEFF" w:val="clear"/>
            <w:tcMar>
              <w:bottom w:w="0" w:type="dxa"/>
            </w:tcMar>
            <w:vAlign w:val="bottom"/>
          </w:tcPr>
          <w:p>
            <w:pPr>
              <w:pStyle w:val="TableContents"/>
              <w:spacing w:before="0" w:after="283"/>
              <w:jc w:val="left"/>
              <w:rPr/>
            </w:pPr>
            <w:r>
              <w:rPr/>
              <w:t> </w:t>
            </w:r>
          </w:p>
        </w:tc>
        <w:tc>
          <w:tcPr>
            <w:tcW w:w="1205" w:type="dxa"/>
            <w:tcBorders/>
            <w:shd w:fill="CCEEFF" w:val="clear"/>
            <w:tcMar>
              <w:bottom w:w="0" w:type="dxa"/>
            </w:tcMar>
            <w:vAlign w:val="bottom"/>
          </w:tcPr>
          <w:p>
            <w:pPr>
              <w:pStyle w:val="TableContents"/>
              <w:spacing w:before="0" w:after="0"/>
              <w:jc w:val="center"/>
              <w:rPr>
                <w:color w:val="000000"/>
              </w:rPr>
            </w:pPr>
            <w:r>
              <w:rPr>
                <w:color w:val="000000"/>
              </w:rPr>
              <w:t> </w:t>
            </w:r>
          </w:p>
        </w:tc>
        <w:tc>
          <w:tcPr>
            <w:tcW w:w="3000" w:type="dxa"/>
            <w:tcBorders/>
            <w:shd w:fill="CCEEFF" w:val="clear"/>
            <w:tcMar>
              <w:bottom w:w="0" w:type="dxa"/>
            </w:tcMar>
            <w:vAlign w:val="bottom"/>
          </w:tcPr>
          <w:p>
            <w:pPr>
              <w:pStyle w:val="TableContents"/>
              <w:spacing w:before="0" w:after="0"/>
              <w:jc w:val="center"/>
              <w:rPr>
                <w:color w:val="000000"/>
              </w:rPr>
            </w:pPr>
            <w:r>
              <w:rPr>
                <w:color w:val="000000"/>
              </w:rPr>
              <w:t> </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shd w:fill="CCEEFF" w:val="clear"/>
            <w:tcMar>
              <w:bottom w:w="0" w:type="dxa"/>
            </w:tcMar>
            <w:vAlign w:val="bottom"/>
          </w:tcPr>
          <w:p>
            <w:pPr>
              <w:pStyle w:val="TableContents"/>
              <w:spacing w:before="0" w:after="283"/>
              <w:jc w:val="left"/>
              <w:rPr/>
            </w:pPr>
            <w:r>
              <w:rPr/>
              <w:t> </w:t>
            </w:r>
          </w:p>
        </w:tc>
        <w:tc>
          <w:tcPr>
            <w:tcW w:w="788"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7" w:type="dxa"/>
            <w:tcBorders>
              <w:bottom w:val="single" w:sz="12" w:space="0" w:color="000000"/>
            </w:tcBorders>
            <w:shd w:fill="CCEEFF" w:val="clear"/>
            <w:vAlign w:val="bottom"/>
          </w:tcPr>
          <w:p>
            <w:pPr>
              <w:pStyle w:val="TableContents"/>
              <w:spacing w:before="0" w:after="0"/>
              <w:jc w:val="left"/>
              <w:rPr>
                <w:color w:val="000000"/>
              </w:rPr>
            </w:pPr>
            <w:r>
              <w:rPr>
                <w:color w:val="000000"/>
              </w:rPr>
              <w:t>$</w:t>
            </w:r>
          </w:p>
        </w:tc>
        <w:tc>
          <w:tcPr>
            <w:tcW w:w="913" w:type="dxa"/>
            <w:tcBorders>
              <w:bottom w:val="single" w:sz="12" w:space="0" w:color="000000"/>
            </w:tcBorders>
            <w:shd w:fill="CCEEFF" w:val="clear"/>
            <w:vAlign w:val="bottom"/>
          </w:tcPr>
          <w:p>
            <w:pPr>
              <w:pStyle w:val="TableContents"/>
              <w:spacing w:before="0" w:after="0"/>
              <w:jc w:val="right"/>
              <w:rPr>
                <w:color w:val="000000"/>
              </w:rPr>
            </w:pPr>
            <w:r>
              <w:rPr>
                <w:color w:val="000000"/>
              </w:rPr>
              <w:t>35,125</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40" w:type="dxa"/>
            <w:tcBorders>
              <w:bottom w:val="single" w:sz="12" w:space="0" w:color="000000"/>
            </w:tcBorders>
            <w:shd w:fill="CCEEFF" w:val="clear"/>
            <w:vAlign w:val="bottom"/>
          </w:tcPr>
          <w:p>
            <w:pPr>
              <w:pStyle w:val="TableContents"/>
              <w:spacing w:before="0" w:after="0"/>
              <w:jc w:val="left"/>
              <w:rPr>
                <w:color w:val="000000"/>
              </w:rPr>
            </w:pPr>
            <w:r>
              <w:rPr>
                <w:color w:val="000000"/>
              </w:rPr>
              <w:t>$</w:t>
            </w:r>
          </w:p>
        </w:tc>
        <w:tc>
          <w:tcPr>
            <w:tcW w:w="680" w:type="dxa"/>
            <w:tcBorders>
              <w:bottom w:val="single" w:sz="12" w:space="0" w:color="000000"/>
            </w:tcBorders>
            <w:shd w:fill="CCEEFF" w:val="clear"/>
            <w:vAlign w:val="bottom"/>
          </w:tcPr>
          <w:p>
            <w:pPr>
              <w:pStyle w:val="TableContents"/>
              <w:spacing w:before="0" w:after="0"/>
              <w:jc w:val="right"/>
              <w:rPr>
                <w:color w:val="000000"/>
              </w:rPr>
            </w:pPr>
            <w:r>
              <w:rPr>
                <w:color w:val="000000"/>
              </w:rPr>
              <w:t>35,125</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2" w:type="dxa"/>
            <w:tcBorders>
              <w:bottom w:val="single" w:sz="12" w:space="0" w:color="000000"/>
            </w:tcBorders>
            <w:shd w:fill="CCEEFF" w:val="clear"/>
            <w:vAlign w:val="bottom"/>
          </w:tcPr>
          <w:p>
            <w:pPr>
              <w:pStyle w:val="TableContents"/>
              <w:spacing w:before="0" w:after="283"/>
              <w:jc w:val="left"/>
              <w:rPr/>
            </w:pPr>
            <w:r>
              <w:rPr/>
              <w:t> </w:t>
            </w:r>
          </w:p>
        </w:tc>
        <w:tc>
          <w:tcPr>
            <w:tcW w:w="588" w:type="dxa"/>
            <w:tcBorders>
              <w:bottom w:val="single" w:sz="12" w:space="0" w:color="000000"/>
            </w:tcBorders>
            <w:shd w:fill="CCEEFF" w:val="clear"/>
            <w:vAlign w:val="bottom"/>
          </w:tcPr>
          <w:p>
            <w:pPr>
              <w:pStyle w:val="TableContents"/>
              <w:spacing w:before="0" w:after="0"/>
              <w:jc w:val="right"/>
              <w:rPr>
                <w:color w:val="000000"/>
              </w:rPr>
            </w:pPr>
            <w:r>
              <w:rPr>
                <w:color w:val="000000"/>
              </w:rPr>
              <w:t>40.62</w:t>
            </w:r>
          </w:p>
        </w:tc>
        <w:tc>
          <w:tcPr>
            <w:tcW w:w="275" w:type="dxa"/>
            <w:tcBorders/>
            <w:shd w:fill="CCEEFF" w:val="clear"/>
            <w:tcMar>
              <w:bottom w:w="0" w:type="dxa"/>
            </w:tcMar>
            <w:vAlign w:val="bottom"/>
          </w:tcPr>
          <w:p>
            <w:pPr>
              <w:pStyle w:val="TableContents"/>
              <w:spacing w:before="0" w:after="0"/>
              <w:jc w:val="left"/>
              <w:rPr>
                <w:color w:val="000000"/>
              </w:rPr>
            </w:pPr>
            <w:r>
              <w:rPr>
                <w:color w:val="000000"/>
              </w:rPr>
              <w:t>%</w:t>
            </w:r>
          </w:p>
        </w:tc>
      </w:tr>
      <w:tr>
        <w:trPr/>
        <w:tc>
          <w:tcPr>
            <w:tcW w:w="4550" w:type="dxa"/>
            <w:gridSpan w:val="4"/>
            <w:tcBorders/>
            <w:shd w:fill="auto" w:val="clear"/>
            <w:tcMar>
              <w:bottom w:w="0" w:type="dxa"/>
            </w:tcMar>
            <w:vAlign w:val="bottom"/>
          </w:tcPr>
          <w:p>
            <w:pPr>
              <w:pStyle w:val="TableContents"/>
              <w:spacing w:before="0" w:after="0"/>
              <w:ind w:left="180" w:right="0" w:hanging="0"/>
              <w:rPr>
                <w:b/>
                <w:color w:val="000000"/>
              </w:rPr>
            </w:pPr>
            <w:r>
              <w:rPr>
                <w:b/>
                <w:color w:val="000000"/>
              </w:rPr>
              <w:t>Cash equivalents (40.62%):</w:t>
            </w:r>
          </w:p>
        </w:tc>
        <w:tc>
          <w:tcPr>
            <w:tcW w:w="830" w:type="dxa"/>
            <w:tcBorders/>
            <w:shd w:fill="auto" w:val="clear"/>
            <w:tcMar>
              <w:bottom w:w="0" w:type="dxa"/>
            </w:tcMar>
            <w:vAlign w:val="bottom"/>
          </w:tcPr>
          <w:p>
            <w:pPr>
              <w:pStyle w:val="TableContents"/>
              <w:spacing w:before="0" w:after="0"/>
              <w:rPr>
                <w:color w:val="000000"/>
              </w:rPr>
            </w:pPr>
            <w:r>
              <w:rPr>
                <w:color w:val="000000"/>
              </w:rPr>
              <w:t> </w:t>
            </w:r>
          </w:p>
        </w:tc>
        <w:tc>
          <w:tcPr>
            <w:tcW w:w="60" w:type="dxa"/>
            <w:tcBorders/>
            <w:shd w:fill="auto" w:val="clear"/>
            <w:tcMar>
              <w:bottom w:w="0" w:type="dxa"/>
            </w:tcMar>
            <w:vAlign w:val="bottom"/>
          </w:tcPr>
          <w:p>
            <w:pPr>
              <w:pStyle w:val="TableContents"/>
              <w:spacing w:before="0" w:after="283"/>
              <w:jc w:val="right"/>
              <w:rPr/>
            </w:pPr>
            <w:r>
              <w:rPr/>
              <w:t> </w:t>
            </w:r>
          </w:p>
        </w:tc>
        <w:tc>
          <w:tcPr>
            <w:tcW w:w="316" w:type="dxa"/>
            <w:tcBorders/>
            <w:shd w:fill="auto" w:val="clear"/>
            <w:tcMar>
              <w:bottom w:w="0" w:type="dxa"/>
            </w:tcMar>
            <w:vAlign w:val="bottom"/>
          </w:tcPr>
          <w:p>
            <w:pPr>
              <w:pStyle w:val="TableContents"/>
              <w:spacing w:before="0" w:after="283"/>
              <w:jc w:val="left"/>
              <w:rPr/>
            </w:pPr>
            <w:r>
              <w:rPr/>
              <w:t> </w:t>
            </w:r>
          </w:p>
        </w:tc>
        <w:tc>
          <w:tcPr>
            <w:tcW w:w="739"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283"/>
              <w:rPr/>
            </w:pPr>
            <w:r>
              <w:rPr/>
              <w:t> </w:t>
            </w:r>
          </w:p>
        </w:tc>
        <w:tc>
          <w:tcPr>
            <w:tcW w:w="3000" w:type="dxa"/>
            <w:tcBorders/>
            <w:shd w:fill="auto" w:val="clear"/>
            <w:tcMar>
              <w:bottom w:w="0" w:type="dxa"/>
            </w:tcMar>
            <w:vAlign w:val="bottom"/>
          </w:tcPr>
          <w:p>
            <w:pPr>
              <w:pStyle w:val="TableContents"/>
              <w:spacing w:before="0" w:after="0"/>
              <w:jc w:val="center"/>
              <w:rPr>
                <w:color w:val="000000"/>
              </w:rPr>
            </w:pPr>
            <w:r>
              <w:rPr>
                <w:color w:val="000000"/>
              </w:rPr>
              <w:t> </w:t>
            </w:r>
          </w:p>
        </w:tc>
        <w:tc>
          <w:tcPr>
            <w:tcW w:w="60" w:type="dxa"/>
            <w:tcBorders/>
            <w:shd w:fill="auto" w:val="clear"/>
            <w:tcMar>
              <w:bottom w:w="0" w:type="dxa"/>
            </w:tcMar>
            <w:vAlign w:val="bottom"/>
          </w:tcPr>
          <w:p>
            <w:pPr>
              <w:pStyle w:val="TableContents"/>
              <w:spacing w:before="0" w:after="283"/>
              <w:jc w:val="right"/>
              <w:rPr/>
            </w:pPr>
            <w:r>
              <w:rPr/>
              <w:t> </w:t>
            </w:r>
          </w:p>
        </w:tc>
        <w:tc>
          <w:tcPr>
            <w:tcW w:w="162" w:type="dxa"/>
            <w:tcBorders/>
            <w:shd w:fill="auto" w:val="clear"/>
            <w:tcMar>
              <w:bottom w:w="0" w:type="dxa"/>
            </w:tcMar>
            <w:vAlign w:val="bottom"/>
          </w:tcPr>
          <w:p>
            <w:pPr>
              <w:pStyle w:val="TableContents"/>
              <w:spacing w:before="0" w:after="283"/>
              <w:jc w:val="left"/>
              <w:rPr/>
            </w:pPr>
            <w:r>
              <w:rPr/>
              <w:t> </w:t>
            </w:r>
          </w:p>
        </w:tc>
        <w:tc>
          <w:tcPr>
            <w:tcW w:w="788"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87" w:type="dxa"/>
            <w:tcBorders/>
            <w:shd w:fill="auto" w:val="clear"/>
            <w:tcMar>
              <w:bottom w:w="0" w:type="dxa"/>
            </w:tcMar>
            <w:vAlign w:val="bottom"/>
          </w:tcPr>
          <w:p>
            <w:pPr>
              <w:pStyle w:val="TableContents"/>
              <w:spacing w:before="0" w:after="283"/>
              <w:jc w:val="left"/>
              <w:rPr/>
            </w:pPr>
            <w:r>
              <w:rPr/>
              <w:t> </w:t>
            </w:r>
          </w:p>
        </w:tc>
        <w:tc>
          <w:tcPr>
            <w:tcW w:w="913" w:type="dxa"/>
            <w:tcBorders/>
            <w:shd w:fill="auto" w:val="clear"/>
            <w:tcMar>
              <w:bottom w:w="0" w:type="dxa"/>
            </w:tcMar>
            <w:vAlign w:val="bottom"/>
          </w:tcPr>
          <w:p>
            <w:pPr>
              <w:pStyle w:val="TableContents"/>
              <w:spacing w:before="0" w:after="0"/>
              <w:jc w:val="right"/>
              <w:rPr>
                <w:color w:val="000000"/>
              </w:rPr>
            </w:pPr>
            <w:r>
              <w:rPr>
                <w:color w:val="000000"/>
              </w:rPr>
              <w:t>35,125</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40" w:type="dxa"/>
            <w:tcBorders/>
            <w:shd w:fill="auto" w:val="clear"/>
            <w:tcMar>
              <w:bottom w:w="0" w:type="dxa"/>
            </w:tcMar>
            <w:vAlign w:val="bottom"/>
          </w:tcPr>
          <w:p>
            <w:pPr>
              <w:pStyle w:val="TableContents"/>
              <w:spacing w:before="0" w:after="283"/>
              <w:jc w:val="left"/>
              <w:rPr/>
            </w:pPr>
            <w:r>
              <w:rPr/>
              <w:t> </w:t>
            </w:r>
          </w:p>
        </w:tc>
        <w:tc>
          <w:tcPr>
            <w:tcW w:w="680" w:type="dxa"/>
            <w:tcBorders/>
            <w:shd w:fill="auto" w:val="clear"/>
            <w:tcMar>
              <w:bottom w:w="0" w:type="dxa"/>
            </w:tcMar>
            <w:vAlign w:val="bottom"/>
          </w:tcPr>
          <w:p>
            <w:pPr>
              <w:pStyle w:val="TableContents"/>
              <w:spacing w:before="0" w:after="0"/>
              <w:jc w:val="right"/>
              <w:rPr>
                <w:color w:val="000000"/>
              </w:rPr>
            </w:pPr>
            <w:r>
              <w:rPr>
                <w:color w:val="000000"/>
              </w:rPr>
              <w:t>35,125</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62" w:type="dxa"/>
            <w:tcBorders/>
            <w:shd w:fill="auto" w:val="clear"/>
            <w:tcMar>
              <w:bottom w:w="0" w:type="dxa"/>
            </w:tcMar>
            <w:vAlign w:val="bottom"/>
          </w:tcPr>
          <w:p>
            <w:pPr>
              <w:pStyle w:val="TableContents"/>
              <w:spacing w:before="0" w:after="283"/>
              <w:jc w:val="left"/>
              <w:rPr/>
            </w:pPr>
            <w:r>
              <w:rPr/>
              <w:t> </w:t>
            </w:r>
          </w:p>
        </w:tc>
        <w:tc>
          <w:tcPr>
            <w:tcW w:w="588" w:type="dxa"/>
            <w:tcBorders/>
            <w:shd w:fill="auto" w:val="clear"/>
            <w:tcMar>
              <w:bottom w:w="0" w:type="dxa"/>
            </w:tcMar>
            <w:vAlign w:val="bottom"/>
          </w:tcPr>
          <w:p>
            <w:pPr>
              <w:pStyle w:val="TableContents"/>
              <w:spacing w:before="0" w:after="0"/>
              <w:jc w:val="right"/>
              <w:rPr>
                <w:color w:val="000000"/>
              </w:rPr>
            </w:pPr>
            <w:r>
              <w:rPr>
                <w:color w:val="000000"/>
              </w:rPr>
              <w:t>40.62</w:t>
            </w:r>
          </w:p>
        </w:tc>
        <w:tc>
          <w:tcPr>
            <w:tcW w:w="275" w:type="dxa"/>
            <w:tcBorders/>
            <w:shd w:fill="auto" w:val="clear"/>
            <w:tcMar>
              <w:bottom w:w="0" w:type="dxa"/>
            </w:tcMar>
            <w:vAlign w:val="bottom"/>
          </w:tcPr>
          <w:p>
            <w:pPr>
              <w:pStyle w:val="TableContents"/>
              <w:spacing w:before="0" w:after="283"/>
              <w:jc w:val="left"/>
              <w:rPr/>
            </w:pPr>
            <w:r>
              <w:rPr/>
              <w:t> </w:t>
            </w:r>
          </w:p>
        </w:tc>
      </w:tr>
      <w:tr>
        <w:trPr/>
        <w:tc>
          <w:tcPr>
            <w:tcW w:w="1325" w:type="dxa"/>
            <w:tcBorders/>
            <w:shd w:fill="CCEEFF" w:val="clear"/>
            <w:tcMar>
              <w:bottom w:w="0" w:type="dxa"/>
            </w:tcMar>
            <w:vAlign w:val="bottom"/>
          </w:tcPr>
          <w:p>
            <w:pPr>
              <w:pStyle w:val="TableContents"/>
              <w:spacing w:before="0" w:after="0"/>
              <w:ind w:left="180" w:right="0" w:hanging="180"/>
              <w:rPr>
                <w:color w:val="000000"/>
              </w:rPr>
            </w:pPr>
            <w:r>
              <w:rPr>
                <w:color w:val="000000"/>
              </w:rPr>
              <w:t> </w:t>
            </w:r>
          </w:p>
        </w:tc>
        <w:tc>
          <w:tcPr>
            <w:tcW w:w="1145" w:type="dxa"/>
            <w:tcBorders/>
            <w:shd w:fill="CCEEFF" w:val="clear"/>
            <w:tcMar>
              <w:bottom w:w="0" w:type="dxa"/>
            </w:tcMar>
            <w:vAlign w:val="bottom"/>
          </w:tcPr>
          <w:p>
            <w:pPr>
              <w:pStyle w:val="TableContents"/>
              <w:spacing w:before="0" w:after="0"/>
              <w:jc w:val="center"/>
              <w:rPr>
                <w:color w:val="000000"/>
              </w:rPr>
            </w:pPr>
            <w:r>
              <w:rPr>
                <w:color w:val="000000"/>
              </w:rPr>
              <w:t> </w:t>
            </w:r>
          </w:p>
        </w:tc>
        <w:tc>
          <w:tcPr>
            <w:tcW w:w="1145" w:type="dxa"/>
            <w:tcBorders/>
            <w:shd w:fill="CCEEFF" w:val="clear"/>
            <w:tcMar>
              <w:bottom w:w="0" w:type="dxa"/>
            </w:tcMar>
            <w:vAlign w:val="bottom"/>
          </w:tcPr>
          <w:p>
            <w:pPr>
              <w:pStyle w:val="TableContents"/>
              <w:spacing w:before="0" w:after="0"/>
              <w:rPr>
                <w:color w:val="000000"/>
              </w:rPr>
            </w:pPr>
            <w:r>
              <w:rPr>
                <w:color w:val="000000"/>
              </w:rPr>
              <w:t> </w:t>
            </w:r>
          </w:p>
        </w:tc>
        <w:tc>
          <w:tcPr>
            <w:tcW w:w="935" w:type="dxa"/>
            <w:tcBorders/>
            <w:shd w:fill="CCEEFF" w:val="clear"/>
            <w:tcMar>
              <w:bottom w:w="0" w:type="dxa"/>
            </w:tcMar>
            <w:vAlign w:val="bottom"/>
          </w:tcPr>
          <w:p>
            <w:pPr>
              <w:pStyle w:val="TableContents"/>
              <w:spacing w:before="0" w:after="0"/>
              <w:rPr>
                <w:color w:val="000000"/>
              </w:rPr>
            </w:pPr>
            <w:r>
              <w:rPr>
                <w:color w:val="000000"/>
              </w:rPr>
              <w:t> </w:t>
            </w:r>
          </w:p>
        </w:tc>
        <w:tc>
          <w:tcPr>
            <w:tcW w:w="830" w:type="dxa"/>
            <w:tcBorders/>
            <w:shd w:fill="CCEEFF" w:val="clear"/>
            <w:tcMar>
              <w:bottom w:w="0" w:type="dxa"/>
            </w:tcMar>
            <w:vAlign w:val="bottom"/>
          </w:tcPr>
          <w:p>
            <w:pPr>
              <w:pStyle w:val="TableContents"/>
              <w:spacing w:before="0" w:after="0"/>
              <w:rPr>
                <w:color w:val="000000"/>
              </w:rPr>
            </w:pPr>
            <w:r>
              <w:rPr>
                <w:color w:val="000000"/>
              </w:rPr>
              <w:t> </w:t>
            </w:r>
          </w:p>
        </w:tc>
        <w:tc>
          <w:tcPr>
            <w:tcW w:w="60" w:type="dxa"/>
            <w:tcBorders/>
            <w:shd w:fill="CCEEFF" w:val="clear"/>
            <w:tcMar>
              <w:bottom w:w="0" w:type="dxa"/>
            </w:tcMar>
            <w:vAlign w:val="bottom"/>
          </w:tcPr>
          <w:p>
            <w:pPr>
              <w:pStyle w:val="TableContents"/>
              <w:spacing w:before="0" w:after="283"/>
              <w:jc w:val="right"/>
              <w:rPr/>
            </w:pPr>
            <w:r>
              <w:rPr/>
              <w:t> </w:t>
            </w:r>
          </w:p>
        </w:tc>
        <w:tc>
          <w:tcPr>
            <w:tcW w:w="316" w:type="dxa"/>
            <w:tcBorders/>
            <w:shd w:fill="CCEEFF" w:val="clear"/>
            <w:tcMar>
              <w:bottom w:w="0" w:type="dxa"/>
            </w:tcMar>
            <w:vAlign w:val="bottom"/>
          </w:tcPr>
          <w:p>
            <w:pPr>
              <w:pStyle w:val="TableContents"/>
              <w:spacing w:before="0" w:after="283"/>
              <w:jc w:val="left"/>
              <w:rPr/>
            </w:pPr>
            <w:r>
              <w:rPr/>
              <w:t> </w:t>
            </w:r>
          </w:p>
        </w:tc>
        <w:tc>
          <w:tcPr>
            <w:tcW w:w="739"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1205" w:type="dxa"/>
            <w:tcBorders/>
            <w:shd w:fill="CCEEFF" w:val="clear"/>
            <w:tcMar>
              <w:bottom w:w="0" w:type="dxa"/>
            </w:tcMar>
            <w:vAlign w:val="bottom"/>
          </w:tcPr>
          <w:p>
            <w:pPr>
              <w:pStyle w:val="TableContents"/>
              <w:spacing w:before="0" w:after="283"/>
              <w:rPr/>
            </w:pPr>
            <w:r>
              <w:rPr/>
              <w:t> </w:t>
            </w:r>
          </w:p>
        </w:tc>
        <w:tc>
          <w:tcPr>
            <w:tcW w:w="3000" w:type="dxa"/>
            <w:tcBorders/>
            <w:shd w:fill="CCEEFF" w:val="clear"/>
            <w:tcMar>
              <w:bottom w:w="0" w:type="dxa"/>
            </w:tcMar>
            <w:vAlign w:val="bottom"/>
          </w:tcPr>
          <w:p>
            <w:pPr>
              <w:pStyle w:val="TableContents"/>
              <w:spacing w:before="0" w:after="0"/>
              <w:jc w:val="center"/>
              <w:rPr>
                <w:color w:val="000000"/>
              </w:rPr>
            </w:pPr>
            <w:r>
              <w:rPr>
                <w:color w:val="000000"/>
              </w:rPr>
              <w:t> </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shd w:fill="CCEEFF" w:val="clear"/>
            <w:tcMar>
              <w:bottom w:w="0" w:type="dxa"/>
            </w:tcMar>
            <w:vAlign w:val="bottom"/>
          </w:tcPr>
          <w:p>
            <w:pPr>
              <w:pStyle w:val="TableContents"/>
              <w:spacing w:before="0" w:after="283"/>
              <w:jc w:val="left"/>
              <w:rPr/>
            </w:pPr>
            <w:r>
              <w:rPr/>
              <w:t> </w:t>
            </w:r>
          </w:p>
        </w:tc>
        <w:tc>
          <w:tcPr>
            <w:tcW w:w="788"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7" w:type="dxa"/>
            <w:tcBorders>
              <w:bottom w:val="single" w:sz="12" w:space="0" w:color="000000"/>
            </w:tcBorders>
            <w:shd w:fill="CCEEFF" w:val="clear"/>
            <w:vAlign w:val="bottom"/>
          </w:tcPr>
          <w:p>
            <w:pPr>
              <w:pStyle w:val="TableContents"/>
              <w:spacing w:before="0" w:after="283"/>
              <w:jc w:val="left"/>
              <w:rPr/>
            </w:pPr>
            <w:r>
              <w:rPr/>
              <w:t> </w:t>
            </w:r>
          </w:p>
        </w:tc>
        <w:tc>
          <w:tcPr>
            <w:tcW w:w="913" w:type="dxa"/>
            <w:tcBorders>
              <w:bottom w:val="single" w:sz="12" w:space="0" w:color="000000"/>
            </w:tcBorders>
            <w:shd w:fill="CCEEFF" w:val="cle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40" w:type="dxa"/>
            <w:tcBorders>
              <w:bottom w:val="single" w:sz="12" w:space="0" w:color="000000"/>
            </w:tcBorders>
            <w:shd w:fill="CCEEFF" w:val="clear"/>
            <w:vAlign w:val="bottom"/>
          </w:tcPr>
          <w:p>
            <w:pPr>
              <w:pStyle w:val="TableContents"/>
              <w:spacing w:before="0" w:after="283"/>
              <w:jc w:val="left"/>
              <w:rPr/>
            </w:pPr>
            <w:r>
              <w:rPr/>
              <w:t> </w:t>
            </w:r>
          </w:p>
        </w:tc>
        <w:tc>
          <w:tcPr>
            <w:tcW w:w="680" w:type="dxa"/>
            <w:tcBorders>
              <w:bottom w:val="single" w:sz="12" w:space="0" w:color="000000"/>
            </w:tcBorders>
            <w:shd w:fill="CCEEFF" w:val="cle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2" w:type="dxa"/>
            <w:tcBorders>
              <w:bottom w:val="single" w:sz="12" w:space="0" w:color="000000"/>
            </w:tcBorders>
            <w:shd w:fill="CCEEFF" w:val="clear"/>
            <w:vAlign w:val="bottom"/>
          </w:tcPr>
          <w:p>
            <w:pPr>
              <w:pStyle w:val="TableContents"/>
              <w:spacing w:before="0" w:after="283"/>
              <w:jc w:val="left"/>
              <w:rPr/>
            </w:pPr>
            <w:r>
              <w:rPr/>
              <w:t> </w:t>
            </w:r>
          </w:p>
        </w:tc>
        <w:tc>
          <w:tcPr>
            <w:tcW w:w="588" w:type="dxa"/>
            <w:tcBorders>
              <w:bottom w:val="single" w:sz="12" w:space="0" w:color="000000"/>
            </w:tcBorders>
            <w:shd w:fill="CCEEFF" w:val="clear"/>
            <w:vAlign w:val="bottom"/>
          </w:tcPr>
          <w:p>
            <w:pPr>
              <w:pStyle w:val="TableContents"/>
              <w:spacing w:before="0" w:after="283"/>
              <w:jc w:val="right"/>
              <w:rPr/>
            </w:pPr>
            <w:r>
              <w:rPr/>
              <w:t> </w:t>
            </w:r>
          </w:p>
        </w:tc>
        <w:tc>
          <w:tcPr>
            <w:tcW w:w="275" w:type="dxa"/>
            <w:tcBorders/>
            <w:shd w:fill="CCEEFF" w:val="clear"/>
            <w:tcMar>
              <w:bottom w:w="0" w:type="dxa"/>
            </w:tcMar>
            <w:vAlign w:val="bottom"/>
          </w:tcPr>
          <w:p>
            <w:pPr>
              <w:pStyle w:val="TableContents"/>
              <w:spacing w:before="0" w:after="283"/>
              <w:jc w:val="left"/>
              <w:rPr/>
            </w:pPr>
            <w:r>
              <w:rPr/>
              <w:t> </w:t>
            </w:r>
          </w:p>
        </w:tc>
      </w:tr>
      <w:tr>
        <w:trPr/>
        <w:tc>
          <w:tcPr>
            <w:tcW w:w="4550" w:type="dxa"/>
            <w:gridSpan w:val="4"/>
            <w:tcBorders/>
            <w:shd w:fill="auto" w:val="clear"/>
            <w:tcMar>
              <w:bottom w:w="0" w:type="dxa"/>
            </w:tcMar>
            <w:vAlign w:val="bottom"/>
          </w:tcPr>
          <w:p>
            <w:pPr>
              <w:pStyle w:val="TableContents"/>
              <w:spacing w:before="0" w:after="0"/>
              <w:ind w:left="180" w:right="0" w:hanging="0"/>
              <w:rPr>
                <w:b/>
              </w:rPr>
            </w:pPr>
            <w:r>
              <w:rPr>
                <w:b/>
              </w:rPr>
              <w:t>Total Portfolio Investments and Cash equivalents (98.74%):</w:t>
            </w:r>
          </w:p>
        </w:tc>
        <w:tc>
          <w:tcPr>
            <w:tcW w:w="830" w:type="dxa"/>
            <w:tcBorders/>
            <w:shd w:fill="auto" w:val="clear"/>
            <w:tcMar>
              <w:bottom w:w="0" w:type="dxa"/>
            </w:tcMar>
            <w:vAlign w:val="bottom"/>
          </w:tcPr>
          <w:p>
            <w:pPr>
              <w:pStyle w:val="TableContents"/>
              <w:spacing w:before="0" w:after="0"/>
              <w:rPr>
                <w:color w:val="000000"/>
              </w:rPr>
            </w:pPr>
            <w:r>
              <w:rPr>
                <w:color w:val="000000"/>
              </w:rPr>
              <w:t> </w:t>
            </w:r>
          </w:p>
        </w:tc>
        <w:tc>
          <w:tcPr>
            <w:tcW w:w="60" w:type="dxa"/>
            <w:tcBorders/>
            <w:shd w:fill="auto" w:val="clear"/>
            <w:tcMar>
              <w:bottom w:w="0" w:type="dxa"/>
            </w:tcMar>
            <w:vAlign w:val="bottom"/>
          </w:tcPr>
          <w:p>
            <w:pPr>
              <w:pStyle w:val="TableContents"/>
              <w:spacing w:before="0" w:after="283"/>
              <w:jc w:val="right"/>
              <w:rPr/>
            </w:pPr>
            <w:r>
              <w:rPr/>
              <w:t> </w:t>
            </w:r>
          </w:p>
        </w:tc>
        <w:tc>
          <w:tcPr>
            <w:tcW w:w="316" w:type="dxa"/>
            <w:tcBorders/>
            <w:shd w:fill="auto" w:val="clear"/>
            <w:tcMar>
              <w:bottom w:w="0" w:type="dxa"/>
            </w:tcMar>
            <w:vAlign w:val="bottom"/>
          </w:tcPr>
          <w:p>
            <w:pPr>
              <w:pStyle w:val="TableContents"/>
              <w:spacing w:before="0" w:after="283"/>
              <w:jc w:val="left"/>
              <w:rPr/>
            </w:pPr>
            <w:r>
              <w:rPr/>
              <w:t> </w:t>
            </w:r>
          </w:p>
        </w:tc>
        <w:tc>
          <w:tcPr>
            <w:tcW w:w="739"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283"/>
              <w:rPr/>
            </w:pPr>
            <w:r>
              <w:rPr/>
              <w:t> </w:t>
            </w:r>
          </w:p>
        </w:tc>
        <w:tc>
          <w:tcPr>
            <w:tcW w:w="3000" w:type="dxa"/>
            <w:tcBorders/>
            <w:shd w:fill="auto" w:val="clear"/>
            <w:tcMar>
              <w:bottom w:w="0" w:type="dxa"/>
            </w:tcMar>
            <w:vAlign w:val="bottom"/>
          </w:tcPr>
          <w:p>
            <w:pPr>
              <w:pStyle w:val="TableContents"/>
              <w:spacing w:before="0" w:after="0"/>
              <w:jc w:val="center"/>
              <w:rPr>
                <w:color w:val="000000"/>
              </w:rPr>
            </w:pPr>
            <w:r>
              <w:rPr>
                <w:color w:val="000000"/>
              </w:rPr>
              <w:t> </w:t>
            </w:r>
          </w:p>
        </w:tc>
        <w:tc>
          <w:tcPr>
            <w:tcW w:w="60" w:type="dxa"/>
            <w:tcBorders/>
            <w:shd w:fill="auto" w:val="clear"/>
            <w:tcMar>
              <w:bottom w:w="0" w:type="dxa"/>
            </w:tcMar>
            <w:vAlign w:val="bottom"/>
          </w:tcPr>
          <w:p>
            <w:pPr>
              <w:pStyle w:val="TableContents"/>
              <w:spacing w:before="0" w:after="283"/>
              <w:jc w:val="right"/>
              <w:rPr/>
            </w:pPr>
            <w:r>
              <w:rPr/>
              <w:t> </w:t>
            </w:r>
          </w:p>
        </w:tc>
        <w:tc>
          <w:tcPr>
            <w:tcW w:w="162" w:type="dxa"/>
            <w:tcBorders/>
            <w:shd w:fill="auto" w:val="clear"/>
            <w:tcMar>
              <w:bottom w:w="0" w:type="dxa"/>
            </w:tcMar>
            <w:vAlign w:val="bottom"/>
          </w:tcPr>
          <w:p>
            <w:pPr>
              <w:pStyle w:val="TableContents"/>
              <w:spacing w:before="0" w:after="283"/>
              <w:jc w:val="left"/>
              <w:rPr/>
            </w:pPr>
            <w:r>
              <w:rPr/>
              <w:t> </w:t>
            </w:r>
          </w:p>
        </w:tc>
        <w:tc>
          <w:tcPr>
            <w:tcW w:w="788"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87" w:type="dxa"/>
            <w:tcBorders>
              <w:bottom w:val="double" w:sz="8" w:space="0" w:color="000000"/>
            </w:tcBorders>
            <w:shd w:fill="auto" w:val="clear"/>
            <w:vAlign w:val="bottom"/>
          </w:tcPr>
          <w:p>
            <w:pPr>
              <w:pStyle w:val="TableContents"/>
              <w:spacing w:before="0" w:after="0"/>
              <w:jc w:val="left"/>
              <w:rPr>
                <w:b/>
                <w:color w:val="000000"/>
              </w:rPr>
            </w:pPr>
            <w:r>
              <w:rPr>
                <w:b/>
                <w:color w:val="000000"/>
              </w:rPr>
              <w:t>$</w:t>
            </w:r>
          </w:p>
        </w:tc>
        <w:tc>
          <w:tcPr>
            <w:tcW w:w="913" w:type="dxa"/>
            <w:tcBorders>
              <w:bottom w:val="double" w:sz="8" w:space="0" w:color="000000"/>
            </w:tcBorders>
            <w:shd w:fill="auto" w:val="clear"/>
            <w:vAlign w:val="bottom"/>
          </w:tcPr>
          <w:p>
            <w:pPr>
              <w:pStyle w:val="TableContents"/>
              <w:spacing w:before="0" w:after="0"/>
              <w:jc w:val="right"/>
              <w:rPr>
                <w:b/>
                <w:color w:val="000000"/>
              </w:rPr>
            </w:pPr>
            <w:r>
              <w:rPr>
                <w:b/>
                <w:color w:val="000000"/>
              </w:rPr>
              <w:t>85,653</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40" w:type="dxa"/>
            <w:tcBorders>
              <w:bottom w:val="double" w:sz="8" w:space="0" w:color="000000"/>
            </w:tcBorders>
            <w:shd w:fill="auto" w:val="clear"/>
            <w:vAlign w:val="bottom"/>
          </w:tcPr>
          <w:p>
            <w:pPr>
              <w:pStyle w:val="TableContents"/>
              <w:spacing w:before="0" w:after="0"/>
              <w:jc w:val="left"/>
              <w:rPr>
                <w:b/>
                <w:color w:val="000000"/>
              </w:rPr>
            </w:pPr>
            <w:r>
              <w:rPr>
                <w:b/>
                <w:color w:val="000000"/>
              </w:rPr>
              <w:t>$</w:t>
            </w:r>
          </w:p>
        </w:tc>
        <w:tc>
          <w:tcPr>
            <w:tcW w:w="680" w:type="dxa"/>
            <w:tcBorders>
              <w:bottom w:val="double" w:sz="8" w:space="0" w:color="000000"/>
            </w:tcBorders>
            <w:shd w:fill="auto" w:val="clear"/>
            <w:vAlign w:val="bottom"/>
          </w:tcPr>
          <w:p>
            <w:pPr>
              <w:pStyle w:val="TableContents"/>
              <w:spacing w:before="0" w:after="0"/>
              <w:jc w:val="right"/>
              <w:rPr>
                <w:b/>
                <w:color w:val="000000"/>
              </w:rPr>
            </w:pPr>
            <w:r>
              <w:rPr>
                <w:b/>
                <w:color w:val="000000"/>
              </w:rPr>
              <w:t>85,380</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62" w:type="dxa"/>
            <w:tcBorders>
              <w:bottom w:val="double" w:sz="8" w:space="0" w:color="000000"/>
            </w:tcBorders>
            <w:shd w:fill="auto" w:val="clear"/>
            <w:vAlign w:val="bottom"/>
          </w:tcPr>
          <w:p>
            <w:pPr>
              <w:pStyle w:val="TableContents"/>
              <w:spacing w:before="0" w:after="283"/>
              <w:jc w:val="left"/>
              <w:rPr/>
            </w:pPr>
            <w:r>
              <w:rPr/>
              <w:t> </w:t>
            </w:r>
          </w:p>
        </w:tc>
        <w:tc>
          <w:tcPr>
            <w:tcW w:w="588" w:type="dxa"/>
            <w:tcBorders>
              <w:bottom w:val="double" w:sz="8" w:space="0" w:color="000000"/>
            </w:tcBorders>
            <w:shd w:fill="auto" w:val="clear"/>
            <w:vAlign w:val="bottom"/>
          </w:tcPr>
          <w:p>
            <w:pPr>
              <w:pStyle w:val="TableContents"/>
              <w:spacing w:before="0" w:after="0"/>
              <w:jc w:val="right"/>
              <w:rPr>
                <w:b/>
                <w:color w:val="000000"/>
              </w:rPr>
            </w:pPr>
            <w:r>
              <w:rPr>
                <w:b/>
                <w:color w:val="000000"/>
              </w:rPr>
              <w:t>98.74</w:t>
            </w:r>
          </w:p>
        </w:tc>
        <w:tc>
          <w:tcPr>
            <w:tcW w:w="275" w:type="dxa"/>
            <w:tcBorders/>
            <w:shd w:fill="auto" w:val="clear"/>
            <w:tcMar>
              <w:bottom w:w="0" w:type="dxa"/>
            </w:tcMar>
            <w:vAlign w:val="bottom"/>
          </w:tcPr>
          <w:p>
            <w:pPr>
              <w:pStyle w:val="TableContents"/>
              <w:spacing w:before="0" w:after="0"/>
              <w:jc w:val="left"/>
              <w:rPr>
                <w:b/>
                <w:color w:val="000000"/>
              </w:rPr>
            </w:pPr>
            <w:r>
              <w:rPr>
                <w:b/>
                <w:color w:val="000000"/>
              </w:rPr>
              <w:t>%</w:t>
            </w:r>
          </w:p>
        </w:tc>
      </w:tr>
    </w:tbl>
    <w:p>
      <w:pPr>
        <w:pStyle w:val="TextBody"/>
        <w:spacing w:before="0" w:after="0"/>
        <w:rPr>
          <w:rFonts w:ascii="Times New Roman" w:hAnsi="Times New Roman"/>
          <w:sz w:val="20"/>
        </w:rPr>
      </w:pPr>
      <w:r>
        <w:rPr>
          <w:rFonts w:ascii="Times New Roman" w:hAnsi="Times New Roman"/>
          <w:sz w:val="20"/>
        </w:rPr>
      </w:r>
    </w:p>
    <w:tbl>
      <w:tblPr>
        <w:tblW w:w="5643" w:type="dxa"/>
        <w:jc w:val="left"/>
        <w:tblInd w:w="0" w:type="dxa"/>
        <w:tblCellMar>
          <w:top w:w="0" w:type="dxa"/>
          <w:left w:w="0" w:type="dxa"/>
          <w:bottom w:w="0" w:type="dxa"/>
          <w:right w:w="0" w:type="dxa"/>
        </w:tblCellMar>
      </w:tblPr>
      <w:tblGrid>
        <w:gridCol w:w="38"/>
        <w:gridCol w:w="290"/>
        <w:gridCol w:w="5315"/>
      </w:tblGrid>
      <w:tr>
        <w:trPr/>
        <w:tc>
          <w:tcPr>
            <w:tcW w:w="38" w:type="dxa"/>
            <w:tcBorders/>
            <w:shd w:fill="auto" w:val="clear"/>
            <w:vAlign w:val="center"/>
          </w:tcPr>
          <w:p>
            <w:pPr>
              <w:pStyle w:val="TableContents"/>
              <w:spacing w:before="0" w:after="283"/>
              <w:rPr/>
            </w:pPr>
            <w:r>
              <w:rPr/>
            </w:r>
          </w:p>
        </w:tc>
        <w:tc>
          <w:tcPr>
            <w:tcW w:w="290" w:type="dxa"/>
            <w:tcBorders/>
            <w:shd w:fill="auto" w:val="clear"/>
            <w:vAlign w:val="center"/>
          </w:tcPr>
          <w:p>
            <w:pPr>
              <w:pStyle w:val="TableContents"/>
              <w:spacing w:before="0" w:after="283"/>
              <w:rPr/>
            </w:pPr>
            <w:r>
              <w:rPr/>
              <w:t>(1)</w:t>
            </w:r>
          </w:p>
        </w:tc>
        <w:tc>
          <w:tcPr>
            <w:tcW w:w="5315" w:type="dxa"/>
            <w:tcBorders/>
            <w:shd w:fill="auto" w:val="clear"/>
            <w:vAlign w:val="center"/>
          </w:tcPr>
          <w:p>
            <w:pPr>
              <w:pStyle w:val="TableContents"/>
              <w:spacing w:before="0" w:after="0"/>
              <w:rPr/>
            </w:pPr>
            <w:r>
              <w:rPr/>
              <w:t>All portfolio companies are located in the United States.</w:t>
            </w:r>
          </w:p>
        </w:tc>
      </w:tr>
    </w:tbl>
    <w:tbl>
      <w:tblPr>
        <w:tblW w:w="7128" w:type="dxa"/>
        <w:jc w:val="left"/>
        <w:tblInd w:w="0" w:type="dxa"/>
        <w:tblCellMar>
          <w:top w:w="0" w:type="dxa"/>
          <w:left w:w="0" w:type="dxa"/>
          <w:bottom w:w="0" w:type="dxa"/>
          <w:right w:w="0" w:type="dxa"/>
        </w:tblCellMar>
      </w:tblPr>
      <w:tblGrid>
        <w:gridCol w:w="38"/>
        <w:gridCol w:w="290"/>
        <w:gridCol w:w="6800"/>
      </w:tblGrid>
      <w:tr>
        <w:trPr/>
        <w:tc>
          <w:tcPr>
            <w:tcW w:w="38" w:type="dxa"/>
            <w:tcBorders/>
            <w:shd w:fill="auto" w:val="clear"/>
            <w:vAlign w:val="center"/>
          </w:tcPr>
          <w:p>
            <w:pPr>
              <w:pStyle w:val="TableContents"/>
              <w:spacing w:before="0" w:after="283"/>
              <w:rPr/>
            </w:pPr>
            <w:r>
              <w:rPr/>
            </w:r>
          </w:p>
        </w:tc>
        <w:tc>
          <w:tcPr>
            <w:tcW w:w="290" w:type="dxa"/>
            <w:tcBorders/>
            <w:shd w:fill="auto" w:val="clear"/>
            <w:vAlign w:val="center"/>
          </w:tcPr>
          <w:p>
            <w:pPr>
              <w:pStyle w:val="TableContents"/>
              <w:spacing w:before="0" w:after="283"/>
              <w:rPr/>
            </w:pPr>
            <w:r>
              <w:rPr/>
              <w:t>(2)</w:t>
            </w:r>
          </w:p>
        </w:tc>
        <w:tc>
          <w:tcPr>
            <w:tcW w:w="6800" w:type="dxa"/>
            <w:tcBorders/>
            <w:shd w:fill="auto" w:val="clear"/>
            <w:vAlign w:val="center"/>
          </w:tcPr>
          <w:p>
            <w:pPr>
              <w:pStyle w:val="TableContents"/>
              <w:spacing w:before="0" w:after="0"/>
              <w:rPr/>
            </w:pPr>
            <w:r>
              <w:rPr/>
              <w:t>No debt investment is non-income producing as of December 31, 2022.</w:t>
            </w:r>
          </w:p>
        </w:tc>
      </w:tr>
    </w:tbl>
    <w:tbl>
      <w:tblPr>
        <w:tblW w:w="9243" w:type="dxa"/>
        <w:jc w:val="left"/>
        <w:tblInd w:w="0" w:type="dxa"/>
        <w:tblCellMar>
          <w:top w:w="0" w:type="dxa"/>
          <w:left w:w="0" w:type="dxa"/>
          <w:bottom w:w="0" w:type="dxa"/>
          <w:right w:w="0" w:type="dxa"/>
        </w:tblCellMar>
      </w:tblPr>
      <w:tblGrid>
        <w:gridCol w:w="38"/>
        <w:gridCol w:w="290"/>
        <w:gridCol w:w="8915"/>
      </w:tblGrid>
      <w:tr>
        <w:trPr/>
        <w:tc>
          <w:tcPr>
            <w:tcW w:w="38" w:type="dxa"/>
            <w:tcBorders/>
            <w:shd w:fill="auto" w:val="clear"/>
            <w:vAlign w:val="center"/>
          </w:tcPr>
          <w:p>
            <w:pPr>
              <w:pStyle w:val="TableContents"/>
              <w:spacing w:before="0" w:after="283"/>
              <w:rPr/>
            </w:pPr>
            <w:r>
              <w:rPr/>
            </w:r>
          </w:p>
        </w:tc>
        <w:tc>
          <w:tcPr>
            <w:tcW w:w="290" w:type="dxa"/>
            <w:tcBorders/>
            <w:shd w:fill="auto" w:val="clear"/>
            <w:vAlign w:val="center"/>
          </w:tcPr>
          <w:p>
            <w:pPr>
              <w:pStyle w:val="TableContents"/>
              <w:spacing w:before="0" w:after="283"/>
              <w:rPr/>
            </w:pPr>
            <w:r>
              <w:rPr/>
              <w:t>(3)</w:t>
            </w:r>
          </w:p>
        </w:tc>
        <w:tc>
          <w:tcPr>
            <w:tcW w:w="8915" w:type="dxa"/>
            <w:tcBorders/>
            <w:shd w:fill="auto" w:val="clear"/>
            <w:vAlign w:val="center"/>
          </w:tcPr>
          <w:p>
            <w:pPr>
              <w:pStyle w:val="TableContents"/>
              <w:spacing w:before="0" w:after="0"/>
              <w:rPr/>
            </w:pPr>
            <w:r>
              <w:rPr/>
              <w:t>Investment date represents the date of initial investment, at which date interest began accruing.</w:t>
            </w:r>
          </w:p>
        </w:tc>
      </w:tr>
    </w:tbl>
    <w:tbl>
      <w:tblPr>
        <w:tblW w:w="6318" w:type="dxa"/>
        <w:jc w:val="left"/>
        <w:tblInd w:w="0" w:type="dxa"/>
        <w:tblCellMar>
          <w:top w:w="0" w:type="dxa"/>
          <w:left w:w="0" w:type="dxa"/>
          <w:bottom w:w="0" w:type="dxa"/>
          <w:right w:w="0" w:type="dxa"/>
        </w:tblCellMar>
      </w:tblPr>
      <w:tblGrid>
        <w:gridCol w:w="38"/>
        <w:gridCol w:w="290"/>
        <w:gridCol w:w="5990"/>
      </w:tblGrid>
      <w:tr>
        <w:trPr/>
        <w:tc>
          <w:tcPr>
            <w:tcW w:w="38" w:type="dxa"/>
            <w:tcBorders/>
            <w:shd w:fill="auto" w:val="clear"/>
            <w:vAlign w:val="center"/>
          </w:tcPr>
          <w:p>
            <w:pPr>
              <w:pStyle w:val="TableContents"/>
              <w:spacing w:before="0" w:after="283"/>
              <w:rPr/>
            </w:pPr>
            <w:r>
              <w:rPr/>
            </w:r>
          </w:p>
        </w:tc>
        <w:tc>
          <w:tcPr>
            <w:tcW w:w="290" w:type="dxa"/>
            <w:tcBorders/>
            <w:shd w:fill="auto" w:val="clear"/>
            <w:vAlign w:val="center"/>
          </w:tcPr>
          <w:p>
            <w:pPr>
              <w:pStyle w:val="TableContents"/>
              <w:spacing w:before="0" w:after="283"/>
              <w:rPr/>
            </w:pPr>
            <w:r>
              <w:rPr/>
              <w:t>(4)</w:t>
            </w:r>
          </w:p>
        </w:tc>
        <w:tc>
          <w:tcPr>
            <w:tcW w:w="5990" w:type="dxa"/>
            <w:tcBorders/>
            <w:shd w:fill="auto" w:val="clear"/>
            <w:vAlign w:val="center"/>
          </w:tcPr>
          <w:p>
            <w:pPr>
              <w:pStyle w:val="TableContents"/>
              <w:spacing w:before="0" w:after="0"/>
              <w:rPr/>
            </w:pPr>
            <w:r>
              <w:rPr/>
              <w:t>Interest rate is the fixed or variable rate of the debt investments.</w:t>
            </w:r>
          </w:p>
        </w:tc>
      </w:tr>
    </w:tbl>
    <w:tbl>
      <w:tblPr>
        <w:tblW w:w="10539" w:type="dxa"/>
        <w:jc w:val="left"/>
        <w:tblInd w:w="0" w:type="dxa"/>
        <w:tblCellMar>
          <w:top w:w="0" w:type="dxa"/>
          <w:left w:w="0" w:type="dxa"/>
          <w:bottom w:w="0" w:type="dxa"/>
          <w:right w:w="0" w:type="dxa"/>
        </w:tblCellMar>
      </w:tblPr>
      <w:tblGrid>
        <w:gridCol w:w="38"/>
        <w:gridCol w:w="266"/>
        <w:gridCol w:w="10235"/>
      </w:tblGrid>
      <w:tr>
        <w:trPr/>
        <w:tc>
          <w:tcPr>
            <w:tcW w:w="38" w:type="dxa"/>
            <w:tcBorders/>
            <w:shd w:fill="auto" w:val="clear"/>
            <w:vAlign w:val="center"/>
          </w:tcPr>
          <w:p>
            <w:pPr>
              <w:pStyle w:val="TableContents"/>
              <w:spacing w:before="0" w:after="283"/>
              <w:rPr/>
            </w:pPr>
            <w:r>
              <w:rPr/>
            </w:r>
          </w:p>
        </w:tc>
        <w:tc>
          <w:tcPr>
            <w:tcW w:w="266" w:type="dxa"/>
            <w:tcBorders/>
            <w:shd w:fill="auto" w:val="clear"/>
            <w:vAlign w:val="center"/>
          </w:tcPr>
          <w:p>
            <w:pPr>
              <w:pStyle w:val="TableContents"/>
              <w:spacing w:before="0" w:after="283"/>
              <w:rPr/>
            </w:pPr>
            <w:r>
              <w:rPr/>
              <w:t>(5)</w:t>
            </w:r>
          </w:p>
        </w:tc>
        <w:tc>
          <w:tcPr>
            <w:tcW w:w="10235" w:type="dxa"/>
            <w:tcBorders/>
            <w:shd w:fill="auto" w:val="clear"/>
            <w:vAlign w:val="center"/>
          </w:tcPr>
          <w:p>
            <w:pPr>
              <w:pStyle w:val="TableContents"/>
              <w:spacing w:before="0" w:after="0"/>
              <w:rPr/>
            </w:pPr>
            <w:r>
              <w:rPr/>
              <w:t>See Note 2 – Significant Accounting Policies and Note 4 — Fair Value of Financial Instruments in the accompanying notes to the financial statements.</w:t>
            </w:r>
          </w:p>
        </w:tc>
      </w:tr>
    </w:tbl>
    <w:tbl>
      <w:tblPr>
        <w:tblW w:w="9498" w:type="dxa"/>
        <w:jc w:val="left"/>
        <w:tblInd w:w="0" w:type="dxa"/>
        <w:tblCellMar>
          <w:top w:w="0" w:type="dxa"/>
          <w:left w:w="0" w:type="dxa"/>
          <w:bottom w:w="0" w:type="dxa"/>
          <w:right w:w="0" w:type="dxa"/>
        </w:tblCellMar>
      </w:tblPr>
      <w:tblGrid>
        <w:gridCol w:w="38"/>
        <w:gridCol w:w="290"/>
        <w:gridCol w:w="9170"/>
      </w:tblGrid>
      <w:tr>
        <w:trPr/>
        <w:tc>
          <w:tcPr>
            <w:tcW w:w="38" w:type="dxa"/>
            <w:tcBorders/>
            <w:shd w:fill="auto" w:val="clear"/>
            <w:vAlign w:val="center"/>
          </w:tcPr>
          <w:p>
            <w:pPr>
              <w:pStyle w:val="TableContents"/>
              <w:spacing w:before="0" w:after="283"/>
              <w:rPr/>
            </w:pPr>
            <w:r>
              <w:rPr/>
            </w:r>
          </w:p>
        </w:tc>
        <w:tc>
          <w:tcPr>
            <w:tcW w:w="290" w:type="dxa"/>
            <w:tcBorders/>
            <w:shd w:fill="auto" w:val="clear"/>
            <w:vAlign w:val="center"/>
          </w:tcPr>
          <w:p>
            <w:pPr>
              <w:pStyle w:val="TableContents"/>
              <w:spacing w:before="0" w:after="283"/>
              <w:rPr/>
            </w:pPr>
            <w:r>
              <w:rPr/>
              <w:t>(6)</w:t>
            </w:r>
          </w:p>
        </w:tc>
        <w:tc>
          <w:tcPr>
            <w:tcW w:w="9170" w:type="dxa"/>
            <w:tcBorders/>
            <w:shd w:fill="auto" w:val="clear"/>
            <w:vAlign w:val="center"/>
          </w:tcPr>
          <w:p>
            <w:pPr>
              <w:pStyle w:val="TableContents"/>
              <w:spacing w:before="0" w:after="0"/>
              <w:rPr/>
            </w:pPr>
            <w:r>
              <w:rPr/>
              <w:t>Geographic regions are determined by the respective portfolio company’s headquarters’ location.</w:t>
            </w:r>
          </w:p>
        </w:tc>
      </w:tr>
    </w:tbl>
    <w:tbl>
      <w:tblPr>
        <w:tblW w:w="10539" w:type="dxa"/>
        <w:jc w:val="left"/>
        <w:tblInd w:w="0" w:type="dxa"/>
        <w:tblCellMar>
          <w:top w:w="0" w:type="dxa"/>
          <w:left w:w="0" w:type="dxa"/>
          <w:bottom w:w="0" w:type="dxa"/>
          <w:right w:w="0" w:type="dxa"/>
        </w:tblCellMar>
      </w:tblPr>
      <w:tblGrid>
        <w:gridCol w:w="38"/>
        <w:gridCol w:w="233"/>
        <w:gridCol w:w="10268"/>
      </w:tblGrid>
      <w:tr>
        <w:trPr/>
        <w:tc>
          <w:tcPr>
            <w:tcW w:w="38" w:type="dxa"/>
            <w:tcBorders/>
            <w:shd w:fill="auto" w:val="clear"/>
            <w:vAlign w:val="center"/>
          </w:tcPr>
          <w:p>
            <w:pPr>
              <w:pStyle w:val="TableContents"/>
              <w:spacing w:before="0" w:after="283"/>
              <w:rPr/>
            </w:pPr>
            <w:r>
              <w:rPr/>
            </w:r>
          </w:p>
        </w:tc>
        <w:tc>
          <w:tcPr>
            <w:tcW w:w="233" w:type="dxa"/>
            <w:tcBorders/>
            <w:shd w:fill="auto" w:val="clear"/>
            <w:vAlign w:val="center"/>
          </w:tcPr>
          <w:p>
            <w:pPr>
              <w:pStyle w:val="TableContents"/>
              <w:spacing w:before="0" w:after="283"/>
              <w:rPr/>
            </w:pPr>
            <w:r>
              <w:rPr/>
              <w:t>(7)</w:t>
            </w:r>
          </w:p>
        </w:tc>
        <w:tc>
          <w:tcPr>
            <w:tcW w:w="10268" w:type="dxa"/>
            <w:tcBorders/>
            <w:shd w:fill="auto" w:val="clear"/>
            <w:vAlign w:val="center"/>
          </w:tcPr>
          <w:p>
            <w:pPr>
              <w:pStyle w:val="TableContents"/>
              <w:spacing w:before="0" w:after="0"/>
              <w:rPr/>
            </w:pPr>
            <w:r>
              <w:rPr/>
              <w:t>Under the Investment Company Act of 1940, as amended (the “1940 Act”), a business development company (“BDC”) may not acquire any “non-qualifying asset” (i.e., an asset other than assets of the type listed in Section 55(a) of the 1940 Act, which are referred to as “qualifying assets”), unless, at the time the acquisition is made, qualifying assets represent at least 70% of the BDC’s total assets.</w:t>
            </w:r>
          </w:p>
        </w:tc>
      </w:tr>
    </w:tbl>
    <w:tbl>
      <w:tblPr>
        <w:tblW w:w="8553" w:type="dxa"/>
        <w:jc w:val="left"/>
        <w:tblInd w:w="0" w:type="dxa"/>
        <w:tblCellMar>
          <w:top w:w="0" w:type="dxa"/>
          <w:left w:w="0" w:type="dxa"/>
          <w:bottom w:w="0" w:type="dxa"/>
          <w:right w:w="0" w:type="dxa"/>
        </w:tblCellMar>
      </w:tblPr>
      <w:tblGrid>
        <w:gridCol w:w="38"/>
        <w:gridCol w:w="290"/>
        <w:gridCol w:w="8225"/>
      </w:tblGrid>
      <w:tr>
        <w:trPr/>
        <w:tc>
          <w:tcPr>
            <w:tcW w:w="38" w:type="dxa"/>
            <w:tcBorders/>
            <w:shd w:fill="auto" w:val="clear"/>
            <w:vAlign w:val="center"/>
          </w:tcPr>
          <w:p>
            <w:pPr>
              <w:pStyle w:val="TableContents"/>
              <w:spacing w:before="0" w:after="283"/>
              <w:rPr/>
            </w:pPr>
            <w:r>
              <w:rPr/>
            </w:r>
          </w:p>
        </w:tc>
        <w:tc>
          <w:tcPr>
            <w:tcW w:w="290" w:type="dxa"/>
            <w:tcBorders/>
            <w:shd w:fill="auto" w:val="clear"/>
            <w:vAlign w:val="center"/>
          </w:tcPr>
          <w:p>
            <w:pPr>
              <w:pStyle w:val="TableContents"/>
              <w:spacing w:before="0" w:after="283"/>
              <w:rPr/>
            </w:pPr>
            <w:r>
              <w:rPr/>
              <w:t>(8)</w:t>
            </w:r>
          </w:p>
        </w:tc>
        <w:tc>
          <w:tcPr>
            <w:tcW w:w="8225" w:type="dxa"/>
            <w:tcBorders/>
            <w:shd w:fill="auto" w:val="clear"/>
            <w:vAlign w:val="center"/>
          </w:tcPr>
          <w:p>
            <w:pPr>
              <w:pStyle w:val="TableContents"/>
              <w:spacing w:before="0" w:after="0"/>
              <w:rPr/>
            </w:pPr>
            <w:r>
              <w:rPr/>
              <w:t>Principal is net of repayments, if any, as per the terms of the debt instrument’s contract.</w:t>
            </w:r>
          </w:p>
        </w:tc>
      </w:tr>
    </w:tbl>
    <w:tbl>
      <w:tblPr>
        <w:tblW w:w="10539" w:type="dxa"/>
        <w:jc w:val="left"/>
        <w:tblInd w:w="0" w:type="dxa"/>
        <w:tblCellMar>
          <w:top w:w="0" w:type="dxa"/>
          <w:left w:w="0" w:type="dxa"/>
          <w:bottom w:w="0" w:type="dxa"/>
          <w:right w:w="0" w:type="dxa"/>
        </w:tblCellMar>
      </w:tblPr>
      <w:tblGrid>
        <w:gridCol w:w="38"/>
        <w:gridCol w:w="267"/>
        <w:gridCol w:w="10234"/>
      </w:tblGrid>
      <w:tr>
        <w:trPr/>
        <w:tc>
          <w:tcPr>
            <w:tcW w:w="38" w:type="dxa"/>
            <w:tcBorders/>
            <w:shd w:fill="auto" w:val="clear"/>
            <w:vAlign w:val="center"/>
          </w:tcPr>
          <w:p>
            <w:pPr>
              <w:pStyle w:val="TableContents"/>
              <w:spacing w:before="0" w:after="283"/>
              <w:rPr/>
            </w:pPr>
            <w:r>
              <w:rPr/>
            </w:r>
          </w:p>
        </w:tc>
        <w:tc>
          <w:tcPr>
            <w:tcW w:w="267" w:type="dxa"/>
            <w:tcBorders/>
            <w:shd w:fill="auto" w:val="clear"/>
            <w:vAlign w:val="center"/>
          </w:tcPr>
          <w:p>
            <w:pPr>
              <w:pStyle w:val="TableContents"/>
              <w:spacing w:before="0" w:after="283"/>
              <w:rPr/>
            </w:pPr>
            <w:r>
              <w:rPr/>
              <w:t>(9)</w:t>
            </w:r>
          </w:p>
        </w:tc>
        <w:tc>
          <w:tcPr>
            <w:tcW w:w="10234" w:type="dxa"/>
            <w:tcBorders/>
            <w:shd w:fill="auto" w:val="clear"/>
            <w:vAlign w:val="center"/>
          </w:tcPr>
          <w:p>
            <w:pPr>
              <w:pStyle w:val="TableContents"/>
              <w:spacing w:before="0" w:after="0"/>
              <w:rPr/>
            </w:pPr>
            <w:r>
              <w:rPr/>
              <w:t>All investments were valued at fair value. See Note 4 — Fair Value of Financial Instruments in the accompanying notes to the financial statements.</w:t>
            </w:r>
          </w:p>
        </w:tc>
      </w:tr>
    </w:tbl>
    <w:tbl>
      <w:tblPr>
        <w:tblW w:w="10539" w:type="dxa"/>
        <w:jc w:val="left"/>
        <w:tblInd w:w="0" w:type="dxa"/>
        <w:tblCellMar>
          <w:top w:w="0" w:type="dxa"/>
          <w:left w:w="0" w:type="dxa"/>
          <w:bottom w:w="0" w:type="dxa"/>
          <w:right w:w="0" w:type="dxa"/>
        </w:tblCellMar>
      </w:tblPr>
      <w:tblGrid>
        <w:gridCol w:w="38"/>
        <w:gridCol w:w="385"/>
        <w:gridCol w:w="10116"/>
      </w:tblGrid>
      <w:tr>
        <w:trPr/>
        <w:tc>
          <w:tcPr>
            <w:tcW w:w="38" w:type="dxa"/>
            <w:tcBorders/>
            <w:shd w:fill="auto" w:val="clear"/>
            <w:vAlign w:val="center"/>
          </w:tcPr>
          <w:p>
            <w:pPr>
              <w:pStyle w:val="TableContents"/>
              <w:spacing w:before="0" w:after="283"/>
              <w:rPr/>
            </w:pPr>
            <w:r>
              <w:rPr/>
            </w:r>
          </w:p>
        </w:tc>
        <w:tc>
          <w:tcPr>
            <w:tcW w:w="385" w:type="dxa"/>
            <w:tcBorders/>
            <w:shd w:fill="auto" w:val="clear"/>
            <w:vAlign w:val="center"/>
          </w:tcPr>
          <w:p>
            <w:pPr>
              <w:pStyle w:val="TableContents"/>
              <w:spacing w:before="0" w:after="283"/>
              <w:rPr/>
            </w:pPr>
            <w:r>
              <w:rPr/>
              <w:t>(10)</w:t>
            </w:r>
          </w:p>
        </w:tc>
        <w:tc>
          <w:tcPr>
            <w:tcW w:w="10116" w:type="dxa"/>
            <w:tcBorders/>
            <w:shd w:fill="auto" w:val="clear"/>
            <w:vAlign w:val="center"/>
          </w:tcPr>
          <w:p>
            <w:pPr>
              <w:pStyle w:val="TableContents"/>
              <w:spacing w:before="0" w:after="0"/>
              <w:rPr/>
            </w:pPr>
            <w:r>
              <w:rPr/>
              <w:t>The Company uses the North American Industry Classification System (“NAICS”) code for classifying the industry grouping of its portfolio companies.</w:t>
            </w:r>
          </w:p>
        </w:tc>
      </w:tr>
    </w:tbl>
    <w:tbl>
      <w:tblPr>
        <w:tblW w:w="4683" w:type="dxa"/>
        <w:jc w:val="left"/>
        <w:tblInd w:w="0" w:type="dxa"/>
        <w:tblCellMar>
          <w:top w:w="0" w:type="dxa"/>
          <w:left w:w="0" w:type="dxa"/>
          <w:bottom w:w="0" w:type="dxa"/>
          <w:right w:w="0" w:type="dxa"/>
        </w:tblCellMar>
      </w:tblPr>
      <w:tblGrid>
        <w:gridCol w:w="38"/>
        <w:gridCol w:w="410"/>
        <w:gridCol w:w="4235"/>
      </w:tblGrid>
      <w:tr>
        <w:trPr/>
        <w:tc>
          <w:tcPr>
            <w:tcW w:w="38" w:type="dxa"/>
            <w:tcBorders/>
            <w:shd w:fill="auto" w:val="clear"/>
            <w:vAlign w:val="center"/>
          </w:tcPr>
          <w:p>
            <w:pPr>
              <w:pStyle w:val="TableContents"/>
              <w:spacing w:before="0" w:after="283"/>
              <w:rPr/>
            </w:pPr>
            <w:r>
              <w:rPr/>
            </w:r>
          </w:p>
        </w:tc>
        <w:tc>
          <w:tcPr>
            <w:tcW w:w="410" w:type="dxa"/>
            <w:tcBorders/>
            <w:shd w:fill="auto" w:val="clear"/>
            <w:vAlign w:val="center"/>
          </w:tcPr>
          <w:p>
            <w:pPr>
              <w:pStyle w:val="TableContents"/>
              <w:spacing w:before="0" w:after="283"/>
              <w:rPr/>
            </w:pPr>
            <w:r>
              <w:rPr/>
              <w:t>(11)</w:t>
            </w:r>
          </w:p>
        </w:tc>
        <w:tc>
          <w:tcPr>
            <w:tcW w:w="4235" w:type="dxa"/>
            <w:tcBorders/>
            <w:shd w:fill="auto" w:val="clear"/>
            <w:vAlign w:val="center"/>
          </w:tcPr>
          <w:p>
            <w:pPr>
              <w:pStyle w:val="TableContents"/>
              <w:spacing w:before="0" w:after="0"/>
              <w:rPr/>
            </w:pPr>
            <w:r>
              <w:rPr/>
              <w:t>As of December 31, 2022 PRIME is 7.50%.</w:t>
            </w:r>
          </w:p>
        </w:tc>
      </w:tr>
    </w:tbl>
    <w:tbl>
      <w:tblPr>
        <w:tblW w:w="6873" w:type="dxa"/>
        <w:jc w:val="left"/>
        <w:tblInd w:w="0" w:type="dxa"/>
        <w:tblCellMar>
          <w:top w:w="0" w:type="dxa"/>
          <w:left w:w="0" w:type="dxa"/>
          <w:bottom w:w="0" w:type="dxa"/>
          <w:right w:w="0" w:type="dxa"/>
        </w:tblCellMar>
      </w:tblPr>
      <w:tblGrid>
        <w:gridCol w:w="38"/>
        <w:gridCol w:w="410"/>
        <w:gridCol w:w="6425"/>
      </w:tblGrid>
      <w:tr>
        <w:trPr/>
        <w:tc>
          <w:tcPr>
            <w:tcW w:w="38" w:type="dxa"/>
            <w:tcBorders/>
            <w:shd w:fill="auto" w:val="clear"/>
            <w:vAlign w:val="center"/>
          </w:tcPr>
          <w:p>
            <w:pPr>
              <w:pStyle w:val="TableContents"/>
              <w:spacing w:before="0" w:after="283"/>
              <w:rPr/>
            </w:pPr>
            <w:r>
              <w:rPr/>
            </w:r>
          </w:p>
        </w:tc>
        <w:tc>
          <w:tcPr>
            <w:tcW w:w="410" w:type="dxa"/>
            <w:tcBorders/>
            <w:shd w:fill="auto" w:val="clear"/>
            <w:vAlign w:val="center"/>
          </w:tcPr>
          <w:p>
            <w:pPr>
              <w:pStyle w:val="TableContents"/>
              <w:spacing w:before="0" w:after="283"/>
              <w:rPr/>
            </w:pPr>
            <w:r>
              <w:rPr/>
              <w:t>(12)</w:t>
            </w:r>
          </w:p>
        </w:tc>
        <w:tc>
          <w:tcPr>
            <w:tcW w:w="6425" w:type="dxa"/>
            <w:tcBorders/>
            <w:shd w:fill="auto" w:val="clear"/>
            <w:vAlign w:val="center"/>
          </w:tcPr>
          <w:p>
            <w:pPr>
              <w:pStyle w:val="TableContents"/>
              <w:spacing w:before="0" w:after="0"/>
              <w:rPr/>
            </w:pPr>
            <w:r>
              <w:rPr/>
              <w:t>The annualized seven-day yield as of December 31, 2022 is 4.12%.</w:t>
            </w:r>
          </w:p>
        </w:tc>
      </w:tr>
    </w:tbl>
    <w:p>
      <w:pPr>
        <w:pStyle w:val="TextBody"/>
        <w:spacing w:before="0" w:after="0"/>
        <w:jc w:val="center"/>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color w:val="000000"/>
          <w:sz w:val="20"/>
        </w:rPr>
      </w:pPr>
      <w:r>
        <w:rPr>
          <w:rFonts w:ascii="Times New Roman" w:hAnsi="Times New Roman"/>
          <w:color w:val="000000"/>
          <w:sz w:val="20"/>
        </w:rPr>
        <w:t>See notes to financial statements.</w:t>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SILVER SPIKE INVESTMENT CORP.</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20"/>
        </w:rPr>
      </w:pPr>
      <w:bookmarkStart w:id="9" w:name="Notes"/>
      <w:bookmarkEnd w:id="9"/>
      <w:r>
        <w:rPr>
          <w:rFonts w:ascii="Times New Roman" w:hAnsi="Times New Roman"/>
          <w:b/>
          <w:color w:val="000000"/>
          <w:sz w:val="20"/>
        </w:rPr>
        <w:t>Notes to Financial Statements</w:t>
      </w:r>
    </w:p>
    <w:p>
      <w:pPr>
        <w:pStyle w:val="TextBody"/>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spacing w:before="0" w:after="0"/>
        <w:jc w:val="both"/>
        <w:rPr>
          <w:rFonts w:ascii="Times New Roman" w:hAnsi="Times New Roman"/>
          <w:b/>
          <w:sz w:val="20"/>
        </w:rPr>
      </w:pPr>
      <w:r>
        <w:rPr>
          <w:rFonts w:ascii="Times New Roman" w:hAnsi="Times New Roman"/>
          <w:b/>
          <w:sz w:val="20"/>
        </w:rPr>
      </w:r>
    </w:p>
    <w:p>
      <w:pPr>
        <w:pStyle w:val="TextBody"/>
        <w:spacing w:before="0" w:after="0"/>
        <w:jc w:val="both"/>
        <w:rPr>
          <w:rFonts w:ascii="Times New Roman" w:hAnsi="Times New Roman"/>
          <w:b/>
          <w:color w:val="000000"/>
          <w:sz w:val="20"/>
        </w:rPr>
      </w:pPr>
      <w:r>
        <w:rPr>
          <w:rFonts w:ascii="Times New Roman" w:hAnsi="Times New Roman"/>
          <w:b/>
          <w:color w:val="000000"/>
          <w:sz w:val="20"/>
        </w:rPr>
        <w:t>NOTE 1 — ORGANIZATION</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Silver Spike Investment Corp. (an emerging growth company) (the “Company”, “we” or “our”) was formed on January 25, 2021 as a Maryland corporation structured as an externally managed, closed-end, non-diversified management investment company. The Company has elected to be treated as a business development company (“BDC”), under the Investment Company Act of 1940, as amended (“1940 Act”). In addition, for U.S. federal income tax purposes the Company adopted an initial tax year end of December 31, 2021, and was taxed as a corporation for the tax period ended December 31, 2021. The Company adopted the tax year end of March 31, 2022 and elected to be treated for U.S. federal income tax purposes as a regulated investment company (“RIC”) under Subchapter M of the Internal Revenue Code of 1986, as amended (the “Code”) for the tax period January 1, 2022 through March 31, 2022, as well as maintain such election in future taxable years. However, there is no guarantee that the Company will qualify to make such an election for any taxable year.</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On February 4, 2022, the Company’s common stock began trading on the Nasdaq Global Market under the ticker symbol “SSIC,” and we completed our initial public offering of 6,214,286 shares of our common stock, par value $0.01, inclusive of an over-allotment option that was exercised in full on March 1, 2022 (“IPO”), for approximately $87 million.</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 is managed by Silver Spike Capital, LLC (“SSC” or “Adviser”), a registered investment advisor under the Investment Advisers Act of 1940 with the Securities and Exchange Commission. SSC has engaged SS&amp;C Technologies, Inc. and ALPS Fund Services, Inc. (“SS&amp;C”), as sub-administrator, to perform administrative services necessary for the Company to operate.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Company’s investment objective is to maximize risk-adjusted returns on equity for its shareholders. The Company seeks to drive return on equity by generating current income from debt investments and capital appreciation from equity and equity-related investments. The Company intends to achieve its investment objective by investing primarily in secured debt, unsecured debt, equity warrants and direct equity investments in private leveraged middle-market cannabis companies and other companies in the health and wellness sector. The debt investments are often secured by either a first or second priority lien on the assets of the portfolio company, can include either fixed or floating rate terms and will generally have a term of between two and six years from the original investment date.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On November 8, 2022, the Board of Directors (“Board”) of the Company approved a change in its fiscal year end from March 31 to December 31. Certain prior period information has been reclassified to conform to the current period presentation.</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NOTE 2 — SIGNIFICANT ACCOUNTING POLICIES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Basis of Presentation</w:t>
      </w:r>
    </w:p>
    <w:p>
      <w:pPr>
        <w:pStyle w:val="TextBody"/>
        <w:spacing w:before="0" w:after="0"/>
        <w:ind w:left="0" w:right="0" w:hanging="0"/>
        <w:jc w:val="both"/>
        <w:rPr>
          <w:rFonts w:ascii="Times New Roman" w:hAnsi="Times New Roman"/>
          <w:color w:val="000000"/>
          <w:sz w:val="20"/>
        </w:rPr>
      </w:pPr>
      <w:r>
        <w:rPr>
          <w:rFonts w:ascii="Times New Roman" w:hAnsi="Times New Roman"/>
          <w:color w:val="000000"/>
          <w:sz w:val="20"/>
        </w:rPr>
        <w:t xml:space="preserve">The Company’s financial statements have been prepared in accordance with accounting principles generally accepted in the United States of America (“U.S. GAAP”), including the requirements under ASC 946, Financial Services—Investment Companies and Articles 6 and 12 of Regulation S-X. </w:t>
      </w:r>
      <w:r>
        <w:rPr>
          <w:rFonts w:ascii="Times New Roman" w:hAnsi="Times New Roman"/>
          <w:b w:val="false"/>
          <w:i w:val="false"/>
          <w:caps w:val="false"/>
          <w:smallCaps w:val="false"/>
          <w:color w:val="000000"/>
          <w:spacing w:val="0"/>
          <w:sz w:val="20"/>
        </w:rPr>
        <w:t>In the opinion of management, all adjustments of a normal recurring nature considered necessary for the fair presentation of the financial statements have been made. The current period’s results of operations are not necessarily indicative of results that may be achieved for the year</w:t>
      </w:r>
      <w:r>
        <w:rPr>
          <w:rFonts w:ascii="Times New Roman" w:hAnsi="Times New Roman"/>
          <w:color w:val="000000"/>
          <w:sz w:val="20"/>
        </w:rPr>
        <w:t>.</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Use of Estimates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preparation of the financial statements in conformity with U.S. GAAP requires management to make certain estimates and assumptions affecting reported amounts of assets and liabilities at the date of the financial statements (i.e. fair value of investments) and the reported amounts of income, expenses, and gains and losses during the reported period. These estimates are based on the information that is currently available to the Company and on various other assumptions that the Company believes to be reasonable under the circumstances. Actual results could differ materially from those estimates under different assumptions and conditions.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Investment Valuation</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Company’s investments are recorded at their estimated fair value on the Statement of Assets and Liabilities. Investments for which market quotations are readily available will typically be valued at the bid price of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are valued at fair value as determined in good faith by the Adviser, as the Company’s valuation designee (the “Valuation Designee”), based on inputs that may include valuations, or ranges of valuations, provided by independent third-party valuation firm(s) engaged by the Adviser. Generally, the valuation approach used for debt investments is the income approach. The approach derives a value based on either determining the present value of a projected level of cash flow, including a terminal value, or by the capitalization of a normalized measure of future cash flow. The discounted cash flow (“DCF”) method, one of the methodologies under the income approach, involves estimating future cash flows under various scenarios and discounting them to the measurement date. The discount rate represents a return required by a market participant in order to make an investment in the subject company. Generally, the valuation approach used for debt investments is the income approach.</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SILVER SPIKE INVESTMENT CORP.</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Notes to Financial Statements</w:t>
      </w:r>
    </w:p>
    <w:p>
      <w:pPr>
        <w:pStyle w:val="TextBody"/>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Alternatively, the market approach or asset approach may be used. The market approach is a way of determining a value indication by using one or more methods that compare the portfolio company to similar businesses. Value indicators are applied to relevant financial information of the entity being valued to estimate its fair value. There are two methodologies to consider under the market approach: the guideline company method (“GCM”) and the controlling transaction method (“CTM”). The GCM is based on the premise that the pricing multiples of comparable publicly traded companies can be used as a tool to value privately held companies. The publicly traded companies’ ratios and business enterprise value provide guidance in the valuation process. Considerations of factors such as size, growth, profitability and return on investment are also analyzed and compared to the subject business. The CTM is based on the same premise as the GCM. Guideline transactions include change-of-control transactions involving public or private businesses for companies engaged in similar lines of business or with similar economic characteristics. The valuation considers the price at which the merger or acquisition took place to other factors in order to create a pricing multiple that can be used to determine an estimate of value for the subject company.</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asset approach provides an indication of the company’s value by developing a valuation-based balance sheet. This approach requires adjusting the historical assets and liabilities listed on the U.S. GAAP-based balance sheet to market fair values. The excess of assets over liabilities represents the tangible value of the business enterprise. The asset approach does not consider the relevant earnings capacity of a going concern business.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Effective September 8, 2022, pursuant to Rule 2a-5 under the 1940 Act, the Board designated the Adviser as the Valuation Designee to perform the fair value determinations for the Company, subject to the oversight of the Board and certain Board reporting and other requirements.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As part of the valuation process, the Adviser takes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When an external event such as a purchase transaction, public offering or subsequent equity sale occurs, the Adviser considers whether the pricing indicated by the external event corroborates its valuation.</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Adviser undertakes a multi-step valuation process, which includes, among other procedures, the following:</w:t>
      </w:r>
    </w:p>
    <w:p>
      <w:pPr>
        <w:pStyle w:val="TextBody"/>
        <w:spacing w:before="0" w:after="0"/>
        <w:jc w:val="left"/>
        <w:rPr>
          <w:rFonts w:ascii="Times New Roman" w:hAnsi="Times New Roman"/>
          <w:sz w:val="20"/>
        </w:rPr>
      </w:pPr>
      <w:r>
        <w:rPr>
          <w:rFonts w:ascii="Times New Roman" w:hAnsi="Times New Roman"/>
          <w:sz w:val="20"/>
        </w:rPr>
      </w:r>
    </w:p>
    <w:tbl>
      <w:tblPr>
        <w:tblW w:w="10539" w:type="dxa"/>
        <w:jc w:val="left"/>
        <w:tblInd w:w="0" w:type="dxa"/>
        <w:tblCellMar>
          <w:top w:w="0" w:type="dxa"/>
          <w:left w:w="0" w:type="dxa"/>
          <w:bottom w:w="0" w:type="dxa"/>
          <w:right w:w="0" w:type="dxa"/>
        </w:tblCellMar>
      </w:tblPr>
      <w:tblGrid>
        <w:gridCol w:w="125"/>
        <w:gridCol w:w="10414"/>
      </w:tblGrid>
      <w:tr>
        <w:trPr/>
        <w:tc>
          <w:tcPr>
            <w:tcW w:w="125" w:type="dxa"/>
            <w:tcBorders/>
            <w:shd w:fill="auto" w:val="clear"/>
            <w:vAlign w:val="center"/>
          </w:tcPr>
          <w:p>
            <w:pPr>
              <w:pStyle w:val="TableContents"/>
              <w:spacing w:before="0" w:after="283"/>
              <w:rPr/>
            </w:pPr>
            <w:r>
              <w:rPr/>
              <w:t>•</w:t>
            </w:r>
          </w:p>
        </w:tc>
        <w:tc>
          <w:tcPr>
            <w:tcW w:w="10414" w:type="dxa"/>
            <w:tcBorders/>
            <w:shd w:fill="auto" w:val="clear"/>
            <w:vAlign w:val="center"/>
          </w:tcPr>
          <w:p>
            <w:pPr>
              <w:pStyle w:val="TableContents"/>
              <w:spacing w:before="0" w:after="0"/>
              <w:jc w:val="both"/>
              <w:rPr/>
            </w:pPr>
            <w:r>
              <w:rPr/>
              <w:t>With respect to investments for which market quotations are readily available, those investments will typically be valued at the bid price of those market quotations;</w:t>
            </w:r>
          </w:p>
        </w:tc>
      </w:tr>
    </w:tbl>
    <w:p>
      <w:pPr>
        <w:pStyle w:val="TextBody"/>
        <w:spacing w:before="0" w:after="0"/>
        <w:rPr>
          <w:rFonts w:ascii="Times New Roman" w:hAnsi="Times New Roman"/>
          <w:sz w:val="20"/>
        </w:rPr>
      </w:pPr>
      <w:r>
        <w:rPr>
          <w:rFonts w:ascii="Times New Roman" w:hAnsi="Times New Roman"/>
          <w:sz w:val="20"/>
        </w:rPr>
      </w:r>
    </w:p>
    <w:tbl>
      <w:tblPr>
        <w:tblW w:w="10539" w:type="dxa"/>
        <w:jc w:val="left"/>
        <w:tblInd w:w="0" w:type="dxa"/>
        <w:tblCellMar>
          <w:top w:w="0" w:type="dxa"/>
          <w:left w:w="0" w:type="dxa"/>
          <w:bottom w:w="0" w:type="dxa"/>
          <w:right w:w="0" w:type="dxa"/>
        </w:tblCellMar>
      </w:tblPr>
      <w:tblGrid>
        <w:gridCol w:w="125"/>
        <w:gridCol w:w="10414"/>
      </w:tblGrid>
      <w:tr>
        <w:trPr/>
        <w:tc>
          <w:tcPr>
            <w:tcW w:w="125" w:type="dxa"/>
            <w:tcBorders/>
            <w:shd w:fill="auto" w:val="clear"/>
            <w:vAlign w:val="center"/>
          </w:tcPr>
          <w:p>
            <w:pPr>
              <w:pStyle w:val="TableContents"/>
              <w:spacing w:before="0" w:after="283"/>
              <w:rPr/>
            </w:pPr>
            <w:r>
              <w:rPr/>
              <w:t>•</w:t>
            </w:r>
          </w:p>
        </w:tc>
        <w:tc>
          <w:tcPr>
            <w:tcW w:w="10414" w:type="dxa"/>
            <w:tcBorders/>
            <w:shd w:fill="auto" w:val="clear"/>
            <w:vAlign w:val="center"/>
          </w:tcPr>
          <w:p>
            <w:pPr>
              <w:pStyle w:val="TableContents"/>
              <w:spacing w:before="0" w:after="0"/>
              <w:jc w:val="both"/>
              <w:rPr/>
            </w:pPr>
            <w:r>
              <w:rPr/>
              <w:t>With respect to investments for which market quotations are not readily available, the valuation process begins with the Adviser’s valuation committee establishing a preliminary valuation of each investment, which may be based on valuations, or ranges of valuations, provided by independent valuation firm(s);</w:t>
            </w:r>
          </w:p>
        </w:tc>
      </w:tr>
    </w:tbl>
    <w:p>
      <w:pPr>
        <w:pStyle w:val="TextBody"/>
        <w:spacing w:before="0" w:after="0"/>
        <w:rPr>
          <w:rFonts w:ascii="Times New Roman" w:hAnsi="Times New Roman"/>
          <w:sz w:val="20"/>
        </w:rPr>
      </w:pPr>
      <w:r>
        <w:rPr>
          <w:rFonts w:ascii="Times New Roman" w:hAnsi="Times New Roman"/>
          <w:sz w:val="20"/>
        </w:rPr>
      </w:r>
    </w:p>
    <w:tbl>
      <w:tblPr>
        <w:tblW w:w="10539" w:type="dxa"/>
        <w:jc w:val="left"/>
        <w:tblInd w:w="0" w:type="dxa"/>
        <w:tblCellMar>
          <w:top w:w="0" w:type="dxa"/>
          <w:left w:w="0" w:type="dxa"/>
          <w:bottom w:w="0" w:type="dxa"/>
          <w:right w:w="0" w:type="dxa"/>
        </w:tblCellMar>
      </w:tblPr>
      <w:tblGrid>
        <w:gridCol w:w="125"/>
        <w:gridCol w:w="10414"/>
      </w:tblGrid>
      <w:tr>
        <w:trPr/>
        <w:tc>
          <w:tcPr>
            <w:tcW w:w="125" w:type="dxa"/>
            <w:tcBorders/>
            <w:shd w:fill="auto" w:val="clear"/>
            <w:vAlign w:val="center"/>
          </w:tcPr>
          <w:p>
            <w:pPr>
              <w:pStyle w:val="TableContents"/>
              <w:spacing w:before="0" w:after="283"/>
              <w:rPr/>
            </w:pPr>
            <w:r>
              <w:rPr/>
              <w:t>•</w:t>
            </w:r>
          </w:p>
        </w:tc>
        <w:tc>
          <w:tcPr>
            <w:tcW w:w="10414" w:type="dxa"/>
            <w:tcBorders/>
            <w:shd w:fill="auto" w:val="clear"/>
            <w:vAlign w:val="center"/>
          </w:tcPr>
          <w:p>
            <w:pPr>
              <w:pStyle w:val="TableContents"/>
              <w:spacing w:before="0" w:after="0"/>
              <w:jc w:val="both"/>
              <w:rPr/>
            </w:pPr>
            <w:r>
              <w:rPr/>
              <w:t>Preliminary valuations  are documented and discussed by the Adviser’s valuation committee and, where appropriate, the independent valuation firm(s); and</w:t>
            </w:r>
          </w:p>
        </w:tc>
      </w:tr>
    </w:tbl>
    <w:p>
      <w:pPr>
        <w:pStyle w:val="TextBody"/>
        <w:spacing w:before="0" w:after="0"/>
        <w:rPr>
          <w:rFonts w:ascii="Times New Roman" w:hAnsi="Times New Roman"/>
          <w:sz w:val="20"/>
        </w:rPr>
      </w:pPr>
      <w:r>
        <w:rPr>
          <w:rFonts w:ascii="Times New Roman" w:hAnsi="Times New Roman"/>
          <w:sz w:val="20"/>
        </w:rPr>
      </w:r>
    </w:p>
    <w:tbl>
      <w:tblPr>
        <w:tblW w:w="5605" w:type="dxa"/>
        <w:jc w:val="left"/>
        <w:tblInd w:w="0" w:type="dxa"/>
        <w:tblCellMar>
          <w:top w:w="0" w:type="dxa"/>
          <w:left w:w="0" w:type="dxa"/>
          <w:bottom w:w="0" w:type="dxa"/>
          <w:right w:w="0" w:type="dxa"/>
        </w:tblCellMar>
      </w:tblPr>
      <w:tblGrid>
        <w:gridCol w:w="125"/>
        <w:gridCol w:w="5480"/>
      </w:tblGrid>
      <w:tr>
        <w:trPr/>
        <w:tc>
          <w:tcPr>
            <w:tcW w:w="125" w:type="dxa"/>
            <w:tcBorders/>
            <w:shd w:fill="auto" w:val="clear"/>
            <w:vAlign w:val="center"/>
          </w:tcPr>
          <w:p>
            <w:pPr>
              <w:pStyle w:val="TableContents"/>
              <w:spacing w:before="0" w:after="283"/>
              <w:rPr/>
            </w:pPr>
            <w:r>
              <w:rPr/>
              <w:t>•</w:t>
            </w:r>
          </w:p>
        </w:tc>
        <w:tc>
          <w:tcPr>
            <w:tcW w:w="5480" w:type="dxa"/>
            <w:tcBorders/>
            <w:shd w:fill="auto" w:val="clear"/>
            <w:vAlign w:val="center"/>
          </w:tcPr>
          <w:p>
            <w:pPr>
              <w:pStyle w:val="TableContents"/>
              <w:spacing w:before="0" w:after="0"/>
              <w:jc w:val="both"/>
              <w:rPr/>
            </w:pPr>
            <w:r>
              <w:rPr/>
              <w:t>The Adviser determines the fair value of each investment.</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We conduct this valuation process on a quarterly basis.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We apply Financial Accounting Standards Board Accounting Standards Codification 820, </w:t>
      </w:r>
      <w:r>
        <w:rPr>
          <w:rFonts w:ascii="Times New Roman" w:hAnsi="Times New Roman"/>
          <w:i/>
          <w:color w:val="000000"/>
          <w:sz w:val="20"/>
        </w:rPr>
        <w:t>Fair Value Measurement</w:t>
      </w:r>
      <w:r>
        <w:rPr>
          <w:rFonts w:ascii="Times New Roman" w:hAnsi="Times New Roman"/>
          <w:color w:val="000000"/>
          <w:sz w:val="20"/>
        </w:rPr>
        <w:t xml:space="preserve">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the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pStyle w:val="TextBody"/>
        <w:spacing w:before="0" w:after="0"/>
        <w:jc w:val="left"/>
        <w:rPr>
          <w:rFonts w:ascii="Times New Roman" w:hAnsi="Times New Roman"/>
          <w:sz w:val="20"/>
        </w:rPr>
      </w:pPr>
      <w:r>
        <w:rPr>
          <w:rFonts w:ascii="Times New Roman" w:hAnsi="Times New Roman"/>
          <w:sz w:val="20"/>
        </w:rPr>
      </w:r>
    </w:p>
    <w:tbl>
      <w:tblPr>
        <w:tblW w:w="10539" w:type="dxa"/>
        <w:jc w:val="left"/>
        <w:tblInd w:w="0" w:type="dxa"/>
        <w:tblCellMar>
          <w:top w:w="0" w:type="dxa"/>
          <w:left w:w="0" w:type="dxa"/>
          <w:bottom w:w="0" w:type="dxa"/>
          <w:right w:w="0" w:type="dxa"/>
        </w:tblCellMar>
      </w:tblPr>
      <w:tblGrid>
        <w:gridCol w:w="125"/>
        <w:gridCol w:w="10414"/>
      </w:tblGrid>
      <w:tr>
        <w:trPr/>
        <w:tc>
          <w:tcPr>
            <w:tcW w:w="125" w:type="dxa"/>
            <w:tcBorders/>
            <w:shd w:fill="auto" w:val="clear"/>
            <w:vAlign w:val="center"/>
          </w:tcPr>
          <w:p>
            <w:pPr>
              <w:pStyle w:val="TableContents"/>
              <w:spacing w:before="0" w:after="283"/>
              <w:rPr/>
            </w:pPr>
            <w:r>
              <w:rPr/>
              <w:t>•</w:t>
            </w:r>
          </w:p>
        </w:tc>
        <w:tc>
          <w:tcPr>
            <w:tcW w:w="10414" w:type="dxa"/>
            <w:tcBorders/>
            <w:shd w:fill="auto" w:val="clear"/>
            <w:vAlign w:val="center"/>
          </w:tcPr>
          <w:p>
            <w:pPr>
              <w:pStyle w:val="TableContents"/>
              <w:spacing w:before="0" w:after="0"/>
              <w:jc w:val="both"/>
              <w:rPr/>
            </w:pPr>
            <w:r>
              <w:rPr/>
              <w:t>Level 1 – Valuations based on quoted prices in active markets for identical assets or liabilities that we have the ability to access at the measurement date;</w:t>
            </w:r>
          </w:p>
        </w:tc>
      </w:tr>
    </w:tbl>
    <w:p>
      <w:pPr>
        <w:pStyle w:val="TextBody"/>
        <w:spacing w:before="0" w:after="0"/>
        <w:rPr>
          <w:rFonts w:ascii="Times New Roman" w:hAnsi="Times New Roman"/>
          <w:sz w:val="20"/>
        </w:rPr>
      </w:pPr>
      <w:r>
        <w:rPr>
          <w:rFonts w:ascii="Times New Roman" w:hAnsi="Times New Roman"/>
          <w:sz w:val="20"/>
        </w:rPr>
      </w:r>
    </w:p>
    <w:tbl>
      <w:tblPr>
        <w:tblW w:w="10539" w:type="dxa"/>
        <w:jc w:val="left"/>
        <w:tblInd w:w="0" w:type="dxa"/>
        <w:tblCellMar>
          <w:top w:w="0" w:type="dxa"/>
          <w:left w:w="0" w:type="dxa"/>
          <w:bottom w:w="0" w:type="dxa"/>
          <w:right w:w="0" w:type="dxa"/>
        </w:tblCellMar>
      </w:tblPr>
      <w:tblGrid>
        <w:gridCol w:w="125"/>
        <w:gridCol w:w="10414"/>
      </w:tblGrid>
      <w:tr>
        <w:trPr/>
        <w:tc>
          <w:tcPr>
            <w:tcW w:w="125" w:type="dxa"/>
            <w:tcBorders/>
            <w:shd w:fill="auto" w:val="clear"/>
            <w:vAlign w:val="center"/>
          </w:tcPr>
          <w:p>
            <w:pPr>
              <w:pStyle w:val="TableContents"/>
              <w:spacing w:before="0" w:after="283"/>
              <w:rPr/>
            </w:pPr>
            <w:r>
              <w:rPr/>
              <w:t>•</w:t>
            </w:r>
          </w:p>
        </w:tc>
        <w:tc>
          <w:tcPr>
            <w:tcW w:w="10414" w:type="dxa"/>
            <w:tcBorders/>
            <w:shd w:fill="auto" w:val="clear"/>
            <w:vAlign w:val="center"/>
          </w:tcPr>
          <w:p>
            <w:pPr>
              <w:pStyle w:val="TableContents"/>
              <w:spacing w:before="0" w:after="0"/>
              <w:jc w:val="both"/>
              <w:rPr/>
            </w:pPr>
            <w:r>
              <w:rPr/>
              <w:t xml:space="preserve">Level 2 – Valuations based on quoted prices </w:t>
            </w:r>
            <w:r>
              <w:rPr>
                <w:color w:val="000000"/>
              </w:rPr>
              <w:t xml:space="preserve">for similar assets or liabilities in active markets, or quoted prices for identical or similar assets or liabilities </w:t>
            </w:r>
            <w:r>
              <w:rPr/>
              <w:t>in markets that are not active, or for which all significant inputs are observable, either directly or indirectly; and</w:t>
            </w:r>
          </w:p>
        </w:tc>
      </w:tr>
    </w:tbl>
    <w:p>
      <w:pPr>
        <w:pStyle w:val="TextBody"/>
        <w:spacing w:before="0" w:after="0"/>
        <w:rPr>
          <w:rFonts w:ascii="Times New Roman" w:hAnsi="Times New Roman"/>
          <w:sz w:val="20"/>
        </w:rPr>
      </w:pPr>
      <w:r>
        <w:rPr>
          <w:rFonts w:ascii="Times New Roman" w:hAnsi="Times New Roman"/>
          <w:sz w:val="20"/>
        </w:rPr>
      </w:r>
    </w:p>
    <w:tbl>
      <w:tblPr>
        <w:tblW w:w="10539" w:type="dxa"/>
        <w:jc w:val="left"/>
        <w:tblInd w:w="0" w:type="dxa"/>
        <w:tblCellMar>
          <w:top w:w="0" w:type="dxa"/>
          <w:left w:w="0" w:type="dxa"/>
          <w:bottom w:w="0" w:type="dxa"/>
          <w:right w:w="0" w:type="dxa"/>
        </w:tblCellMar>
      </w:tblPr>
      <w:tblGrid>
        <w:gridCol w:w="125"/>
        <w:gridCol w:w="10414"/>
      </w:tblGrid>
      <w:tr>
        <w:trPr/>
        <w:tc>
          <w:tcPr>
            <w:tcW w:w="125" w:type="dxa"/>
            <w:tcBorders/>
            <w:shd w:fill="auto" w:val="clear"/>
            <w:vAlign w:val="center"/>
          </w:tcPr>
          <w:p>
            <w:pPr>
              <w:pStyle w:val="TableContents"/>
              <w:spacing w:before="0" w:after="283"/>
              <w:rPr/>
            </w:pPr>
            <w:r>
              <w:rPr/>
              <w:t>•</w:t>
            </w:r>
          </w:p>
        </w:tc>
        <w:tc>
          <w:tcPr>
            <w:tcW w:w="10414" w:type="dxa"/>
            <w:tcBorders/>
            <w:shd w:fill="auto" w:val="clear"/>
            <w:vAlign w:val="center"/>
          </w:tcPr>
          <w:p>
            <w:pPr>
              <w:pStyle w:val="TableContents"/>
              <w:spacing w:before="0" w:after="0"/>
              <w:jc w:val="both"/>
              <w:rPr/>
            </w:pPr>
            <w:r>
              <w:rPr/>
              <w:t>Level 3 – Valuations based on inputs that are unobservable and significant to the overall fair value measurement.</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SILVER SPIKE INVESTMENT CORP.</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Notes to Financial Statements</w:t>
      </w:r>
    </w:p>
    <w:p>
      <w:pPr>
        <w:pStyle w:val="TextBody"/>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we were required to liquidate a portfolio investment in a forced or liquidation sale, it could realize amounts that are different from the amounts presented and such differences could be material.</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In addition, changes in the market environment and other events that may occur over the life of the investments may cause the gains or losses ultimately realized on these investments to be different than the unrealized gains or losses reflected previously.</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Cash and Cash Equivalents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Cash and cash equivalents consists of funds deposited with financial institutions and short-term (maturity of 90 days or less) liquid investments and money market funds. Funds held in money market funds are considered Level 1 in the fair value hierarchy in accordance with ASC 820. Cash held in demand deposit accounts may exceed the Federal Deposit Insurance Corporation (“FDIC”) insured limit. As of March 31, 2023 and December 31, 2022, cash and cash equivalents consisted of $32.54 million and $35.13 million, respectively, of which $32.54 million and $35.13 million, respectively, was held in the State Street Institutional U.S. Government Money Market Fund.</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Earnings per share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Basic earnings per share is computed by dividing net increase (decrease) in net assets resulting from operations by the weighted-average number of common shares outstanding for the period. Other potentially dilutive common shares, and the related impact to earnings are considered when calculating earnings per share on a diluted basis.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Investment Transactions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Investment transactions are recorded on trade date. Realized gains or losses are recognized as the difference between the net proceeds received (excluding prepayment fees, if any) and the amortized cost basis of the investment using the specific identification method without regard to unrealized gains or losses previously recognized, and include investments written off during the period, net of recoveries. Current-period changes in fair value of investments are reflected as a component of the net change in unrealized appreciation/(depreciation) on investments on the Statements of Operations. The net change in unrealized appreciation/(depreciation) primarily reflects the change in investment fair values as of the last business day of the reporting period, including the reversal of previously recorded unrealized gains or losses with respect to investments realized during the period.</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Investments traded but not yet settled are reported in payable for investments purchased and receivable for investments sold on the Statement of Assets and Liabilities.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Interest and Dividend Income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Interest income is recorded on the accrual basis and includes accretion and amortization of discounts or premiums, respectively. Discounts and premiums to par value on securities purchased are accreted and amortized, respectively, into interest income over the contractual life of the respective security using the effective yield method. The amortized cost of investments represents the original cost adjusted for the accretion and amortization of discounts and premiums, respectively. Upon prepayment of a loan or debt security, any prepayment premiums and unamortized discounts or premiums are recorded as interest income in the current period.</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When a debt security becomes 90 days or more past due, or if management otherwise does not expect that principal, interest, and other obligations due will be collected in full, the Company will generally place the debt security on non-accrual status and cease recognizing interest income on that debt security until all principal and interest due has been paid or the Company believes the borrower has demonstrated the ability to repay its current and future contractual obligations. Any uncollected interest is reversed from income in the period that collection of the interest receivable is determined to be doubtful. However, the Company may make exceptions to this policy if the investment has sufficient collateral value and is in the process of collection. As of March 31, 2023 and December 31, 2022, there were no loan investments in the portfolio placed on non-accrual status.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typically receive debt investment origination or closing fees in connection with investments. Such debt investment origination and closing fees are capitalized as unearned income and offset against investment cost basis on our Statements of Assets and Liabilities and accreted into interest income using the effective yield method over the term of the investment. Upon the prepayment of a debt investment, any unaccreted debt investment origination and closing fees are accelerated into interest income.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Interest income earned, excluding accretion of discounts and amortization of premiums, was $2,317,020 and $10,073 for the three months ended March 31, 2023 and 2022. As of March 31, 2023 and December 31, 2022, $1,568,026 and $1,559,081, respectively were recorded as interest receivable.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Dividend income on preferred equity securities is recorded on the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SILVER SPIKE INVESTMENT CORP.</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Notes to Financial Statements</w:t>
      </w:r>
    </w:p>
    <w:p>
      <w:pPr>
        <w:pStyle w:val="TextBody"/>
        <w:jc w:val="center"/>
        <w:rPr>
          <w:rFonts w:ascii="Times New Roman" w:hAnsi="Times New Roman"/>
          <w:b/>
          <w:color w:val="000000"/>
          <w:sz w:val="20"/>
        </w:rPr>
      </w:pPr>
      <w:r>
        <w:rPr>
          <w:rFonts w:ascii="Times New Roman" w:hAnsi="Times New Roman"/>
          <w:b/>
          <w:color w:val="000000"/>
          <w:sz w:val="20"/>
        </w:rPr>
        <w:t>(Unaudited)</w:t>
      </w:r>
    </w:p>
    <w:p>
      <w:pPr>
        <w:pStyle w:val="TextBody"/>
        <w:spacing w:before="0" w:after="0"/>
        <w:jc w:val="both"/>
        <w:rPr>
          <w:rFonts w:ascii="Times New Roman" w:hAnsi="Times New Roman"/>
          <w:color w:val="000000"/>
          <w:sz w:val="20"/>
        </w:rPr>
      </w:pPr>
      <w:r>
        <w:rPr>
          <w:rFonts w:ascii="Times New Roman" w:hAnsi="Times New Roman"/>
          <w:color w:val="000000"/>
          <w:sz w:val="20"/>
        </w:rPr>
        <w:t>Certain investments may have contractual PIK interest or dividends. PIK interest or dividends represents accrued interest or dividends that is added to the principal amount of the investment on the respective interest or dividend payment dates rather than being paid in cash and generally becomes due at maturity. If PIK interest or dividends are not expected to be realized by the Company, the investment generating PIK interest or dividends will be placed on non-accrual status. When an investment with PIK is placed on non-accrual status, the accrued, uncapitalized interest or dividends are generally reversed through interest or dividend income, respectively.</w:t>
      </w:r>
    </w:p>
    <w:p>
      <w:pPr>
        <w:pStyle w:val="TextBody"/>
        <w:spacing w:before="0" w:after="0"/>
        <w:jc w:val="both"/>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Fee Income</w:t>
      </w:r>
    </w:p>
    <w:p>
      <w:pPr>
        <w:pStyle w:val="TextBody"/>
        <w:spacing w:before="0" w:after="0"/>
        <w:jc w:val="both"/>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All transaction fees earned in connection with our investments are recognized as fee income and are generally non-recurring. Such fees typically include fees for services, including structuring and advisory services, provided to portfolio companies. We recognize income from fees for providing such structuring and advisory services when the services are rendered or the transactions are completed.</w:t>
      </w:r>
    </w:p>
    <w:p>
      <w:pPr>
        <w:pStyle w:val="TextBody"/>
        <w:spacing w:before="0" w:after="0"/>
        <w:jc w:val="both"/>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For the three months ended March 31, 2023 and 2022, no fee income was earned.</w:t>
      </w:r>
    </w:p>
    <w:p>
      <w:pPr>
        <w:pStyle w:val="TextBody"/>
        <w:spacing w:before="0" w:after="0"/>
        <w:jc w:val="both"/>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Income Taxes</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 adopted an initial tax year end of December 31, 2021 and was taxed as a corporation for U.S. federal income tax purposes for the tax period ended December 31, 2021. The Company adopted the tax year end of March 31, 2022 and elected to be treated for U.S. federal income tax purposes as a RIC under Subchapter M of the Code for the tax period January 1, 2022 through March 31, 2022, and intends to maintain such election in the current and future taxable years. To maintain its tax treatment as a RIC, the Company must meet specified source-of-income and asset diversification requirements and timely distribute to its stockholders for each taxable year at least 90% of its investment company taxable income. In order for the Company not to be subject to U.S. federal excise taxes, it must distribute annually an amount at least equal to the sum of (i) 98% of its net ordinary income for the calendar year, (ii) 98.2% of its capital gains in excess of capital losses for the one-year period ending on October 31 of the calendar year and (iii) any net ordinary income and capital gains in excess of capital losses for preceding years that were not distributed during such years. The Company, at its discretion (subject to the requirement to distribute 90% of its investment company taxable income as described above), may carry forward taxable income in excess of calendar year dividends and pay a 4% nondeductible U.S. federal excise tax on this income. If the Company chooses to do so, this generally would increase expenses and reduce the amount available to be distributed to stockholders. As of March 31, 2023 and December 31, 2022, $0 and $80,566 of accrued excise taxes remained payable.</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The Company evaluates tax positions taken in the course of preparing the Company’s tax returns to determine whether the tax positions are “more-likely-than-not” to be sustained by the applicable tax authority in accordance with ASC Topic 740, </w:t>
      </w:r>
      <w:r>
        <w:rPr>
          <w:rFonts w:ascii="Times New Roman" w:hAnsi="Times New Roman"/>
          <w:i/>
          <w:color w:val="000000"/>
          <w:sz w:val="20"/>
        </w:rPr>
        <w:t>Income</w:t>
      </w:r>
      <w:r>
        <w:rPr>
          <w:rFonts w:ascii="Times New Roman" w:hAnsi="Times New Roman"/>
          <w:color w:val="000000"/>
          <w:sz w:val="20"/>
        </w:rPr>
        <w:t> </w:t>
      </w:r>
      <w:r>
        <w:rPr>
          <w:rFonts w:ascii="Times New Roman" w:hAnsi="Times New Roman"/>
          <w:i/>
          <w:color w:val="000000"/>
          <w:sz w:val="20"/>
        </w:rPr>
        <w:t>Taxes</w:t>
      </w:r>
      <w:r>
        <w:rPr>
          <w:rFonts w:ascii="Times New Roman" w:hAnsi="Times New Roman"/>
          <w:color w:val="000000"/>
          <w:sz w:val="20"/>
        </w:rPr>
        <w:t xml:space="preserve"> (“ASC 740”). Tax benefits of positions not deemed to meet the more-likely-than-not threshold, or uncertain tax positions, would be recorded as tax expense in the current year. It is the Company’s policy to recognize accrued interest and penalties related to uncertain tax benefits in income tax expense.</w:t>
      </w:r>
    </w:p>
    <w:p>
      <w:pPr>
        <w:pStyle w:val="TextBody"/>
        <w:spacing w:before="0" w:after="0"/>
        <w:ind w:left="720" w:right="500" w:hanging="0"/>
        <w:jc w:val="both"/>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Based on the analysis of the Company’s tax position, the Company has no uncertain tax positions that met the recognition or measurement criteria as of March 31, 2023 and December 31, 2022. The Company does not anticipate any significant increase or decrease in unrecognized tax benefits for the next twelve months. All of the Company’s tax returns remain subject to examination by U.S. federal and state tax authorities.</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Organization Expenses and Offering Costs</w:t>
      </w:r>
    </w:p>
    <w:p>
      <w:pPr>
        <w:pStyle w:val="TextBody"/>
        <w:spacing w:before="0" w:after="0"/>
        <w:jc w:val="both"/>
        <w:rPr>
          <w:rFonts w:ascii="Times New Roman" w:hAnsi="Times New Roman"/>
          <w:i/>
          <w:color w:val="000000"/>
          <w:sz w:val="20"/>
        </w:rPr>
      </w:pPr>
      <w:r>
        <w:rPr>
          <w:rFonts w:ascii="Times New Roman" w:hAnsi="Times New Roman"/>
          <w:i/>
          <w:color w:val="000000"/>
          <w:sz w:val="20"/>
        </w:rPr>
        <w:t>Organizational expenses</w:t>
      </w:r>
    </w:p>
    <w:p>
      <w:pPr>
        <w:pStyle w:val="TextBody"/>
        <w:spacing w:before="0" w:after="0"/>
        <w:jc w:val="both"/>
        <w:rPr>
          <w:rFonts w:ascii="Times New Roman" w:hAnsi="Times New Roman"/>
          <w:color w:val="000000"/>
          <w:sz w:val="20"/>
        </w:rPr>
      </w:pPr>
      <w:r>
        <w:rPr>
          <w:rFonts w:ascii="Times New Roman" w:hAnsi="Times New Roman"/>
          <w:color w:val="000000"/>
          <w:sz w:val="20"/>
        </w:rPr>
        <w:t>Costs associated with the organization of the Company are expensed as incurred. These expenses consist primarily of legal fees and other costs of organizing the Company.</w:t>
      </w:r>
    </w:p>
    <w:p>
      <w:pPr>
        <w:pStyle w:val="TextBody"/>
        <w:spacing w:before="0" w:after="0"/>
        <w:ind w:left="720" w:right="500" w:hanging="0"/>
        <w:jc w:val="both"/>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For the three months ended March 31, 2023 and 2022, the Company incurred organizational expenses of $0 and $34,168, respectively. As of March 31, 2023 and December 31, 2022, there were no unpaid organizational expenses.</w:t>
      </w:r>
    </w:p>
    <w:p>
      <w:pPr>
        <w:pStyle w:val="TextBody"/>
        <w:spacing w:before="0" w:after="0"/>
        <w:jc w:val="both"/>
        <w:rPr>
          <w:color w:val="000000"/>
        </w:rPr>
      </w:pPr>
      <w:r>
        <w:rPr>
          <w:color w:val="000000"/>
        </w:rPr>
        <w:t> </w:t>
      </w:r>
    </w:p>
    <w:p>
      <w:pPr>
        <w:pStyle w:val="TextBody"/>
        <w:spacing w:before="0" w:after="0"/>
        <w:jc w:val="both"/>
        <w:rPr>
          <w:rFonts w:ascii="Times New Roman" w:hAnsi="Times New Roman"/>
          <w:i/>
          <w:color w:val="000000"/>
          <w:sz w:val="20"/>
        </w:rPr>
      </w:pPr>
      <w:r>
        <w:rPr>
          <w:rFonts w:ascii="Times New Roman" w:hAnsi="Times New Roman"/>
          <w:i/>
          <w:color w:val="000000"/>
          <w:sz w:val="20"/>
        </w:rPr>
        <w:t>Offering costs</w:t>
      </w:r>
    </w:p>
    <w:p>
      <w:pPr>
        <w:pStyle w:val="TextBody"/>
        <w:spacing w:before="0" w:after="0"/>
        <w:jc w:val="both"/>
        <w:rPr>
          <w:rFonts w:ascii="Times New Roman" w:hAnsi="Times New Roman"/>
          <w:color w:val="000000"/>
          <w:sz w:val="20"/>
        </w:rPr>
      </w:pPr>
      <w:r>
        <w:rPr>
          <w:rFonts w:ascii="Times New Roman" w:hAnsi="Times New Roman"/>
          <w:color w:val="000000"/>
          <w:sz w:val="20"/>
        </w:rPr>
        <w:t>These costs consist primarily of legal fees and other costs incurred in connection with the Company’s share offerings, the preparation of the Company’s registration statement, and registration fees.</w:t>
      </w:r>
    </w:p>
    <w:p>
      <w:pPr>
        <w:pStyle w:val="TextBody"/>
        <w:spacing w:before="0" w:after="0"/>
        <w:ind w:left="720" w:right="500" w:hanging="0"/>
        <w:jc w:val="both"/>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Costs associated with the offering of common shares of the Company are capitalized as deferred offering and, if any, are included in deferred offering costs on the Statements of Assets and Liabilities. Costs of approximately $1,690,184 were charged to capital upon the completion of the Company’s public offering during the three months ended March 31, 2022. For the three months ended March 31, 2023, no offering costs were charged to capital. As of March 31, 2023 and December 31, 2022, there were no unpaid offering costs.</w:t>
      </w:r>
    </w:p>
    <w:p>
      <w:pPr>
        <w:pStyle w:val="TextBody"/>
        <w:spacing w:before="0" w:after="0"/>
        <w:jc w:val="both"/>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New Accounting Standards</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Management does not believe any recently issued, but not yet effective, accounting standards, if currently adopted, would have a material effect on the accompanying financial statements.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SILVER SPIKE INVESTMENT CORP.</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Notes to Financial Statements</w:t>
      </w:r>
    </w:p>
    <w:p>
      <w:pPr>
        <w:pStyle w:val="TextBody"/>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spacing w:before="0" w:after="0"/>
        <w:jc w:val="both"/>
        <w:rPr>
          <w:rFonts w:ascii="Times New Roman" w:hAnsi="Times New Roman"/>
          <w:b/>
          <w:sz w:val="20"/>
        </w:rPr>
      </w:pPr>
      <w:r>
        <w:rPr>
          <w:rFonts w:ascii="Times New Roman" w:hAnsi="Times New Roman"/>
          <w:b/>
          <w:sz w:val="20"/>
        </w:rPr>
      </w:r>
    </w:p>
    <w:p>
      <w:pPr>
        <w:pStyle w:val="TextBody"/>
        <w:spacing w:before="0" w:after="0"/>
        <w:jc w:val="both"/>
        <w:rPr>
          <w:rFonts w:ascii="Times New Roman" w:hAnsi="Times New Roman"/>
          <w:b/>
          <w:color w:val="000000"/>
          <w:sz w:val="20"/>
        </w:rPr>
      </w:pPr>
      <w:r>
        <w:rPr>
          <w:rFonts w:ascii="Times New Roman" w:hAnsi="Times New Roman"/>
          <w:b/>
          <w:color w:val="000000"/>
          <w:sz w:val="20"/>
        </w:rPr>
        <w:t>NOTE 3 — INVESTMENTS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 seeks to invest in portfolio companies primarily in the form of loans (secured and unsecured), but may include equity warrants and direct equity investments. The loans typically pay interest with some amortization of principal. As of March 31, 2023, 82.3% of the portfolio (based on amortized cost) pays interest on a floating rate basis with a PRIME floor, and 17.7% of the portfolio (based on amortized cost) pays fixed interest. As of December 31, 2022, 80.9% of the portfolio (based on amortized cost) pays interest on a floating rate basis with a PRIME floor, and 19.1% of the portfolio (based on amortized cost) pays fixed interest. We will generally seek to obtain security interests in the assets of our portfolio companies that serve as collateral in support of the repayment of these loans. This collateral may take the form of first or second priority liens on the assets of a portfolio company. In some of our portfolio investments, we expect to receive nominally priced equity warrants and/or make direct equity investments in connection with a debt investment. In addition, a portion of our portfolio may be comprised of derivatives, including total return swaps.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expect that our loans will typically have final maturities of three to six years. However, we expect that our portfolio companies often may repay these loans early, generally within three years from the date of initial investment.</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Portfolio Composition</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Company’s portfolio investments are in companies conducting business in or supporting the cannabis industries. The following tables summarize the composition of the Company’s portfolio investments by industry at cost and fair value and as a percentage of the total portfolio as of March 31, 2023 and December 31, 2022.</w:t>
      </w:r>
    </w:p>
    <w:p>
      <w:pPr>
        <w:pStyle w:val="TextBody"/>
        <w:spacing w:before="0" w:after="0"/>
        <w:jc w:val="left"/>
        <w:rPr>
          <w:color w:val="000000"/>
        </w:rPr>
      </w:pPr>
      <w:r>
        <w:rPr>
          <w:color w:val="000000"/>
        </w:rPr>
        <w:t> </w:t>
      </w:r>
    </w:p>
    <w:p>
      <w:pPr>
        <w:pStyle w:val="TextBody"/>
        <w:spacing w:before="0" w:after="0"/>
        <w:jc w:val="left"/>
        <w:rPr>
          <w:rFonts w:ascii="Times New Roman" w:hAnsi="Times New Roman"/>
          <w:sz w:val="20"/>
        </w:rPr>
      </w:pPr>
      <w:r>
        <w:rPr>
          <w:rFonts w:ascii="Times New Roman" w:hAnsi="Times New Roman"/>
          <w:sz w:val="20"/>
        </w:rPr>
      </w:r>
    </w:p>
    <w:tbl>
      <w:tblPr>
        <w:tblW w:w="6195" w:type="dxa"/>
        <w:jc w:val="left"/>
        <w:tblInd w:w="0" w:type="dxa"/>
        <w:tblCellMar>
          <w:top w:w="0" w:type="dxa"/>
          <w:left w:w="0" w:type="dxa"/>
          <w:bottom w:w="0" w:type="dxa"/>
          <w:right w:w="0" w:type="dxa"/>
        </w:tblCellMar>
      </w:tblPr>
      <w:tblGrid>
        <w:gridCol w:w="1625"/>
        <w:gridCol w:w="60"/>
        <w:gridCol w:w="60"/>
        <w:gridCol w:w="140"/>
        <w:gridCol w:w="1100"/>
        <w:gridCol w:w="60"/>
        <w:gridCol w:w="60"/>
        <w:gridCol w:w="60"/>
        <w:gridCol w:w="560"/>
        <w:gridCol w:w="215"/>
        <w:gridCol w:w="60"/>
        <w:gridCol w:w="140"/>
        <w:gridCol w:w="1100"/>
        <w:gridCol w:w="60"/>
        <w:gridCol w:w="60"/>
        <w:gridCol w:w="60"/>
        <w:gridCol w:w="560"/>
        <w:gridCol w:w="215"/>
      </w:tblGrid>
      <w:tr>
        <w:trPr/>
        <w:tc>
          <w:tcPr>
            <w:tcW w:w="16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95" w:type="dxa"/>
            <w:gridSpan w:val="15"/>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 2023</w:t>
            </w:r>
          </w:p>
        </w:tc>
        <w:tc>
          <w:tcPr>
            <w:tcW w:w="215" w:type="dxa"/>
            <w:tcBorders/>
            <w:shd w:fill="auto" w:val="clear"/>
            <w:vAlign w:val="bottom"/>
          </w:tcPr>
          <w:p>
            <w:pPr>
              <w:pStyle w:val="TableContents"/>
              <w:spacing w:before="0" w:after="283"/>
              <w:jc w:val="left"/>
              <w:rPr/>
            </w:pPr>
            <w:r>
              <w:rPr/>
              <w:t> </w:t>
            </w:r>
          </w:p>
        </w:tc>
      </w:tr>
      <w:tr>
        <w:trPr/>
        <w:tc>
          <w:tcPr>
            <w:tcW w:w="16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40" w:type="dxa"/>
            <w:gridSpan w:val="7"/>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 Cost</w:t>
            </w:r>
          </w:p>
        </w:tc>
        <w:tc>
          <w:tcPr>
            <w:tcW w:w="215" w:type="dxa"/>
            <w:tcBorders/>
            <w:shd w:fill="auto" w:val="clear"/>
            <w:vAlign w:val="bottom"/>
          </w:tcPr>
          <w:p>
            <w:pPr>
              <w:pStyle w:val="TableContents"/>
              <w:spacing w:before="0" w:after="283"/>
              <w:jc w:val="left"/>
              <w:rPr/>
            </w:pPr>
            <w:r>
              <w:rPr/>
              <w:t> </w:t>
            </w:r>
          </w:p>
        </w:tc>
        <w:tc>
          <w:tcPr>
            <w:tcW w:w="2040" w:type="dxa"/>
            <w:gridSpan w:val="7"/>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 Value</w:t>
            </w:r>
          </w:p>
        </w:tc>
        <w:tc>
          <w:tcPr>
            <w:tcW w:w="215" w:type="dxa"/>
            <w:tcBorders/>
            <w:shd w:fill="auto" w:val="clear"/>
            <w:vAlign w:val="bottom"/>
          </w:tcPr>
          <w:p>
            <w:pPr>
              <w:pStyle w:val="TableContents"/>
              <w:spacing w:before="0" w:after="283"/>
              <w:jc w:val="left"/>
              <w:rPr/>
            </w:pPr>
            <w:r>
              <w:rPr/>
              <w:t> </w:t>
            </w:r>
          </w:p>
        </w:tc>
      </w:tr>
      <w:tr>
        <w:trPr/>
        <w:tc>
          <w:tcPr>
            <w:tcW w:w="1625" w:type="dxa"/>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Industry</w:t>
            </w:r>
          </w:p>
        </w:tc>
        <w:tc>
          <w:tcPr>
            <w:tcW w:w="60" w:type="dxa"/>
            <w:tcBorders/>
            <w:shd w:fill="auto" w:val="clear"/>
            <w:vAlign w:val="bottom"/>
          </w:tcPr>
          <w:p>
            <w:pPr>
              <w:pStyle w:val="TableContents"/>
              <w:spacing w:before="0" w:after="283"/>
              <w:rPr/>
            </w:pPr>
            <w:r>
              <w:rPr/>
              <w:t> </w:t>
            </w:r>
          </w:p>
        </w:tc>
        <w:tc>
          <w:tcPr>
            <w:tcW w:w="1300" w:type="dxa"/>
            <w:gridSpan w:val="3"/>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60" w:type="dxa"/>
            <w:tcBorders/>
            <w:shd w:fill="auto" w:val="clear"/>
            <w:vAlign w:val="bottom"/>
          </w:tcPr>
          <w:p>
            <w:pPr>
              <w:pStyle w:val="TableContents"/>
              <w:spacing w:before="0" w:after="283"/>
              <w:jc w:val="left"/>
              <w:rPr/>
            </w:pPr>
            <w:r>
              <w:rPr/>
              <w:t> </w:t>
            </w:r>
          </w:p>
        </w:tc>
        <w:tc>
          <w:tcPr>
            <w:tcW w:w="680" w:type="dxa"/>
            <w:gridSpan w:val="3"/>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t>
            </w:r>
          </w:p>
        </w:tc>
        <w:tc>
          <w:tcPr>
            <w:tcW w:w="215" w:type="dxa"/>
            <w:tcBorders/>
            <w:shd w:fill="auto" w:val="clear"/>
            <w:vAlign w:val="bottom"/>
          </w:tcPr>
          <w:p>
            <w:pPr>
              <w:pStyle w:val="TableContents"/>
              <w:spacing w:before="0" w:after="283"/>
              <w:jc w:val="left"/>
              <w:rPr/>
            </w:pPr>
            <w:r>
              <w:rPr/>
              <w:t> </w:t>
            </w:r>
          </w:p>
        </w:tc>
        <w:tc>
          <w:tcPr>
            <w:tcW w:w="1300" w:type="dxa"/>
            <w:gridSpan w:val="3"/>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60" w:type="dxa"/>
            <w:tcBorders/>
            <w:shd w:fill="auto" w:val="clear"/>
            <w:vAlign w:val="bottom"/>
          </w:tcPr>
          <w:p>
            <w:pPr>
              <w:pStyle w:val="TableContents"/>
              <w:spacing w:before="0" w:after="283"/>
              <w:jc w:val="left"/>
              <w:rPr/>
            </w:pPr>
            <w:r>
              <w:rPr/>
              <w:t> </w:t>
            </w:r>
          </w:p>
        </w:tc>
        <w:tc>
          <w:tcPr>
            <w:tcW w:w="680" w:type="dxa"/>
            <w:gridSpan w:val="3"/>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t>
            </w:r>
          </w:p>
        </w:tc>
        <w:tc>
          <w:tcPr>
            <w:tcW w:w="215" w:type="dxa"/>
            <w:tcBorders/>
            <w:shd w:fill="auto" w:val="clear"/>
            <w:vAlign w:val="bottom"/>
          </w:tcPr>
          <w:p>
            <w:pPr>
              <w:pStyle w:val="TableContents"/>
              <w:spacing w:before="0" w:after="283"/>
              <w:jc w:val="left"/>
              <w:rPr/>
            </w:pPr>
            <w:r>
              <w:rPr/>
              <w:t> </w:t>
            </w:r>
          </w:p>
        </w:tc>
      </w:tr>
      <w:tr>
        <w:trPr/>
        <w:tc>
          <w:tcPr>
            <w:tcW w:w="1625" w:type="dxa"/>
            <w:tcBorders/>
            <w:shd w:fill="CCEEFF" w:val="clear"/>
            <w:vAlign w:val="bottom"/>
          </w:tcPr>
          <w:p>
            <w:pPr>
              <w:pStyle w:val="TableContents"/>
              <w:spacing w:before="0" w:after="0"/>
              <w:ind w:left="180" w:right="0" w:hanging="180"/>
              <w:rPr>
                <w:color w:val="000000"/>
              </w:rPr>
            </w:pPr>
            <w:r>
              <w:rPr>
                <w:color w:val="000000"/>
              </w:rPr>
              <w:t>Wholesale Trade</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1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54,910,290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1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1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55,623,299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15" w:type="dxa"/>
            <w:tcBorders/>
            <w:shd w:fill="CCEEFF" w:val="clear"/>
            <w:vAlign w:val="bottom"/>
          </w:tcPr>
          <w:p>
            <w:pPr>
              <w:pStyle w:val="TableContents"/>
              <w:spacing w:before="0" w:after="0"/>
              <w:jc w:val="left"/>
              <w:rPr>
                <w:color w:val="000000"/>
              </w:rPr>
            </w:pPr>
            <w:r>
              <w:rPr>
                <w:color w:val="000000"/>
              </w:rPr>
              <w:t>%</w:t>
            </w:r>
          </w:p>
        </w:tc>
      </w:tr>
      <w:tr>
        <w:trPr/>
        <w:tc>
          <w:tcPr>
            <w:tcW w:w="1625" w:type="dxa"/>
            <w:tcBorders/>
            <w:shd w:fill="auto" w:val="clear"/>
            <w:vAlign w:val="bottom"/>
          </w:tcPr>
          <w:p>
            <w:pPr>
              <w:pStyle w:val="TableContents"/>
              <w:spacing w:before="0" w:after="0"/>
              <w:ind w:left="360" w:right="0" w:hanging="180"/>
              <w:rPr>
                <w:color w:val="000000"/>
              </w:rPr>
            </w:pPr>
            <w:r>
              <w:rPr>
                <w:color w:val="000000"/>
              </w:rPr>
              <w:t>Total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10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54,910,290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100.0</w:t>
            </w:r>
          </w:p>
        </w:tc>
        <w:tc>
          <w:tcPr>
            <w:tcW w:w="21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10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55,623,299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100.0</w:t>
            </w:r>
          </w:p>
        </w:tc>
        <w:tc>
          <w:tcPr>
            <w:tcW w:w="215" w:type="dxa"/>
            <w:tcBorders/>
            <w:shd w:fill="auto" w:val="clear"/>
            <w:vAlign w:val="bottom"/>
          </w:tcPr>
          <w:p>
            <w:pPr>
              <w:pStyle w:val="TableContents"/>
              <w:spacing w:before="0" w:after="0"/>
              <w:jc w:val="left"/>
              <w:rPr>
                <w:color w:val="000000"/>
              </w:rPr>
            </w:pPr>
            <w:r>
              <w:rPr>
                <w:color w:val="000000"/>
              </w:rPr>
              <w:t>%</w:t>
            </w:r>
          </w:p>
        </w:tc>
      </w:tr>
    </w:tbl>
    <w:p>
      <w:pPr>
        <w:pStyle w:val="TextBody"/>
        <w:spacing w:before="0" w:after="0"/>
        <w:jc w:val="left"/>
        <w:rPr>
          <w:color w:val="000000"/>
        </w:rPr>
      </w:pPr>
      <w:r>
        <w:rPr>
          <w:color w:val="000000"/>
        </w:rPr>
        <w:t> </w:t>
      </w:r>
    </w:p>
    <w:tbl>
      <w:tblPr>
        <w:tblW w:w="6225" w:type="dxa"/>
        <w:jc w:val="center"/>
        <w:tblInd w:w="0" w:type="dxa"/>
        <w:tblCellMar>
          <w:top w:w="0" w:type="dxa"/>
          <w:left w:w="0" w:type="dxa"/>
          <w:bottom w:w="0" w:type="dxa"/>
          <w:right w:w="0" w:type="dxa"/>
        </w:tblCellMar>
      </w:tblPr>
      <w:tblGrid>
        <w:gridCol w:w="1640"/>
        <w:gridCol w:w="60"/>
        <w:gridCol w:w="60"/>
        <w:gridCol w:w="140"/>
        <w:gridCol w:w="1100"/>
        <w:gridCol w:w="60"/>
        <w:gridCol w:w="60"/>
        <w:gridCol w:w="60"/>
        <w:gridCol w:w="560"/>
        <w:gridCol w:w="215"/>
        <w:gridCol w:w="60"/>
        <w:gridCol w:w="140"/>
        <w:gridCol w:w="1100"/>
        <w:gridCol w:w="60"/>
        <w:gridCol w:w="60"/>
        <w:gridCol w:w="60"/>
        <w:gridCol w:w="560"/>
        <w:gridCol w:w="230"/>
      </w:tblGrid>
      <w:tr>
        <w:trPr/>
        <w:tc>
          <w:tcPr>
            <w:tcW w:w="16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95" w:type="dxa"/>
            <w:gridSpan w:val="15"/>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 2022</w:t>
            </w:r>
          </w:p>
        </w:tc>
        <w:tc>
          <w:tcPr>
            <w:tcW w:w="230" w:type="dxa"/>
            <w:tcBorders/>
            <w:shd w:fill="auto" w:val="clear"/>
            <w:vAlign w:val="bottom"/>
          </w:tcPr>
          <w:p>
            <w:pPr>
              <w:pStyle w:val="TableContents"/>
              <w:spacing w:before="0" w:after="283"/>
              <w:jc w:val="left"/>
              <w:rPr/>
            </w:pPr>
            <w:r>
              <w:rPr/>
              <w:t> </w:t>
            </w:r>
          </w:p>
        </w:tc>
      </w:tr>
      <w:tr>
        <w:trPr/>
        <w:tc>
          <w:tcPr>
            <w:tcW w:w="16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40" w:type="dxa"/>
            <w:gridSpan w:val="7"/>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 Cost</w:t>
            </w:r>
          </w:p>
        </w:tc>
        <w:tc>
          <w:tcPr>
            <w:tcW w:w="215" w:type="dxa"/>
            <w:tcBorders/>
            <w:shd w:fill="auto" w:val="clear"/>
            <w:vAlign w:val="bottom"/>
          </w:tcPr>
          <w:p>
            <w:pPr>
              <w:pStyle w:val="TableContents"/>
              <w:spacing w:before="0" w:after="283"/>
              <w:jc w:val="left"/>
              <w:rPr/>
            </w:pPr>
            <w:r>
              <w:rPr/>
              <w:t> </w:t>
            </w:r>
          </w:p>
        </w:tc>
        <w:tc>
          <w:tcPr>
            <w:tcW w:w="2040" w:type="dxa"/>
            <w:gridSpan w:val="7"/>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 Value</w:t>
            </w:r>
          </w:p>
        </w:tc>
        <w:tc>
          <w:tcPr>
            <w:tcW w:w="230" w:type="dxa"/>
            <w:tcBorders/>
            <w:shd w:fill="auto" w:val="clear"/>
            <w:vAlign w:val="bottom"/>
          </w:tcPr>
          <w:p>
            <w:pPr>
              <w:pStyle w:val="TableContents"/>
              <w:spacing w:before="0" w:after="283"/>
              <w:jc w:val="left"/>
              <w:rPr/>
            </w:pPr>
            <w:r>
              <w:rPr/>
              <w:t> </w:t>
            </w:r>
          </w:p>
        </w:tc>
      </w:tr>
      <w:tr>
        <w:trPr/>
        <w:tc>
          <w:tcPr>
            <w:tcW w:w="1640" w:type="dxa"/>
            <w:tcBorders>
              <w:bottom w:val="single" w:sz="12" w:space="0" w:color="000000"/>
            </w:tcBorders>
            <w:shd w:fill="auto" w:val="clear"/>
            <w:tcMar>
              <w:bottom w:w="28" w:type="dxa"/>
            </w:tcMar>
            <w:vAlign w:val="bottom"/>
          </w:tcPr>
          <w:p>
            <w:pPr>
              <w:pStyle w:val="TableContents"/>
              <w:spacing w:before="0" w:after="0"/>
              <w:ind w:left="144" w:right="0" w:hanging="144"/>
              <w:jc w:val="center"/>
              <w:rPr>
                <w:b/>
                <w:color w:val="000000"/>
              </w:rPr>
            </w:pPr>
            <w:r>
              <w:rPr>
                <w:b/>
                <w:color w:val="000000"/>
              </w:rPr>
              <w:t>Industry</w:t>
            </w:r>
          </w:p>
        </w:tc>
        <w:tc>
          <w:tcPr>
            <w:tcW w:w="60" w:type="dxa"/>
            <w:tcBorders/>
            <w:shd w:fill="auto" w:val="clear"/>
            <w:vAlign w:val="bottom"/>
          </w:tcPr>
          <w:p>
            <w:pPr>
              <w:pStyle w:val="TableContents"/>
              <w:spacing w:before="0" w:after="283"/>
              <w:rPr/>
            </w:pPr>
            <w:r>
              <w:rPr/>
              <w:t> </w:t>
            </w:r>
          </w:p>
        </w:tc>
        <w:tc>
          <w:tcPr>
            <w:tcW w:w="1300" w:type="dxa"/>
            <w:gridSpan w:val="3"/>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60" w:type="dxa"/>
            <w:tcBorders/>
            <w:shd w:fill="auto" w:val="clear"/>
            <w:vAlign w:val="bottom"/>
          </w:tcPr>
          <w:p>
            <w:pPr>
              <w:pStyle w:val="TableContents"/>
              <w:spacing w:before="0" w:after="283"/>
              <w:jc w:val="left"/>
              <w:rPr/>
            </w:pPr>
            <w:r>
              <w:rPr/>
              <w:t> </w:t>
            </w:r>
          </w:p>
        </w:tc>
        <w:tc>
          <w:tcPr>
            <w:tcW w:w="680" w:type="dxa"/>
            <w:gridSpan w:val="3"/>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t>
            </w:r>
          </w:p>
        </w:tc>
        <w:tc>
          <w:tcPr>
            <w:tcW w:w="215" w:type="dxa"/>
            <w:tcBorders/>
            <w:shd w:fill="auto" w:val="clear"/>
            <w:vAlign w:val="bottom"/>
          </w:tcPr>
          <w:p>
            <w:pPr>
              <w:pStyle w:val="TableContents"/>
              <w:spacing w:before="0" w:after="283"/>
              <w:jc w:val="left"/>
              <w:rPr/>
            </w:pPr>
            <w:r>
              <w:rPr/>
              <w:t> </w:t>
            </w:r>
          </w:p>
        </w:tc>
        <w:tc>
          <w:tcPr>
            <w:tcW w:w="1300" w:type="dxa"/>
            <w:gridSpan w:val="3"/>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60" w:type="dxa"/>
            <w:tcBorders/>
            <w:shd w:fill="auto" w:val="clear"/>
            <w:vAlign w:val="bottom"/>
          </w:tcPr>
          <w:p>
            <w:pPr>
              <w:pStyle w:val="TableContents"/>
              <w:spacing w:before="0" w:after="283"/>
              <w:jc w:val="left"/>
              <w:rPr/>
            </w:pPr>
            <w:r>
              <w:rPr/>
              <w:t> </w:t>
            </w:r>
          </w:p>
        </w:tc>
        <w:tc>
          <w:tcPr>
            <w:tcW w:w="680" w:type="dxa"/>
            <w:gridSpan w:val="3"/>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t>
            </w:r>
          </w:p>
        </w:tc>
        <w:tc>
          <w:tcPr>
            <w:tcW w:w="230" w:type="dxa"/>
            <w:tcBorders/>
            <w:shd w:fill="auto" w:val="clear"/>
            <w:vAlign w:val="bottom"/>
          </w:tcPr>
          <w:p>
            <w:pPr>
              <w:pStyle w:val="TableContents"/>
              <w:spacing w:before="0" w:after="283"/>
              <w:jc w:val="left"/>
              <w:rPr/>
            </w:pPr>
            <w:r>
              <w:rPr/>
              <w:t> </w:t>
            </w:r>
          </w:p>
        </w:tc>
      </w:tr>
      <w:tr>
        <w:trPr/>
        <w:tc>
          <w:tcPr>
            <w:tcW w:w="1640" w:type="dxa"/>
            <w:tcBorders/>
            <w:shd w:fill="CCEEFF" w:val="clear"/>
            <w:vAlign w:val="bottom"/>
          </w:tcPr>
          <w:p>
            <w:pPr>
              <w:pStyle w:val="TableContents"/>
              <w:spacing w:before="0" w:after="0"/>
              <w:ind w:left="144" w:right="0" w:hanging="144"/>
              <w:rPr>
                <w:color w:val="000000"/>
              </w:rPr>
            </w:pPr>
            <w:r>
              <w:rPr>
                <w:color w:val="000000"/>
              </w:rPr>
              <w:t>Wholesale Trade</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1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50,527,898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1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1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50,254,550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30" w:type="dxa"/>
            <w:tcBorders/>
            <w:shd w:fill="CCEEFF" w:val="clear"/>
            <w:vAlign w:val="bottom"/>
          </w:tcPr>
          <w:p>
            <w:pPr>
              <w:pStyle w:val="TableContents"/>
              <w:spacing w:before="0" w:after="0"/>
              <w:jc w:val="left"/>
              <w:rPr>
                <w:color w:val="000000"/>
              </w:rPr>
            </w:pPr>
            <w:r>
              <w:rPr>
                <w:color w:val="000000"/>
              </w:rPr>
              <w:t>%</w:t>
            </w:r>
          </w:p>
        </w:tc>
      </w:tr>
      <w:tr>
        <w:trPr/>
        <w:tc>
          <w:tcPr>
            <w:tcW w:w="1640" w:type="dxa"/>
            <w:tcBorders/>
            <w:shd w:fill="auto" w:val="clear"/>
            <w:vAlign w:val="bottom"/>
          </w:tcPr>
          <w:p>
            <w:pPr>
              <w:pStyle w:val="TableContents"/>
              <w:spacing w:before="0" w:after="0"/>
              <w:ind w:left="324" w:right="0" w:hanging="144"/>
              <w:rPr>
                <w:color w:val="000000"/>
              </w:rPr>
            </w:pPr>
            <w:r>
              <w:rPr>
                <w:color w:val="000000"/>
              </w:rPr>
              <w:t>Total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10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50,527,898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100.0</w:t>
            </w:r>
          </w:p>
        </w:tc>
        <w:tc>
          <w:tcPr>
            <w:tcW w:w="21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10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50,254,550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100.0</w:t>
            </w:r>
          </w:p>
        </w:tc>
        <w:tc>
          <w:tcPr>
            <w:tcW w:w="230" w:type="dxa"/>
            <w:tcBorders/>
            <w:shd w:fill="auto" w:val="clear"/>
            <w:vAlign w:val="bottom"/>
          </w:tcPr>
          <w:p>
            <w:pPr>
              <w:pStyle w:val="TableContents"/>
              <w:spacing w:before="0" w:after="0"/>
              <w:jc w:val="left"/>
              <w:rPr>
                <w:color w:val="000000"/>
              </w:rPr>
            </w:pPr>
            <w:r>
              <w:rPr>
                <w:color w:val="000000"/>
              </w:rPr>
              <w:t>%</w:t>
            </w:r>
          </w:p>
        </w:tc>
      </w:tr>
    </w:tbl>
    <w:p>
      <w:pPr>
        <w:pStyle w:val="TextBody"/>
        <w:spacing w:before="0" w:after="0"/>
        <w:jc w:val="center"/>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geographic composition is determined by the location of headquarters of the portfolio company. The following tables summarize the composition of the Company’s portfolio investments by geographic region of the United States at cost and fair value and as a percentage of the total portfolio as of March 31, 2023 and December 31, 2022. Geographic regions are defined as:  West, for the states of WA, OR, ID, MT, WY, CO, AK, HI, UT, NV and CA; Midwest, for the states ND, SD, NE, KS, MO, IA, MN, WI, MI, IL, IN and OH; Northeast, for the states PA, NJ, NY, CT, RI, MA, VT, NH and ME; Southeast, for the states of AR, LA, MS, TN, KY, AL, FL, GA, SC, NC, VA, DE, WV and MD; and Southwest, for the states of AZ, NM, TX and OK.</w:t>
      </w:r>
    </w:p>
    <w:p>
      <w:pPr>
        <w:pStyle w:val="TextBody"/>
        <w:spacing w:before="0" w:after="0"/>
        <w:jc w:val="left"/>
        <w:rPr>
          <w:color w:val="000000"/>
        </w:rPr>
      </w:pPr>
      <w:r>
        <w:rPr>
          <w:color w:val="000000"/>
        </w:rPr>
        <w:t> </w:t>
      </w:r>
    </w:p>
    <w:tbl>
      <w:tblPr>
        <w:tblW w:w="6765" w:type="dxa"/>
        <w:jc w:val="left"/>
        <w:tblInd w:w="0" w:type="dxa"/>
        <w:tblCellMar>
          <w:top w:w="0" w:type="dxa"/>
          <w:left w:w="0" w:type="dxa"/>
          <w:bottom w:w="0" w:type="dxa"/>
          <w:right w:w="0" w:type="dxa"/>
        </w:tblCellMar>
      </w:tblPr>
      <w:tblGrid>
        <w:gridCol w:w="2180"/>
        <w:gridCol w:w="60"/>
        <w:gridCol w:w="60"/>
        <w:gridCol w:w="140"/>
        <w:gridCol w:w="1100"/>
        <w:gridCol w:w="60"/>
        <w:gridCol w:w="60"/>
        <w:gridCol w:w="60"/>
        <w:gridCol w:w="560"/>
        <w:gridCol w:w="215"/>
        <w:gridCol w:w="60"/>
        <w:gridCol w:w="140"/>
        <w:gridCol w:w="1100"/>
        <w:gridCol w:w="60"/>
        <w:gridCol w:w="60"/>
        <w:gridCol w:w="60"/>
        <w:gridCol w:w="560"/>
        <w:gridCol w:w="230"/>
      </w:tblGrid>
      <w:tr>
        <w:trPr/>
        <w:tc>
          <w:tcPr>
            <w:tcW w:w="2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95" w:type="dxa"/>
            <w:gridSpan w:val="15"/>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 2023</w:t>
            </w:r>
          </w:p>
        </w:tc>
        <w:tc>
          <w:tcPr>
            <w:tcW w:w="230" w:type="dxa"/>
            <w:tcBorders/>
            <w:shd w:fill="auto" w:val="clear"/>
            <w:vAlign w:val="bottom"/>
          </w:tcPr>
          <w:p>
            <w:pPr>
              <w:pStyle w:val="TableContents"/>
              <w:spacing w:before="0" w:after="283"/>
              <w:jc w:val="left"/>
              <w:rPr/>
            </w:pPr>
            <w:r>
              <w:rPr/>
              <w:t> </w:t>
            </w:r>
          </w:p>
        </w:tc>
      </w:tr>
      <w:tr>
        <w:trPr/>
        <w:tc>
          <w:tcPr>
            <w:tcW w:w="2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40" w:type="dxa"/>
            <w:gridSpan w:val="7"/>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 Cost</w:t>
            </w:r>
          </w:p>
        </w:tc>
        <w:tc>
          <w:tcPr>
            <w:tcW w:w="215" w:type="dxa"/>
            <w:tcBorders/>
            <w:shd w:fill="auto" w:val="clear"/>
            <w:vAlign w:val="bottom"/>
          </w:tcPr>
          <w:p>
            <w:pPr>
              <w:pStyle w:val="TableContents"/>
              <w:spacing w:before="0" w:after="283"/>
              <w:jc w:val="left"/>
              <w:rPr/>
            </w:pPr>
            <w:r>
              <w:rPr/>
              <w:t> </w:t>
            </w:r>
          </w:p>
        </w:tc>
        <w:tc>
          <w:tcPr>
            <w:tcW w:w="2040" w:type="dxa"/>
            <w:gridSpan w:val="7"/>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 Value</w:t>
            </w:r>
          </w:p>
        </w:tc>
        <w:tc>
          <w:tcPr>
            <w:tcW w:w="230" w:type="dxa"/>
            <w:tcBorders/>
            <w:shd w:fill="auto" w:val="clear"/>
            <w:vAlign w:val="bottom"/>
          </w:tcPr>
          <w:p>
            <w:pPr>
              <w:pStyle w:val="TableContents"/>
              <w:spacing w:before="0" w:after="283"/>
              <w:jc w:val="left"/>
              <w:rPr/>
            </w:pPr>
            <w:r>
              <w:rPr/>
              <w:t> </w:t>
            </w:r>
          </w:p>
        </w:tc>
      </w:tr>
      <w:tr>
        <w:trPr/>
        <w:tc>
          <w:tcPr>
            <w:tcW w:w="2180" w:type="dxa"/>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Geographic Location</w:t>
            </w:r>
          </w:p>
        </w:tc>
        <w:tc>
          <w:tcPr>
            <w:tcW w:w="60" w:type="dxa"/>
            <w:tcBorders/>
            <w:shd w:fill="auto" w:val="clear"/>
            <w:vAlign w:val="bottom"/>
          </w:tcPr>
          <w:p>
            <w:pPr>
              <w:pStyle w:val="TableContents"/>
              <w:spacing w:before="0" w:after="283"/>
              <w:rPr/>
            </w:pPr>
            <w:r>
              <w:rPr/>
              <w:t> </w:t>
            </w:r>
          </w:p>
        </w:tc>
        <w:tc>
          <w:tcPr>
            <w:tcW w:w="1300" w:type="dxa"/>
            <w:gridSpan w:val="3"/>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60" w:type="dxa"/>
            <w:tcBorders/>
            <w:shd w:fill="auto" w:val="clear"/>
            <w:vAlign w:val="bottom"/>
          </w:tcPr>
          <w:p>
            <w:pPr>
              <w:pStyle w:val="TableContents"/>
              <w:spacing w:before="0" w:after="283"/>
              <w:jc w:val="left"/>
              <w:rPr/>
            </w:pPr>
            <w:r>
              <w:rPr/>
              <w:t> </w:t>
            </w:r>
          </w:p>
        </w:tc>
        <w:tc>
          <w:tcPr>
            <w:tcW w:w="680" w:type="dxa"/>
            <w:gridSpan w:val="3"/>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t>
            </w:r>
          </w:p>
        </w:tc>
        <w:tc>
          <w:tcPr>
            <w:tcW w:w="215" w:type="dxa"/>
            <w:tcBorders/>
            <w:shd w:fill="auto" w:val="clear"/>
            <w:vAlign w:val="bottom"/>
          </w:tcPr>
          <w:p>
            <w:pPr>
              <w:pStyle w:val="TableContents"/>
              <w:spacing w:before="0" w:after="283"/>
              <w:jc w:val="left"/>
              <w:rPr/>
            </w:pPr>
            <w:r>
              <w:rPr/>
              <w:t> </w:t>
            </w:r>
          </w:p>
        </w:tc>
        <w:tc>
          <w:tcPr>
            <w:tcW w:w="1300" w:type="dxa"/>
            <w:gridSpan w:val="3"/>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60" w:type="dxa"/>
            <w:tcBorders/>
            <w:shd w:fill="auto" w:val="clear"/>
            <w:vAlign w:val="bottom"/>
          </w:tcPr>
          <w:p>
            <w:pPr>
              <w:pStyle w:val="TableContents"/>
              <w:spacing w:before="0" w:after="283"/>
              <w:jc w:val="left"/>
              <w:rPr/>
            </w:pPr>
            <w:r>
              <w:rPr/>
              <w:t> </w:t>
            </w:r>
          </w:p>
        </w:tc>
        <w:tc>
          <w:tcPr>
            <w:tcW w:w="680" w:type="dxa"/>
            <w:gridSpan w:val="3"/>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t>
            </w:r>
          </w:p>
        </w:tc>
        <w:tc>
          <w:tcPr>
            <w:tcW w:w="230" w:type="dxa"/>
            <w:tcBorders/>
            <w:shd w:fill="auto" w:val="clear"/>
            <w:vAlign w:val="bottom"/>
          </w:tcPr>
          <w:p>
            <w:pPr>
              <w:pStyle w:val="TableContents"/>
              <w:spacing w:before="0" w:after="283"/>
              <w:jc w:val="left"/>
              <w:rPr/>
            </w:pPr>
            <w:r>
              <w:rPr/>
              <w:t> </w:t>
            </w:r>
          </w:p>
        </w:tc>
      </w:tr>
      <w:tr>
        <w:trPr/>
        <w:tc>
          <w:tcPr>
            <w:tcW w:w="2180" w:type="dxa"/>
            <w:tcBorders/>
            <w:shd w:fill="CCEEFF" w:val="clear"/>
            <w:vAlign w:val="bottom"/>
          </w:tcPr>
          <w:p>
            <w:pPr>
              <w:pStyle w:val="TableContents"/>
              <w:spacing w:before="0" w:after="0"/>
              <w:ind w:left="180" w:right="0" w:hanging="180"/>
              <w:rPr>
                <w:color w:val="000000"/>
              </w:rPr>
            </w:pPr>
            <w:r>
              <w:rPr>
                <w:color w:val="000000"/>
              </w:rPr>
              <w:t>Midwest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1100" w:type="dxa"/>
            <w:tcBorders/>
            <w:shd w:fill="CCEEFF" w:val="clear"/>
            <w:vAlign w:val="bottom"/>
          </w:tcPr>
          <w:p>
            <w:pPr>
              <w:pStyle w:val="TableContents"/>
              <w:spacing w:before="0" w:after="0"/>
              <w:jc w:val="right"/>
              <w:rPr>
                <w:color w:val="000000"/>
              </w:rPr>
            </w:pPr>
            <w:r>
              <w:rPr>
                <w:color w:val="000000"/>
              </w:rPr>
              <w:t>24,472,332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color w:val="000000"/>
              </w:rPr>
            </w:pPr>
            <w:r>
              <w:rPr>
                <w:color w:val="000000"/>
              </w:rPr>
              <w:t>44.5</w:t>
            </w:r>
          </w:p>
        </w:tc>
        <w:tc>
          <w:tcPr>
            <w:tcW w:w="21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1100" w:type="dxa"/>
            <w:tcBorders/>
            <w:shd w:fill="CCEEFF" w:val="clear"/>
            <w:vAlign w:val="bottom"/>
          </w:tcPr>
          <w:p>
            <w:pPr>
              <w:pStyle w:val="TableContents"/>
              <w:spacing w:before="0" w:after="0"/>
              <w:jc w:val="right"/>
              <w:rPr>
                <w:color w:val="000000"/>
              </w:rPr>
            </w:pPr>
            <w:r>
              <w:rPr>
                <w:color w:val="000000"/>
              </w:rPr>
              <w:t>24,959,628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color w:val="000000"/>
              </w:rPr>
            </w:pPr>
            <w:r>
              <w:rPr>
                <w:color w:val="000000"/>
              </w:rPr>
              <w:t>44.9</w:t>
            </w:r>
          </w:p>
        </w:tc>
        <w:tc>
          <w:tcPr>
            <w:tcW w:w="230" w:type="dxa"/>
            <w:tcBorders/>
            <w:shd w:fill="CCEEFF" w:val="clear"/>
            <w:vAlign w:val="bottom"/>
          </w:tcPr>
          <w:p>
            <w:pPr>
              <w:pStyle w:val="TableContents"/>
              <w:spacing w:before="0" w:after="0"/>
              <w:jc w:val="left"/>
              <w:rPr>
                <w:color w:val="000000"/>
              </w:rPr>
            </w:pPr>
            <w:r>
              <w:rPr>
                <w:color w:val="000000"/>
              </w:rPr>
              <w:t>%</w:t>
            </w:r>
          </w:p>
        </w:tc>
      </w:tr>
      <w:tr>
        <w:trPr/>
        <w:tc>
          <w:tcPr>
            <w:tcW w:w="2180" w:type="dxa"/>
            <w:tcBorders/>
            <w:shd w:fill="auto" w:val="clear"/>
            <w:vAlign w:val="bottom"/>
          </w:tcPr>
          <w:p>
            <w:pPr>
              <w:pStyle w:val="TableContents"/>
              <w:spacing w:before="0" w:after="0"/>
              <w:ind w:left="180" w:right="0" w:hanging="180"/>
              <w:rPr>
                <w:color w:val="000000"/>
              </w:rPr>
            </w:pPr>
            <w:r>
              <w:rPr>
                <w:color w:val="000000"/>
              </w:rPr>
              <w:t>West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0"/>
              <w:jc w:val="right"/>
              <w:rPr>
                <w:color w:val="000000"/>
              </w:rPr>
            </w:pPr>
            <w:r>
              <w:rPr>
                <w:color w:val="000000"/>
              </w:rPr>
              <w:t>20,509,585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color w:val="000000"/>
              </w:rPr>
            </w:pPr>
            <w:r>
              <w:rPr>
                <w:color w:val="000000"/>
              </w:rPr>
              <w:t>37.4</w:t>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0"/>
              <w:jc w:val="right"/>
              <w:rPr>
                <w:color w:val="000000"/>
              </w:rPr>
            </w:pPr>
            <w:r>
              <w:rPr>
                <w:color w:val="000000"/>
              </w:rPr>
              <w:t>20,571,719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color w:val="000000"/>
              </w:rPr>
            </w:pPr>
            <w:r>
              <w:rPr>
                <w:color w:val="000000"/>
              </w:rPr>
              <w:t>37.0</w:t>
            </w:r>
          </w:p>
        </w:tc>
        <w:tc>
          <w:tcPr>
            <w:tcW w:w="230" w:type="dxa"/>
            <w:tcBorders/>
            <w:shd w:fill="auto" w:val="clear"/>
            <w:vAlign w:val="bottom"/>
          </w:tcPr>
          <w:p>
            <w:pPr>
              <w:pStyle w:val="TableContents"/>
              <w:spacing w:before="0" w:after="283"/>
              <w:rPr>
                <w:sz w:val="4"/>
                <w:szCs w:val="4"/>
              </w:rPr>
            </w:pPr>
            <w:r>
              <w:rPr>
                <w:sz w:val="4"/>
                <w:szCs w:val="4"/>
              </w:rPr>
            </w:r>
          </w:p>
        </w:tc>
      </w:tr>
      <w:tr>
        <w:trPr/>
        <w:tc>
          <w:tcPr>
            <w:tcW w:w="2180" w:type="dxa"/>
            <w:tcBorders/>
            <w:shd w:fill="CCEEFF" w:val="clear"/>
            <w:vAlign w:val="bottom"/>
          </w:tcPr>
          <w:p>
            <w:pPr>
              <w:pStyle w:val="TableContents"/>
              <w:spacing w:before="0" w:after="0"/>
              <w:ind w:left="180" w:right="0" w:hanging="180"/>
              <w:rPr>
                <w:color w:val="000000"/>
              </w:rPr>
            </w:pPr>
            <w:r>
              <w:rPr>
                <w:color w:val="000000"/>
              </w:rPr>
              <w:t>Northeast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0"/>
              <w:jc w:val="right"/>
              <w:rPr>
                <w:color w:val="000000"/>
              </w:rPr>
            </w:pPr>
            <w:r>
              <w:rPr>
                <w:color w:val="000000"/>
              </w:rPr>
              <w:t>8,130,300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color w:val="000000"/>
              </w:rPr>
            </w:pPr>
            <w:r>
              <w:rPr>
                <w:color w:val="000000"/>
              </w:rPr>
              <w:t>14.8</w:t>
            </w:r>
          </w:p>
        </w:tc>
        <w:tc>
          <w:tcPr>
            <w:tcW w:w="2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0"/>
              <w:jc w:val="right"/>
              <w:rPr>
                <w:color w:val="000000"/>
              </w:rPr>
            </w:pPr>
            <w:r>
              <w:rPr>
                <w:color w:val="000000"/>
              </w:rPr>
              <w:t>8,287,292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color w:val="000000"/>
              </w:rPr>
            </w:pPr>
            <w:r>
              <w:rPr>
                <w:color w:val="000000"/>
              </w:rPr>
              <w:t>14.9</w:t>
            </w:r>
          </w:p>
        </w:tc>
        <w:tc>
          <w:tcPr>
            <w:tcW w:w="230" w:type="dxa"/>
            <w:tcBorders/>
            <w:shd w:fill="CCEEFF" w:val="clear"/>
            <w:vAlign w:val="bottom"/>
          </w:tcPr>
          <w:p>
            <w:pPr>
              <w:pStyle w:val="TableContents"/>
              <w:spacing w:before="0" w:after="283"/>
              <w:rPr>
                <w:sz w:val="4"/>
                <w:szCs w:val="4"/>
              </w:rPr>
            </w:pPr>
            <w:r>
              <w:rPr>
                <w:sz w:val="4"/>
                <w:szCs w:val="4"/>
              </w:rPr>
            </w:r>
          </w:p>
        </w:tc>
      </w:tr>
      <w:tr>
        <w:trPr/>
        <w:tc>
          <w:tcPr>
            <w:tcW w:w="2180" w:type="dxa"/>
            <w:tcBorders/>
            <w:shd w:fill="auto" w:val="clear"/>
            <w:vAlign w:val="bottom"/>
          </w:tcPr>
          <w:p>
            <w:pPr>
              <w:pStyle w:val="TableContents"/>
              <w:spacing w:before="0" w:after="0"/>
              <w:ind w:left="180" w:right="0" w:hanging="180"/>
              <w:rPr>
                <w:color w:val="000000"/>
              </w:rPr>
            </w:pPr>
            <w:r>
              <w:rPr>
                <w:color w:val="000000"/>
              </w:rPr>
              <w:t>Southeast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1,798,073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3.3</w:t>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1,804,660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3.2</w:t>
            </w:r>
          </w:p>
        </w:tc>
        <w:tc>
          <w:tcPr>
            <w:tcW w:w="230" w:type="dxa"/>
            <w:tcBorders/>
            <w:shd w:fill="auto" w:val="clear"/>
            <w:vAlign w:val="bottom"/>
          </w:tcPr>
          <w:p>
            <w:pPr>
              <w:pStyle w:val="TableContents"/>
              <w:spacing w:before="0" w:after="283"/>
              <w:rPr>
                <w:sz w:val="4"/>
                <w:szCs w:val="4"/>
              </w:rPr>
            </w:pPr>
            <w:r>
              <w:rPr>
                <w:sz w:val="4"/>
                <w:szCs w:val="4"/>
              </w:rPr>
            </w:r>
          </w:p>
        </w:tc>
      </w:tr>
      <w:tr>
        <w:trPr/>
        <w:tc>
          <w:tcPr>
            <w:tcW w:w="2180" w:type="dxa"/>
            <w:tcBorders/>
            <w:shd w:fill="CCEEFF" w:val="clear"/>
            <w:vAlign w:val="bottom"/>
          </w:tcPr>
          <w:p>
            <w:pPr>
              <w:pStyle w:val="TableContents"/>
              <w:spacing w:before="0" w:after="0"/>
              <w:ind w:left="360" w:right="0" w:hanging="180"/>
              <w:rPr>
                <w:color w:val="000000"/>
              </w:rPr>
            </w:pPr>
            <w:r>
              <w:rPr>
                <w:color w:val="000000"/>
              </w:rPr>
              <w:t>Total</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1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54,910,290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1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1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55,623,299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30" w:type="dxa"/>
            <w:tcBorders/>
            <w:shd w:fill="CCEEFF" w:val="clear"/>
            <w:vAlign w:val="bottom"/>
          </w:tcPr>
          <w:p>
            <w:pPr>
              <w:pStyle w:val="TableContents"/>
              <w:spacing w:before="0" w:after="0"/>
              <w:jc w:val="left"/>
              <w:rPr>
                <w:color w:val="000000"/>
              </w:rPr>
            </w:pPr>
            <w:r>
              <w:rPr>
                <w:color w:val="000000"/>
              </w:rPr>
              <w:t>%</w:t>
            </w:r>
          </w:p>
        </w:tc>
      </w:tr>
    </w:tbl>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firstLine="180"/>
        <w:jc w:val="center"/>
        <w:rPr>
          <w:rFonts w:ascii="Times New Roman" w:hAnsi="Times New Roman"/>
          <w:b/>
          <w:color w:val="000000"/>
          <w:sz w:val="20"/>
        </w:rPr>
      </w:pPr>
      <w:r>
        <w:rPr>
          <w:rFonts w:ascii="Times New Roman" w:hAnsi="Times New Roman"/>
          <w:b/>
          <w:color w:val="000000"/>
          <w:sz w:val="20"/>
        </w:rPr>
        <w:t>SILVER SPIKE INVESTMENT CORP.</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Notes to Financial Statements</w:t>
      </w:r>
    </w:p>
    <w:p>
      <w:pPr>
        <w:pStyle w:val="TextBody"/>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spacing w:before="0" w:after="0"/>
        <w:jc w:val="center"/>
        <w:rPr>
          <w:rFonts w:ascii="Times New Roman" w:hAnsi="Times New Roman"/>
          <w:b/>
          <w:sz w:val="20"/>
        </w:rPr>
      </w:pPr>
      <w:r>
        <w:rPr>
          <w:rFonts w:ascii="Times New Roman" w:hAnsi="Times New Roman"/>
          <w:b/>
          <w:sz w:val="20"/>
        </w:rPr>
      </w:r>
    </w:p>
    <w:tbl>
      <w:tblPr>
        <w:tblW w:w="6705" w:type="dxa"/>
        <w:jc w:val="center"/>
        <w:tblInd w:w="0" w:type="dxa"/>
        <w:tblCellMar>
          <w:top w:w="0" w:type="dxa"/>
          <w:left w:w="0" w:type="dxa"/>
          <w:bottom w:w="0" w:type="dxa"/>
          <w:right w:w="0" w:type="dxa"/>
        </w:tblCellMar>
      </w:tblPr>
      <w:tblGrid>
        <w:gridCol w:w="2180"/>
        <w:gridCol w:w="60"/>
        <w:gridCol w:w="140"/>
        <w:gridCol w:w="1100"/>
        <w:gridCol w:w="60"/>
        <w:gridCol w:w="60"/>
        <w:gridCol w:w="60"/>
        <w:gridCol w:w="560"/>
        <w:gridCol w:w="215"/>
        <w:gridCol w:w="60"/>
        <w:gridCol w:w="140"/>
        <w:gridCol w:w="1100"/>
        <w:gridCol w:w="60"/>
        <w:gridCol w:w="60"/>
        <w:gridCol w:w="60"/>
        <w:gridCol w:w="560"/>
        <w:gridCol w:w="230"/>
      </w:tblGrid>
      <w:tr>
        <w:trPr/>
        <w:tc>
          <w:tcPr>
            <w:tcW w:w="2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35" w:type="dxa"/>
            <w:gridSpan w:val="14"/>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 2022</w:t>
            </w:r>
          </w:p>
        </w:tc>
        <w:tc>
          <w:tcPr>
            <w:tcW w:w="230" w:type="dxa"/>
            <w:tcBorders/>
            <w:shd w:fill="auto" w:val="clear"/>
            <w:vAlign w:val="bottom"/>
          </w:tcPr>
          <w:p>
            <w:pPr>
              <w:pStyle w:val="TableContents"/>
              <w:spacing w:before="0" w:after="283"/>
              <w:jc w:val="left"/>
              <w:rPr/>
            </w:pPr>
            <w:r>
              <w:rPr/>
              <w:t> </w:t>
            </w:r>
          </w:p>
        </w:tc>
      </w:tr>
      <w:tr>
        <w:trPr/>
        <w:tc>
          <w:tcPr>
            <w:tcW w:w="2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8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 Cost</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98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 Value</w:t>
            </w:r>
          </w:p>
        </w:tc>
        <w:tc>
          <w:tcPr>
            <w:tcW w:w="230" w:type="dxa"/>
            <w:tcBorders/>
            <w:shd w:fill="auto" w:val="clear"/>
            <w:vAlign w:val="bottom"/>
          </w:tcPr>
          <w:p>
            <w:pPr>
              <w:pStyle w:val="TableContents"/>
              <w:spacing w:before="0" w:after="283"/>
              <w:jc w:val="left"/>
              <w:rPr/>
            </w:pPr>
            <w:r>
              <w:rPr/>
              <w:t> </w:t>
            </w:r>
          </w:p>
        </w:tc>
      </w:tr>
      <w:tr>
        <w:trPr/>
        <w:tc>
          <w:tcPr>
            <w:tcW w:w="2180" w:type="dxa"/>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Geographic Location</w:t>
            </w:r>
          </w:p>
        </w:tc>
        <w:tc>
          <w:tcPr>
            <w:tcW w:w="60" w:type="dxa"/>
            <w:tcBorders/>
            <w:shd w:fill="auto" w:val="clear"/>
            <w:vAlign w:val="bottom"/>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t>
            </w:r>
          </w:p>
        </w:tc>
        <w:tc>
          <w:tcPr>
            <w:tcW w:w="230" w:type="dxa"/>
            <w:tcBorders/>
            <w:shd w:fill="auto" w:val="clear"/>
            <w:vAlign w:val="bottom"/>
          </w:tcPr>
          <w:p>
            <w:pPr>
              <w:pStyle w:val="TableContents"/>
              <w:spacing w:before="0" w:after="283"/>
              <w:jc w:val="left"/>
              <w:rPr/>
            </w:pPr>
            <w:r>
              <w:rPr/>
              <w:t> </w:t>
            </w:r>
          </w:p>
        </w:tc>
      </w:tr>
      <w:tr>
        <w:trPr/>
        <w:tc>
          <w:tcPr>
            <w:tcW w:w="2180" w:type="dxa"/>
            <w:tcBorders/>
            <w:shd w:fill="CCEEFF" w:val="clear"/>
            <w:vAlign w:val="bottom"/>
          </w:tcPr>
          <w:p>
            <w:pPr>
              <w:pStyle w:val="TableContents"/>
              <w:spacing w:before="0" w:after="0"/>
              <w:rPr>
                <w:color w:val="000000"/>
              </w:rPr>
            </w:pPr>
            <w:r>
              <w:rPr>
                <w:color w:val="000000"/>
              </w:rPr>
              <w:t>Midwest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1100" w:type="dxa"/>
            <w:tcBorders/>
            <w:shd w:fill="CCEEFF" w:val="clear"/>
            <w:vAlign w:val="bottom"/>
          </w:tcPr>
          <w:p>
            <w:pPr>
              <w:pStyle w:val="TableContents"/>
              <w:spacing w:before="0" w:after="0"/>
              <w:jc w:val="right"/>
              <w:rPr>
                <w:color w:val="000000"/>
              </w:rPr>
            </w:pPr>
            <w:r>
              <w:rPr>
                <w:color w:val="000000"/>
              </w:rPr>
              <w:t>24,420,752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color w:val="000000"/>
              </w:rPr>
            </w:pPr>
            <w:r>
              <w:rPr>
                <w:color w:val="000000"/>
              </w:rPr>
              <w:t>48.4</w:t>
            </w:r>
          </w:p>
        </w:tc>
        <w:tc>
          <w:tcPr>
            <w:tcW w:w="21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1100" w:type="dxa"/>
            <w:tcBorders/>
            <w:shd w:fill="CCEEFF" w:val="clear"/>
            <w:vAlign w:val="bottom"/>
          </w:tcPr>
          <w:p>
            <w:pPr>
              <w:pStyle w:val="TableContents"/>
              <w:spacing w:before="0" w:after="0"/>
              <w:jc w:val="right"/>
              <w:rPr>
                <w:color w:val="000000"/>
              </w:rPr>
            </w:pPr>
            <w:r>
              <w:rPr>
                <w:color w:val="000000"/>
              </w:rPr>
              <w:t>24,358,686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color w:val="000000"/>
              </w:rPr>
            </w:pPr>
            <w:r>
              <w:rPr>
                <w:color w:val="000000"/>
              </w:rPr>
              <w:t>48.5</w:t>
            </w:r>
          </w:p>
        </w:tc>
        <w:tc>
          <w:tcPr>
            <w:tcW w:w="230" w:type="dxa"/>
            <w:tcBorders/>
            <w:shd w:fill="CCEEFF" w:val="clear"/>
            <w:vAlign w:val="bottom"/>
          </w:tcPr>
          <w:p>
            <w:pPr>
              <w:pStyle w:val="TableContents"/>
              <w:spacing w:before="0" w:after="0"/>
              <w:jc w:val="left"/>
              <w:rPr>
                <w:color w:val="000000"/>
              </w:rPr>
            </w:pPr>
            <w:r>
              <w:rPr>
                <w:color w:val="000000"/>
              </w:rPr>
              <w:t>%</w:t>
            </w:r>
          </w:p>
        </w:tc>
      </w:tr>
      <w:tr>
        <w:trPr/>
        <w:tc>
          <w:tcPr>
            <w:tcW w:w="2180" w:type="dxa"/>
            <w:tcBorders/>
            <w:shd w:fill="auto" w:val="clear"/>
            <w:vAlign w:val="bottom"/>
          </w:tcPr>
          <w:p>
            <w:pPr>
              <w:pStyle w:val="TableContents"/>
              <w:spacing w:before="0" w:after="0"/>
              <w:rPr>
                <w:color w:val="000000"/>
              </w:rPr>
            </w:pPr>
            <w:r>
              <w:rPr>
                <w:color w:val="000000"/>
              </w:rPr>
              <w:t>West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0"/>
              <w:jc w:val="right"/>
              <w:rPr>
                <w:color w:val="000000"/>
              </w:rPr>
            </w:pPr>
            <w:r>
              <w:rPr>
                <w:color w:val="000000"/>
              </w:rPr>
              <w:t>20,479,987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color w:val="000000"/>
              </w:rPr>
            </w:pPr>
            <w:r>
              <w:rPr>
                <w:color w:val="000000"/>
              </w:rPr>
              <w:t>40.5</w:t>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0"/>
              <w:jc w:val="right"/>
              <w:rPr>
                <w:color w:val="000000"/>
              </w:rPr>
            </w:pPr>
            <w:r>
              <w:rPr>
                <w:color w:val="000000"/>
              </w:rPr>
              <w:t>20,268,705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color w:val="000000"/>
              </w:rPr>
            </w:pPr>
            <w:r>
              <w:rPr>
                <w:color w:val="000000"/>
              </w:rPr>
              <w:t>40.3</w:t>
            </w:r>
          </w:p>
        </w:tc>
        <w:tc>
          <w:tcPr>
            <w:tcW w:w="230" w:type="dxa"/>
            <w:tcBorders/>
            <w:shd w:fill="auto" w:val="clear"/>
            <w:vAlign w:val="bottom"/>
          </w:tcPr>
          <w:p>
            <w:pPr>
              <w:pStyle w:val="TableContents"/>
              <w:spacing w:before="0" w:after="283"/>
              <w:rPr>
                <w:sz w:val="4"/>
                <w:szCs w:val="4"/>
              </w:rPr>
            </w:pPr>
            <w:r>
              <w:rPr>
                <w:sz w:val="4"/>
                <w:szCs w:val="4"/>
              </w:rPr>
            </w:r>
          </w:p>
        </w:tc>
      </w:tr>
      <w:tr>
        <w:trPr/>
        <w:tc>
          <w:tcPr>
            <w:tcW w:w="2180" w:type="dxa"/>
            <w:tcBorders/>
            <w:shd w:fill="CCEEFF" w:val="clear"/>
            <w:vAlign w:val="bottom"/>
          </w:tcPr>
          <w:p>
            <w:pPr>
              <w:pStyle w:val="TableContents"/>
              <w:spacing w:before="0" w:after="0"/>
              <w:rPr>
                <w:color w:val="000000"/>
              </w:rPr>
            </w:pPr>
            <w:r>
              <w:rPr>
                <w:color w:val="000000"/>
              </w:rPr>
              <w:t>Northeast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0"/>
              <w:jc w:val="right"/>
              <w:rPr>
                <w:color w:val="000000"/>
              </w:rPr>
            </w:pPr>
            <w:r>
              <w:rPr>
                <w:color w:val="000000"/>
              </w:rPr>
              <w:t>3,854,475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color w:val="000000"/>
              </w:rPr>
            </w:pPr>
            <w:r>
              <w:rPr>
                <w:color w:val="000000"/>
              </w:rPr>
              <w:t>7.6</w:t>
            </w:r>
          </w:p>
        </w:tc>
        <w:tc>
          <w:tcPr>
            <w:tcW w:w="2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0"/>
              <w:jc w:val="right"/>
              <w:rPr>
                <w:color w:val="000000"/>
              </w:rPr>
            </w:pPr>
            <w:r>
              <w:rPr>
                <w:color w:val="000000"/>
              </w:rPr>
              <w:t>3,854,475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color w:val="000000"/>
              </w:rPr>
            </w:pPr>
            <w:r>
              <w:rPr>
                <w:color w:val="000000"/>
              </w:rPr>
              <w:t>7.7</w:t>
            </w:r>
          </w:p>
        </w:tc>
        <w:tc>
          <w:tcPr>
            <w:tcW w:w="230" w:type="dxa"/>
            <w:tcBorders/>
            <w:shd w:fill="CCEEFF" w:val="clear"/>
            <w:vAlign w:val="bottom"/>
          </w:tcPr>
          <w:p>
            <w:pPr>
              <w:pStyle w:val="TableContents"/>
              <w:spacing w:before="0" w:after="283"/>
              <w:rPr>
                <w:sz w:val="4"/>
                <w:szCs w:val="4"/>
              </w:rPr>
            </w:pPr>
            <w:r>
              <w:rPr>
                <w:sz w:val="4"/>
                <w:szCs w:val="4"/>
              </w:rPr>
            </w:r>
          </w:p>
        </w:tc>
      </w:tr>
      <w:tr>
        <w:trPr/>
        <w:tc>
          <w:tcPr>
            <w:tcW w:w="2180" w:type="dxa"/>
            <w:tcBorders/>
            <w:shd w:fill="auto" w:val="clear"/>
            <w:vAlign w:val="bottom"/>
          </w:tcPr>
          <w:p>
            <w:pPr>
              <w:pStyle w:val="TableContents"/>
              <w:spacing w:before="0" w:after="0"/>
              <w:rPr>
                <w:color w:val="000000"/>
              </w:rPr>
            </w:pPr>
            <w:r>
              <w:rPr>
                <w:color w:val="000000"/>
              </w:rPr>
              <w:t>Southeast</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1,772,684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3.5</w:t>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1,772,684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3.5</w:t>
            </w:r>
          </w:p>
        </w:tc>
        <w:tc>
          <w:tcPr>
            <w:tcW w:w="230" w:type="dxa"/>
            <w:tcBorders/>
            <w:shd w:fill="auto" w:val="clear"/>
            <w:vAlign w:val="bottom"/>
          </w:tcPr>
          <w:p>
            <w:pPr>
              <w:pStyle w:val="TableContents"/>
              <w:spacing w:before="0" w:after="283"/>
              <w:rPr>
                <w:sz w:val="4"/>
                <w:szCs w:val="4"/>
              </w:rPr>
            </w:pPr>
            <w:r>
              <w:rPr>
                <w:sz w:val="4"/>
                <w:szCs w:val="4"/>
              </w:rPr>
            </w:r>
          </w:p>
        </w:tc>
      </w:tr>
      <w:tr>
        <w:trPr/>
        <w:tc>
          <w:tcPr>
            <w:tcW w:w="2180" w:type="dxa"/>
            <w:tcBorders/>
            <w:shd w:fill="CCEEFF" w:val="clear"/>
            <w:vAlign w:val="bottom"/>
          </w:tcPr>
          <w:p>
            <w:pPr>
              <w:pStyle w:val="TableContents"/>
              <w:spacing w:before="0" w:after="0"/>
              <w:rPr>
                <w:color w:val="000000"/>
              </w:rPr>
            </w:pPr>
            <w:r>
              <w:rPr>
                <w:color w:val="000000"/>
              </w:rPr>
              <w:t>Total</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1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50,527,898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1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1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50,254,550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30" w:type="dxa"/>
            <w:tcBorders/>
            <w:shd w:fill="CCEEFF" w:val="clear"/>
            <w:vAlign w:val="bottom"/>
          </w:tcPr>
          <w:p>
            <w:pPr>
              <w:pStyle w:val="TableContents"/>
              <w:spacing w:before="0" w:after="0"/>
              <w:jc w:val="left"/>
              <w:rPr>
                <w:color w:val="000000"/>
              </w:rPr>
            </w:pPr>
            <w:r>
              <w:rPr>
                <w:color w:val="000000"/>
              </w:rPr>
              <w:t>%</w:t>
            </w:r>
          </w:p>
        </w:tc>
      </w:tr>
    </w:tbl>
    <w:p>
      <w:pPr>
        <w:pStyle w:val="TextBody"/>
        <w:spacing w:before="0" w:after="0"/>
        <w:ind w:left="0" w:right="0" w:firstLine="180"/>
        <w:jc w:val="center"/>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tables summarize the composition of the Company’s portfolio investments by investment type at cost and fair value and as a percentage of the total portfolio as of March 31, 2023 and December 31, 2022.</w:t>
      </w:r>
    </w:p>
    <w:p>
      <w:pPr>
        <w:pStyle w:val="TextBody"/>
        <w:spacing w:before="0" w:after="0"/>
        <w:jc w:val="left"/>
        <w:rPr>
          <w:color w:val="000000"/>
        </w:rPr>
      </w:pPr>
      <w:r>
        <w:rPr>
          <w:color w:val="000000"/>
        </w:rPr>
        <w:t> </w:t>
      </w:r>
    </w:p>
    <w:tbl>
      <w:tblPr>
        <w:tblW w:w="8160" w:type="dxa"/>
        <w:jc w:val="left"/>
        <w:tblInd w:w="0" w:type="dxa"/>
        <w:tblCellMar>
          <w:top w:w="0" w:type="dxa"/>
          <w:left w:w="0" w:type="dxa"/>
          <w:bottom w:w="0" w:type="dxa"/>
          <w:right w:w="0" w:type="dxa"/>
        </w:tblCellMar>
      </w:tblPr>
      <w:tblGrid>
        <w:gridCol w:w="3575"/>
        <w:gridCol w:w="60"/>
        <w:gridCol w:w="60"/>
        <w:gridCol w:w="140"/>
        <w:gridCol w:w="1100"/>
        <w:gridCol w:w="60"/>
        <w:gridCol w:w="60"/>
        <w:gridCol w:w="60"/>
        <w:gridCol w:w="560"/>
        <w:gridCol w:w="215"/>
        <w:gridCol w:w="60"/>
        <w:gridCol w:w="140"/>
        <w:gridCol w:w="1100"/>
        <w:gridCol w:w="60"/>
        <w:gridCol w:w="60"/>
        <w:gridCol w:w="60"/>
        <w:gridCol w:w="560"/>
        <w:gridCol w:w="230"/>
      </w:tblGrid>
      <w:tr>
        <w:trPr/>
        <w:tc>
          <w:tcPr>
            <w:tcW w:w="35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95" w:type="dxa"/>
            <w:gridSpan w:val="15"/>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 2023</w:t>
            </w:r>
          </w:p>
        </w:tc>
        <w:tc>
          <w:tcPr>
            <w:tcW w:w="230" w:type="dxa"/>
            <w:tcBorders/>
            <w:shd w:fill="auto" w:val="clear"/>
            <w:vAlign w:val="bottom"/>
          </w:tcPr>
          <w:p>
            <w:pPr>
              <w:pStyle w:val="TableContents"/>
              <w:spacing w:before="0" w:after="283"/>
              <w:jc w:val="left"/>
              <w:rPr/>
            </w:pPr>
            <w:r>
              <w:rPr/>
              <w:t> </w:t>
            </w:r>
          </w:p>
        </w:tc>
      </w:tr>
      <w:tr>
        <w:trPr/>
        <w:tc>
          <w:tcPr>
            <w:tcW w:w="35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40" w:type="dxa"/>
            <w:gridSpan w:val="7"/>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 Cost</w:t>
            </w:r>
          </w:p>
        </w:tc>
        <w:tc>
          <w:tcPr>
            <w:tcW w:w="215" w:type="dxa"/>
            <w:tcBorders/>
            <w:shd w:fill="auto" w:val="clear"/>
            <w:vAlign w:val="bottom"/>
          </w:tcPr>
          <w:p>
            <w:pPr>
              <w:pStyle w:val="TableContents"/>
              <w:spacing w:before="0" w:after="283"/>
              <w:jc w:val="left"/>
              <w:rPr/>
            </w:pPr>
            <w:r>
              <w:rPr/>
              <w:t> </w:t>
            </w:r>
          </w:p>
        </w:tc>
        <w:tc>
          <w:tcPr>
            <w:tcW w:w="2040" w:type="dxa"/>
            <w:gridSpan w:val="7"/>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 Value</w:t>
            </w:r>
          </w:p>
        </w:tc>
        <w:tc>
          <w:tcPr>
            <w:tcW w:w="230" w:type="dxa"/>
            <w:tcBorders/>
            <w:shd w:fill="auto" w:val="clear"/>
            <w:vAlign w:val="bottom"/>
          </w:tcPr>
          <w:p>
            <w:pPr>
              <w:pStyle w:val="TableContents"/>
              <w:spacing w:before="0" w:after="283"/>
              <w:jc w:val="left"/>
              <w:rPr/>
            </w:pPr>
            <w:r>
              <w:rPr/>
              <w:t> </w:t>
            </w:r>
          </w:p>
        </w:tc>
      </w:tr>
      <w:tr>
        <w:trPr/>
        <w:tc>
          <w:tcPr>
            <w:tcW w:w="3575" w:type="dxa"/>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Investment</w:t>
            </w:r>
          </w:p>
        </w:tc>
        <w:tc>
          <w:tcPr>
            <w:tcW w:w="60" w:type="dxa"/>
            <w:tcBorders/>
            <w:shd w:fill="auto" w:val="clear"/>
            <w:vAlign w:val="bottom"/>
          </w:tcPr>
          <w:p>
            <w:pPr>
              <w:pStyle w:val="TableContents"/>
              <w:spacing w:before="0" w:after="283"/>
              <w:rPr/>
            </w:pPr>
            <w:r>
              <w:rPr/>
              <w:t> </w:t>
            </w:r>
          </w:p>
        </w:tc>
        <w:tc>
          <w:tcPr>
            <w:tcW w:w="1300" w:type="dxa"/>
            <w:gridSpan w:val="3"/>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60" w:type="dxa"/>
            <w:tcBorders/>
            <w:shd w:fill="auto" w:val="clear"/>
            <w:vAlign w:val="bottom"/>
          </w:tcPr>
          <w:p>
            <w:pPr>
              <w:pStyle w:val="TableContents"/>
              <w:spacing w:before="0" w:after="283"/>
              <w:jc w:val="left"/>
              <w:rPr/>
            </w:pPr>
            <w:r>
              <w:rPr/>
              <w:t> </w:t>
            </w:r>
          </w:p>
        </w:tc>
        <w:tc>
          <w:tcPr>
            <w:tcW w:w="680" w:type="dxa"/>
            <w:gridSpan w:val="3"/>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t>
            </w:r>
          </w:p>
        </w:tc>
        <w:tc>
          <w:tcPr>
            <w:tcW w:w="215" w:type="dxa"/>
            <w:tcBorders/>
            <w:shd w:fill="auto" w:val="clear"/>
            <w:vAlign w:val="bottom"/>
          </w:tcPr>
          <w:p>
            <w:pPr>
              <w:pStyle w:val="TableContents"/>
              <w:spacing w:before="0" w:after="283"/>
              <w:jc w:val="left"/>
              <w:rPr/>
            </w:pPr>
            <w:r>
              <w:rPr/>
              <w:t> </w:t>
            </w:r>
          </w:p>
        </w:tc>
        <w:tc>
          <w:tcPr>
            <w:tcW w:w="1300" w:type="dxa"/>
            <w:gridSpan w:val="3"/>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60" w:type="dxa"/>
            <w:tcBorders/>
            <w:shd w:fill="auto" w:val="clear"/>
            <w:vAlign w:val="bottom"/>
          </w:tcPr>
          <w:p>
            <w:pPr>
              <w:pStyle w:val="TableContents"/>
              <w:spacing w:before="0" w:after="283"/>
              <w:jc w:val="left"/>
              <w:rPr/>
            </w:pPr>
            <w:r>
              <w:rPr/>
              <w:t> </w:t>
            </w:r>
          </w:p>
        </w:tc>
        <w:tc>
          <w:tcPr>
            <w:tcW w:w="680" w:type="dxa"/>
            <w:gridSpan w:val="3"/>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t>
            </w:r>
          </w:p>
        </w:tc>
        <w:tc>
          <w:tcPr>
            <w:tcW w:w="230" w:type="dxa"/>
            <w:tcBorders/>
            <w:shd w:fill="auto" w:val="clear"/>
            <w:vAlign w:val="bottom"/>
          </w:tcPr>
          <w:p>
            <w:pPr>
              <w:pStyle w:val="TableContents"/>
              <w:spacing w:before="0" w:after="283"/>
              <w:jc w:val="left"/>
              <w:rPr/>
            </w:pPr>
            <w:r>
              <w:rPr/>
              <w:t> </w:t>
            </w:r>
          </w:p>
        </w:tc>
      </w:tr>
      <w:tr>
        <w:trPr/>
        <w:tc>
          <w:tcPr>
            <w:tcW w:w="3575" w:type="dxa"/>
            <w:tcBorders/>
            <w:shd w:fill="CCEEFF" w:val="clear"/>
            <w:vAlign w:val="bottom"/>
          </w:tcPr>
          <w:p>
            <w:pPr>
              <w:pStyle w:val="TableContents"/>
              <w:spacing w:before="0" w:after="0"/>
              <w:ind w:left="180" w:right="0" w:hanging="180"/>
              <w:rPr>
                <w:color w:val="000000"/>
              </w:rPr>
            </w:pPr>
            <w:r>
              <w:rPr>
                <w:color w:val="000000"/>
              </w:rPr>
              <w:t>Senior Secured First Lien Term Loan</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1100" w:type="dxa"/>
            <w:tcBorders/>
            <w:shd w:fill="CCEEFF" w:val="clear"/>
            <w:vAlign w:val="bottom"/>
          </w:tcPr>
          <w:p>
            <w:pPr>
              <w:pStyle w:val="TableContents"/>
              <w:spacing w:before="0" w:after="0"/>
              <w:jc w:val="right"/>
              <w:rPr>
                <w:color w:val="000000"/>
              </w:rPr>
            </w:pPr>
            <w:r>
              <w:rPr>
                <w:color w:val="000000"/>
              </w:rPr>
              <w:t>45,176,109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color w:val="000000"/>
              </w:rPr>
            </w:pPr>
            <w:r>
              <w:rPr>
                <w:color w:val="000000"/>
              </w:rPr>
              <w:t>82.3</w:t>
            </w:r>
          </w:p>
        </w:tc>
        <w:tc>
          <w:tcPr>
            <w:tcW w:w="21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1100" w:type="dxa"/>
            <w:tcBorders/>
            <w:shd w:fill="CCEEFF" w:val="clear"/>
            <w:vAlign w:val="bottom"/>
          </w:tcPr>
          <w:p>
            <w:pPr>
              <w:pStyle w:val="TableContents"/>
              <w:spacing w:before="0" w:after="0"/>
              <w:jc w:val="right"/>
              <w:rPr>
                <w:color w:val="000000"/>
              </w:rPr>
            </w:pPr>
            <w:r>
              <w:rPr>
                <w:color w:val="000000"/>
              </w:rPr>
              <w:t>45,703,391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color w:val="000000"/>
              </w:rPr>
            </w:pPr>
            <w:r>
              <w:rPr>
                <w:color w:val="000000"/>
              </w:rPr>
              <w:t>82.2</w:t>
            </w:r>
          </w:p>
        </w:tc>
        <w:tc>
          <w:tcPr>
            <w:tcW w:w="230" w:type="dxa"/>
            <w:tcBorders/>
            <w:shd w:fill="CCEEFF" w:val="clear"/>
            <w:vAlign w:val="bottom"/>
          </w:tcPr>
          <w:p>
            <w:pPr>
              <w:pStyle w:val="TableContents"/>
              <w:spacing w:before="0" w:after="0"/>
              <w:jc w:val="left"/>
              <w:rPr>
                <w:color w:val="000000"/>
              </w:rPr>
            </w:pPr>
            <w:r>
              <w:rPr>
                <w:color w:val="000000"/>
              </w:rPr>
              <w:t>%</w:t>
            </w:r>
          </w:p>
        </w:tc>
      </w:tr>
      <w:tr>
        <w:trPr/>
        <w:tc>
          <w:tcPr>
            <w:tcW w:w="3575" w:type="dxa"/>
            <w:tcBorders/>
            <w:shd w:fill="auto" w:val="clear"/>
            <w:vAlign w:val="bottom"/>
          </w:tcPr>
          <w:p>
            <w:pPr>
              <w:pStyle w:val="TableContents"/>
              <w:spacing w:before="0" w:after="0"/>
              <w:ind w:left="180" w:right="0" w:hanging="180"/>
              <w:rPr>
                <w:color w:val="000000"/>
              </w:rPr>
            </w:pPr>
            <w:r>
              <w:rPr>
                <w:color w:val="000000"/>
              </w:rPr>
              <w:t>Senior Secured Notes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9,734,181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17.7</w:t>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9,919,908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17.8</w:t>
            </w:r>
          </w:p>
        </w:tc>
        <w:tc>
          <w:tcPr>
            <w:tcW w:w="230" w:type="dxa"/>
            <w:tcBorders/>
            <w:shd w:fill="auto" w:val="clear"/>
            <w:vAlign w:val="bottom"/>
          </w:tcPr>
          <w:p>
            <w:pPr>
              <w:pStyle w:val="TableContents"/>
              <w:spacing w:before="0" w:after="283"/>
              <w:rPr>
                <w:sz w:val="4"/>
                <w:szCs w:val="4"/>
              </w:rPr>
            </w:pPr>
            <w:r>
              <w:rPr>
                <w:sz w:val="4"/>
                <w:szCs w:val="4"/>
              </w:rPr>
            </w:r>
          </w:p>
        </w:tc>
      </w:tr>
      <w:tr>
        <w:trPr/>
        <w:tc>
          <w:tcPr>
            <w:tcW w:w="3575" w:type="dxa"/>
            <w:tcBorders/>
            <w:shd w:fill="CCEEFF" w:val="clear"/>
            <w:vAlign w:val="bottom"/>
          </w:tcPr>
          <w:p>
            <w:pPr>
              <w:pStyle w:val="TableContents"/>
              <w:spacing w:before="0" w:after="0"/>
              <w:ind w:left="360" w:right="0" w:hanging="180"/>
              <w:rPr>
                <w:color w:val="000000"/>
              </w:rPr>
            </w:pPr>
            <w:r>
              <w:rPr>
                <w:color w:val="000000"/>
              </w:rPr>
              <w:t>Total</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1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54,910,290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1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1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55,623,299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30" w:type="dxa"/>
            <w:tcBorders/>
            <w:shd w:fill="CCEEFF" w:val="clear"/>
            <w:vAlign w:val="bottom"/>
          </w:tcPr>
          <w:p>
            <w:pPr>
              <w:pStyle w:val="TableContents"/>
              <w:spacing w:before="0" w:after="0"/>
              <w:jc w:val="left"/>
              <w:rPr>
                <w:color w:val="000000"/>
              </w:rPr>
            </w:pPr>
            <w:r>
              <w:rPr>
                <w:color w:val="000000"/>
              </w:rPr>
              <w:t>%</w:t>
            </w:r>
          </w:p>
        </w:tc>
      </w:tr>
    </w:tbl>
    <w:p>
      <w:pPr>
        <w:pStyle w:val="TextBody"/>
        <w:spacing w:before="0" w:after="0"/>
        <w:jc w:val="left"/>
        <w:rPr>
          <w:color w:val="000000"/>
        </w:rPr>
      </w:pPr>
      <w:r>
        <w:rPr>
          <w:color w:val="000000"/>
        </w:rPr>
        <w:t> </w:t>
      </w:r>
    </w:p>
    <w:tbl>
      <w:tblPr>
        <w:tblW w:w="8160" w:type="dxa"/>
        <w:jc w:val="center"/>
        <w:tblInd w:w="0" w:type="dxa"/>
        <w:tblCellMar>
          <w:top w:w="0" w:type="dxa"/>
          <w:left w:w="0" w:type="dxa"/>
          <w:bottom w:w="0" w:type="dxa"/>
          <w:right w:w="0" w:type="dxa"/>
        </w:tblCellMar>
      </w:tblPr>
      <w:tblGrid>
        <w:gridCol w:w="3575"/>
        <w:gridCol w:w="60"/>
        <w:gridCol w:w="60"/>
        <w:gridCol w:w="140"/>
        <w:gridCol w:w="1100"/>
        <w:gridCol w:w="60"/>
        <w:gridCol w:w="60"/>
        <w:gridCol w:w="60"/>
        <w:gridCol w:w="560"/>
        <w:gridCol w:w="215"/>
        <w:gridCol w:w="60"/>
        <w:gridCol w:w="140"/>
        <w:gridCol w:w="1100"/>
        <w:gridCol w:w="60"/>
        <w:gridCol w:w="60"/>
        <w:gridCol w:w="60"/>
        <w:gridCol w:w="560"/>
        <w:gridCol w:w="230"/>
      </w:tblGrid>
      <w:tr>
        <w:trPr/>
        <w:tc>
          <w:tcPr>
            <w:tcW w:w="35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95" w:type="dxa"/>
            <w:gridSpan w:val="15"/>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 2022</w:t>
            </w:r>
          </w:p>
        </w:tc>
        <w:tc>
          <w:tcPr>
            <w:tcW w:w="230" w:type="dxa"/>
            <w:tcBorders/>
            <w:shd w:fill="auto" w:val="clear"/>
            <w:vAlign w:val="bottom"/>
          </w:tcPr>
          <w:p>
            <w:pPr>
              <w:pStyle w:val="TableContents"/>
              <w:spacing w:before="0" w:after="283"/>
              <w:jc w:val="left"/>
              <w:rPr/>
            </w:pPr>
            <w:r>
              <w:rPr/>
              <w:t> </w:t>
            </w:r>
          </w:p>
        </w:tc>
      </w:tr>
      <w:tr>
        <w:trPr/>
        <w:tc>
          <w:tcPr>
            <w:tcW w:w="35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40" w:type="dxa"/>
            <w:gridSpan w:val="7"/>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 Cost</w:t>
            </w:r>
          </w:p>
        </w:tc>
        <w:tc>
          <w:tcPr>
            <w:tcW w:w="215" w:type="dxa"/>
            <w:tcBorders/>
            <w:shd w:fill="auto" w:val="clear"/>
            <w:vAlign w:val="bottom"/>
          </w:tcPr>
          <w:p>
            <w:pPr>
              <w:pStyle w:val="TableContents"/>
              <w:spacing w:before="0" w:after="283"/>
              <w:jc w:val="left"/>
              <w:rPr/>
            </w:pPr>
            <w:r>
              <w:rPr/>
              <w:t> </w:t>
            </w:r>
          </w:p>
        </w:tc>
        <w:tc>
          <w:tcPr>
            <w:tcW w:w="2040" w:type="dxa"/>
            <w:gridSpan w:val="7"/>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 Value</w:t>
            </w:r>
          </w:p>
        </w:tc>
        <w:tc>
          <w:tcPr>
            <w:tcW w:w="230" w:type="dxa"/>
            <w:tcBorders/>
            <w:shd w:fill="auto" w:val="clear"/>
            <w:vAlign w:val="bottom"/>
          </w:tcPr>
          <w:p>
            <w:pPr>
              <w:pStyle w:val="TableContents"/>
              <w:spacing w:before="0" w:after="283"/>
              <w:jc w:val="left"/>
              <w:rPr/>
            </w:pPr>
            <w:r>
              <w:rPr/>
              <w:t> </w:t>
            </w:r>
          </w:p>
        </w:tc>
      </w:tr>
      <w:tr>
        <w:trPr/>
        <w:tc>
          <w:tcPr>
            <w:tcW w:w="3575" w:type="dxa"/>
            <w:tcBorders>
              <w:bottom w:val="single" w:sz="12" w:space="0" w:color="000000"/>
            </w:tcBorders>
            <w:shd w:fill="auto" w:val="clear"/>
            <w:tcMar>
              <w:bottom w:w="28" w:type="dxa"/>
            </w:tcMar>
            <w:vAlign w:val="bottom"/>
          </w:tcPr>
          <w:p>
            <w:pPr>
              <w:pStyle w:val="TableContents"/>
              <w:spacing w:before="0" w:after="0"/>
              <w:ind w:left="144" w:right="0" w:hanging="144"/>
              <w:jc w:val="center"/>
              <w:rPr>
                <w:b/>
                <w:color w:val="000000"/>
              </w:rPr>
            </w:pPr>
            <w:r>
              <w:rPr>
                <w:b/>
                <w:color w:val="000000"/>
              </w:rPr>
              <w:t>Investment</w:t>
            </w:r>
          </w:p>
        </w:tc>
        <w:tc>
          <w:tcPr>
            <w:tcW w:w="60" w:type="dxa"/>
            <w:tcBorders/>
            <w:shd w:fill="auto" w:val="clear"/>
            <w:vAlign w:val="bottom"/>
          </w:tcPr>
          <w:p>
            <w:pPr>
              <w:pStyle w:val="TableContents"/>
              <w:spacing w:before="0" w:after="283"/>
              <w:rPr/>
            </w:pPr>
            <w:r>
              <w:rPr/>
              <w:t> </w:t>
            </w:r>
          </w:p>
        </w:tc>
        <w:tc>
          <w:tcPr>
            <w:tcW w:w="1300" w:type="dxa"/>
            <w:gridSpan w:val="3"/>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60" w:type="dxa"/>
            <w:tcBorders/>
            <w:shd w:fill="auto" w:val="clear"/>
            <w:vAlign w:val="bottom"/>
          </w:tcPr>
          <w:p>
            <w:pPr>
              <w:pStyle w:val="TableContents"/>
              <w:spacing w:before="0" w:after="283"/>
              <w:jc w:val="left"/>
              <w:rPr/>
            </w:pPr>
            <w:r>
              <w:rPr/>
              <w:t> </w:t>
            </w:r>
          </w:p>
        </w:tc>
        <w:tc>
          <w:tcPr>
            <w:tcW w:w="680" w:type="dxa"/>
            <w:gridSpan w:val="3"/>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t>
            </w:r>
          </w:p>
        </w:tc>
        <w:tc>
          <w:tcPr>
            <w:tcW w:w="215" w:type="dxa"/>
            <w:tcBorders/>
            <w:shd w:fill="auto" w:val="clear"/>
            <w:vAlign w:val="bottom"/>
          </w:tcPr>
          <w:p>
            <w:pPr>
              <w:pStyle w:val="TableContents"/>
              <w:spacing w:before="0" w:after="283"/>
              <w:jc w:val="left"/>
              <w:rPr/>
            </w:pPr>
            <w:r>
              <w:rPr/>
              <w:t> </w:t>
            </w:r>
          </w:p>
        </w:tc>
        <w:tc>
          <w:tcPr>
            <w:tcW w:w="1300" w:type="dxa"/>
            <w:gridSpan w:val="3"/>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60" w:type="dxa"/>
            <w:tcBorders/>
            <w:shd w:fill="auto" w:val="clear"/>
            <w:vAlign w:val="bottom"/>
          </w:tcPr>
          <w:p>
            <w:pPr>
              <w:pStyle w:val="TableContents"/>
              <w:spacing w:before="0" w:after="283"/>
              <w:jc w:val="left"/>
              <w:rPr/>
            </w:pPr>
            <w:r>
              <w:rPr/>
              <w:t> </w:t>
            </w:r>
          </w:p>
        </w:tc>
        <w:tc>
          <w:tcPr>
            <w:tcW w:w="680" w:type="dxa"/>
            <w:gridSpan w:val="3"/>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t>
            </w:r>
          </w:p>
        </w:tc>
        <w:tc>
          <w:tcPr>
            <w:tcW w:w="230" w:type="dxa"/>
            <w:tcBorders/>
            <w:shd w:fill="auto" w:val="clear"/>
            <w:vAlign w:val="bottom"/>
          </w:tcPr>
          <w:p>
            <w:pPr>
              <w:pStyle w:val="TableContents"/>
              <w:spacing w:before="0" w:after="283"/>
              <w:jc w:val="left"/>
              <w:rPr/>
            </w:pPr>
            <w:r>
              <w:rPr/>
              <w:t> </w:t>
            </w:r>
          </w:p>
        </w:tc>
      </w:tr>
      <w:tr>
        <w:trPr/>
        <w:tc>
          <w:tcPr>
            <w:tcW w:w="3575" w:type="dxa"/>
            <w:tcBorders/>
            <w:shd w:fill="CCEEFF" w:val="clear"/>
            <w:vAlign w:val="bottom"/>
          </w:tcPr>
          <w:p>
            <w:pPr>
              <w:pStyle w:val="TableContents"/>
              <w:spacing w:before="0" w:after="0"/>
              <w:ind w:left="144" w:right="0" w:hanging="144"/>
              <w:rPr>
                <w:color w:val="000000"/>
              </w:rPr>
            </w:pPr>
            <w:r>
              <w:rPr>
                <w:color w:val="000000"/>
              </w:rPr>
              <w:t>Senior Secured First Lien Term Loan</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1100" w:type="dxa"/>
            <w:tcBorders/>
            <w:shd w:fill="CCEEFF" w:val="clear"/>
            <w:vAlign w:val="bottom"/>
          </w:tcPr>
          <w:p>
            <w:pPr>
              <w:pStyle w:val="TableContents"/>
              <w:spacing w:before="0" w:after="0"/>
              <w:jc w:val="right"/>
              <w:rPr>
                <w:color w:val="000000"/>
              </w:rPr>
            </w:pPr>
            <w:r>
              <w:rPr>
                <w:color w:val="000000"/>
              </w:rPr>
              <w:t>40,871,914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color w:val="000000"/>
              </w:rPr>
            </w:pPr>
            <w:r>
              <w:rPr>
                <w:color w:val="000000"/>
              </w:rPr>
              <w:t>80.9</w:t>
            </w:r>
          </w:p>
        </w:tc>
        <w:tc>
          <w:tcPr>
            <w:tcW w:w="21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1100" w:type="dxa"/>
            <w:tcBorders/>
            <w:shd w:fill="CCEEFF" w:val="clear"/>
            <w:vAlign w:val="bottom"/>
          </w:tcPr>
          <w:p>
            <w:pPr>
              <w:pStyle w:val="TableContents"/>
              <w:spacing w:before="0" w:after="0"/>
              <w:jc w:val="right"/>
              <w:rPr>
                <w:color w:val="000000"/>
              </w:rPr>
            </w:pPr>
            <w:r>
              <w:rPr>
                <w:color w:val="000000"/>
              </w:rPr>
              <w:t>40,660,633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color w:val="000000"/>
              </w:rPr>
            </w:pPr>
            <w:r>
              <w:rPr>
                <w:color w:val="000000"/>
              </w:rPr>
              <w:t>80.9</w:t>
            </w:r>
          </w:p>
        </w:tc>
        <w:tc>
          <w:tcPr>
            <w:tcW w:w="230" w:type="dxa"/>
            <w:tcBorders/>
            <w:shd w:fill="CCEEFF" w:val="clear"/>
            <w:vAlign w:val="bottom"/>
          </w:tcPr>
          <w:p>
            <w:pPr>
              <w:pStyle w:val="TableContents"/>
              <w:spacing w:before="0" w:after="0"/>
              <w:jc w:val="left"/>
              <w:rPr>
                <w:color w:val="000000"/>
              </w:rPr>
            </w:pPr>
            <w:r>
              <w:rPr>
                <w:color w:val="000000"/>
              </w:rPr>
              <w:t>%</w:t>
            </w:r>
          </w:p>
        </w:tc>
      </w:tr>
      <w:tr>
        <w:trPr/>
        <w:tc>
          <w:tcPr>
            <w:tcW w:w="3575" w:type="dxa"/>
            <w:tcBorders/>
            <w:shd w:fill="auto" w:val="clear"/>
            <w:vAlign w:val="bottom"/>
          </w:tcPr>
          <w:p>
            <w:pPr>
              <w:pStyle w:val="TableContents"/>
              <w:spacing w:before="0" w:after="0"/>
              <w:ind w:left="144" w:right="0" w:hanging="144"/>
              <w:rPr>
                <w:color w:val="000000"/>
              </w:rPr>
            </w:pPr>
            <w:r>
              <w:rPr>
                <w:color w:val="000000"/>
              </w:rPr>
              <w:t>Senior Secured Notes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9,655,984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19.1</w:t>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9,593,917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19.1</w:t>
            </w:r>
          </w:p>
        </w:tc>
        <w:tc>
          <w:tcPr>
            <w:tcW w:w="230" w:type="dxa"/>
            <w:tcBorders/>
            <w:shd w:fill="auto" w:val="clear"/>
            <w:vAlign w:val="bottom"/>
          </w:tcPr>
          <w:p>
            <w:pPr>
              <w:pStyle w:val="TableContents"/>
              <w:spacing w:before="0" w:after="283"/>
              <w:rPr>
                <w:sz w:val="4"/>
                <w:szCs w:val="4"/>
              </w:rPr>
            </w:pPr>
            <w:r>
              <w:rPr>
                <w:sz w:val="4"/>
                <w:szCs w:val="4"/>
              </w:rPr>
            </w:r>
          </w:p>
        </w:tc>
      </w:tr>
      <w:tr>
        <w:trPr/>
        <w:tc>
          <w:tcPr>
            <w:tcW w:w="3575" w:type="dxa"/>
            <w:tcBorders/>
            <w:shd w:fill="CCEEFF" w:val="clear"/>
            <w:vAlign w:val="bottom"/>
          </w:tcPr>
          <w:p>
            <w:pPr>
              <w:pStyle w:val="TableContents"/>
              <w:spacing w:before="0" w:after="0"/>
              <w:ind w:left="324" w:right="0" w:hanging="144"/>
              <w:rPr>
                <w:color w:val="000000"/>
              </w:rPr>
            </w:pPr>
            <w:r>
              <w:rPr>
                <w:color w:val="000000"/>
              </w:rPr>
              <w:t>Total</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1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50,527,898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1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1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50,254,550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30" w:type="dxa"/>
            <w:tcBorders/>
            <w:shd w:fill="CCEEFF" w:val="clear"/>
            <w:vAlign w:val="bottom"/>
          </w:tcPr>
          <w:p>
            <w:pPr>
              <w:pStyle w:val="TableContents"/>
              <w:spacing w:before="0" w:after="0"/>
              <w:jc w:val="left"/>
              <w:rPr>
                <w:color w:val="000000"/>
              </w:rPr>
            </w:pPr>
            <w:r>
              <w:rPr>
                <w:color w:val="000000"/>
              </w:rPr>
              <w:t>%</w:t>
            </w:r>
          </w:p>
        </w:tc>
      </w:tr>
    </w:tbl>
    <w:p>
      <w:pPr>
        <w:pStyle w:val="TextBody"/>
        <w:spacing w:before="0" w:after="0"/>
        <w:jc w:val="both"/>
        <w:rPr>
          <w:rFonts w:ascii="Times New Roman" w:hAnsi="Times New Roman"/>
          <w:b/>
          <w:i/>
          <w:sz w:val="20"/>
        </w:rPr>
      </w:pPr>
      <w:r>
        <w:rPr>
          <w:rFonts w:ascii="Times New Roman" w:hAnsi="Times New Roman"/>
          <w:b/>
          <w:i/>
          <w:sz w:val="20"/>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Certain Risk Factors</w:t>
      </w:r>
    </w:p>
    <w:p>
      <w:pPr>
        <w:pStyle w:val="TextBody"/>
        <w:spacing w:before="0" w:after="0"/>
        <w:jc w:val="both"/>
        <w:rPr>
          <w:rFonts w:ascii="Times New Roman" w:hAnsi="Times New Roman"/>
          <w:color w:val="000000"/>
          <w:sz w:val="20"/>
        </w:rPr>
      </w:pPr>
      <w:r>
        <w:rPr>
          <w:rFonts w:ascii="Times New Roman" w:hAnsi="Times New Roman"/>
          <w:color w:val="000000"/>
          <w:sz w:val="20"/>
        </w:rPr>
        <w:t>In the ordinary course of business, the Company manages a variety of risks including market risk, credit risk, liquidity risk, interest rate risk, prepayment risk, risks associated with political tensions and risks associated with the COVID-19 pandemic. The Company identifies, measures and monitors risk through various control mechanisms, including trading limits and diversifying exposures and activities across a variety of instruments, markets and counterparties.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Market risk is the risk of potential adverse changes to the value of financial instruments because of changes in market conditions, including as a result of changes in the credit quality of a particular issuer, credit spreads, interest rates, and other movements and volatility in security prices or commodities. In particular, the Company may invest in issuers that are experiencing or have experienced financial or business difficulties (including difficulties resulting from the initiation or prospect of significant litigation or bankruptcy proceedings), which involves significant risks. The Company manages its exposure to market risk through the use of risk management strategies and various analytical monitoring techniques.</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Concentration risk is the risk that the Company’s focus on investments in cannabis companies may subject the Company to greater price volatility and risk of loss as a result of adverse economic, business or other developments affecting cannabis companies than funds investing in a broader range of industries or sectors. At times, the performance of investments in cannabis companies will lag the performance of other industries or sectors or the broader market as a whole.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Credit risk is the risk that a decline in the credit quality of an investment could cause the Company to lose money. The Company could lose money if the issuer or guarantor of a portfolio security or a counterparty to a derivative contract fails to make timely payment or otherwise honor its obligations. Fixed income securities rated below investment grade (high-yield bonds) involve greater risks of default or downgrade and are generally more volatile than investment grade securities. Below investment grade securities involve greater risk of price declines than investment grade securities due to actual or perceived changes in an issuer’s creditworthiness. In addition, issuers of below investment grade securities may be more susceptible than other issuers to economic downturns. Such securities are subject to the risk that the issuer may not be able to pay interest or dividends and ultimately to repay principal upon maturity. Discontinuation of these payments could substantially adversely affect the market value of the security.</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Company’s investments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Interest rate risk refers to the change in earnings that may result from changes in the level of interest rates. To the extent that the Company borrows money to make investments, including under any credit facility, net investment income will be affected by the difference between the rate at which the Company borrows funds and the rate at which the Company invests these funds. In periods of rising interest rates, the Company’s cost of borrowing funds would increase, which may reduce net investment income. As a result, there can be no assurance that a significant change in market interest rates will not have a material adverse effect on net investment income.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SILVER SPIKE INVESTMENT CORP.</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Notes to Financial Statements</w:t>
      </w:r>
    </w:p>
    <w:p>
      <w:pPr>
        <w:pStyle w:val="TextBody"/>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Prepayment risk is the risk that a loan in the Company’s portfolio will prepay due to the existence of favorable financing market conditions that allow the portfolio company the ability to replace existing financing with less expensive capital. As market conditions change, prepayment may be possible for each portfolio company. In some cases, the prepayment of a loan may reduce the Company’s achievable yield if the capital returned cannot be invested in transactions with equal or greater expected yields, which could have a material adverse effect on our business, financial condition and results of operations.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Political tensions in the United States and around the world (including the current conflict in Ukraine), may contribute to increased market volatility, may have long-term effects on the United States and worldwide financial markets and may cause economic uncertainties or deterioration in the U.S. and worldwide.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As jurisdictions around the United States and the world continue to experience surges in cases of COVID-19 and governments consider pausing the lifting of or re-imposing restrictions, there is considerable uncertainty surrounding the full economic impact of the coronavirus pandemic and the long-term effects on the U.S. and global financial markets.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NOTE 4 — FAIR VALUE OF FINANCIAL INSTRUMENTS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ASC 820 defines fair value, establishes a framework for measuring fair value, and establishes a fair value hierarchy based on the quality of inputs used to measure fair value and enhances disclosure requirements for fair value measurements. The Company accounts for its investments at fair value. As of March 31, 2023 and December 31, 2022, the Company’s portfolio investments consisted of investments in secured loans and secured notes. The fair value amounts have been measured as of the reporting date and have not been reevaluated or updated for purposes of these financial statements subsequent to that date. As such, the fair values of these financial instruments subsequent to the reporting date may be different than amounts reported.</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In accordance with ASC 820, the Company has categorized its investments based on the priority of the inputs to the valuation technique into a three-level fair value hierarchy. The fair value hierarchy gives the highest priority to quoted prices in active markets for identical investments (Level 1) and the lowest priority to unobservable inputs (Level 3).</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As required by ASC 820, 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the fair value related to such investments categorized within the Level 3 tables below may include components of the fair value that are attributable to both observable inputs (Levels 1 and 2) and unobservable inputs (Level 3). The fair value determination of each portfolio investment categorized as Level 3 required one or more unobservable inputs.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use of significant unobservable inputs creates uncertainty in the measurement of fair value as of the reporting date. The significant unobservable inputs used in the fair value measurement of the Company’s investments may vary and may include debt investments’ yield (i.e. discount rate) and volatility assumptions.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Company’s investments measured at fair value by investment type on a recurring basis as of March 31, 2023 were as follows:</w:t>
      </w:r>
    </w:p>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3121"/>
        <w:gridCol w:w="60"/>
        <w:gridCol w:w="885"/>
        <w:gridCol w:w="601"/>
        <w:gridCol w:w="88"/>
        <w:gridCol w:w="88"/>
        <w:gridCol w:w="926"/>
        <w:gridCol w:w="627"/>
        <w:gridCol w:w="88"/>
        <w:gridCol w:w="88"/>
        <w:gridCol w:w="220"/>
        <w:gridCol w:w="1649"/>
        <w:gridCol w:w="88"/>
        <w:gridCol w:w="88"/>
        <w:gridCol w:w="207"/>
        <w:gridCol w:w="1632"/>
        <w:gridCol w:w="83"/>
      </w:tblGrid>
      <w:tr>
        <w:trPr/>
        <w:tc>
          <w:tcPr>
            <w:tcW w:w="3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75" w:type="dxa"/>
            <w:gridSpan w:val="14"/>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 Value Measurements at March 31, 2023 Using</w:t>
            </w:r>
          </w:p>
        </w:tc>
        <w:tc>
          <w:tcPr>
            <w:tcW w:w="83" w:type="dxa"/>
            <w:tcBorders/>
            <w:shd w:fill="auto" w:val="clear"/>
            <w:vAlign w:val="bottom"/>
          </w:tcPr>
          <w:p>
            <w:pPr>
              <w:pStyle w:val="TableContents"/>
              <w:spacing w:before="0" w:after="283"/>
              <w:rPr/>
            </w:pPr>
            <w:r>
              <w:rPr/>
              <w:t> </w:t>
            </w:r>
          </w:p>
        </w:tc>
      </w:tr>
      <w:tr>
        <w:trPr/>
        <w:tc>
          <w:tcPr>
            <w:tcW w:w="3121" w:type="dxa"/>
            <w:tcBorders>
              <w:bottom w:val="single" w:sz="12" w:space="0" w:color="000000"/>
            </w:tcBorders>
            <w:shd w:fill="auto" w:val="clear"/>
            <w:tcMar>
              <w:bottom w:w="28" w:type="dxa"/>
            </w:tcMar>
            <w:vAlign w:val="bottom"/>
          </w:tcPr>
          <w:p>
            <w:pPr>
              <w:pStyle w:val="TableContents"/>
              <w:spacing w:before="0" w:after="0"/>
              <w:rPr>
                <w:b/>
                <w:color w:val="000000"/>
              </w:rPr>
            </w:pPr>
            <w:r>
              <w:rPr>
                <w:b/>
                <w:color w:val="000000"/>
              </w:rPr>
              <w:t>Assets</w:t>
            </w:r>
          </w:p>
        </w:tc>
        <w:tc>
          <w:tcPr>
            <w:tcW w:w="60" w:type="dxa"/>
            <w:tcBorders/>
            <w:shd w:fill="auto" w:val="clear"/>
            <w:vAlign w:val="bottom"/>
          </w:tcPr>
          <w:p>
            <w:pPr>
              <w:pStyle w:val="TableContents"/>
              <w:spacing w:before="0" w:after="283"/>
              <w:rPr/>
            </w:pPr>
            <w:r>
              <w:rPr/>
              <w:t> </w:t>
            </w:r>
          </w:p>
        </w:tc>
        <w:tc>
          <w:tcPr>
            <w:tcW w:w="148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Quoted Prices</w:t>
            </w:r>
          </w:p>
          <w:p>
            <w:pPr>
              <w:pStyle w:val="TableContents"/>
              <w:spacing w:before="0" w:after="0"/>
              <w:jc w:val="center"/>
              <w:rPr>
                <w:b/>
                <w:color w:val="000000"/>
              </w:rPr>
            </w:pPr>
            <w:r>
              <w:rPr>
                <w:b/>
                <w:color w:val="000000"/>
              </w:rPr>
              <w:t xml:space="preserve">in Active </w:t>
            </w:r>
          </w:p>
          <w:p>
            <w:pPr>
              <w:pStyle w:val="TableContents"/>
              <w:spacing w:before="0" w:after="0"/>
              <w:jc w:val="center"/>
              <w:rPr>
                <w:b/>
                <w:color w:val="000000"/>
              </w:rPr>
            </w:pPr>
            <w:r>
              <w:rPr>
                <w:b/>
                <w:color w:val="000000"/>
              </w:rPr>
              <w:t>Markets for</w:t>
            </w:r>
          </w:p>
          <w:p>
            <w:pPr>
              <w:pStyle w:val="TableContents"/>
              <w:spacing w:before="0" w:after="0"/>
              <w:jc w:val="center"/>
              <w:rPr>
                <w:b/>
                <w:color w:val="000000"/>
              </w:rPr>
            </w:pPr>
            <w:r>
              <w:rPr>
                <w:b/>
                <w:color w:val="000000"/>
              </w:rPr>
              <w:t>Identical Assets</w:t>
            </w:r>
          </w:p>
          <w:p>
            <w:pPr>
              <w:pStyle w:val="TableContents"/>
              <w:spacing w:before="0" w:after="0"/>
              <w:jc w:val="center"/>
              <w:rPr>
                <w:b/>
                <w:color w:val="000000"/>
              </w:rPr>
            </w:pPr>
            <w:r>
              <w:rPr>
                <w:b/>
                <w:color w:val="000000"/>
              </w:rPr>
              <w:t>(Level 1)</w:t>
            </w:r>
          </w:p>
        </w:tc>
        <w:tc>
          <w:tcPr>
            <w:tcW w:w="88"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553"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Significant</w:t>
            </w:r>
          </w:p>
          <w:p>
            <w:pPr>
              <w:pStyle w:val="TableContents"/>
              <w:spacing w:before="0" w:after="0"/>
              <w:jc w:val="center"/>
              <w:rPr>
                <w:b/>
                <w:color w:val="000000"/>
              </w:rPr>
            </w:pPr>
            <w:r>
              <w:rPr>
                <w:b/>
                <w:color w:val="000000"/>
              </w:rPr>
              <w:t>Other</w:t>
            </w:r>
          </w:p>
          <w:p>
            <w:pPr>
              <w:pStyle w:val="TableContents"/>
              <w:spacing w:before="0" w:after="0"/>
              <w:jc w:val="center"/>
              <w:rPr>
                <w:b/>
                <w:color w:val="000000"/>
              </w:rPr>
            </w:pPr>
            <w:r>
              <w:rPr>
                <w:b/>
                <w:color w:val="000000"/>
              </w:rPr>
              <w:t xml:space="preserve">Observable </w:t>
            </w:r>
          </w:p>
          <w:p>
            <w:pPr>
              <w:pStyle w:val="TableContents"/>
              <w:spacing w:before="0" w:after="0"/>
              <w:jc w:val="center"/>
              <w:rPr>
                <w:b/>
                <w:color w:val="000000"/>
              </w:rPr>
            </w:pPr>
            <w:r>
              <w:rPr>
                <w:b/>
                <w:color w:val="000000"/>
              </w:rPr>
              <w:t>Inputs (Level 2)</w:t>
            </w:r>
          </w:p>
        </w:tc>
        <w:tc>
          <w:tcPr>
            <w:tcW w:w="88"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86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xml:space="preserve">Significant </w:t>
            </w:r>
          </w:p>
          <w:p>
            <w:pPr>
              <w:pStyle w:val="TableContents"/>
              <w:spacing w:before="0" w:after="0"/>
              <w:jc w:val="center"/>
              <w:rPr>
                <w:b/>
                <w:color w:val="000000"/>
              </w:rPr>
            </w:pPr>
            <w:r>
              <w:rPr>
                <w:b/>
                <w:color w:val="000000"/>
              </w:rPr>
              <w:t xml:space="preserve">Unobservable </w:t>
            </w:r>
          </w:p>
          <w:p>
            <w:pPr>
              <w:pStyle w:val="TableContents"/>
              <w:spacing w:before="0" w:after="0"/>
              <w:jc w:val="center"/>
              <w:rPr>
                <w:b/>
                <w:color w:val="000000"/>
              </w:rPr>
            </w:pPr>
            <w:r>
              <w:rPr>
                <w:b/>
                <w:color w:val="000000"/>
              </w:rPr>
              <w:t>Inputs (Level 3)</w:t>
            </w:r>
          </w:p>
        </w:tc>
        <w:tc>
          <w:tcPr>
            <w:tcW w:w="88"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83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w:t>
            </w:r>
          </w:p>
        </w:tc>
        <w:tc>
          <w:tcPr>
            <w:tcW w:w="83" w:type="dxa"/>
            <w:tcBorders/>
            <w:shd w:fill="auto" w:val="clear"/>
            <w:vAlign w:val="bottom"/>
          </w:tcPr>
          <w:p>
            <w:pPr>
              <w:pStyle w:val="TableContents"/>
              <w:spacing w:before="0" w:after="283"/>
              <w:rPr/>
            </w:pPr>
            <w:r>
              <w:rPr/>
              <w:t> </w:t>
            </w:r>
          </w:p>
        </w:tc>
      </w:tr>
      <w:tr>
        <w:trPr/>
        <w:tc>
          <w:tcPr>
            <w:tcW w:w="3121" w:type="dxa"/>
            <w:tcBorders/>
            <w:shd w:fill="CCEEFF" w:val="clear"/>
            <w:vAlign w:val="bottom"/>
          </w:tcPr>
          <w:p>
            <w:pPr>
              <w:pStyle w:val="TableContents"/>
              <w:spacing w:before="0" w:after="0"/>
              <w:ind w:left="180" w:right="0" w:hanging="180"/>
              <w:rPr>
                <w:color w:val="000000"/>
              </w:rPr>
            </w:pPr>
            <w:r>
              <w:rPr>
                <w:color w:val="000000"/>
              </w:rPr>
              <w:t>Senior Secured First Lien Term Loan</w:t>
            </w:r>
          </w:p>
        </w:tc>
        <w:tc>
          <w:tcPr>
            <w:tcW w:w="6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0"/>
              <w:rPr>
                <w:color w:val="000000"/>
              </w:rPr>
            </w:pPr>
            <w:r>
              <w:rPr>
                <w:color w:val="000000"/>
              </w:rPr>
              <w:t>$</w:t>
            </w:r>
          </w:p>
        </w:tc>
        <w:tc>
          <w:tcPr>
            <w:tcW w:w="601" w:type="dxa"/>
            <w:tcBorders/>
            <w:shd w:fill="CCEEFF" w:val="clear"/>
            <w:vAlign w:val="bottom"/>
          </w:tcPr>
          <w:p>
            <w:pPr>
              <w:pStyle w:val="TableContents"/>
              <w:spacing w:before="0" w:after="0"/>
              <w:jc w:val="right"/>
              <w:rPr>
                <w:color w:val="000000"/>
              </w:rPr>
            </w:pPr>
            <w:r>
              <w:rPr>
                <w:color w:val="000000"/>
              </w:rPr>
              <w:t>-</w:t>
            </w:r>
          </w:p>
        </w:tc>
        <w:tc>
          <w:tcPr>
            <w:tcW w:w="88"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26" w:type="dxa"/>
            <w:tcBorders/>
            <w:shd w:fill="CCEEFF" w:val="clear"/>
            <w:vAlign w:val="bottom"/>
          </w:tcPr>
          <w:p>
            <w:pPr>
              <w:pStyle w:val="TableContents"/>
              <w:spacing w:before="0" w:after="0"/>
              <w:rPr>
                <w:color w:val="000000"/>
              </w:rPr>
            </w:pPr>
            <w:r>
              <w:rPr>
                <w:color w:val="000000"/>
              </w:rPr>
              <w:t>$</w:t>
            </w:r>
          </w:p>
        </w:tc>
        <w:tc>
          <w:tcPr>
            <w:tcW w:w="627" w:type="dxa"/>
            <w:tcBorders/>
            <w:shd w:fill="CCEEFF" w:val="clear"/>
            <w:vAlign w:val="bottom"/>
          </w:tcPr>
          <w:p>
            <w:pPr>
              <w:pStyle w:val="TableContents"/>
              <w:spacing w:before="0" w:after="0"/>
              <w:jc w:val="right"/>
              <w:rPr>
                <w:color w:val="000000"/>
              </w:rPr>
            </w:pPr>
            <w:r>
              <w:rPr>
                <w:color w:val="000000"/>
              </w:rPr>
              <w:t>-</w:t>
            </w:r>
          </w:p>
        </w:tc>
        <w:tc>
          <w:tcPr>
            <w:tcW w:w="88"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0"/>
              <w:rPr>
                <w:color w:val="000000"/>
              </w:rPr>
            </w:pPr>
            <w:r>
              <w:rPr>
                <w:color w:val="000000"/>
              </w:rPr>
              <w:t>$</w:t>
            </w:r>
          </w:p>
        </w:tc>
        <w:tc>
          <w:tcPr>
            <w:tcW w:w="1649" w:type="dxa"/>
            <w:tcBorders/>
            <w:shd w:fill="CCEEFF" w:val="clear"/>
            <w:vAlign w:val="bottom"/>
          </w:tcPr>
          <w:p>
            <w:pPr>
              <w:pStyle w:val="TableContents"/>
              <w:spacing w:before="0" w:after="0"/>
              <w:jc w:val="right"/>
              <w:rPr>
                <w:color w:val="000000"/>
              </w:rPr>
            </w:pPr>
            <w:r>
              <w:rPr>
                <w:color w:val="000000"/>
              </w:rPr>
              <w:t>45,703,391</w:t>
            </w:r>
          </w:p>
        </w:tc>
        <w:tc>
          <w:tcPr>
            <w:tcW w:w="88"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0"/>
              <w:rPr>
                <w:color w:val="000000"/>
              </w:rPr>
            </w:pPr>
            <w:r>
              <w:rPr>
                <w:color w:val="000000"/>
              </w:rPr>
              <w:t>$</w:t>
            </w:r>
          </w:p>
        </w:tc>
        <w:tc>
          <w:tcPr>
            <w:tcW w:w="1632" w:type="dxa"/>
            <w:tcBorders/>
            <w:shd w:fill="CCEEFF" w:val="clear"/>
            <w:vAlign w:val="bottom"/>
          </w:tcPr>
          <w:p>
            <w:pPr>
              <w:pStyle w:val="TableContents"/>
              <w:spacing w:before="0" w:after="0"/>
              <w:jc w:val="right"/>
              <w:rPr>
                <w:color w:val="000000"/>
              </w:rPr>
            </w:pPr>
            <w:r>
              <w:rPr>
                <w:color w:val="000000"/>
              </w:rPr>
              <w:t>45,703,391</w:t>
            </w:r>
          </w:p>
        </w:tc>
        <w:tc>
          <w:tcPr>
            <w:tcW w:w="83" w:type="dxa"/>
            <w:tcBorders/>
            <w:shd w:fill="CCEEFF" w:val="clear"/>
            <w:vAlign w:val="bottom"/>
          </w:tcPr>
          <w:p>
            <w:pPr>
              <w:pStyle w:val="TableContents"/>
              <w:spacing w:before="0" w:after="283"/>
              <w:rPr/>
            </w:pPr>
            <w:r>
              <w:rPr/>
              <w:t> </w:t>
            </w:r>
          </w:p>
        </w:tc>
      </w:tr>
      <w:tr>
        <w:trPr/>
        <w:tc>
          <w:tcPr>
            <w:tcW w:w="3121" w:type="dxa"/>
            <w:tcBorders/>
            <w:shd w:fill="auto" w:val="clear"/>
            <w:vAlign w:val="bottom"/>
          </w:tcPr>
          <w:p>
            <w:pPr>
              <w:pStyle w:val="TableContents"/>
              <w:spacing w:before="0" w:after="0"/>
              <w:ind w:left="180" w:right="0" w:hanging="180"/>
              <w:rPr>
                <w:color w:val="000000"/>
              </w:rPr>
            </w:pPr>
            <w:r>
              <w:rPr>
                <w:color w:val="000000"/>
              </w:rPr>
              <w:t>Senior Secured Notes</w:t>
            </w:r>
          </w:p>
        </w:tc>
        <w:tc>
          <w:tcPr>
            <w:tcW w:w="60" w:type="dxa"/>
            <w:tcBorders/>
            <w:shd w:fill="auto" w:val="clear"/>
            <w:vAlign w:val="bottom"/>
          </w:tcPr>
          <w:p>
            <w:pPr>
              <w:pStyle w:val="TableContents"/>
              <w:spacing w:before="0" w:after="283"/>
              <w:rPr/>
            </w:pPr>
            <w:r>
              <w:rPr/>
              <w:t> </w:t>
            </w:r>
          </w:p>
        </w:tc>
        <w:tc>
          <w:tcPr>
            <w:tcW w:w="885" w:type="dxa"/>
            <w:tcBorders>
              <w:bottom w:val="single" w:sz="12" w:space="0" w:color="000000"/>
            </w:tcBorders>
            <w:shd w:fill="auto" w:val="clear"/>
            <w:tcMar>
              <w:bottom w:w="28" w:type="dxa"/>
            </w:tcMar>
            <w:vAlign w:val="bottom"/>
          </w:tcPr>
          <w:p>
            <w:pPr>
              <w:pStyle w:val="TableContents"/>
              <w:spacing w:before="0" w:after="283"/>
              <w:rPr/>
            </w:pPr>
            <w:r>
              <w:rPr/>
              <w:t> </w:t>
            </w:r>
          </w:p>
        </w:tc>
        <w:tc>
          <w:tcPr>
            <w:tcW w:w="601"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88"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926" w:type="dxa"/>
            <w:tcBorders>
              <w:bottom w:val="single" w:sz="12" w:space="0" w:color="000000"/>
            </w:tcBorders>
            <w:shd w:fill="auto" w:val="clear"/>
            <w:tcMar>
              <w:bottom w:w="28" w:type="dxa"/>
            </w:tcMar>
            <w:vAlign w:val="bottom"/>
          </w:tcPr>
          <w:p>
            <w:pPr>
              <w:pStyle w:val="TableContents"/>
              <w:spacing w:before="0" w:after="283"/>
              <w:rPr/>
            </w:pPr>
            <w:r>
              <w:rPr/>
              <w:t> </w:t>
            </w:r>
          </w:p>
        </w:tc>
        <w:tc>
          <w:tcPr>
            <w:tcW w:w="62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88"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20" w:type="dxa"/>
            <w:tcBorders>
              <w:bottom w:val="single" w:sz="12" w:space="0" w:color="000000"/>
            </w:tcBorders>
            <w:shd w:fill="auto" w:val="clear"/>
            <w:tcMar>
              <w:bottom w:w="28" w:type="dxa"/>
            </w:tcMar>
            <w:vAlign w:val="bottom"/>
          </w:tcPr>
          <w:p>
            <w:pPr>
              <w:pStyle w:val="TableContents"/>
              <w:spacing w:before="0" w:after="283"/>
              <w:rPr/>
            </w:pPr>
            <w:r>
              <w:rPr/>
              <w:t> </w:t>
            </w:r>
          </w:p>
        </w:tc>
        <w:tc>
          <w:tcPr>
            <w:tcW w:w="1649"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9,919,908</w:t>
            </w:r>
          </w:p>
        </w:tc>
        <w:tc>
          <w:tcPr>
            <w:tcW w:w="88"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07" w:type="dxa"/>
            <w:tcBorders>
              <w:bottom w:val="single" w:sz="12" w:space="0" w:color="000000"/>
            </w:tcBorders>
            <w:shd w:fill="auto" w:val="clear"/>
            <w:tcMar>
              <w:bottom w:w="28" w:type="dxa"/>
            </w:tcMar>
            <w:vAlign w:val="bottom"/>
          </w:tcPr>
          <w:p>
            <w:pPr>
              <w:pStyle w:val="TableContents"/>
              <w:spacing w:before="0" w:after="283"/>
              <w:rPr/>
            </w:pPr>
            <w:r>
              <w:rPr/>
              <w:t> </w:t>
            </w:r>
          </w:p>
        </w:tc>
        <w:tc>
          <w:tcPr>
            <w:tcW w:w="1632"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9,919,908</w:t>
            </w:r>
          </w:p>
        </w:tc>
        <w:tc>
          <w:tcPr>
            <w:tcW w:w="83" w:type="dxa"/>
            <w:tcBorders/>
            <w:shd w:fill="auto" w:val="clear"/>
            <w:vAlign w:val="bottom"/>
          </w:tcPr>
          <w:p>
            <w:pPr>
              <w:pStyle w:val="TableContents"/>
              <w:spacing w:before="0" w:after="283"/>
              <w:rPr/>
            </w:pPr>
            <w:r>
              <w:rPr/>
              <w:t> </w:t>
            </w:r>
          </w:p>
        </w:tc>
      </w:tr>
      <w:tr>
        <w:trPr/>
        <w:tc>
          <w:tcPr>
            <w:tcW w:w="3121" w:type="dxa"/>
            <w:tcBorders/>
            <w:shd w:fill="CCEEFF" w:val="clear"/>
            <w:vAlign w:val="bottom"/>
          </w:tcPr>
          <w:p>
            <w:pPr>
              <w:pStyle w:val="TableContents"/>
              <w:spacing w:before="0" w:after="0"/>
              <w:ind w:left="180" w:right="0" w:hanging="180"/>
              <w:rPr>
                <w:color w:val="000000"/>
              </w:rPr>
            </w:pPr>
            <w:r>
              <w:rPr>
                <w:color w:val="000000"/>
              </w:rPr>
              <w:t>Total</w:t>
            </w:r>
          </w:p>
        </w:tc>
        <w:tc>
          <w:tcPr>
            <w:tcW w:w="60" w:type="dxa"/>
            <w:tcBorders/>
            <w:shd w:fill="CCEEFF" w:val="clear"/>
            <w:vAlign w:val="bottom"/>
          </w:tcPr>
          <w:p>
            <w:pPr>
              <w:pStyle w:val="TableContents"/>
              <w:spacing w:before="0" w:after="283"/>
              <w:rPr/>
            </w:pPr>
            <w:r>
              <w:rPr/>
              <w:t> </w:t>
            </w:r>
          </w:p>
        </w:tc>
        <w:tc>
          <w:tcPr>
            <w:tcW w:w="885"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601"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88"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926"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627"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88"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20"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1649"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55,623,299</w:t>
            </w:r>
          </w:p>
        </w:tc>
        <w:tc>
          <w:tcPr>
            <w:tcW w:w="88"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207"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1632"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55,623,299</w:t>
            </w:r>
          </w:p>
        </w:tc>
        <w:tc>
          <w:tcPr>
            <w:tcW w:w="83" w:type="dxa"/>
            <w:tcBorders/>
            <w:shd w:fill="CCEEFF" w:val="clear"/>
            <w:vAlign w:val="bottom"/>
          </w:tcPr>
          <w:p>
            <w:pPr>
              <w:pStyle w:val="TableContents"/>
              <w:spacing w:before="0" w:after="283"/>
              <w:rPr/>
            </w:pPr>
            <w:r>
              <w:rPr/>
              <w:t> </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Company’s investments measured at fair value by investment type on a recurring basis as of December 31, 2022 were as follows:</w:t>
      </w:r>
    </w:p>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2972"/>
        <w:gridCol w:w="60"/>
        <w:gridCol w:w="892"/>
        <w:gridCol w:w="606"/>
        <w:gridCol w:w="91"/>
        <w:gridCol w:w="91"/>
        <w:gridCol w:w="912"/>
        <w:gridCol w:w="618"/>
        <w:gridCol w:w="91"/>
        <w:gridCol w:w="91"/>
        <w:gridCol w:w="234"/>
        <w:gridCol w:w="1711"/>
        <w:gridCol w:w="91"/>
        <w:gridCol w:w="91"/>
        <w:gridCol w:w="214"/>
        <w:gridCol w:w="1691"/>
        <w:gridCol w:w="83"/>
      </w:tblGrid>
      <w:tr>
        <w:trPr/>
        <w:tc>
          <w:tcPr>
            <w:tcW w:w="297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24" w:type="dxa"/>
            <w:gridSpan w:val="14"/>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 Value Measurements at December 31, 2022 Using</w:t>
            </w:r>
          </w:p>
        </w:tc>
        <w:tc>
          <w:tcPr>
            <w:tcW w:w="83" w:type="dxa"/>
            <w:tcBorders/>
            <w:shd w:fill="auto" w:val="clear"/>
            <w:vAlign w:val="bottom"/>
          </w:tcPr>
          <w:p>
            <w:pPr>
              <w:pStyle w:val="TableContents"/>
              <w:spacing w:before="0" w:after="283"/>
              <w:rPr/>
            </w:pPr>
            <w:r>
              <w:rPr/>
              <w:t> </w:t>
            </w:r>
          </w:p>
        </w:tc>
      </w:tr>
      <w:tr>
        <w:trPr/>
        <w:tc>
          <w:tcPr>
            <w:tcW w:w="2972" w:type="dxa"/>
            <w:tcBorders>
              <w:bottom w:val="single" w:sz="12" w:space="0" w:color="000000"/>
            </w:tcBorders>
            <w:shd w:fill="auto" w:val="clear"/>
            <w:tcMar>
              <w:bottom w:w="28" w:type="dxa"/>
            </w:tcMar>
            <w:vAlign w:val="bottom"/>
          </w:tcPr>
          <w:p>
            <w:pPr>
              <w:pStyle w:val="TableContents"/>
              <w:spacing w:before="0" w:after="0"/>
              <w:rPr>
                <w:b/>
                <w:color w:val="000000"/>
              </w:rPr>
            </w:pPr>
            <w:r>
              <w:rPr>
                <w:b/>
                <w:color w:val="000000"/>
              </w:rPr>
              <w:t>Assets</w:t>
            </w:r>
          </w:p>
        </w:tc>
        <w:tc>
          <w:tcPr>
            <w:tcW w:w="60" w:type="dxa"/>
            <w:tcBorders/>
            <w:shd w:fill="auto" w:val="clear"/>
            <w:vAlign w:val="bottom"/>
          </w:tcPr>
          <w:p>
            <w:pPr>
              <w:pStyle w:val="TableContents"/>
              <w:spacing w:before="0" w:after="283"/>
              <w:rPr/>
            </w:pPr>
            <w:r>
              <w:rPr/>
              <w:t> </w:t>
            </w:r>
          </w:p>
        </w:tc>
        <w:tc>
          <w:tcPr>
            <w:tcW w:w="1498"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Quoted Prices</w:t>
            </w:r>
          </w:p>
          <w:p>
            <w:pPr>
              <w:pStyle w:val="TableContents"/>
              <w:spacing w:before="0" w:after="0"/>
              <w:jc w:val="center"/>
              <w:rPr>
                <w:b/>
                <w:color w:val="000000"/>
              </w:rPr>
            </w:pPr>
            <w:r>
              <w:rPr>
                <w:b/>
                <w:color w:val="000000"/>
              </w:rPr>
              <w:t xml:space="preserve">in Active </w:t>
            </w:r>
          </w:p>
          <w:p>
            <w:pPr>
              <w:pStyle w:val="TableContents"/>
              <w:spacing w:before="0" w:after="0"/>
              <w:jc w:val="center"/>
              <w:rPr>
                <w:b/>
                <w:color w:val="000000"/>
              </w:rPr>
            </w:pPr>
            <w:r>
              <w:rPr>
                <w:b/>
                <w:color w:val="000000"/>
              </w:rPr>
              <w:t xml:space="preserve">Markets for </w:t>
            </w:r>
          </w:p>
          <w:p>
            <w:pPr>
              <w:pStyle w:val="TableContents"/>
              <w:spacing w:before="0" w:after="0"/>
              <w:jc w:val="center"/>
              <w:rPr>
                <w:b/>
                <w:color w:val="000000"/>
              </w:rPr>
            </w:pPr>
            <w:r>
              <w:rPr>
                <w:b/>
                <w:color w:val="000000"/>
              </w:rPr>
              <w:t xml:space="preserve">Identical Assets </w:t>
            </w:r>
          </w:p>
          <w:p>
            <w:pPr>
              <w:pStyle w:val="TableContents"/>
              <w:spacing w:before="0" w:after="0"/>
              <w:jc w:val="center"/>
              <w:rPr>
                <w:b/>
                <w:color w:val="000000"/>
              </w:rPr>
            </w:pPr>
            <w:r>
              <w:rPr>
                <w:b/>
                <w:color w:val="000000"/>
              </w:rPr>
              <w:t>(Level 1)</w:t>
            </w:r>
          </w:p>
        </w:tc>
        <w:tc>
          <w:tcPr>
            <w:tcW w:w="9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53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Significant</w:t>
            </w:r>
          </w:p>
          <w:p>
            <w:pPr>
              <w:pStyle w:val="TableContents"/>
              <w:spacing w:before="0" w:after="0"/>
              <w:jc w:val="center"/>
              <w:rPr>
                <w:b/>
                <w:color w:val="000000"/>
              </w:rPr>
            </w:pPr>
            <w:r>
              <w:rPr>
                <w:b/>
                <w:color w:val="000000"/>
              </w:rPr>
              <w:t xml:space="preserve">Other </w:t>
            </w:r>
          </w:p>
          <w:p>
            <w:pPr>
              <w:pStyle w:val="TableContents"/>
              <w:spacing w:before="0" w:after="0"/>
              <w:jc w:val="center"/>
              <w:rPr>
                <w:b/>
                <w:color w:val="000000"/>
              </w:rPr>
            </w:pPr>
            <w:r>
              <w:rPr>
                <w:b/>
                <w:color w:val="000000"/>
              </w:rPr>
              <w:t>Observable</w:t>
            </w:r>
          </w:p>
          <w:p>
            <w:pPr>
              <w:pStyle w:val="TableContents"/>
              <w:spacing w:before="0" w:after="0"/>
              <w:jc w:val="center"/>
              <w:rPr>
                <w:b/>
                <w:color w:val="000000"/>
              </w:rPr>
            </w:pPr>
            <w:r>
              <w:rPr>
                <w:b/>
                <w:color w:val="000000"/>
              </w:rPr>
              <w:t>Inputs (Level 2)</w:t>
            </w:r>
          </w:p>
        </w:tc>
        <w:tc>
          <w:tcPr>
            <w:tcW w:w="9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94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xml:space="preserve">Significant </w:t>
            </w:r>
          </w:p>
          <w:p>
            <w:pPr>
              <w:pStyle w:val="TableContents"/>
              <w:spacing w:before="0" w:after="0"/>
              <w:jc w:val="center"/>
              <w:rPr>
                <w:b/>
                <w:color w:val="000000"/>
              </w:rPr>
            </w:pPr>
            <w:r>
              <w:rPr>
                <w:b/>
                <w:color w:val="000000"/>
              </w:rPr>
              <w:t xml:space="preserve">Unobservable </w:t>
            </w:r>
          </w:p>
          <w:p>
            <w:pPr>
              <w:pStyle w:val="TableContents"/>
              <w:spacing w:before="0" w:after="0"/>
              <w:jc w:val="center"/>
              <w:rPr>
                <w:b/>
                <w:color w:val="000000"/>
              </w:rPr>
            </w:pPr>
            <w:r>
              <w:rPr>
                <w:b/>
                <w:color w:val="000000"/>
              </w:rPr>
              <w:t>Inputs (Level 3)</w:t>
            </w:r>
          </w:p>
        </w:tc>
        <w:tc>
          <w:tcPr>
            <w:tcW w:w="9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90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w:t>
            </w:r>
          </w:p>
        </w:tc>
        <w:tc>
          <w:tcPr>
            <w:tcW w:w="83" w:type="dxa"/>
            <w:tcBorders/>
            <w:shd w:fill="auto" w:val="clear"/>
            <w:vAlign w:val="bottom"/>
          </w:tcPr>
          <w:p>
            <w:pPr>
              <w:pStyle w:val="TableContents"/>
              <w:spacing w:before="0" w:after="283"/>
              <w:rPr/>
            </w:pPr>
            <w:r>
              <w:rPr/>
              <w:t> </w:t>
            </w:r>
          </w:p>
        </w:tc>
      </w:tr>
      <w:tr>
        <w:trPr/>
        <w:tc>
          <w:tcPr>
            <w:tcW w:w="2972" w:type="dxa"/>
            <w:tcBorders/>
            <w:shd w:fill="CCEEFF" w:val="clear"/>
            <w:vAlign w:val="bottom"/>
          </w:tcPr>
          <w:p>
            <w:pPr>
              <w:pStyle w:val="TableContents"/>
              <w:spacing w:before="0" w:after="0"/>
              <w:ind w:left="180" w:right="0" w:hanging="180"/>
              <w:rPr>
                <w:color w:val="000000"/>
              </w:rPr>
            </w:pPr>
            <w:r>
              <w:rPr>
                <w:color w:val="000000"/>
              </w:rPr>
              <w:t>Senior Secured First Lien Term Loan</w:t>
            </w:r>
          </w:p>
        </w:tc>
        <w:tc>
          <w:tcPr>
            <w:tcW w:w="60"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0"/>
              <w:rPr>
                <w:color w:val="000000"/>
              </w:rPr>
            </w:pPr>
            <w:r>
              <w:rPr>
                <w:color w:val="000000"/>
              </w:rPr>
              <w:t>$</w:t>
            </w:r>
          </w:p>
        </w:tc>
        <w:tc>
          <w:tcPr>
            <w:tcW w:w="606" w:type="dxa"/>
            <w:tcBorders/>
            <w:shd w:fill="CCEEFF" w:val="clear"/>
            <w:vAlign w:val="bottom"/>
          </w:tcPr>
          <w:p>
            <w:pPr>
              <w:pStyle w:val="TableContents"/>
              <w:spacing w:before="0" w:after="0"/>
              <w:jc w:val="right"/>
              <w:rPr>
                <w:color w:val="000000"/>
              </w:rPr>
            </w:pPr>
            <w:r>
              <w:rPr>
                <w:color w:val="000000"/>
              </w:rPr>
              <w:t>-</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0"/>
              <w:rPr>
                <w:color w:val="000000"/>
              </w:rPr>
            </w:pPr>
            <w:r>
              <w:rPr>
                <w:color w:val="000000"/>
              </w:rPr>
              <w:t>$</w:t>
            </w:r>
          </w:p>
        </w:tc>
        <w:tc>
          <w:tcPr>
            <w:tcW w:w="618" w:type="dxa"/>
            <w:tcBorders/>
            <w:shd w:fill="CCEEFF" w:val="clear"/>
            <w:vAlign w:val="bottom"/>
          </w:tcPr>
          <w:p>
            <w:pPr>
              <w:pStyle w:val="TableContents"/>
              <w:spacing w:before="0" w:after="0"/>
              <w:jc w:val="right"/>
              <w:rPr>
                <w:color w:val="000000"/>
              </w:rPr>
            </w:pPr>
            <w:r>
              <w:rPr>
                <w:color w:val="000000"/>
              </w:rPr>
              <w:t>-</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0"/>
              <w:rPr>
                <w:color w:val="000000"/>
              </w:rPr>
            </w:pPr>
            <w:r>
              <w:rPr>
                <w:color w:val="000000"/>
              </w:rPr>
              <w:t>$</w:t>
            </w:r>
          </w:p>
        </w:tc>
        <w:tc>
          <w:tcPr>
            <w:tcW w:w="1711" w:type="dxa"/>
            <w:tcBorders/>
            <w:shd w:fill="CCEEFF" w:val="clear"/>
            <w:vAlign w:val="bottom"/>
          </w:tcPr>
          <w:p>
            <w:pPr>
              <w:pStyle w:val="TableContents"/>
              <w:spacing w:before="0" w:after="0"/>
              <w:jc w:val="right"/>
              <w:rPr>
                <w:color w:val="000000"/>
              </w:rPr>
            </w:pPr>
            <w:r>
              <w:rPr>
                <w:color w:val="000000"/>
              </w:rPr>
              <w:t>40,660,663</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0"/>
              <w:rPr>
                <w:color w:val="000000"/>
              </w:rPr>
            </w:pPr>
            <w:r>
              <w:rPr>
                <w:color w:val="000000"/>
              </w:rPr>
              <w:t>$</w:t>
            </w:r>
          </w:p>
        </w:tc>
        <w:tc>
          <w:tcPr>
            <w:tcW w:w="1691" w:type="dxa"/>
            <w:tcBorders/>
            <w:shd w:fill="CCEEFF" w:val="clear"/>
            <w:vAlign w:val="bottom"/>
          </w:tcPr>
          <w:p>
            <w:pPr>
              <w:pStyle w:val="TableContents"/>
              <w:spacing w:before="0" w:after="0"/>
              <w:jc w:val="right"/>
              <w:rPr>
                <w:color w:val="000000"/>
              </w:rPr>
            </w:pPr>
            <w:r>
              <w:rPr>
                <w:color w:val="000000"/>
              </w:rPr>
              <w:t>40,660,663</w:t>
            </w:r>
          </w:p>
        </w:tc>
        <w:tc>
          <w:tcPr>
            <w:tcW w:w="83" w:type="dxa"/>
            <w:tcBorders/>
            <w:shd w:fill="CCEEFF" w:val="clear"/>
            <w:vAlign w:val="bottom"/>
          </w:tcPr>
          <w:p>
            <w:pPr>
              <w:pStyle w:val="TableContents"/>
              <w:spacing w:before="0" w:after="283"/>
              <w:rPr/>
            </w:pPr>
            <w:r>
              <w:rPr/>
              <w:t> </w:t>
            </w:r>
          </w:p>
        </w:tc>
      </w:tr>
      <w:tr>
        <w:trPr/>
        <w:tc>
          <w:tcPr>
            <w:tcW w:w="2972" w:type="dxa"/>
            <w:tcBorders/>
            <w:shd w:fill="auto" w:val="clear"/>
            <w:vAlign w:val="bottom"/>
          </w:tcPr>
          <w:p>
            <w:pPr>
              <w:pStyle w:val="TableContents"/>
              <w:spacing w:before="0" w:after="0"/>
              <w:ind w:left="180" w:right="0" w:hanging="180"/>
              <w:rPr>
                <w:color w:val="000000"/>
              </w:rPr>
            </w:pPr>
            <w:r>
              <w:rPr>
                <w:color w:val="000000"/>
              </w:rPr>
              <w:t>Senior Secured Notes</w:t>
            </w:r>
          </w:p>
        </w:tc>
        <w:tc>
          <w:tcPr>
            <w:tcW w:w="60" w:type="dxa"/>
            <w:tcBorders/>
            <w:shd w:fill="auto" w:val="clear"/>
            <w:vAlign w:val="bottom"/>
          </w:tcPr>
          <w:p>
            <w:pPr>
              <w:pStyle w:val="TableContents"/>
              <w:spacing w:before="0" w:after="283"/>
              <w:rPr/>
            </w:pPr>
            <w:r>
              <w:rPr/>
              <w:t> </w:t>
            </w:r>
          </w:p>
        </w:tc>
        <w:tc>
          <w:tcPr>
            <w:tcW w:w="892" w:type="dxa"/>
            <w:tcBorders>
              <w:bottom w:val="single" w:sz="12" w:space="0" w:color="000000"/>
            </w:tcBorders>
            <w:shd w:fill="auto" w:val="clear"/>
            <w:tcMar>
              <w:bottom w:w="28" w:type="dxa"/>
            </w:tcMar>
            <w:vAlign w:val="bottom"/>
          </w:tcPr>
          <w:p>
            <w:pPr>
              <w:pStyle w:val="TableContents"/>
              <w:spacing w:before="0" w:after="283"/>
              <w:rPr/>
            </w:pPr>
            <w:r>
              <w:rPr/>
              <w:t> </w:t>
            </w:r>
          </w:p>
        </w:tc>
        <w:tc>
          <w:tcPr>
            <w:tcW w:w="60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9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912" w:type="dxa"/>
            <w:tcBorders>
              <w:bottom w:val="single" w:sz="12" w:space="0" w:color="000000"/>
            </w:tcBorders>
            <w:shd w:fill="auto" w:val="clear"/>
            <w:tcMar>
              <w:bottom w:w="28" w:type="dxa"/>
            </w:tcMar>
            <w:vAlign w:val="bottom"/>
          </w:tcPr>
          <w:p>
            <w:pPr>
              <w:pStyle w:val="TableContents"/>
              <w:spacing w:before="0" w:after="283"/>
              <w:rPr/>
            </w:pPr>
            <w:r>
              <w:rPr/>
              <w:t> </w:t>
            </w:r>
          </w:p>
        </w:tc>
        <w:tc>
          <w:tcPr>
            <w:tcW w:w="61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9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34" w:type="dxa"/>
            <w:tcBorders>
              <w:bottom w:val="single" w:sz="12" w:space="0" w:color="000000"/>
            </w:tcBorders>
            <w:shd w:fill="auto" w:val="clear"/>
            <w:tcMar>
              <w:bottom w:w="28" w:type="dxa"/>
            </w:tcMar>
            <w:vAlign w:val="bottom"/>
          </w:tcPr>
          <w:p>
            <w:pPr>
              <w:pStyle w:val="TableContents"/>
              <w:spacing w:before="0" w:after="283"/>
              <w:rPr/>
            </w:pPr>
            <w:r>
              <w:rPr/>
              <w:t> </w:t>
            </w:r>
          </w:p>
        </w:tc>
        <w:tc>
          <w:tcPr>
            <w:tcW w:w="1711"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9,593,917</w:t>
            </w:r>
          </w:p>
        </w:tc>
        <w:tc>
          <w:tcPr>
            <w:tcW w:w="9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14" w:type="dxa"/>
            <w:tcBorders>
              <w:bottom w:val="single" w:sz="12" w:space="0" w:color="000000"/>
            </w:tcBorders>
            <w:shd w:fill="auto" w:val="clear"/>
            <w:tcMar>
              <w:bottom w:w="28" w:type="dxa"/>
            </w:tcMar>
            <w:vAlign w:val="bottom"/>
          </w:tcPr>
          <w:p>
            <w:pPr>
              <w:pStyle w:val="TableContents"/>
              <w:spacing w:before="0" w:after="283"/>
              <w:rPr/>
            </w:pPr>
            <w:r>
              <w:rPr/>
              <w:t> </w:t>
            </w:r>
          </w:p>
        </w:tc>
        <w:tc>
          <w:tcPr>
            <w:tcW w:w="1691"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9,593,917</w:t>
            </w:r>
          </w:p>
        </w:tc>
        <w:tc>
          <w:tcPr>
            <w:tcW w:w="83" w:type="dxa"/>
            <w:tcBorders/>
            <w:shd w:fill="auto" w:val="clear"/>
            <w:vAlign w:val="bottom"/>
          </w:tcPr>
          <w:p>
            <w:pPr>
              <w:pStyle w:val="TableContents"/>
              <w:spacing w:before="0" w:after="283"/>
              <w:rPr/>
            </w:pPr>
            <w:r>
              <w:rPr/>
              <w:t> </w:t>
            </w:r>
          </w:p>
        </w:tc>
      </w:tr>
      <w:tr>
        <w:trPr/>
        <w:tc>
          <w:tcPr>
            <w:tcW w:w="2972" w:type="dxa"/>
            <w:tcBorders/>
            <w:shd w:fill="CCEEFF" w:val="clear"/>
            <w:vAlign w:val="bottom"/>
          </w:tcPr>
          <w:p>
            <w:pPr>
              <w:pStyle w:val="TableContents"/>
              <w:spacing w:before="0" w:after="0"/>
              <w:ind w:left="180" w:right="0" w:hanging="180"/>
              <w:rPr>
                <w:color w:val="000000"/>
              </w:rPr>
            </w:pPr>
            <w:r>
              <w:rPr>
                <w:color w:val="000000"/>
              </w:rPr>
              <w:t>Total</w:t>
            </w:r>
          </w:p>
        </w:tc>
        <w:tc>
          <w:tcPr>
            <w:tcW w:w="60" w:type="dxa"/>
            <w:tcBorders/>
            <w:shd w:fill="CCEEFF" w:val="clear"/>
            <w:vAlign w:val="bottom"/>
          </w:tcPr>
          <w:p>
            <w:pPr>
              <w:pStyle w:val="TableContents"/>
              <w:spacing w:before="0" w:after="283"/>
              <w:rPr/>
            </w:pPr>
            <w:r>
              <w:rPr/>
              <w:t> </w:t>
            </w:r>
          </w:p>
        </w:tc>
        <w:tc>
          <w:tcPr>
            <w:tcW w:w="892"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606"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912"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618"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34"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1711"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50,254,580</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214"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1691"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50,254,580</w:t>
            </w:r>
          </w:p>
        </w:tc>
        <w:tc>
          <w:tcPr>
            <w:tcW w:w="83" w:type="dxa"/>
            <w:tcBorders/>
            <w:shd w:fill="CCEEFF" w:val="clear"/>
            <w:vAlign w:val="bottom"/>
          </w:tcPr>
          <w:p>
            <w:pPr>
              <w:pStyle w:val="TableContents"/>
              <w:spacing w:before="0" w:after="283"/>
              <w:rPr/>
            </w:pPr>
            <w:r>
              <w:rPr/>
              <w:t> </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SILVER SPIKE INVESTMENT CORP.</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Notes to Financial Statements</w:t>
      </w:r>
    </w:p>
    <w:p>
      <w:pPr>
        <w:pStyle w:val="TextBody"/>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tables provide a summary of the significant unobservable inputs used to fair value the Level 3 portfolio investments as of March 31, 2023 and December 31, 2022. The methodology for the determination of the fair value of the Company’s investments is discussed in “Note 2 – Significant Accounting Policies”. Discount Rate ranges are shown as spread over Treasuries for Senior Secured First Lien Term Loans.</w:t>
      </w:r>
    </w:p>
    <w:p>
      <w:pPr>
        <w:pStyle w:val="TextBody"/>
        <w:spacing w:before="0" w:after="0"/>
        <w:jc w:val="left"/>
        <w:rPr>
          <w:color w:val="000000"/>
        </w:rPr>
      </w:pPr>
      <w:r>
        <w:rPr>
          <w:color w:val="000000"/>
        </w:rPr>
        <w:t> </w:t>
      </w:r>
    </w:p>
    <w:tbl>
      <w:tblPr>
        <w:tblW w:w="10539" w:type="dxa"/>
        <w:jc w:val="left"/>
        <w:tblInd w:w="0" w:type="dxa"/>
        <w:tblCellMar>
          <w:top w:w="0" w:type="dxa"/>
          <w:left w:w="0" w:type="dxa"/>
          <w:bottom w:w="28" w:type="dxa"/>
          <w:right w:w="0" w:type="dxa"/>
        </w:tblCellMar>
      </w:tblPr>
      <w:tblGrid>
        <w:gridCol w:w="2367"/>
        <w:gridCol w:w="60"/>
        <w:gridCol w:w="162"/>
        <w:gridCol w:w="1279"/>
        <w:gridCol w:w="60"/>
        <w:gridCol w:w="1907"/>
        <w:gridCol w:w="60"/>
        <w:gridCol w:w="1460"/>
        <w:gridCol w:w="60"/>
        <w:gridCol w:w="60"/>
        <w:gridCol w:w="946"/>
        <w:gridCol w:w="215"/>
        <w:gridCol w:w="60"/>
        <w:gridCol w:w="193"/>
        <w:gridCol w:w="1430"/>
        <w:gridCol w:w="220"/>
      </w:tblGrid>
      <w:tr>
        <w:trPr/>
        <w:tc>
          <w:tcPr>
            <w:tcW w:w="2367" w:type="dxa"/>
            <w:tcBorders>
              <w:bottom w:val="single" w:sz="12" w:space="0" w:color="000000"/>
            </w:tcBorders>
            <w:shd w:fill="auto" w:val="clear"/>
            <w:vAlign w:val="bottom"/>
          </w:tcPr>
          <w:p>
            <w:pPr>
              <w:pStyle w:val="TableContents"/>
              <w:spacing w:before="0" w:after="0"/>
              <w:rPr>
                <w:b/>
                <w:color w:val="000000"/>
              </w:rPr>
            </w:pPr>
            <w:r>
              <w:rPr>
                <w:b/>
                <w:color w:val="000000"/>
              </w:rPr>
              <w:t>Investment Type</w:t>
            </w:r>
          </w:p>
        </w:tc>
        <w:tc>
          <w:tcPr>
            <w:tcW w:w="60" w:type="dxa"/>
            <w:tcBorders/>
            <w:shd w:fill="auto" w:val="clear"/>
            <w:tcMar>
              <w:bottom w:w="0" w:type="dxa"/>
            </w:tcMar>
            <w:vAlign w:val="bottom"/>
          </w:tcPr>
          <w:p>
            <w:pPr>
              <w:pStyle w:val="TableContents"/>
              <w:spacing w:before="0" w:after="283"/>
              <w:rPr/>
            </w:pPr>
            <w:r>
              <w:rPr/>
              <w:t> </w:t>
            </w:r>
          </w:p>
        </w:tc>
        <w:tc>
          <w:tcPr>
            <w:tcW w:w="1441"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Fair Value as of</w:t>
              <w:br/>
              <w:t>March 31, 2023</w:t>
            </w:r>
          </w:p>
        </w:tc>
        <w:tc>
          <w:tcPr>
            <w:tcW w:w="60" w:type="dxa"/>
            <w:tcBorders/>
            <w:shd w:fill="auto" w:val="clear"/>
            <w:tcMar>
              <w:bottom w:w="0" w:type="dxa"/>
            </w:tcMar>
            <w:vAlign w:val="bottom"/>
          </w:tcPr>
          <w:p>
            <w:pPr>
              <w:pStyle w:val="TableContents"/>
              <w:spacing w:before="0" w:after="283"/>
              <w:jc w:val="left"/>
              <w:rPr/>
            </w:pPr>
            <w:r>
              <w:rPr/>
              <w:t> </w:t>
            </w:r>
          </w:p>
        </w:tc>
        <w:tc>
          <w:tcPr>
            <w:tcW w:w="1907" w:type="dxa"/>
            <w:tcBorders>
              <w:bottom w:val="single" w:sz="12" w:space="0" w:color="000000"/>
            </w:tcBorders>
            <w:shd w:fill="auto" w:val="clear"/>
            <w:vAlign w:val="bottom"/>
          </w:tcPr>
          <w:p>
            <w:pPr>
              <w:pStyle w:val="TableContents"/>
              <w:spacing w:before="0" w:after="0"/>
              <w:jc w:val="center"/>
              <w:rPr>
                <w:b/>
                <w:color w:val="000000"/>
              </w:rPr>
            </w:pPr>
            <w:r>
              <w:rPr>
                <w:b/>
                <w:color w:val="000000"/>
              </w:rPr>
              <w:t>Valuation Techniques/</w:t>
            </w:r>
          </w:p>
          <w:p>
            <w:pPr>
              <w:pStyle w:val="TableContents"/>
              <w:spacing w:before="0" w:after="0"/>
              <w:jc w:val="center"/>
              <w:rPr>
                <w:b/>
                <w:color w:val="000000"/>
              </w:rPr>
            </w:pPr>
            <w:r>
              <w:rPr>
                <w:b/>
                <w:color w:val="000000"/>
              </w:rPr>
              <w:t>Methodologies</w:t>
            </w:r>
          </w:p>
        </w:tc>
        <w:tc>
          <w:tcPr>
            <w:tcW w:w="60" w:type="dxa"/>
            <w:tcBorders/>
            <w:shd w:fill="auto" w:val="clear"/>
            <w:tcMar>
              <w:bottom w:w="0" w:type="dxa"/>
            </w:tcMar>
            <w:vAlign w:val="bottom"/>
          </w:tcPr>
          <w:p>
            <w:pPr>
              <w:pStyle w:val="TableContents"/>
              <w:spacing w:before="0" w:after="283"/>
              <w:rPr/>
            </w:pPr>
            <w:r>
              <w:rPr/>
              <w:t> </w:t>
            </w:r>
          </w:p>
        </w:tc>
        <w:tc>
          <w:tcPr>
            <w:tcW w:w="1460" w:type="dxa"/>
            <w:tcBorders>
              <w:bottom w:val="single" w:sz="12" w:space="0" w:color="000000"/>
            </w:tcBorders>
            <w:shd w:fill="auto" w:val="clear"/>
            <w:vAlign w:val="bottom"/>
          </w:tcPr>
          <w:p>
            <w:pPr>
              <w:pStyle w:val="TableContents"/>
              <w:spacing w:before="0" w:after="0"/>
              <w:jc w:val="center"/>
              <w:rPr>
                <w:b/>
                <w:color w:val="000000"/>
              </w:rPr>
            </w:pPr>
            <w:r>
              <w:rPr>
                <w:b/>
                <w:color w:val="000000"/>
              </w:rPr>
              <w:t xml:space="preserve">Unobservable </w:t>
            </w:r>
          </w:p>
          <w:p>
            <w:pPr>
              <w:pStyle w:val="TableContents"/>
              <w:spacing w:before="0" w:after="0"/>
              <w:jc w:val="center"/>
              <w:rPr>
                <w:b/>
                <w:color w:val="000000"/>
              </w:rPr>
            </w:pPr>
            <w:r>
              <w:rPr>
                <w:b/>
                <w:color w:val="000000"/>
              </w:rPr>
              <w:t>Input</w:t>
            </w:r>
          </w:p>
        </w:tc>
        <w:tc>
          <w:tcPr>
            <w:tcW w:w="60" w:type="dxa"/>
            <w:tcBorders/>
            <w:shd w:fill="auto" w:val="clear"/>
            <w:tcMar>
              <w:bottom w:w="0" w:type="dxa"/>
            </w:tcMar>
            <w:vAlign w:val="bottom"/>
          </w:tcPr>
          <w:p>
            <w:pPr>
              <w:pStyle w:val="TableContents"/>
              <w:spacing w:before="0" w:after="283"/>
              <w:rPr/>
            </w:pPr>
            <w:r>
              <w:rPr/>
              <w:t> </w:t>
            </w:r>
          </w:p>
        </w:tc>
        <w:tc>
          <w:tcPr>
            <w:tcW w:w="1006"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Range</w:t>
            </w:r>
          </w:p>
        </w:tc>
        <w:tc>
          <w:tcPr>
            <w:tcW w:w="215"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1623" w:type="dxa"/>
            <w:gridSpan w:val="2"/>
            <w:tcBorders>
              <w:bottom w:val="single" w:sz="12" w:space="0" w:color="000000"/>
            </w:tcBorders>
            <w:shd w:fill="auto" w:val="clear"/>
            <w:vAlign w:val="bottom"/>
          </w:tcPr>
          <w:p>
            <w:pPr>
              <w:pStyle w:val="TableContents"/>
              <w:spacing w:lineRule="auto" w:line="240" w:before="0" w:after="0"/>
              <w:jc w:val="center"/>
              <w:rPr>
                <w:b/>
                <w:color w:val="000000"/>
              </w:rPr>
            </w:pPr>
            <w:r>
              <w:rPr>
                <w:b/>
                <w:color w:val="000000"/>
              </w:rPr>
              <w:t>Weighted Average (1)</w:t>
            </w:r>
          </w:p>
        </w:tc>
        <w:tc>
          <w:tcPr>
            <w:tcW w:w="220" w:type="dxa"/>
            <w:tcBorders/>
            <w:shd w:fill="auto" w:val="clear"/>
            <w:tcMar>
              <w:bottom w:w="0" w:type="dxa"/>
            </w:tcMar>
            <w:vAlign w:val="bottom"/>
          </w:tcPr>
          <w:p>
            <w:pPr>
              <w:pStyle w:val="TableContents"/>
              <w:spacing w:before="0" w:after="283"/>
              <w:jc w:val="left"/>
              <w:rPr/>
            </w:pPr>
            <w:r>
              <w:rPr/>
              <w:t> </w:t>
            </w:r>
          </w:p>
        </w:tc>
      </w:tr>
      <w:tr>
        <w:trPr/>
        <w:tc>
          <w:tcPr>
            <w:tcW w:w="2367" w:type="dxa"/>
            <w:tcBorders/>
            <w:shd w:fill="auto" w:val="clear"/>
            <w:tcMar>
              <w:bottom w:w="0" w:type="dxa"/>
            </w:tcMar>
            <w:vAlign w:val="bottom"/>
          </w:tcPr>
          <w:p>
            <w:pPr>
              <w:pStyle w:val="TableContents"/>
              <w:spacing w:before="0" w:after="0"/>
              <w:rPr>
                <w:color w:val="000000"/>
              </w:rPr>
            </w:pPr>
            <w:r>
              <w:rPr>
                <w:color w:val="000000"/>
              </w:rPr>
              <w:t> </w:t>
            </w:r>
          </w:p>
        </w:tc>
        <w:tc>
          <w:tcPr>
            <w:tcW w:w="60" w:type="dxa"/>
            <w:tcBorders/>
            <w:shd w:fill="auto" w:val="clear"/>
            <w:tcMar>
              <w:bottom w:w="0" w:type="dxa"/>
            </w:tcMar>
            <w:vAlign w:val="bottom"/>
          </w:tcPr>
          <w:p>
            <w:pPr>
              <w:pStyle w:val="TableContents"/>
              <w:spacing w:before="0" w:after="283"/>
              <w:rPr/>
            </w:pPr>
            <w:r>
              <w:rPr/>
              <w:t> </w:t>
            </w:r>
          </w:p>
        </w:tc>
        <w:tc>
          <w:tcPr>
            <w:tcW w:w="1441"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907" w:type="dxa"/>
            <w:tcBorders/>
            <w:shd w:fill="auto" w:val="clear"/>
            <w:tcMar>
              <w:bottom w:w="0" w:type="dxa"/>
            </w:tcMar>
            <w:vAlign w:val="bottom"/>
          </w:tcPr>
          <w:p>
            <w:pPr>
              <w:pStyle w:val="TableContents"/>
              <w:spacing w:before="0" w:after="0"/>
              <w:rPr>
                <w:color w:val="000000"/>
              </w:rPr>
            </w:pPr>
            <w:r>
              <w:rPr>
                <w:color w:val="000000"/>
              </w:rPr>
              <w:t> </w:t>
            </w:r>
          </w:p>
        </w:tc>
        <w:tc>
          <w:tcPr>
            <w:tcW w:w="60" w:type="dxa"/>
            <w:tcBorders/>
            <w:shd w:fill="auto" w:val="clear"/>
            <w:tcMar>
              <w:bottom w:w="0" w:type="dxa"/>
            </w:tcMar>
            <w:vAlign w:val="bottom"/>
          </w:tcPr>
          <w:p>
            <w:pPr>
              <w:pStyle w:val="TableContents"/>
              <w:spacing w:before="0" w:after="283"/>
              <w:rPr/>
            </w:pPr>
            <w:r>
              <w:rPr/>
              <w:t> </w:t>
            </w:r>
          </w:p>
        </w:tc>
        <w:tc>
          <w:tcPr>
            <w:tcW w:w="1460" w:type="dxa"/>
            <w:tcBorders/>
            <w:shd w:fill="auto" w:val="clear"/>
            <w:tcMar>
              <w:bottom w:w="0" w:type="dxa"/>
            </w:tcMar>
            <w:vAlign w:val="bottom"/>
          </w:tcPr>
          <w:p>
            <w:pPr>
              <w:pStyle w:val="TableContents"/>
              <w:spacing w:before="0" w:after="0"/>
              <w:rPr>
                <w:color w:val="000000"/>
              </w:rPr>
            </w:pPr>
            <w:r>
              <w:rPr>
                <w:color w:val="000000"/>
              </w:rPr>
              <w:t> </w:t>
            </w:r>
          </w:p>
        </w:tc>
        <w:tc>
          <w:tcPr>
            <w:tcW w:w="60" w:type="dxa"/>
            <w:tcBorders/>
            <w:shd w:fill="auto" w:val="clear"/>
            <w:tcMar>
              <w:bottom w:w="0" w:type="dxa"/>
            </w:tcMar>
            <w:vAlign w:val="bottom"/>
          </w:tcPr>
          <w:p>
            <w:pPr>
              <w:pStyle w:val="TableContents"/>
              <w:spacing w:before="0" w:after="283"/>
              <w:rPr/>
            </w:pPr>
            <w:r>
              <w:rPr/>
              <w:t> </w:t>
            </w:r>
          </w:p>
        </w:tc>
        <w:tc>
          <w:tcPr>
            <w:tcW w:w="1006" w:type="dxa"/>
            <w:gridSpan w:val="2"/>
            <w:tcBorders/>
            <w:shd w:fill="auto" w:val="clear"/>
            <w:tcMar>
              <w:bottom w:w="0" w:type="dxa"/>
            </w:tcMar>
            <w:vAlign w:val="bottom"/>
          </w:tcPr>
          <w:p>
            <w:pPr>
              <w:pStyle w:val="TableContents"/>
              <w:spacing w:before="0" w:after="283"/>
              <w:rPr/>
            </w:pPr>
            <w:r>
              <w:rPr/>
              <w:t> </w:t>
            </w:r>
          </w:p>
        </w:tc>
        <w:tc>
          <w:tcPr>
            <w:tcW w:w="215"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1623" w:type="dxa"/>
            <w:gridSpan w:val="2"/>
            <w:tcBorders/>
            <w:shd w:fill="auto" w:val="clear"/>
            <w:tcMar>
              <w:bottom w:w="0" w:type="dxa"/>
            </w:tcMar>
            <w:vAlign w:val="bottom"/>
          </w:tcPr>
          <w:p>
            <w:pPr>
              <w:pStyle w:val="TableContents"/>
              <w:spacing w:before="0" w:after="283"/>
              <w:rPr/>
            </w:pPr>
            <w:r>
              <w:rPr/>
              <w:t> </w:t>
            </w:r>
          </w:p>
        </w:tc>
        <w:tc>
          <w:tcPr>
            <w:tcW w:w="220" w:type="dxa"/>
            <w:tcBorders/>
            <w:shd w:fill="auto" w:val="clear"/>
            <w:tcMar>
              <w:bottom w:w="0" w:type="dxa"/>
            </w:tcMar>
            <w:vAlign w:val="bottom"/>
          </w:tcPr>
          <w:p>
            <w:pPr>
              <w:pStyle w:val="TableContents"/>
              <w:spacing w:before="0" w:after="283"/>
              <w:jc w:val="left"/>
              <w:rPr/>
            </w:pPr>
            <w:r>
              <w:rPr/>
              <w:t> </w:t>
            </w:r>
          </w:p>
        </w:tc>
      </w:tr>
      <w:tr>
        <w:trPr/>
        <w:tc>
          <w:tcPr>
            <w:tcW w:w="2367" w:type="dxa"/>
            <w:tcBorders/>
            <w:shd w:fill="CCEEFF" w:val="clear"/>
            <w:tcMar>
              <w:bottom w:w="0" w:type="dxa"/>
            </w:tcMar>
            <w:vAlign w:val="bottom"/>
          </w:tcPr>
          <w:p>
            <w:pPr>
              <w:pStyle w:val="TableContents"/>
              <w:spacing w:before="0" w:after="0"/>
              <w:ind w:left="180" w:right="0" w:hanging="180"/>
              <w:rPr>
                <w:color w:val="000000"/>
              </w:rPr>
            </w:pPr>
            <w:r>
              <w:rPr>
                <w:color w:val="000000"/>
              </w:rPr>
              <w:t>Senior Secured First Lien Term Loan</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shd w:fill="CCEEFF" w:val="clear"/>
            <w:tcMar>
              <w:bottom w:w="0" w:type="dxa"/>
            </w:tcMar>
            <w:vAlign w:val="bottom"/>
          </w:tcPr>
          <w:p>
            <w:pPr>
              <w:pStyle w:val="TableContents"/>
              <w:spacing w:before="0" w:after="0"/>
              <w:jc w:val="left"/>
              <w:rPr>
                <w:color w:val="000000"/>
              </w:rPr>
            </w:pPr>
            <w:r>
              <w:rPr>
                <w:color w:val="000000"/>
              </w:rPr>
              <w:t>$</w:t>
            </w:r>
          </w:p>
        </w:tc>
        <w:tc>
          <w:tcPr>
            <w:tcW w:w="1279" w:type="dxa"/>
            <w:tcBorders/>
            <w:shd w:fill="CCEEFF" w:val="clear"/>
            <w:tcMar>
              <w:bottom w:w="0" w:type="dxa"/>
            </w:tcMar>
            <w:vAlign w:val="bottom"/>
          </w:tcPr>
          <w:p>
            <w:pPr>
              <w:pStyle w:val="TableContents"/>
              <w:spacing w:before="0" w:after="0"/>
              <w:jc w:val="right"/>
              <w:rPr>
                <w:color w:val="000000"/>
              </w:rPr>
            </w:pPr>
            <w:r>
              <w:rPr>
                <w:color w:val="000000"/>
              </w:rPr>
              <w:t>45,703,391</w:t>
            </w:r>
          </w:p>
        </w:tc>
        <w:tc>
          <w:tcPr>
            <w:tcW w:w="60" w:type="dxa"/>
            <w:tcBorders/>
            <w:shd w:fill="CCEEFF" w:val="clear"/>
            <w:tcMar>
              <w:bottom w:w="0" w:type="dxa"/>
            </w:tcMar>
            <w:vAlign w:val="bottom"/>
          </w:tcPr>
          <w:p>
            <w:pPr>
              <w:pStyle w:val="TableContents"/>
              <w:spacing w:before="0" w:after="283"/>
              <w:jc w:val="left"/>
              <w:rPr/>
            </w:pPr>
            <w:r>
              <w:rPr/>
              <w:t> </w:t>
            </w:r>
          </w:p>
        </w:tc>
        <w:tc>
          <w:tcPr>
            <w:tcW w:w="1907" w:type="dxa"/>
            <w:tcBorders/>
            <w:shd w:fill="CCEEFF" w:val="clear"/>
            <w:tcMar>
              <w:bottom w:w="0" w:type="dxa"/>
            </w:tcMar>
            <w:vAlign w:val="bottom"/>
          </w:tcPr>
          <w:p>
            <w:pPr>
              <w:pStyle w:val="TableContents"/>
              <w:spacing w:before="0" w:after="0"/>
              <w:jc w:val="left"/>
              <w:rPr>
                <w:color w:val="000000"/>
              </w:rPr>
            </w:pPr>
            <w:r>
              <w:rPr>
                <w:color w:val="000000"/>
              </w:rPr>
              <w:t>Discounted Cash Flow</w:t>
            </w:r>
          </w:p>
        </w:tc>
        <w:tc>
          <w:tcPr>
            <w:tcW w:w="60" w:type="dxa"/>
            <w:tcBorders/>
            <w:shd w:fill="CCEEFF" w:val="clear"/>
            <w:tcMar>
              <w:bottom w:w="0" w:type="dxa"/>
            </w:tcMar>
            <w:vAlign w:val="bottom"/>
          </w:tcPr>
          <w:p>
            <w:pPr>
              <w:pStyle w:val="TableContents"/>
              <w:spacing w:before="0" w:after="283"/>
              <w:jc w:val="left"/>
              <w:rPr/>
            </w:pPr>
            <w:r>
              <w:rPr/>
              <w:t> </w:t>
            </w:r>
          </w:p>
        </w:tc>
        <w:tc>
          <w:tcPr>
            <w:tcW w:w="1460" w:type="dxa"/>
            <w:tcBorders/>
            <w:shd w:fill="CCEEFF" w:val="clear"/>
            <w:tcMar>
              <w:bottom w:w="0" w:type="dxa"/>
            </w:tcMar>
            <w:vAlign w:val="bottom"/>
          </w:tcPr>
          <w:p>
            <w:pPr>
              <w:pStyle w:val="TableContents"/>
              <w:spacing w:before="0" w:after="0"/>
              <w:jc w:val="center"/>
              <w:rPr>
                <w:color w:val="000000"/>
              </w:rPr>
            </w:pPr>
            <w:r>
              <w:rPr>
                <w:color w:val="000000"/>
              </w:rPr>
              <w:t>Discount Rate</w:t>
            </w:r>
          </w:p>
        </w:tc>
        <w:tc>
          <w:tcPr>
            <w:tcW w:w="60"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946" w:type="dxa"/>
            <w:tcBorders/>
            <w:shd w:fill="CCEEFF" w:val="clear"/>
            <w:tcMar>
              <w:bottom w:w="0" w:type="dxa"/>
            </w:tcMar>
            <w:vAlign w:val="bottom"/>
          </w:tcPr>
          <w:p>
            <w:pPr>
              <w:pStyle w:val="TableContents"/>
              <w:spacing w:before="0" w:after="0"/>
              <w:jc w:val="right"/>
              <w:rPr>
                <w:color w:val="000000"/>
              </w:rPr>
            </w:pPr>
            <w:r>
              <w:rPr>
                <w:color w:val="000000"/>
              </w:rPr>
              <w:t>11.6% - 14.8</w:t>
            </w:r>
          </w:p>
        </w:tc>
        <w:tc>
          <w:tcPr>
            <w:tcW w:w="215" w:type="dxa"/>
            <w:tcBorders/>
            <w:shd w:fill="CCEEFF" w:val="clear"/>
            <w:tcMar>
              <w:bottom w:w="0" w:type="dxa"/>
            </w:tcMar>
            <w:vAlign w:val="bottom"/>
          </w:tcPr>
          <w:p>
            <w:pPr>
              <w:pStyle w:val="TableContents"/>
              <w:spacing w:before="0" w:after="0"/>
              <w:jc w:val="left"/>
              <w:rPr>
                <w:color w:val="000000"/>
              </w:rPr>
            </w:pPr>
            <w:r>
              <w:rPr>
                <w:color w:val="000000"/>
              </w:rPr>
              <w:t>%</w:t>
            </w:r>
          </w:p>
        </w:tc>
        <w:tc>
          <w:tcPr>
            <w:tcW w:w="60" w:type="dxa"/>
            <w:tcBorders/>
            <w:shd w:fill="CCEEFF" w:val="clear"/>
            <w:tcMar>
              <w:bottom w:w="0" w:type="dxa"/>
            </w:tcMar>
            <w:vAlign w:val="bottom"/>
          </w:tcPr>
          <w:p>
            <w:pPr>
              <w:pStyle w:val="TableContents"/>
              <w:spacing w:before="0" w:after="283"/>
              <w:jc w:val="right"/>
              <w:rPr/>
            </w:pPr>
            <w:r>
              <w:rPr/>
              <w:t> </w:t>
            </w:r>
          </w:p>
        </w:tc>
        <w:tc>
          <w:tcPr>
            <w:tcW w:w="193" w:type="dxa"/>
            <w:tcBorders/>
            <w:shd w:fill="CCEEFF" w:val="clear"/>
            <w:tcMar>
              <w:bottom w:w="0" w:type="dxa"/>
            </w:tcMar>
            <w:vAlign w:val="bottom"/>
          </w:tcPr>
          <w:p>
            <w:pPr>
              <w:pStyle w:val="TableContents"/>
              <w:spacing w:before="0" w:after="283"/>
              <w:jc w:val="left"/>
              <w:rPr/>
            </w:pPr>
            <w:r>
              <w:rPr/>
              <w:t> </w:t>
            </w:r>
          </w:p>
        </w:tc>
        <w:tc>
          <w:tcPr>
            <w:tcW w:w="1430" w:type="dxa"/>
            <w:tcBorders/>
            <w:shd w:fill="CCEEFF" w:val="clear"/>
            <w:tcMar>
              <w:bottom w:w="0" w:type="dxa"/>
            </w:tcMar>
            <w:vAlign w:val="bottom"/>
          </w:tcPr>
          <w:p>
            <w:pPr>
              <w:pStyle w:val="TableContents"/>
              <w:spacing w:before="0" w:after="0"/>
              <w:jc w:val="right"/>
              <w:rPr>
                <w:color w:val="000000"/>
              </w:rPr>
            </w:pPr>
            <w:r>
              <w:rPr>
                <w:color w:val="000000"/>
              </w:rPr>
              <w:t>12.9</w:t>
            </w:r>
          </w:p>
        </w:tc>
        <w:tc>
          <w:tcPr>
            <w:tcW w:w="220" w:type="dxa"/>
            <w:tcBorders/>
            <w:shd w:fill="CCEEFF" w:val="clear"/>
            <w:tcMar>
              <w:bottom w:w="0" w:type="dxa"/>
            </w:tcMar>
            <w:vAlign w:val="bottom"/>
          </w:tcPr>
          <w:p>
            <w:pPr>
              <w:pStyle w:val="TableContents"/>
              <w:spacing w:before="0" w:after="0"/>
              <w:jc w:val="left"/>
              <w:rPr>
                <w:color w:val="000000"/>
              </w:rPr>
            </w:pPr>
            <w:r>
              <w:rPr>
                <w:color w:val="000000"/>
              </w:rPr>
              <w:t>%</w:t>
            </w:r>
          </w:p>
        </w:tc>
      </w:tr>
      <w:tr>
        <w:trPr/>
        <w:tc>
          <w:tcPr>
            <w:tcW w:w="2367" w:type="dxa"/>
            <w:tcBorders/>
            <w:shd w:fill="auto" w:val="clear"/>
            <w:tcMar>
              <w:bottom w:w="0" w:type="dxa"/>
            </w:tcMar>
            <w:vAlign w:val="bottom"/>
          </w:tcPr>
          <w:p>
            <w:pPr>
              <w:pStyle w:val="TableContents"/>
              <w:spacing w:before="0" w:after="0"/>
              <w:ind w:left="180" w:right="0" w:hanging="180"/>
              <w:rPr>
                <w:color w:val="000000"/>
              </w:rPr>
            </w:pPr>
            <w:r>
              <w:rPr>
                <w:color w:val="000000"/>
              </w:rPr>
              <w:t>Senior Secured Notes</w:t>
            </w:r>
          </w:p>
        </w:tc>
        <w:tc>
          <w:tcPr>
            <w:tcW w:w="60" w:type="dxa"/>
            <w:tcBorders/>
            <w:shd w:fill="auto" w:val="clear"/>
            <w:tcMar>
              <w:bottom w:w="0" w:type="dxa"/>
            </w:tcMar>
            <w:vAlign w:val="bottom"/>
          </w:tcPr>
          <w:p>
            <w:pPr>
              <w:pStyle w:val="TableContents"/>
              <w:spacing w:before="0" w:after="283"/>
              <w:jc w:val="right"/>
              <w:rPr/>
            </w:pPr>
            <w:r>
              <w:rPr/>
              <w:t> </w:t>
            </w:r>
          </w:p>
        </w:tc>
        <w:tc>
          <w:tcPr>
            <w:tcW w:w="162" w:type="dxa"/>
            <w:tcBorders>
              <w:bottom w:val="single" w:sz="12" w:space="0" w:color="000000"/>
            </w:tcBorders>
            <w:shd w:fill="auto" w:val="clear"/>
            <w:vAlign w:val="bottom"/>
          </w:tcPr>
          <w:p>
            <w:pPr>
              <w:pStyle w:val="TableContents"/>
              <w:spacing w:before="0" w:after="283"/>
              <w:jc w:val="left"/>
              <w:rPr/>
            </w:pPr>
            <w:r>
              <w:rPr/>
              <w:t> </w:t>
            </w:r>
          </w:p>
        </w:tc>
        <w:tc>
          <w:tcPr>
            <w:tcW w:w="1279" w:type="dxa"/>
            <w:tcBorders>
              <w:bottom w:val="single" w:sz="12" w:space="0" w:color="000000"/>
            </w:tcBorders>
            <w:shd w:fill="auto" w:val="clear"/>
            <w:vAlign w:val="bottom"/>
          </w:tcPr>
          <w:p>
            <w:pPr>
              <w:pStyle w:val="TableContents"/>
              <w:spacing w:before="0" w:after="0"/>
              <w:jc w:val="right"/>
              <w:rPr>
                <w:color w:val="000000"/>
              </w:rPr>
            </w:pPr>
            <w:r>
              <w:rPr>
                <w:color w:val="000000"/>
              </w:rPr>
              <w:t>9,919,908</w:t>
            </w:r>
          </w:p>
        </w:tc>
        <w:tc>
          <w:tcPr>
            <w:tcW w:w="60" w:type="dxa"/>
            <w:tcBorders/>
            <w:shd w:fill="auto" w:val="clear"/>
            <w:tcMar>
              <w:bottom w:w="0" w:type="dxa"/>
            </w:tcMar>
            <w:vAlign w:val="bottom"/>
          </w:tcPr>
          <w:p>
            <w:pPr>
              <w:pStyle w:val="TableContents"/>
              <w:spacing w:before="0" w:after="283"/>
              <w:jc w:val="left"/>
              <w:rPr/>
            </w:pPr>
            <w:r>
              <w:rPr/>
              <w:t> </w:t>
            </w:r>
          </w:p>
        </w:tc>
        <w:tc>
          <w:tcPr>
            <w:tcW w:w="1907" w:type="dxa"/>
            <w:tcBorders/>
            <w:shd w:fill="auto" w:val="clear"/>
            <w:tcMar>
              <w:bottom w:w="0" w:type="dxa"/>
            </w:tcMar>
            <w:vAlign w:val="bottom"/>
          </w:tcPr>
          <w:p>
            <w:pPr>
              <w:pStyle w:val="TableContents"/>
              <w:spacing w:before="0" w:after="0"/>
              <w:rPr>
                <w:color w:val="000000"/>
              </w:rPr>
            </w:pPr>
            <w:r>
              <w:rPr>
                <w:color w:val="000000"/>
              </w:rPr>
              <w:t>Discounted Cash Flow</w:t>
            </w:r>
          </w:p>
        </w:tc>
        <w:tc>
          <w:tcPr>
            <w:tcW w:w="60" w:type="dxa"/>
            <w:tcBorders/>
            <w:shd w:fill="auto" w:val="clear"/>
            <w:tcMar>
              <w:bottom w:w="0" w:type="dxa"/>
            </w:tcMar>
            <w:vAlign w:val="bottom"/>
          </w:tcPr>
          <w:p>
            <w:pPr>
              <w:pStyle w:val="TableContents"/>
              <w:spacing w:before="0" w:after="283"/>
              <w:rPr/>
            </w:pPr>
            <w:r>
              <w:rPr/>
              <w:t> </w:t>
            </w:r>
          </w:p>
        </w:tc>
        <w:tc>
          <w:tcPr>
            <w:tcW w:w="1460" w:type="dxa"/>
            <w:tcBorders/>
            <w:shd w:fill="auto" w:val="clear"/>
            <w:tcMar>
              <w:bottom w:w="0" w:type="dxa"/>
            </w:tcMar>
            <w:vAlign w:val="bottom"/>
          </w:tcPr>
          <w:p>
            <w:pPr>
              <w:pStyle w:val="TableContents"/>
              <w:spacing w:before="0" w:after="0"/>
              <w:jc w:val="center"/>
              <w:rPr>
                <w:color w:val="000000"/>
              </w:rPr>
            </w:pPr>
            <w:r>
              <w:rPr>
                <w:color w:val="000000"/>
              </w:rPr>
              <w:t>Discount Rate</w:t>
            </w:r>
          </w:p>
        </w:tc>
        <w:tc>
          <w:tcPr>
            <w:tcW w:w="60"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946" w:type="dxa"/>
            <w:tcBorders/>
            <w:shd w:fill="auto" w:val="clear"/>
            <w:tcMar>
              <w:bottom w:w="0" w:type="dxa"/>
            </w:tcMar>
            <w:vAlign w:val="bottom"/>
          </w:tcPr>
          <w:p>
            <w:pPr>
              <w:pStyle w:val="TableContents"/>
              <w:spacing w:before="0" w:after="0"/>
              <w:jc w:val="right"/>
              <w:rPr>
                <w:color w:val="000000"/>
              </w:rPr>
            </w:pPr>
            <w:r>
              <w:rPr>
                <w:color w:val="000000"/>
              </w:rPr>
              <w:t>9.7% - 15.9</w:t>
            </w:r>
          </w:p>
        </w:tc>
        <w:tc>
          <w:tcPr>
            <w:tcW w:w="215" w:type="dxa"/>
            <w:tcBorders/>
            <w:shd w:fill="auto" w:val="clear"/>
            <w:tcMar>
              <w:bottom w:w="0" w:type="dxa"/>
            </w:tcMar>
            <w:vAlign w:val="bottom"/>
          </w:tcPr>
          <w:p>
            <w:pPr>
              <w:pStyle w:val="TableContents"/>
              <w:spacing w:before="0" w:after="0"/>
              <w:jc w:val="left"/>
              <w:rPr>
                <w:color w:val="000000"/>
              </w:rPr>
            </w:pPr>
            <w:r>
              <w:rPr>
                <w:color w:val="000000"/>
              </w:rPr>
              <w:t>%</w:t>
            </w:r>
          </w:p>
        </w:tc>
        <w:tc>
          <w:tcPr>
            <w:tcW w:w="60" w:type="dxa"/>
            <w:tcBorders/>
            <w:shd w:fill="auto" w:val="clear"/>
            <w:tcMar>
              <w:bottom w:w="0" w:type="dxa"/>
            </w:tcMar>
            <w:vAlign w:val="bottom"/>
          </w:tcPr>
          <w:p>
            <w:pPr>
              <w:pStyle w:val="TableContents"/>
              <w:spacing w:before="0" w:after="283"/>
              <w:jc w:val="right"/>
              <w:rPr/>
            </w:pPr>
            <w:r>
              <w:rPr/>
              <w:t> </w:t>
            </w:r>
          </w:p>
        </w:tc>
        <w:tc>
          <w:tcPr>
            <w:tcW w:w="193" w:type="dxa"/>
            <w:tcBorders/>
            <w:shd w:fill="auto" w:val="clear"/>
            <w:tcMar>
              <w:bottom w:w="0" w:type="dxa"/>
            </w:tcMar>
            <w:vAlign w:val="bottom"/>
          </w:tcPr>
          <w:p>
            <w:pPr>
              <w:pStyle w:val="TableContents"/>
              <w:spacing w:before="0" w:after="283"/>
              <w:jc w:val="left"/>
              <w:rPr/>
            </w:pPr>
            <w:r>
              <w:rPr/>
              <w:t> </w:t>
            </w:r>
          </w:p>
        </w:tc>
        <w:tc>
          <w:tcPr>
            <w:tcW w:w="1430" w:type="dxa"/>
            <w:tcBorders/>
            <w:shd w:fill="auto" w:val="clear"/>
            <w:tcMar>
              <w:bottom w:w="0" w:type="dxa"/>
            </w:tcMar>
            <w:vAlign w:val="bottom"/>
          </w:tcPr>
          <w:p>
            <w:pPr>
              <w:pStyle w:val="TableContents"/>
              <w:spacing w:before="0" w:after="0"/>
              <w:jc w:val="right"/>
              <w:rPr>
                <w:color w:val="000000"/>
              </w:rPr>
            </w:pPr>
            <w:r>
              <w:rPr>
                <w:color w:val="000000"/>
              </w:rPr>
              <w:t>11.4</w:t>
            </w:r>
          </w:p>
        </w:tc>
        <w:tc>
          <w:tcPr>
            <w:tcW w:w="220" w:type="dxa"/>
            <w:tcBorders/>
            <w:shd w:fill="auto" w:val="clear"/>
            <w:tcMar>
              <w:bottom w:w="0" w:type="dxa"/>
            </w:tcMar>
            <w:vAlign w:val="bottom"/>
          </w:tcPr>
          <w:p>
            <w:pPr>
              <w:pStyle w:val="TableContents"/>
              <w:spacing w:before="0" w:after="0"/>
              <w:jc w:val="left"/>
              <w:rPr>
                <w:color w:val="000000"/>
              </w:rPr>
            </w:pPr>
            <w:r>
              <w:rPr>
                <w:color w:val="000000"/>
              </w:rPr>
              <w:t>%</w:t>
            </w:r>
          </w:p>
        </w:tc>
      </w:tr>
      <w:tr>
        <w:trPr/>
        <w:tc>
          <w:tcPr>
            <w:tcW w:w="2367" w:type="dxa"/>
            <w:tcBorders/>
            <w:shd w:fill="CCEEFF" w:val="clear"/>
            <w:tcMar>
              <w:bottom w:w="0" w:type="dxa"/>
            </w:tcMar>
            <w:vAlign w:val="bottom"/>
          </w:tcPr>
          <w:p>
            <w:pPr>
              <w:pStyle w:val="TableContents"/>
              <w:spacing w:before="0" w:after="0"/>
              <w:ind w:left="180" w:right="0" w:hanging="180"/>
              <w:rPr>
                <w:color w:val="000000"/>
              </w:rPr>
            </w:pPr>
            <w:r>
              <w:rPr>
                <w:color w:val="000000"/>
              </w:rPr>
              <w:t>Total</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bottom w:val="double" w:sz="8" w:space="0" w:color="000000"/>
            </w:tcBorders>
            <w:shd w:fill="CCEEFF" w:val="clear"/>
            <w:vAlign w:val="bottom"/>
          </w:tcPr>
          <w:p>
            <w:pPr>
              <w:pStyle w:val="TableContents"/>
              <w:spacing w:before="0" w:after="0"/>
              <w:jc w:val="left"/>
              <w:rPr>
                <w:color w:val="000000"/>
              </w:rPr>
            </w:pPr>
            <w:r>
              <w:rPr>
                <w:color w:val="000000"/>
              </w:rPr>
              <w:t>$</w:t>
            </w:r>
          </w:p>
        </w:tc>
        <w:tc>
          <w:tcPr>
            <w:tcW w:w="1279" w:type="dxa"/>
            <w:tcBorders>
              <w:bottom w:val="double" w:sz="8" w:space="0" w:color="000000"/>
            </w:tcBorders>
            <w:shd w:fill="CCEEFF" w:val="clear"/>
            <w:vAlign w:val="bottom"/>
          </w:tcPr>
          <w:p>
            <w:pPr>
              <w:pStyle w:val="TableContents"/>
              <w:spacing w:before="0" w:after="0"/>
              <w:jc w:val="right"/>
              <w:rPr>
                <w:color w:val="000000"/>
              </w:rPr>
            </w:pPr>
            <w:r>
              <w:rPr>
                <w:color w:val="000000"/>
              </w:rPr>
              <w:t>55,623,299</w:t>
            </w:r>
          </w:p>
        </w:tc>
        <w:tc>
          <w:tcPr>
            <w:tcW w:w="60" w:type="dxa"/>
            <w:tcBorders/>
            <w:shd w:fill="CCEEFF" w:val="clear"/>
            <w:tcMar>
              <w:bottom w:w="0" w:type="dxa"/>
            </w:tcMar>
            <w:vAlign w:val="bottom"/>
          </w:tcPr>
          <w:p>
            <w:pPr>
              <w:pStyle w:val="TableContents"/>
              <w:spacing w:before="0" w:after="283"/>
              <w:jc w:val="left"/>
              <w:rPr/>
            </w:pPr>
            <w:r>
              <w:rPr/>
              <w:t> </w:t>
            </w:r>
          </w:p>
        </w:tc>
        <w:tc>
          <w:tcPr>
            <w:tcW w:w="1907"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4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946" w:type="dxa"/>
            <w:tcBorders/>
            <w:shd w:fill="CCEEFF" w:val="clear"/>
            <w:tcMar>
              <w:bottom w:w="0" w:type="dxa"/>
            </w:tcMar>
            <w:vAlign w:val="bottom"/>
          </w:tcPr>
          <w:p>
            <w:pPr>
              <w:pStyle w:val="TableContents"/>
              <w:spacing w:before="0" w:after="283"/>
              <w:jc w:val="right"/>
              <w:rPr/>
            </w:pPr>
            <w:r>
              <w:rPr/>
              <w:t> </w:t>
            </w:r>
          </w:p>
        </w:tc>
        <w:tc>
          <w:tcPr>
            <w:tcW w:w="215"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93" w:type="dxa"/>
            <w:tcBorders/>
            <w:shd w:fill="CCEEFF" w:val="clear"/>
            <w:tcMar>
              <w:bottom w:w="0" w:type="dxa"/>
            </w:tcMar>
            <w:vAlign w:val="bottom"/>
          </w:tcPr>
          <w:p>
            <w:pPr>
              <w:pStyle w:val="TableContents"/>
              <w:spacing w:before="0" w:after="283"/>
              <w:jc w:val="left"/>
              <w:rPr/>
            </w:pPr>
            <w:r>
              <w:rPr/>
              <w:t> </w:t>
            </w:r>
          </w:p>
        </w:tc>
        <w:tc>
          <w:tcPr>
            <w:tcW w:w="1430" w:type="dxa"/>
            <w:tcBorders/>
            <w:shd w:fill="CCEEFF" w:val="clear"/>
            <w:tcMar>
              <w:bottom w:w="0" w:type="dxa"/>
            </w:tcMar>
            <w:vAlign w:val="bottom"/>
          </w:tcPr>
          <w:p>
            <w:pPr>
              <w:pStyle w:val="TableContents"/>
              <w:spacing w:before="0" w:after="283"/>
              <w:jc w:val="right"/>
              <w:rPr/>
            </w:pPr>
            <w:r>
              <w:rPr/>
              <w:t> </w:t>
            </w:r>
          </w:p>
        </w:tc>
        <w:tc>
          <w:tcPr>
            <w:tcW w:w="220"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jc w:val="left"/>
        <w:rPr>
          <w:color w:val="000000"/>
        </w:rPr>
      </w:pPr>
      <w:r>
        <w:rPr>
          <w:color w:val="000000"/>
        </w:rPr>
        <w:t> </w:t>
      </w:r>
    </w:p>
    <w:tbl>
      <w:tblPr>
        <w:tblW w:w="10539" w:type="dxa"/>
        <w:jc w:val="center"/>
        <w:tblInd w:w="0" w:type="dxa"/>
        <w:tblCellMar>
          <w:top w:w="0" w:type="dxa"/>
          <w:left w:w="0" w:type="dxa"/>
          <w:bottom w:w="28" w:type="dxa"/>
          <w:right w:w="0" w:type="dxa"/>
        </w:tblCellMar>
      </w:tblPr>
      <w:tblGrid>
        <w:gridCol w:w="2109"/>
        <w:gridCol w:w="60"/>
        <w:gridCol w:w="171"/>
        <w:gridCol w:w="1353"/>
        <w:gridCol w:w="60"/>
        <w:gridCol w:w="2286"/>
        <w:gridCol w:w="60"/>
        <w:gridCol w:w="1453"/>
        <w:gridCol w:w="60"/>
        <w:gridCol w:w="60"/>
        <w:gridCol w:w="880"/>
        <w:gridCol w:w="215"/>
        <w:gridCol w:w="60"/>
        <w:gridCol w:w="178"/>
        <w:gridCol w:w="1313"/>
        <w:gridCol w:w="221"/>
      </w:tblGrid>
      <w:tr>
        <w:trPr/>
        <w:tc>
          <w:tcPr>
            <w:tcW w:w="2109" w:type="dxa"/>
            <w:tcBorders>
              <w:bottom w:val="single" w:sz="12" w:space="0" w:color="000000"/>
            </w:tcBorders>
            <w:shd w:fill="auto" w:val="clear"/>
            <w:vAlign w:val="bottom"/>
          </w:tcPr>
          <w:p>
            <w:pPr>
              <w:pStyle w:val="TableContents"/>
              <w:spacing w:before="0" w:after="0"/>
              <w:rPr>
                <w:b/>
                <w:color w:val="000000"/>
              </w:rPr>
            </w:pPr>
            <w:r>
              <w:rPr>
                <w:b/>
                <w:color w:val="000000"/>
              </w:rPr>
              <w:t>Investment Type</w:t>
            </w:r>
          </w:p>
        </w:tc>
        <w:tc>
          <w:tcPr>
            <w:tcW w:w="60" w:type="dxa"/>
            <w:tcBorders/>
            <w:shd w:fill="auto" w:val="clear"/>
            <w:tcMar>
              <w:bottom w:w="0" w:type="dxa"/>
            </w:tcMar>
            <w:vAlign w:val="bottom"/>
          </w:tcPr>
          <w:p>
            <w:pPr>
              <w:pStyle w:val="TableContents"/>
              <w:spacing w:before="0" w:after="283"/>
              <w:rPr/>
            </w:pPr>
            <w:r>
              <w:rPr/>
              <w:t> </w:t>
            </w:r>
          </w:p>
        </w:tc>
        <w:tc>
          <w:tcPr>
            <w:tcW w:w="1524"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 xml:space="preserve">Fair Value as of </w:t>
            </w:r>
          </w:p>
          <w:p>
            <w:pPr>
              <w:pStyle w:val="TableContents"/>
              <w:spacing w:before="0" w:after="0"/>
              <w:jc w:val="center"/>
              <w:rPr>
                <w:b/>
                <w:color w:val="000000"/>
              </w:rPr>
            </w:pPr>
            <w:r>
              <w:rPr>
                <w:b/>
                <w:color w:val="000000"/>
              </w:rPr>
              <w:t>December 31, 2022</w:t>
            </w:r>
          </w:p>
        </w:tc>
        <w:tc>
          <w:tcPr>
            <w:tcW w:w="60" w:type="dxa"/>
            <w:tcBorders/>
            <w:shd w:fill="auto" w:val="clear"/>
            <w:tcMar>
              <w:bottom w:w="0" w:type="dxa"/>
            </w:tcMar>
            <w:vAlign w:val="bottom"/>
          </w:tcPr>
          <w:p>
            <w:pPr>
              <w:pStyle w:val="TableContents"/>
              <w:spacing w:before="0" w:after="283"/>
              <w:jc w:val="left"/>
              <w:rPr/>
            </w:pPr>
            <w:r>
              <w:rPr/>
              <w:t> </w:t>
            </w:r>
          </w:p>
        </w:tc>
        <w:tc>
          <w:tcPr>
            <w:tcW w:w="2286" w:type="dxa"/>
            <w:tcBorders>
              <w:bottom w:val="single" w:sz="12" w:space="0" w:color="000000"/>
            </w:tcBorders>
            <w:shd w:fill="auto" w:val="clear"/>
            <w:vAlign w:val="bottom"/>
          </w:tcPr>
          <w:p>
            <w:pPr>
              <w:pStyle w:val="TableContents"/>
              <w:spacing w:before="0" w:after="0"/>
              <w:jc w:val="center"/>
              <w:rPr>
                <w:b/>
                <w:color w:val="000000"/>
              </w:rPr>
            </w:pPr>
            <w:r>
              <w:rPr>
                <w:b/>
                <w:color w:val="000000"/>
              </w:rPr>
              <w:t>Valuation Techniques/ Methodologies</w:t>
            </w:r>
          </w:p>
        </w:tc>
        <w:tc>
          <w:tcPr>
            <w:tcW w:w="60" w:type="dxa"/>
            <w:tcBorders/>
            <w:shd w:fill="auto" w:val="clear"/>
            <w:tcMar>
              <w:bottom w:w="0" w:type="dxa"/>
            </w:tcMar>
            <w:vAlign w:val="bottom"/>
          </w:tcPr>
          <w:p>
            <w:pPr>
              <w:pStyle w:val="TableContents"/>
              <w:spacing w:before="0" w:after="283"/>
              <w:rPr/>
            </w:pPr>
            <w:r>
              <w:rPr/>
              <w:t> </w:t>
            </w:r>
          </w:p>
        </w:tc>
        <w:tc>
          <w:tcPr>
            <w:tcW w:w="1453" w:type="dxa"/>
            <w:tcBorders>
              <w:bottom w:val="single" w:sz="12" w:space="0" w:color="000000"/>
            </w:tcBorders>
            <w:shd w:fill="auto" w:val="clear"/>
            <w:vAlign w:val="bottom"/>
          </w:tcPr>
          <w:p>
            <w:pPr>
              <w:pStyle w:val="TableContents"/>
              <w:spacing w:before="0" w:after="0"/>
              <w:jc w:val="center"/>
              <w:rPr>
                <w:b/>
                <w:color w:val="000000"/>
              </w:rPr>
            </w:pPr>
            <w:r>
              <w:rPr>
                <w:b/>
                <w:color w:val="000000"/>
              </w:rPr>
              <w:t xml:space="preserve">Unobservable </w:t>
            </w:r>
          </w:p>
          <w:p>
            <w:pPr>
              <w:pStyle w:val="TableContents"/>
              <w:spacing w:before="0" w:after="0"/>
              <w:jc w:val="center"/>
              <w:rPr>
                <w:b/>
                <w:color w:val="000000"/>
              </w:rPr>
            </w:pPr>
            <w:r>
              <w:rPr>
                <w:b/>
                <w:color w:val="000000"/>
              </w:rPr>
              <w:t>Input</w:t>
            </w:r>
          </w:p>
        </w:tc>
        <w:tc>
          <w:tcPr>
            <w:tcW w:w="60" w:type="dxa"/>
            <w:tcBorders/>
            <w:shd w:fill="auto" w:val="clear"/>
            <w:tcMar>
              <w:bottom w:w="0" w:type="dxa"/>
            </w:tcMar>
            <w:vAlign w:val="bottom"/>
          </w:tcPr>
          <w:p>
            <w:pPr>
              <w:pStyle w:val="TableContents"/>
              <w:spacing w:before="0" w:after="283"/>
              <w:rPr/>
            </w:pPr>
            <w:r>
              <w:rPr/>
              <w:t> </w:t>
            </w:r>
          </w:p>
        </w:tc>
        <w:tc>
          <w:tcPr>
            <w:tcW w:w="940"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Range</w:t>
            </w:r>
          </w:p>
        </w:tc>
        <w:tc>
          <w:tcPr>
            <w:tcW w:w="215"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1491" w:type="dxa"/>
            <w:gridSpan w:val="2"/>
            <w:tcBorders>
              <w:bottom w:val="single" w:sz="12" w:space="0" w:color="000000"/>
            </w:tcBorders>
            <w:shd w:fill="auto" w:val="clear"/>
            <w:vAlign w:val="bottom"/>
          </w:tcPr>
          <w:p>
            <w:pPr>
              <w:pStyle w:val="TableContents"/>
              <w:spacing w:lineRule="auto" w:line="240" w:before="0" w:after="0"/>
              <w:jc w:val="center"/>
              <w:rPr>
                <w:b/>
                <w:color w:val="000000"/>
              </w:rPr>
            </w:pPr>
            <w:r>
              <w:rPr>
                <w:b/>
                <w:color w:val="000000"/>
              </w:rPr>
              <w:t>Weighted Average (1)</w:t>
            </w:r>
          </w:p>
        </w:tc>
        <w:tc>
          <w:tcPr>
            <w:tcW w:w="221" w:type="dxa"/>
            <w:tcBorders/>
            <w:shd w:fill="auto" w:val="clear"/>
            <w:tcMar>
              <w:bottom w:w="0" w:type="dxa"/>
            </w:tcMar>
            <w:vAlign w:val="bottom"/>
          </w:tcPr>
          <w:p>
            <w:pPr>
              <w:pStyle w:val="TableContents"/>
              <w:spacing w:before="0" w:after="283"/>
              <w:jc w:val="left"/>
              <w:rPr/>
            </w:pPr>
            <w:r>
              <w:rPr/>
              <w:t> </w:t>
            </w:r>
          </w:p>
        </w:tc>
      </w:tr>
      <w:tr>
        <w:trPr/>
        <w:tc>
          <w:tcPr>
            <w:tcW w:w="2109" w:type="dxa"/>
            <w:tcBorders/>
            <w:shd w:fill="auto" w:val="clear"/>
            <w:tcMar>
              <w:bottom w:w="0" w:type="dxa"/>
            </w:tcMar>
            <w:vAlign w:val="bottom"/>
          </w:tcPr>
          <w:p>
            <w:pPr>
              <w:pStyle w:val="TableContents"/>
              <w:spacing w:before="0" w:after="0"/>
              <w:rPr>
                <w:color w:val="000000"/>
              </w:rPr>
            </w:pPr>
            <w:r>
              <w:rPr>
                <w:color w:val="000000"/>
              </w:rPr>
              <w:t> </w:t>
            </w:r>
          </w:p>
        </w:tc>
        <w:tc>
          <w:tcPr>
            <w:tcW w:w="60" w:type="dxa"/>
            <w:tcBorders/>
            <w:shd w:fill="auto" w:val="clear"/>
            <w:tcMar>
              <w:bottom w:w="0" w:type="dxa"/>
            </w:tcMar>
            <w:vAlign w:val="bottom"/>
          </w:tcPr>
          <w:p>
            <w:pPr>
              <w:pStyle w:val="TableContents"/>
              <w:spacing w:before="0" w:after="283"/>
              <w:rPr/>
            </w:pPr>
            <w:r>
              <w:rPr/>
              <w:t> </w:t>
            </w:r>
          </w:p>
        </w:tc>
        <w:tc>
          <w:tcPr>
            <w:tcW w:w="1524"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2286" w:type="dxa"/>
            <w:tcBorders/>
            <w:shd w:fill="auto" w:val="clear"/>
            <w:tcMar>
              <w:bottom w:w="0" w:type="dxa"/>
            </w:tcMar>
            <w:vAlign w:val="bottom"/>
          </w:tcPr>
          <w:p>
            <w:pPr>
              <w:pStyle w:val="TableContents"/>
              <w:spacing w:before="0" w:after="0"/>
              <w:rPr>
                <w:color w:val="000000"/>
              </w:rPr>
            </w:pPr>
            <w:r>
              <w:rPr>
                <w:color w:val="000000"/>
              </w:rPr>
              <w:t> </w:t>
            </w:r>
          </w:p>
        </w:tc>
        <w:tc>
          <w:tcPr>
            <w:tcW w:w="60" w:type="dxa"/>
            <w:tcBorders/>
            <w:shd w:fill="auto" w:val="clear"/>
            <w:tcMar>
              <w:bottom w:w="0" w:type="dxa"/>
            </w:tcMar>
            <w:vAlign w:val="bottom"/>
          </w:tcPr>
          <w:p>
            <w:pPr>
              <w:pStyle w:val="TableContents"/>
              <w:spacing w:before="0" w:after="283"/>
              <w:rPr/>
            </w:pPr>
            <w:r>
              <w:rPr/>
              <w:t> </w:t>
            </w:r>
          </w:p>
        </w:tc>
        <w:tc>
          <w:tcPr>
            <w:tcW w:w="1453" w:type="dxa"/>
            <w:tcBorders/>
            <w:shd w:fill="auto" w:val="clear"/>
            <w:tcMar>
              <w:bottom w:w="0" w:type="dxa"/>
            </w:tcMar>
            <w:vAlign w:val="bottom"/>
          </w:tcPr>
          <w:p>
            <w:pPr>
              <w:pStyle w:val="TableContents"/>
              <w:spacing w:before="0" w:after="0"/>
              <w:rPr>
                <w:color w:val="000000"/>
              </w:rPr>
            </w:pPr>
            <w:r>
              <w:rPr>
                <w:color w:val="000000"/>
              </w:rPr>
              <w:t> </w:t>
            </w:r>
          </w:p>
        </w:tc>
        <w:tc>
          <w:tcPr>
            <w:tcW w:w="60" w:type="dxa"/>
            <w:tcBorders/>
            <w:shd w:fill="auto" w:val="clear"/>
            <w:tcMar>
              <w:bottom w:w="0" w:type="dxa"/>
            </w:tcMar>
            <w:vAlign w:val="bottom"/>
          </w:tcPr>
          <w:p>
            <w:pPr>
              <w:pStyle w:val="TableContents"/>
              <w:spacing w:before="0" w:after="283"/>
              <w:rPr/>
            </w:pPr>
            <w:r>
              <w:rPr/>
              <w:t> </w:t>
            </w:r>
          </w:p>
        </w:tc>
        <w:tc>
          <w:tcPr>
            <w:tcW w:w="940" w:type="dxa"/>
            <w:gridSpan w:val="2"/>
            <w:tcBorders/>
            <w:shd w:fill="auto" w:val="clear"/>
            <w:tcMar>
              <w:bottom w:w="0" w:type="dxa"/>
            </w:tcMar>
            <w:vAlign w:val="bottom"/>
          </w:tcPr>
          <w:p>
            <w:pPr>
              <w:pStyle w:val="TableContents"/>
              <w:spacing w:before="0" w:after="283"/>
              <w:rPr/>
            </w:pPr>
            <w:r>
              <w:rPr/>
              <w:t> </w:t>
            </w:r>
          </w:p>
        </w:tc>
        <w:tc>
          <w:tcPr>
            <w:tcW w:w="215"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1491" w:type="dxa"/>
            <w:gridSpan w:val="2"/>
            <w:tcBorders/>
            <w:shd w:fill="auto" w:val="clear"/>
            <w:tcMar>
              <w:bottom w:w="0" w:type="dxa"/>
            </w:tcMar>
            <w:vAlign w:val="bottom"/>
          </w:tcPr>
          <w:p>
            <w:pPr>
              <w:pStyle w:val="TableContents"/>
              <w:spacing w:before="0" w:after="283"/>
              <w:rPr/>
            </w:pPr>
            <w:r>
              <w:rPr/>
              <w:t> </w:t>
            </w:r>
          </w:p>
        </w:tc>
        <w:tc>
          <w:tcPr>
            <w:tcW w:w="221" w:type="dxa"/>
            <w:tcBorders/>
            <w:shd w:fill="auto" w:val="clear"/>
            <w:tcMar>
              <w:bottom w:w="0" w:type="dxa"/>
            </w:tcMar>
            <w:vAlign w:val="bottom"/>
          </w:tcPr>
          <w:p>
            <w:pPr>
              <w:pStyle w:val="TableContents"/>
              <w:spacing w:before="0" w:after="283"/>
              <w:jc w:val="left"/>
              <w:rPr/>
            </w:pPr>
            <w:r>
              <w:rPr/>
              <w:t> </w:t>
            </w:r>
          </w:p>
        </w:tc>
      </w:tr>
      <w:tr>
        <w:trPr/>
        <w:tc>
          <w:tcPr>
            <w:tcW w:w="2109" w:type="dxa"/>
            <w:vMerge w:val="restart"/>
            <w:tcBorders/>
            <w:shd w:fill="CCEEFF" w:val="clear"/>
            <w:tcMar>
              <w:bottom w:w="0" w:type="dxa"/>
            </w:tcMar>
            <w:vAlign w:val="bottom"/>
          </w:tcPr>
          <w:p>
            <w:pPr>
              <w:pStyle w:val="TableContents"/>
              <w:spacing w:before="0" w:after="0"/>
              <w:ind w:left="180" w:right="0" w:hanging="180"/>
              <w:rPr>
                <w:color w:val="000000"/>
              </w:rPr>
            </w:pPr>
            <w:r>
              <w:rPr>
                <w:color w:val="000000"/>
              </w:rPr>
              <w:t>Senior Secured First Lien Term Loan</w:t>
            </w:r>
          </w:p>
        </w:tc>
        <w:tc>
          <w:tcPr>
            <w:tcW w:w="60" w:type="dxa"/>
            <w:vMerge w:val="restart"/>
            <w:tcBorders/>
            <w:shd w:fill="CCEEFF" w:val="clear"/>
            <w:tcMar>
              <w:bottom w:w="0" w:type="dxa"/>
            </w:tcMar>
            <w:vAlign w:val="bottom"/>
          </w:tcPr>
          <w:p>
            <w:pPr>
              <w:pStyle w:val="TableContents"/>
              <w:spacing w:before="0" w:after="283"/>
              <w:rPr/>
            </w:pPr>
            <w:r>
              <w:rPr/>
              <w:t> </w:t>
            </w:r>
          </w:p>
        </w:tc>
        <w:tc>
          <w:tcPr>
            <w:tcW w:w="171" w:type="dxa"/>
            <w:vMerge w:val="restart"/>
            <w:tcBorders/>
            <w:shd w:fill="CCEEFF" w:val="clear"/>
            <w:tcMar>
              <w:bottom w:w="0" w:type="dxa"/>
            </w:tcMar>
            <w:vAlign w:val="bottom"/>
          </w:tcPr>
          <w:p>
            <w:pPr>
              <w:pStyle w:val="TableContents"/>
              <w:spacing w:before="0" w:after="0"/>
              <w:jc w:val="left"/>
              <w:rPr>
                <w:color w:val="000000"/>
              </w:rPr>
            </w:pPr>
            <w:r>
              <w:rPr>
                <w:color w:val="000000"/>
              </w:rPr>
              <w:t>$</w:t>
            </w:r>
          </w:p>
        </w:tc>
        <w:tc>
          <w:tcPr>
            <w:tcW w:w="1353" w:type="dxa"/>
            <w:vMerge w:val="restart"/>
            <w:tcBorders/>
            <w:shd w:fill="CCEEFF" w:val="clear"/>
            <w:tcMar>
              <w:bottom w:w="0" w:type="dxa"/>
            </w:tcMar>
            <w:vAlign w:val="bottom"/>
          </w:tcPr>
          <w:p>
            <w:pPr>
              <w:pStyle w:val="TableContents"/>
              <w:spacing w:before="0" w:after="0"/>
              <w:jc w:val="right"/>
              <w:rPr>
                <w:color w:val="000000"/>
              </w:rPr>
            </w:pPr>
            <w:r>
              <w:rPr>
                <w:color w:val="000000"/>
              </w:rPr>
              <w:t>40,660,633</w:t>
            </w:r>
          </w:p>
        </w:tc>
        <w:tc>
          <w:tcPr>
            <w:tcW w:w="60" w:type="dxa"/>
            <w:vMerge w:val="restart"/>
            <w:tcBorders/>
            <w:shd w:fill="CCEEFF" w:val="clear"/>
            <w:tcMar>
              <w:bottom w:w="0" w:type="dxa"/>
            </w:tcMar>
            <w:vAlign w:val="bottom"/>
          </w:tcPr>
          <w:p>
            <w:pPr>
              <w:pStyle w:val="TableContents"/>
              <w:spacing w:before="0" w:after="283"/>
              <w:jc w:val="left"/>
              <w:rPr/>
            </w:pPr>
            <w:r>
              <w:rPr/>
              <w:t> </w:t>
            </w:r>
          </w:p>
        </w:tc>
        <w:tc>
          <w:tcPr>
            <w:tcW w:w="2286" w:type="dxa"/>
            <w:vMerge w:val="restart"/>
            <w:tcBorders/>
            <w:shd w:fill="CCEEFF" w:val="clear"/>
            <w:tcMar>
              <w:bottom w:w="0" w:type="dxa"/>
            </w:tcMar>
            <w:vAlign w:val="bottom"/>
          </w:tcPr>
          <w:p>
            <w:pPr>
              <w:pStyle w:val="TableContents"/>
              <w:spacing w:before="0" w:after="0"/>
              <w:rPr>
                <w:color w:val="000000"/>
              </w:rPr>
            </w:pPr>
            <w:r>
              <w:rPr>
                <w:color w:val="000000"/>
              </w:rPr>
              <w:t>Discounted Cash Flow</w:t>
            </w:r>
          </w:p>
        </w:tc>
        <w:tc>
          <w:tcPr>
            <w:tcW w:w="60" w:type="dxa"/>
            <w:tcBorders/>
            <w:shd w:fill="CCEEFF" w:val="clear"/>
            <w:tcMar>
              <w:bottom w:w="0" w:type="dxa"/>
            </w:tcMar>
            <w:vAlign w:val="bottom"/>
          </w:tcPr>
          <w:p>
            <w:pPr>
              <w:pStyle w:val="TableContents"/>
              <w:spacing w:before="0" w:after="283"/>
              <w:rPr/>
            </w:pPr>
            <w:r>
              <w:rPr/>
              <w:t> </w:t>
            </w:r>
          </w:p>
        </w:tc>
        <w:tc>
          <w:tcPr>
            <w:tcW w:w="1453" w:type="dxa"/>
            <w:tcBorders/>
            <w:shd w:fill="CCEEFF" w:val="clear"/>
            <w:tcMar>
              <w:bottom w:w="0" w:type="dxa"/>
            </w:tcMar>
            <w:vAlign w:val="bottom"/>
          </w:tcPr>
          <w:p>
            <w:pPr>
              <w:pStyle w:val="TableContents"/>
              <w:spacing w:before="0" w:after="0"/>
              <w:jc w:val="center"/>
              <w:rPr>
                <w:color w:val="000000"/>
              </w:rPr>
            </w:pPr>
            <w:r>
              <w:rPr>
                <w:color w:val="000000"/>
              </w:rPr>
              <w:t>Discount Rate</w:t>
            </w:r>
          </w:p>
        </w:tc>
        <w:tc>
          <w:tcPr>
            <w:tcW w:w="60"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880" w:type="dxa"/>
            <w:tcBorders/>
            <w:shd w:fill="CCEEFF" w:val="clear"/>
            <w:tcMar>
              <w:bottom w:w="0" w:type="dxa"/>
            </w:tcMar>
            <w:vAlign w:val="bottom"/>
          </w:tcPr>
          <w:p>
            <w:pPr>
              <w:pStyle w:val="TableContents"/>
              <w:spacing w:before="0" w:after="0"/>
              <w:jc w:val="right"/>
              <w:rPr>
                <w:color w:val="000000"/>
              </w:rPr>
            </w:pPr>
            <w:r>
              <w:rPr>
                <w:color w:val="000000"/>
              </w:rPr>
              <w:t>7.2% - 9.6</w:t>
            </w:r>
          </w:p>
        </w:tc>
        <w:tc>
          <w:tcPr>
            <w:tcW w:w="215" w:type="dxa"/>
            <w:tcBorders/>
            <w:shd w:fill="CCEEFF" w:val="clear"/>
            <w:tcMar>
              <w:bottom w:w="0" w:type="dxa"/>
            </w:tcMar>
            <w:vAlign w:val="bottom"/>
          </w:tcPr>
          <w:p>
            <w:pPr>
              <w:pStyle w:val="TableContents"/>
              <w:spacing w:before="0" w:after="0"/>
              <w:jc w:val="left"/>
              <w:rPr>
                <w:color w:val="000000"/>
              </w:rPr>
            </w:pPr>
            <w:r>
              <w:rPr>
                <w:color w:val="000000"/>
              </w:rPr>
              <w:t>%</w:t>
            </w:r>
          </w:p>
        </w:tc>
        <w:tc>
          <w:tcPr>
            <w:tcW w:w="60" w:type="dxa"/>
            <w:tcBorders/>
            <w:shd w:fill="CCEEFF" w:val="clear"/>
            <w:tcMar>
              <w:bottom w:w="0" w:type="dxa"/>
            </w:tcMar>
            <w:vAlign w:val="bottom"/>
          </w:tcPr>
          <w:p>
            <w:pPr>
              <w:pStyle w:val="TableContents"/>
              <w:spacing w:before="0" w:after="283"/>
              <w:jc w:val="right"/>
              <w:rPr/>
            </w:pPr>
            <w:r>
              <w:rPr/>
              <w:t> </w:t>
            </w:r>
          </w:p>
        </w:tc>
        <w:tc>
          <w:tcPr>
            <w:tcW w:w="178" w:type="dxa"/>
            <w:tcBorders/>
            <w:shd w:fill="CCEEFF" w:val="clear"/>
            <w:tcMar>
              <w:bottom w:w="0" w:type="dxa"/>
            </w:tcMar>
            <w:vAlign w:val="bottom"/>
          </w:tcPr>
          <w:p>
            <w:pPr>
              <w:pStyle w:val="TableContents"/>
              <w:spacing w:before="0" w:after="283"/>
              <w:jc w:val="left"/>
              <w:rPr/>
            </w:pPr>
            <w:r>
              <w:rPr/>
              <w:t> </w:t>
            </w:r>
          </w:p>
        </w:tc>
        <w:tc>
          <w:tcPr>
            <w:tcW w:w="1313" w:type="dxa"/>
            <w:tcBorders/>
            <w:shd w:fill="CCEEFF" w:val="clear"/>
            <w:tcMar>
              <w:bottom w:w="0" w:type="dxa"/>
            </w:tcMar>
            <w:vAlign w:val="bottom"/>
          </w:tcPr>
          <w:p>
            <w:pPr>
              <w:pStyle w:val="TableContents"/>
              <w:spacing w:before="0" w:after="0"/>
              <w:jc w:val="right"/>
              <w:rPr>
                <w:color w:val="000000"/>
              </w:rPr>
            </w:pPr>
            <w:r>
              <w:rPr>
                <w:color w:val="000000"/>
              </w:rPr>
              <w:t>8.4</w:t>
            </w:r>
          </w:p>
        </w:tc>
        <w:tc>
          <w:tcPr>
            <w:tcW w:w="221" w:type="dxa"/>
            <w:tcBorders/>
            <w:shd w:fill="CCEEFF" w:val="clear"/>
            <w:tcMar>
              <w:bottom w:w="0" w:type="dxa"/>
            </w:tcMar>
            <w:vAlign w:val="bottom"/>
          </w:tcPr>
          <w:p>
            <w:pPr>
              <w:pStyle w:val="TableContents"/>
              <w:spacing w:before="0" w:after="0"/>
              <w:jc w:val="left"/>
              <w:rPr>
                <w:color w:val="000000"/>
              </w:rPr>
            </w:pPr>
            <w:r>
              <w:rPr>
                <w:color w:val="000000"/>
              </w:rPr>
              <w:t>%</w:t>
            </w:r>
          </w:p>
        </w:tc>
      </w:tr>
      <w:tr>
        <w:trPr/>
        <w:tc>
          <w:tcPr>
            <w:tcW w:w="2109" w:type="dxa"/>
            <w:vMerge w:val="continue"/>
            <w:tcBorders/>
            <w:shd w:fill="CCEEFF" w:val="clear"/>
            <w:tcMar>
              <w:bottom w:w="0" w:type="dxa"/>
            </w:tcMar>
            <w:vAlign w:val="bottom"/>
          </w:tcPr>
          <w:p>
            <w:pPr>
              <w:pStyle w:val="Normal"/>
              <w:rPr/>
            </w:pPr>
            <w:r>
              <w:rPr/>
            </w:r>
          </w:p>
        </w:tc>
        <w:tc>
          <w:tcPr>
            <w:tcW w:w="60" w:type="dxa"/>
            <w:vMerge w:val="continue"/>
            <w:tcBorders/>
            <w:shd w:fill="CCEEFF" w:val="clear"/>
            <w:tcMar>
              <w:bottom w:w="0" w:type="dxa"/>
            </w:tcMar>
            <w:vAlign w:val="bottom"/>
          </w:tcPr>
          <w:p>
            <w:pPr>
              <w:pStyle w:val="Normal"/>
              <w:rPr/>
            </w:pPr>
            <w:r>
              <w:rPr/>
            </w:r>
          </w:p>
        </w:tc>
        <w:tc>
          <w:tcPr>
            <w:tcW w:w="171" w:type="dxa"/>
            <w:vMerge w:val="continue"/>
            <w:tcBorders/>
            <w:shd w:fill="CCEEFF" w:val="clear"/>
            <w:tcMar>
              <w:bottom w:w="0" w:type="dxa"/>
            </w:tcMar>
            <w:vAlign w:val="bottom"/>
          </w:tcPr>
          <w:p>
            <w:pPr>
              <w:pStyle w:val="Normal"/>
              <w:rPr/>
            </w:pPr>
            <w:r>
              <w:rPr/>
            </w:r>
          </w:p>
        </w:tc>
        <w:tc>
          <w:tcPr>
            <w:tcW w:w="1353" w:type="dxa"/>
            <w:vMerge w:val="continue"/>
            <w:tcBorders/>
            <w:shd w:fill="CCEEFF" w:val="clear"/>
            <w:tcMar>
              <w:bottom w:w="0" w:type="dxa"/>
            </w:tcMar>
            <w:vAlign w:val="bottom"/>
          </w:tcPr>
          <w:p>
            <w:pPr>
              <w:pStyle w:val="Normal"/>
              <w:rPr/>
            </w:pPr>
            <w:r>
              <w:rPr/>
            </w:r>
          </w:p>
        </w:tc>
        <w:tc>
          <w:tcPr>
            <w:tcW w:w="60" w:type="dxa"/>
            <w:vMerge w:val="continue"/>
            <w:tcBorders/>
            <w:shd w:fill="CCEEFF" w:val="clear"/>
            <w:tcMar>
              <w:bottom w:w="0" w:type="dxa"/>
            </w:tcMar>
            <w:vAlign w:val="bottom"/>
          </w:tcPr>
          <w:p>
            <w:pPr>
              <w:pStyle w:val="Normal"/>
              <w:rPr/>
            </w:pPr>
            <w:r>
              <w:rPr/>
            </w:r>
          </w:p>
        </w:tc>
        <w:tc>
          <w:tcPr>
            <w:tcW w:w="2286" w:type="dxa"/>
            <w:vMerge w:val="continue"/>
            <w:tcBorders/>
            <w:shd w:fill="CCEEFF" w:val="clear"/>
            <w:tcMar>
              <w:bottom w:w="0" w:type="dxa"/>
            </w:tcMar>
            <w:vAlign w:val="bottom"/>
          </w:tcPr>
          <w:p>
            <w:pPr>
              <w:pStyle w:val="Normal"/>
              <w:rPr/>
            </w:pPr>
            <w:r>
              <w:rPr/>
            </w:r>
          </w:p>
        </w:tc>
        <w:tc>
          <w:tcPr>
            <w:tcW w:w="60" w:type="dxa"/>
            <w:tcBorders/>
            <w:shd w:fill="CCEEFF" w:val="clear"/>
            <w:tcMar>
              <w:bottom w:w="0" w:type="dxa"/>
            </w:tcMar>
            <w:vAlign w:val="bottom"/>
          </w:tcPr>
          <w:p>
            <w:pPr>
              <w:pStyle w:val="TableContents"/>
              <w:spacing w:before="0" w:after="283"/>
              <w:rPr>
                <w:caps w:val="false"/>
                <w:smallCaps w:val="false"/>
                <w:color w:val="000000"/>
              </w:rPr>
            </w:pPr>
            <w:r>
              <w:rPr>
                <w:caps w:val="false"/>
                <w:smallCaps w:val="false"/>
                <w:color w:val="000000"/>
              </w:rPr>
              <w:t> </w:t>
            </w:r>
          </w:p>
        </w:tc>
        <w:tc>
          <w:tcPr>
            <w:tcW w:w="1453" w:type="dxa"/>
            <w:tcBorders/>
            <w:shd w:fill="CCEEFF" w:val="clear"/>
            <w:tcMar>
              <w:bottom w:w="0" w:type="dxa"/>
            </w:tcMar>
            <w:vAlign w:val="bottom"/>
          </w:tcPr>
          <w:p>
            <w:pPr>
              <w:pStyle w:val="TableContents"/>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Volatility</w:t>
            </w:r>
          </w:p>
        </w:tc>
        <w:tc>
          <w:tcPr>
            <w:tcW w:w="60"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880" w:type="dxa"/>
            <w:tcBorders/>
            <w:shd w:fill="CCEEFF" w:val="clear"/>
            <w:tcMar>
              <w:bottom w:w="0" w:type="dxa"/>
            </w:tcMar>
            <w:vAlign w:val="bottom"/>
          </w:tcPr>
          <w:p>
            <w:pPr>
              <w:pStyle w:val="TableContents"/>
              <w:spacing w:before="0" w:after="0"/>
              <w:jc w:val="right"/>
              <w:rPr>
                <w:color w:val="000000"/>
              </w:rPr>
            </w:pPr>
            <w:r>
              <w:rPr>
                <w:color w:val="000000"/>
              </w:rPr>
              <w:t>20.0% - 20.0</w:t>
            </w:r>
          </w:p>
        </w:tc>
        <w:tc>
          <w:tcPr>
            <w:tcW w:w="215" w:type="dxa"/>
            <w:tcBorders/>
            <w:shd w:fill="CCEEFF" w:val="clear"/>
            <w:tcMar>
              <w:bottom w:w="0" w:type="dxa"/>
            </w:tcMar>
            <w:vAlign w:val="bottom"/>
          </w:tcPr>
          <w:p>
            <w:pPr>
              <w:pStyle w:val="TableContents"/>
              <w:spacing w:before="0" w:after="0"/>
              <w:jc w:val="left"/>
              <w:rPr>
                <w:color w:val="000000"/>
              </w:rPr>
            </w:pPr>
            <w:r>
              <w:rPr>
                <w:color w:val="000000"/>
              </w:rPr>
              <w:t>%</w:t>
            </w:r>
          </w:p>
        </w:tc>
        <w:tc>
          <w:tcPr>
            <w:tcW w:w="60" w:type="dxa"/>
            <w:tcBorders/>
            <w:shd w:fill="CCEEFF" w:val="clear"/>
            <w:tcMar>
              <w:bottom w:w="0" w:type="dxa"/>
            </w:tcMar>
            <w:vAlign w:val="bottom"/>
          </w:tcPr>
          <w:p>
            <w:pPr>
              <w:pStyle w:val="TableContents"/>
              <w:spacing w:before="0" w:after="283"/>
              <w:jc w:val="right"/>
              <w:rPr/>
            </w:pPr>
            <w:r>
              <w:rPr/>
              <w:t> </w:t>
            </w:r>
          </w:p>
        </w:tc>
        <w:tc>
          <w:tcPr>
            <w:tcW w:w="178" w:type="dxa"/>
            <w:tcBorders/>
            <w:shd w:fill="CCEEFF" w:val="clear"/>
            <w:tcMar>
              <w:bottom w:w="0" w:type="dxa"/>
            </w:tcMar>
            <w:vAlign w:val="bottom"/>
          </w:tcPr>
          <w:p>
            <w:pPr>
              <w:pStyle w:val="TableContents"/>
              <w:spacing w:before="0" w:after="283"/>
              <w:jc w:val="left"/>
              <w:rPr/>
            </w:pPr>
            <w:r>
              <w:rPr/>
              <w:t> </w:t>
            </w:r>
          </w:p>
        </w:tc>
        <w:tc>
          <w:tcPr>
            <w:tcW w:w="1313" w:type="dxa"/>
            <w:tcBorders/>
            <w:shd w:fill="CCEEFF" w:val="clear"/>
            <w:tcMar>
              <w:bottom w:w="0" w:type="dxa"/>
            </w:tcMar>
            <w:vAlign w:val="bottom"/>
          </w:tcPr>
          <w:p>
            <w:pPr>
              <w:pStyle w:val="TableContents"/>
              <w:spacing w:before="0" w:after="0"/>
              <w:jc w:val="right"/>
              <w:rPr>
                <w:color w:val="000000"/>
              </w:rPr>
            </w:pPr>
            <w:r>
              <w:rPr>
                <w:color w:val="000000"/>
              </w:rPr>
              <w:t>20.0</w:t>
            </w:r>
          </w:p>
        </w:tc>
        <w:tc>
          <w:tcPr>
            <w:tcW w:w="221" w:type="dxa"/>
            <w:tcBorders/>
            <w:shd w:fill="CCEEFF" w:val="clear"/>
            <w:tcMar>
              <w:bottom w:w="0" w:type="dxa"/>
            </w:tcMar>
            <w:vAlign w:val="bottom"/>
          </w:tcPr>
          <w:p>
            <w:pPr>
              <w:pStyle w:val="TableContents"/>
              <w:spacing w:before="0" w:after="0"/>
              <w:jc w:val="left"/>
              <w:rPr>
                <w:color w:val="000000"/>
              </w:rPr>
            </w:pPr>
            <w:r>
              <w:rPr>
                <w:color w:val="000000"/>
              </w:rPr>
              <w:t>%</w:t>
            </w:r>
          </w:p>
        </w:tc>
      </w:tr>
      <w:tr>
        <w:trPr/>
        <w:tc>
          <w:tcPr>
            <w:tcW w:w="2109" w:type="dxa"/>
            <w:vMerge w:val="restart"/>
            <w:tcBorders/>
            <w:shd w:fill="auto" w:val="clear"/>
            <w:tcMar>
              <w:bottom w:w="0" w:type="dxa"/>
            </w:tcMar>
            <w:vAlign w:val="bottom"/>
          </w:tcPr>
          <w:p>
            <w:pPr>
              <w:pStyle w:val="TableContents"/>
              <w:spacing w:before="0" w:after="0"/>
              <w:ind w:left="180" w:right="0" w:hanging="180"/>
              <w:rPr>
                <w:color w:val="000000"/>
              </w:rPr>
            </w:pPr>
            <w:r>
              <w:rPr>
                <w:color w:val="000000"/>
              </w:rPr>
              <w:t>Senior Secured Notes</w:t>
            </w:r>
          </w:p>
        </w:tc>
        <w:tc>
          <w:tcPr>
            <w:tcW w:w="60" w:type="dxa"/>
            <w:vMerge w:val="restart"/>
            <w:tcBorders/>
            <w:shd w:fill="auto" w:val="clear"/>
            <w:tcMar>
              <w:bottom w:w="0" w:type="dxa"/>
            </w:tcMar>
            <w:vAlign w:val="bottom"/>
          </w:tcPr>
          <w:p>
            <w:pPr>
              <w:pStyle w:val="TableContents"/>
              <w:spacing w:before="0" w:after="283"/>
              <w:rPr/>
            </w:pPr>
            <w:r>
              <w:rPr/>
              <w:t> </w:t>
            </w:r>
          </w:p>
        </w:tc>
        <w:tc>
          <w:tcPr>
            <w:tcW w:w="171" w:type="dxa"/>
            <w:vMerge w:val="restart"/>
            <w:tcBorders>
              <w:bottom w:val="single" w:sz="12" w:space="0" w:color="000000"/>
            </w:tcBorders>
            <w:shd w:fill="auto" w:val="clear"/>
            <w:vAlign w:val="bottom"/>
          </w:tcPr>
          <w:p>
            <w:pPr>
              <w:pStyle w:val="TableContents"/>
              <w:spacing w:before="0" w:after="283"/>
              <w:jc w:val="left"/>
              <w:rPr/>
            </w:pPr>
            <w:r>
              <w:rPr/>
              <w:t> </w:t>
            </w:r>
          </w:p>
        </w:tc>
        <w:tc>
          <w:tcPr>
            <w:tcW w:w="1353" w:type="dxa"/>
            <w:vMerge w:val="restart"/>
            <w:tcBorders>
              <w:bottom w:val="single" w:sz="12" w:space="0" w:color="000000"/>
            </w:tcBorders>
            <w:shd w:fill="auto" w:val="clear"/>
            <w:vAlign w:val="bottom"/>
          </w:tcPr>
          <w:p>
            <w:pPr>
              <w:pStyle w:val="TableContents"/>
              <w:spacing w:before="0" w:after="0"/>
              <w:jc w:val="right"/>
              <w:rPr>
                <w:color w:val="000000"/>
              </w:rPr>
            </w:pPr>
            <w:r>
              <w:rPr>
                <w:color w:val="000000"/>
              </w:rPr>
              <w:t>9,593,917</w:t>
            </w:r>
          </w:p>
        </w:tc>
        <w:tc>
          <w:tcPr>
            <w:tcW w:w="60" w:type="dxa"/>
            <w:vMerge w:val="restart"/>
            <w:tcBorders/>
            <w:shd w:fill="auto" w:val="clear"/>
            <w:tcMar>
              <w:bottom w:w="0" w:type="dxa"/>
            </w:tcMar>
            <w:vAlign w:val="bottom"/>
          </w:tcPr>
          <w:p>
            <w:pPr>
              <w:pStyle w:val="TableContents"/>
              <w:spacing w:before="0" w:after="283"/>
              <w:jc w:val="left"/>
              <w:rPr/>
            </w:pPr>
            <w:r>
              <w:rPr/>
              <w:t> </w:t>
            </w:r>
          </w:p>
        </w:tc>
        <w:tc>
          <w:tcPr>
            <w:tcW w:w="2286" w:type="dxa"/>
            <w:vMerge w:val="restart"/>
            <w:tcBorders/>
            <w:shd w:fill="auto" w:val="clear"/>
            <w:tcMar>
              <w:bottom w:w="0" w:type="dxa"/>
            </w:tcMar>
            <w:vAlign w:val="bottom"/>
          </w:tcPr>
          <w:p>
            <w:pPr>
              <w:pStyle w:val="TableContents"/>
              <w:spacing w:before="0" w:after="0"/>
              <w:rPr>
                <w:color w:val="000000"/>
              </w:rPr>
            </w:pPr>
            <w:r>
              <w:rPr>
                <w:color w:val="000000"/>
              </w:rPr>
              <w:t>Discounted Cash Flow</w:t>
            </w:r>
          </w:p>
        </w:tc>
        <w:tc>
          <w:tcPr>
            <w:tcW w:w="60" w:type="dxa"/>
            <w:tcBorders/>
            <w:shd w:fill="auto" w:val="clear"/>
            <w:tcMar>
              <w:bottom w:w="0" w:type="dxa"/>
            </w:tcMar>
            <w:vAlign w:val="bottom"/>
          </w:tcPr>
          <w:p>
            <w:pPr>
              <w:pStyle w:val="TableContents"/>
              <w:spacing w:before="0" w:after="283"/>
              <w:rPr/>
            </w:pPr>
            <w:r>
              <w:rPr/>
              <w:t> </w:t>
            </w:r>
          </w:p>
        </w:tc>
        <w:tc>
          <w:tcPr>
            <w:tcW w:w="1453" w:type="dxa"/>
            <w:tcBorders/>
            <w:shd w:fill="auto" w:val="clear"/>
            <w:tcMar>
              <w:bottom w:w="0" w:type="dxa"/>
            </w:tcMar>
            <w:vAlign w:val="bottom"/>
          </w:tcPr>
          <w:p>
            <w:pPr>
              <w:pStyle w:val="TableContents"/>
              <w:spacing w:before="0" w:after="0"/>
              <w:jc w:val="center"/>
              <w:rPr>
                <w:color w:val="000000"/>
              </w:rPr>
            </w:pPr>
            <w:r>
              <w:rPr>
                <w:color w:val="000000"/>
              </w:rPr>
              <w:t>Discount Rate</w:t>
            </w:r>
          </w:p>
        </w:tc>
        <w:tc>
          <w:tcPr>
            <w:tcW w:w="60"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880" w:type="dxa"/>
            <w:tcBorders/>
            <w:shd w:fill="auto" w:val="clear"/>
            <w:tcMar>
              <w:bottom w:w="0" w:type="dxa"/>
            </w:tcMar>
            <w:vAlign w:val="bottom"/>
          </w:tcPr>
          <w:p>
            <w:pPr>
              <w:pStyle w:val="TableContents"/>
              <w:spacing w:before="0" w:after="0"/>
              <w:jc w:val="right"/>
              <w:rPr>
                <w:color w:val="000000"/>
              </w:rPr>
            </w:pPr>
            <w:r>
              <w:rPr>
                <w:color w:val="000000"/>
              </w:rPr>
              <w:t>11.6% - 18.7</w:t>
            </w:r>
          </w:p>
        </w:tc>
        <w:tc>
          <w:tcPr>
            <w:tcW w:w="215" w:type="dxa"/>
            <w:tcBorders/>
            <w:shd w:fill="auto" w:val="clear"/>
            <w:tcMar>
              <w:bottom w:w="0" w:type="dxa"/>
            </w:tcMar>
            <w:vAlign w:val="bottom"/>
          </w:tcPr>
          <w:p>
            <w:pPr>
              <w:pStyle w:val="TableContents"/>
              <w:spacing w:before="0" w:after="0"/>
              <w:jc w:val="left"/>
              <w:rPr>
                <w:color w:val="000000"/>
              </w:rPr>
            </w:pPr>
            <w:r>
              <w:rPr>
                <w:color w:val="000000"/>
              </w:rPr>
              <w:t>%</w:t>
            </w:r>
          </w:p>
        </w:tc>
        <w:tc>
          <w:tcPr>
            <w:tcW w:w="60" w:type="dxa"/>
            <w:tcBorders/>
            <w:shd w:fill="auto" w:val="clear"/>
            <w:tcMar>
              <w:bottom w:w="0" w:type="dxa"/>
            </w:tcMar>
            <w:vAlign w:val="bottom"/>
          </w:tcPr>
          <w:p>
            <w:pPr>
              <w:pStyle w:val="TableContents"/>
              <w:spacing w:before="0" w:after="283"/>
              <w:jc w:val="right"/>
              <w:rPr/>
            </w:pPr>
            <w:r>
              <w:rPr/>
              <w:t> </w:t>
            </w:r>
          </w:p>
        </w:tc>
        <w:tc>
          <w:tcPr>
            <w:tcW w:w="178" w:type="dxa"/>
            <w:tcBorders/>
            <w:shd w:fill="auto" w:val="clear"/>
            <w:tcMar>
              <w:bottom w:w="0" w:type="dxa"/>
            </w:tcMar>
            <w:vAlign w:val="bottom"/>
          </w:tcPr>
          <w:p>
            <w:pPr>
              <w:pStyle w:val="TableContents"/>
              <w:spacing w:before="0" w:after="283"/>
              <w:jc w:val="left"/>
              <w:rPr/>
            </w:pPr>
            <w:r>
              <w:rPr/>
              <w:t> </w:t>
            </w:r>
          </w:p>
        </w:tc>
        <w:tc>
          <w:tcPr>
            <w:tcW w:w="1313" w:type="dxa"/>
            <w:tcBorders/>
            <w:shd w:fill="auto" w:val="clear"/>
            <w:tcMar>
              <w:bottom w:w="0" w:type="dxa"/>
            </w:tcMar>
            <w:vAlign w:val="bottom"/>
          </w:tcPr>
          <w:p>
            <w:pPr>
              <w:pStyle w:val="TableContents"/>
              <w:spacing w:before="0" w:after="0"/>
              <w:jc w:val="right"/>
              <w:rPr>
                <w:color w:val="000000"/>
              </w:rPr>
            </w:pPr>
            <w:r>
              <w:rPr>
                <w:color w:val="000000"/>
              </w:rPr>
              <w:t>14.3</w:t>
            </w:r>
          </w:p>
        </w:tc>
        <w:tc>
          <w:tcPr>
            <w:tcW w:w="221" w:type="dxa"/>
            <w:tcBorders/>
            <w:shd w:fill="auto" w:val="clear"/>
            <w:tcMar>
              <w:bottom w:w="0" w:type="dxa"/>
            </w:tcMar>
            <w:vAlign w:val="bottom"/>
          </w:tcPr>
          <w:p>
            <w:pPr>
              <w:pStyle w:val="TableContents"/>
              <w:spacing w:before="0" w:after="0"/>
              <w:jc w:val="left"/>
              <w:rPr>
                <w:color w:val="000000"/>
              </w:rPr>
            </w:pPr>
            <w:r>
              <w:rPr>
                <w:color w:val="000000"/>
              </w:rPr>
              <w:t>%</w:t>
            </w:r>
          </w:p>
        </w:tc>
      </w:tr>
      <w:tr>
        <w:trPr/>
        <w:tc>
          <w:tcPr>
            <w:tcW w:w="2109" w:type="dxa"/>
            <w:vMerge w:val="continue"/>
            <w:tcBorders/>
            <w:shd w:fill="auto" w:val="clear"/>
            <w:tcMar>
              <w:bottom w:w="0" w:type="dxa"/>
            </w:tcMar>
            <w:vAlign w:val="bottom"/>
          </w:tcPr>
          <w:p>
            <w:pPr>
              <w:pStyle w:val="Normal"/>
              <w:rPr/>
            </w:pPr>
            <w:r>
              <w:rPr/>
            </w:r>
          </w:p>
        </w:tc>
        <w:tc>
          <w:tcPr>
            <w:tcW w:w="60" w:type="dxa"/>
            <w:vMerge w:val="continue"/>
            <w:tcBorders/>
            <w:shd w:fill="auto" w:val="clear"/>
            <w:tcMar>
              <w:bottom w:w="0" w:type="dxa"/>
            </w:tcMar>
            <w:vAlign w:val="bottom"/>
          </w:tcPr>
          <w:p>
            <w:pPr>
              <w:pStyle w:val="Normal"/>
              <w:rPr/>
            </w:pPr>
            <w:r>
              <w:rPr/>
            </w:r>
          </w:p>
        </w:tc>
        <w:tc>
          <w:tcPr>
            <w:tcW w:w="171" w:type="dxa"/>
            <w:vMerge w:val="continue"/>
            <w:tcBorders>
              <w:bottom w:val="single" w:sz="12" w:space="0" w:color="000000"/>
            </w:tcBorders>
            <w:shd w:fill="auto" w:val="clear"/>
            <w:vAlign w:val="bottom"/>
          </w:tcPr>
          <w:p>
            <w:pPr>
              <w:pStyle w:val="Normal"/>
              <w:rPr/>
            </w:pPr>
            <w:r>
              <w:rPr/>
            </w:r>
          </w:p>
        </w:tc>
        <w:tc>
          <w:tcPr>
            <w:tcW w:w="1353" w:type="dxa"/>
            <w:vMerge w:val="continue"/>
            <w:tcBorders>
              <w:bottom w:val="single" w:sz="12" w:space="0" w:color="000000"/>
            </w:tcBorders>
            <w:shd w:fill="auto" w:val="clear"/>
            <w:vAlign w:val="bottom"/>
          </w:tcPr>
          <w:p>
            <w:pPr>
              <w:pStyle w:val="Normal"/>
              <w:rPr/>
            </w:pPr>
            <w:r>
              <w:rPr/>
            </w:r>
          </w:p>
        </w:tc>
        <w:tc>
          <w:tcPr>
            <w:tcW w:w="60" w:type="dxa"/>
            <w:vMerge w:val="continue"/>
            <w:tcBorders/>
            <w:shd w:fill="auto" w:val="clear"/>
            <w:tcMar>
              <w:bottom w:w="0" w:type="dxa"/>
            </w:tcMar>
            <w:vAlign w:val="bottom"/>
          </w:tcPr>
          <w:p>
            <w:pPr>
              <w:pStyle w:val="Normal"/>
              <w:rPr/>
            </w:pPr>
            <w:r>
              <w:rPr/>
            </w:r>
          </w:p>
        </w:tc>
        <w:tc>
          <w:tcPr>
            <w:tcW w:w="2286" w:type="dxa"/>
            <w:vMerge w:val="continue"/>
            <w:tcBorders/>
            <w:shd w:fill="auto" w:val="clear"/>
            <w:tcMar>
              <w:bottom w:w="0" w:type="dxa"/>
            </w:tcMar>
            <w:vAlign w:val="bottom"/>
          </w:tcPr>
          <w:p>
            <w:pPr>
              <w:pStyle w:val="Normal"/>
              <w:rPr/>
            </w:pPr>
            <w:r>
              <w:rPr/>
            </w:r>
          </w:p>
        </w:tc>
        <w:tc>
          <w:tcPr>
            <w:tcW w:w="60" w:type="dxa"/>
            <w:tcBorders/>
            <w:shd w:fill="auto" w:val="clear"/>
            <w:tcMar>
              <w:bottom w:w="0" w:type="dxa"/>
            </w:tcMar>
            <w:vAlign w:val="bottom"/>
          </w:tcPr>
          <w:p>
            <w:pPr>
              <w:pStyle w:val="TableContents"/>
              <w:spacing w:before="0" w:after="283"/>
              <w:rPr>
                <w:caps w:val="false"/>
                <w:smallCaps w:val="false"/>
                <w:color w:val="000000"/>
              </w:rPr>
            </w:pPr>
            <w:r>
              <w:rPr>
                <w:caps w:val="false"/>
                <w:smallCaps w:val="false"/>
                <w:color w:val="000000"/>
              </w:rPr>
              <w:t> </w:t>
            </w:r>
          </w:p>
        </w:tc>
        <w:tc>
          <w:tcPr>
            <w:tcW w:w="1453" w:type="dxa"/>
            <w:tcBorders/>
            <w:shd w:fill="auto" w:val="clear"/>
            <w:tcMar>
              <w:bottom w:w="0" w:type="dxa"/>
            </w:tcMar>
            <w:vAlign w:val="bottom"/>
          </w:tcPr>
          <w:p>
            <w:pPr>
              <w:pStyle w:val="TableContents"/>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Volatility</w:t>
            </w:r>
          </w:p>
        </w:tc>
        <w:tc>
          <w:tcPr>
            <w:tcW w:w="60"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880" w:type="dxa"/>
            <w:tcBorders/>
            <w:shd w:fill="auto" w:val="clear"/>
            <w:tcMar>
              <w:bottom w:w="0" w:type="dxa"/>
            </w:tcMar>
            <w:vAlign w:val="bottom"/>
          </w:tcPr>
          <w:p>
            <w:pPr>
              <w:pStyle w:val="TableContents"/>
              <w:spacing w:before="0" w:after="0"/>
              <w:jc w:val="right"/>
              <w:rPr>
                <w:color w:val="000000"/>
              </w:rPr>
            </w:pPr>
            <w:r>
              <w:rPr>
                <w:color w:val="000000"/>
              </w:rPr>
              <w:t>7.0% - 20.0</w:t>
            </w:r>
          </w:p>
        </w:tc>
        <w:tc>
          <w:tcPr>
            <w:tcW w:w="215" w:type="dxa"/>
            <w:tcBorders/>
            <w:shd w:fill="auto" w:val="clear"/>
            <w:tcMar>
              <w:bottom w:w="0" w:type="dxa"/>
            </w:tcMar>
            <w:vAlign w:val="bottom"/>
          </w:tcPr>
          <w:p>
            <w:pPr>
              <w:pStyle w:val="TableContents"/>
              <w:spacing w:before="0" w:after="0"/>
              <w:jc w:val="left"/>
              <w:rPr>
                <w:color w:val="000000"/>
              </w:rPr>
            </w:pPr>
            <w:r>
              <w:rPr>
                <w:color w:val="000000"/>
              </w:rPr>
              <w:t>%</w:t>
            </w:r>
          </w:p>
        </w:tc>
        <w:tc>
          <w:tcPr>
            <w:tcW w:w="60" w:type="dxa"/>
            <w:tcBorders/>
            <w:shd w:fill="auto" w:val="clear"/>
            <w:tcMar>
              <w:bottom w:w="0" w:type="dxa"/>
            </w:tcMar>
            <w:vAlign w:val="bottom"/>
          </w:tcPr>
          <w:p>
            <w:pPr>
              <w:pStyle w:val="TableContents"/>
              <w:spacing w:before="0" w:after="283"/>
              <w:jc w:val="right"/>
              <w:rPr/>
            </w:pPr>
            <w:r>
              <w:rPr/>
              <w:t> </w:t>
            </w:r>
          </w:p>
        </w:tc>
        <w:tc>
          <w:tcPr>
            <w:tcW w:w="178" w:type="dxa"/>
            <w:tcBorders/>
            <w:shd w:fill="auto" w:val="clear"/>
            <w:tcMar>
              <w:bottom w:w="0" w:type="dxa"/>
            </w:tcMar>
            <w:vAlign w:val="bottom"/>
          </w:tcPr>
          <w:p>
            <w:pPr>
              <w:pStyle w:val="TableContents"/>
              <w:spacing w:before="0" w:after="283"/>
              <w:jc w:val="left"/>
              <w:rPr/>
            </w:pPr>
            <w:r>
              <w:rPr/>
              <w:t> </w:t>
            </w:r>
          </w:p>
        </w:tc>
        <w:tc>
          <w:tcPr>
            <w:tcW w:w="1313" w:type="dxa"/>
            <w:tcBorders/>
            <w:shd w:fill="auto" w:val="clear"/>
            <w:tcMar>
              <w:bottom w:w="0" w:type="dxa"/>
            </w:tcMar>
            <w:vAlign w:val="bottom"/>
          </w:tcPr>
          <w:p>
            <w:pPr>
              <w:pStyle w:val="TableContents"/>
              <w:spacing w:before="0" w:after="0"/>
              <w:jc w:val="right"/>
              <w:rPr>
                <w:color w:val="000000"/>
              </w:rPr>
            </w:pPr>
            <w:r>
              <w:rPr>
                <w:color w:val="000000"/>
              </w:rPr>
              <w:t>12.4</w:t>
            </w:r>
          </w:p>
        </w:tc>
        <w:tc>
          <w:tcPr>
            <w:tcW w:w="221" w:type="dxa"/>
            <w:tcBorders/>
            <w:shd w:fill="auto" w:val="clear"/>
            <w:tcMar>
              <w:bottom w:w="0" w:type="dxa"/>
            </w:tcMar>
            <w:vAlign w:val="bottom"/>
          </w:tcPr>
          <w:p>
            <w:pPr>
              <w:pStyle w:val="TableContents"/>
              <w:spacing w:before="0" w:after="0"/>
              <w:jc w:val="left"/>
              <w:rPr>
                <w:color w:val="000000"/>
              </w:rPr>
            </w:pPr>
            <w:r>
              <w:rPr>
                <w:color w:val="000000"/>
              </w:rPr>
              <w:t>%</w:t>
            </w:r>
          </w:p>
        </w:tc>
      </w:tr>
      <w:tr>
        <w:trPr/>
        <w:tc>
          <w:tcPr>
            <w:tcW w:w="2109" w:type="dxa"/>
            <w:tcBorders/>
            <w:shd w:fill="CCEEFF" w:val="clear"/>
            <w:tcMar>
              <w:bottom w:w="0" w:type="dxa"/>
            </w:tcMar>
            <w:vAlign w:val="bottom"/>
          </w:tcPr>
          <w:p>
            <w:pPr>
              <w:pStyle w:val="TableContents"/>
              <w:spacing w:before="0" w:after="0"/>
              <w:ind w:left="180" w:right="0" w:hanging="180"/>
              <w:rPr>
                <w:color w:val="000000"/>
              </w:rPr>
            </w:pPr>
            <w:r>
              <w:rPr>
                <w:color w:val="000000"/>
              </w:rPr>
              <w:t>Total</w:t>
            </w:r>
          </w:p>
        </w:tc>
        <w:tc>
          <w:tcPr>
            <w:tcW w:w="60" w:type="dxa"/>
            <w:tcBorders/>
            <w:shd w:fill="CCEEFF" w:val="clear"/>
            <w:tcMar>
              <w:bottom w:w="0" w:type="dxa"/>
            </w:tcMar>
            <w:vAlign w:val="bottom"/>
          </w:tcPr>
          <w:p>
            <w:pPr>
              <w:pStyle w:val="TableContents"/>
              <w:spacing w:before="0" w:after="283"/>
              <w:rPr/>
            </w:pPr>
            <w:r>
              <w:rPr/>
              <w:t> </w:t>
            </w:r>
          </w:p>
        </w:tc>
        <w:tc>
          <w:tcPr>
            <w:tcW w:w="171" w:type="dxa"/>
            <w:tcBorders>
              <w:bottom w:val="double" w:sz="8" w:space="0" w:color="000000"/>
            </w:tcBorders>
            <w:shd w:fill="CCEEFF" w:val="clear"/>
            <w:vAlign w:val="bottom"/>
          </w:tcPr>
          <w:p>
            <w:pPr>
              <w:pStyle w:val="TableContents"/>
              <w:spacing w:before="0" w:after="0"/>
              <w:jc w:val="left"/>
              <w:rPr>
                <w:color w:val="000000"/>
              </w:rPr>
            </w:pPr>
            <w:r>
              <w:rPr>
                <w:color w:val="000000"/>
              </w:rPr>
              <w:t>$</w:t>
            </w:r>
          </w:p>
        </w:tc>
        <w:tc>
          <w:tcPr>
            <w:tcW w:w="1353" w:type="dxa"/>
            <w:tcBorders>
              <w:bottom w:val="double" w:sz="8" w:space="0" w:color="000000"/>
            </w:tcBorders>
            <w:shd w:fill="CCEEFF" w:val="clear"/>
            <w:vAlign w:val="bottom"/>
          </w:tcPr>
          <w:p>
            <w:pPr>
              <w:pStyle w:val="TableContents"/>
              <w:spacing w:before="0" w:after="0"/>
              <w:jc w:val="right"/>
              <w:rPr>
                <w:color w:val="000000"/>
              </w:rPr>
            </w:pPr>
            <w:r>
              <w:rPr>
                <w:color w:val="000000"/>
              </w:rPr>
              <w:t>50,254,550</w:t>
            </w:r>
          </w:p>
        </w:tc>
        <w:tc>
          <w:tcPr>
            <w:tcW w:w="60" w:type="dxa"/>
            <w:tcBorders/>
            <w:shd w:fill="CCEEFF" w:val="clear"/>
            <w:tcMar>
              <w:bottom w:w="0" w:type="dxa"/>
            </w:tcMar>
            <w:vAlign w:val="bottom"/>
          </w:tcPr>
          <w:p>
            <w:pPr>
              <w:pStyle w:val="TableContents"/>
              <w:spacing w:before="0" w:after="283"/>
              <w:jc w:val="left"/>
              <w:rPr/>
            </w:pPr>
            <w:r>
              <w:rPr/>
              <w:t> </w:t>
            </w:r>
          </w:p>
        </w:tc>
        <w:tc>
          <w:tcPr>
            <w:tcW w:w="2286"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453"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880" w:type="dxa"/>
            <w:tcBorders/>
            <w:shd w:fill="CCEEFF" w:val="clear"/>
            <w:tcMar>
              <w:bottom w:w="0" w:type="dxa"/>
            </w:tcMar>
            <w:vAlign w:val="bottom"/>
          </w:tcPr>
          <w:p>
            <w:pPr>
              <w:pStyle w:val="TableContents"/>
              <w:spacing w:before="0" w:after="283"/>
              <w:jc w:val="right"/>
              <w:rPr/>
            </w:pPr>
            <w:r>
              <w:rPr/>
              <w:t> </w:t>
            </w:r>
          </w:p>
        </w:tc>
        <w:tc>
          <w:tcPr>
            <w:tcW w:w="215"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78" w:type="dxa"/>
            <w:tcBorders/>
            <w:shd w:fill="CCEEFF" w:val="clear"/>
            <w:tcMar>
              <w:bottom w:w="0" w:type="dxa"/>
            </w:tcMar>
            <w:vAlign w:val="bottom"/>
          </w:tcPr>
          <w:p>
            <w:pPr>
              <w:pStyle w:val="TableContents"/>
              <w:spacing w:before="0" w:after="283"/>
              <w:jc w:val="left"/>
              <w:rPr/>
            </w:pPr>
            <w:r>
              <w:rPr/>
              <w:t> </w:t>
            </w:r>
          </w:p>
        </w:tc>
        <w:tc>
          <w:tcPr>
            <w:tcW w:w="1313" w:type="dxa"/>
            <w:tcBorders/>
            <w:shd w:fill="CCEEFF" w:val="clear"/>
            <w:tcMar>
              <w:bottom w:w="0" w:type="dxa"/>
            </w:tcMar>
            <w:vAlign w:val="bottom"/>
          </w:tcPr>
          <w:p>
            <w:pPr>
              <w:pStyle w:val="TableContents"/>
              <w:spacing w:before="0" w:after="283"/>
              <w:jc w:val="right"/>
              <w:rPr/>
            </w:pPr>
            <w:r>
              <w:rPr/>
              <w:t> </w:t>
            </w:r>
          </w:p>
        </w:tc>
        <w:tc>
          <w:tcPr>
            <w:tcW w:w="221"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(1) The weighted average is calculated based on the fair value of each investment.</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Significant increases (decreases) in discount rate in isolation would result in a significantly higher (lower) fair value assessment. Significant increases (decreases) in volatility in isolation would result in a significantly lower (higher) fair value assessment.</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provides a summary of changes in the fair value of the Company’s Level 3 portfolio investments for the three months ended March 31, 2023:</w:t>
      </w:r>
    </w:p>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6373"/>
        <w:gridCol w:w="60"/>
        <w:gridCol w:w="161"/>
        <w:gridCol w:w="1269"/>
        <w:gridCol w:w="60"/>
        <w:gridCol w:w="60"/>
        <w:gridCol w:w="140"/>
        <w:gridCol w:w="980"/>
        <w:gridCol w:w="60"/>
        <w:gridCol w:w="60"/>
        <w:gridCol w:w="140"/>
        <w:gridCol w:w="1100"/>
        <w:gridCol w:w="76"/>
      </w:tblGrid>
      <w:tr>
        <w:trPr/>
        <w:tc>
          <w:tcPr>
            <w:tcW w:w="63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Senior Secured</w:t>
              <w:br/>
              <w:t>First Lien</w:t>
              <w:br/>
              <w:t>Term Loan</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Senior</w:t>
              <w:br/>
              <w:t>Secured</w:t>
              <w:br/>
              <w:t>Notes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w:t>
              <w:br/>
              <w:t>Investments</w:t>
            </w:r>
          </w:p>
        </w:tc>
        <w:tc>
          <w:tcPr>
            <w:tcW w:w="76" w:type="dxa"/>
            <w:tcBorders/>
            <w:shd w:fill="auto" w:val="clear"/>
            <w:vAlign w:val="bottom"/>
          </w:tcPr>
          <w:p>
            <w:pPr>
              <w:pStyle w:val="TableContents"/>
              <w:spacing w:before="0" w:after="283"/>
              <w:jc w:val="left"/>
              <w:rPr/>
            </w:pPr>
            <w:r>
              <w:rPr/>
              <w:t> </w:t>
            </w:r>
          </w:p>
        </w:tc>
      </w:tr>
      <w:tr>
        <w:trPr/>
        <w:tc>
          <w:tcPr>
            <w:tcW w:w="6373" w:type="dxa"/>
            <w:tcBorders/>
            <w:shd w:fill="CCEEFF" w:val="clear"/>
            <w:vAlign w:val="bottom"/>
          </w:tcPr>
          <w:p>
            <w:pPr>
              <w:pStyle w:val="TableContents"/>
              <w:spacing w:before="0" w:after="0"/>
              <w:ind w:left="180" w:right="0" w:hanging="180"/>
              <w:rPr>
                <w:color w:val="000000"/>
              </w:rPr>
            </w:pPr>
            <w:r>
              <w:rPr>
                <w:color w:val="000000"/>
              </w:rPr>
              <w:t>Fair Value as of December 31, 2022</w:t>
            </w:r>
          </w:p>
        </w:tc>
        <w:tc>
          <w:tcPr>
            <w:tcW w:w="60"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0"/>
              <w:jc w:val="left"/>
              <w:rPr>
                <w:color w:val="000000"/>
              </w:rPr>
            </w:pPr>
            <w:r>
              <w:rPr>
                <w:color w:val="000000"/>
              </w:rPr>
              <w:t>$</w:t>
            </w:r>
          </w:p>
        </w:tc>
        <w:tc>
          <w:tcPr>
            <w:tcW w:w="1269" w:type="dxa"/>
            <w:tcBorders/>
            <w:shd w:fill="CCEEFF" w:val="clear"/>
            <w:vAlign w:val="bottom"/>
          </w:tcPr>
          <w:p>
            <w:pPr>
              <w:pStyle w:val="TableContents"/>
              <w:spacing w:before="0" w:after="0"/>
              <w:jc w:val="right"/>
              <w:rPr>
                <w:color w:val="000000"/>
              </w:rPr>
            </w:pPr>
            <w:r>
              <w:rPr>
                <w:color w:val="000000"/>
              </w:rPr>
              <w:t>40,660,633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980" w:type="dxa"/>
            <w:tcBorders/>
            <w:shd w:fill="CCEEFF" w:val="clear"/>
            <w:vAlign w:val="bottom"/>
          </w:tcPr>
          <w:p>
            <w:pPr>
              <w:pStyle w:val="TableContents"/>
              <w:spacing w:before="0" w:after="0"/>
              <w:jc w:val="right"/>
              <w:rPr>
                <w:color w:val="000000"/>
              </w:rPr>
            </w:pPr>
            <w:r>
              <w:rPr>
                <w:color w:val="000000"/>
              </w:rPr>
              <w:t>9,593,917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1100" w:type="dxa"/>
            <w:tcBorders/>
            <w:shd w:fill="CCEEFF" w:val="clear"/>
            <w:vAlign w:val="bottom"/>
          </w:tcPr>
          <w:p>
            <w:pPr>
              <w:pStyle w:val="TableContents"/>
              <w:spacing w:before="0" w:after="0"/>
              <w:jc w:val="right"/>
              <w:rPr>
                <w:color w:val="000000"/>
              </w:rPr>
            </w:pPr>
            <w:r>
              <w:rPr>
                <w:color w:val="000000"/>
              </w:rPr>
              <w:t>50,254,550</w:t>
            </w:r>
          </w:p>
        </w:tc>
        <w:tc>
          <w:tcPr>
            <w:tcW w:w="76" w:type="dxa"/>
            <w:tcBorders/>
            <w:shd w:fill="CCEEFF" w:val="clear"/>
            <w:vAlign w:val="bottom"/>
          </w:tcPr>
          <w:p>
            <w:pPr>
              <w:pStyle w:val="TableContents"/>
              <w:spacing w:before="0" w:after="283"/>
              <w:jc w:val="left"/>
              <w:rPr/>
            </w:pPr>
            <w:r>
              <w:rPr/>
              <w:t> </w:t>
            </w:r>
          </w:p>
        </w:tc>
      </w:tr>
      <w:tr>
        <w:trPr/>
        <w:tc>
          <w:tcPr>
            <w:tcW w:w="6373" w:type="dxa"/>
            <w:tcBorders/>
            <w:shd w:fill="auto" w:val="clear"/>
            <w:vAlign w:val="bottom"/>
          </w:tcPr>
          <w:p>
            <w:pPr>
              <w:pStyle w:val="TableContents"/>
              <w:spacing w:before="0" w:after="0"/>
              <w:ind w:left="180" w:right="0" w:hanging="180"/>
              <w:rPr>
                <w:color w:val="000000"/>
              </w:rPr>
            </w:pPr>
            <w:r>
              <w:rPr>
                <w:color w:val="000000"/>
              </w:rPr>
              <w:t>Purchases</w:t>
            </w:r>
          </w:p>
        </w:tc>
        <w:tc>
          <w:tcPr>
            <w:tcW w:w="60"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jc w:val="left"/>
              <w:rPr/>
            </w:pPr>
            <w:r>
              <w:rPr/>
              <w:t> </w:t>
            </w:r>
          </w:p>
        </w:tc>
        <w:tc>
          <w:tcPr>
            <w:tcW w:w="1269" w:type="dxa"/>
            <w:tcBorders/>
            <w:shd w:fill="auto" w:val="clear"/>
            <w:vAlign w:val="bottom"/>
          </w:tcPr>
          <w:p>
            <w:pPr>
              <w:pStyle w:val="TableContents"/>
              <w:spacing w:before="0" w:after="0"/>
              <w:jc w:val="right"/>
              <w:rPr>
                <w:color w:val="000000"/>
              </w:rPr>
            </w:pPr>
            <w:r>
              <w:rPr>
                <w:color w:val="000000"/>
              </w:rPr>
              <w:t>4,230,000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0"/>
              <w:jc w:val="right"/>
              <w:rPr>
                <w:color w:val="000000"/>
              </w:rPr>
            </w:pPr>
            <w:r>
              <w:rPr>
                <w:color w:val="000000"/>
              </w:rPr>
              <w:t>4,230,000</w:t>
            </w:r>
          </w:p>
        </w:tc>
        <w:tc>
          <w:tcPr>
            <w:tcW w:w="76" w:type="dxa"/>
            <w:tcBorders/>
            <w:shd w:fill="auto" w:val="clear"/>
            <w:vAlign w:val="bottom"/>
          </w:tcPr>
          <w:p>
            <w:pPr>
              <w:pStyle w:val="TableContents"/>
              <w:spacing w:before="0" w:after="283"/>
              <w:jc w:val="left"/>
              <w:rPr/>
            </w:pPr>
            <w:r>
              <w:rPr/>
              <w:t> </w:t>
            </w:r>
          </w:p>
        </w:tc>
      </w:tr>
      <w:tr>
        <w:trPr/>
        <w:tc>
          <w:tcPr>
            <w:tcW w:w="6373" w:type="dxa"/>
            <w:tcBorders/>
            <w:shd w:fill="CCEEFF" w:val="clear"/>
            <w:vAlign w:val="bottom"/>
          </w:tcPr>
          <w:p>
            <w:pPr>
              <w:pStyle w:val="TableContents"/>
              <w:spacing w:before="0" w:after="0"/>
              <w:ind w:left="180" w:right="0" w:hanging="180"/>
              <w:rPr>
                <w:color w:val="000000"/>
              </w:rPr>
            </w:pPr>
            <w:r>
              <w:rPr>
                <w:color w:val="000000"/>
              </w:rPr>
              <w:t>Accretion of discount and fees (amortization of premium), net</w:t>
            </w:r>
          </w:p>
        </w:tc>
        <w:tc>
          <w:tcPr>
            <w:tcW w:w="60"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jc w:val="left"/>
              <w:rPr/>
            </w:pPr>
            <w:r>
              <w:rPr/>
              <w:t> </w:t>
            </w:r>
          </w:p>
        </w:tc>
        <w:tc>
          <w:tcPr>
            <w:tcW w:w="1269" w:type="dxa"/>
            <w:tcBorders/>
            <w:shd w:fill="CCEEFF" w:val="clear"/>
            <w:vAlign w:val="bottom"/>
          </w:tcPr>
          <w:p>
            <w:pPr>
              <w:pStyle w:val="TableContents"/>
              <w:spacing w:before="0" w:after="0"/>
              <w:jc w:val="right"/>
              <w:rPr>
                <w:color w:val="000000"/>
              </w:rPr>
            </w:pPr>
            <w:r>
              <w:rPr>
                <w:color w:val="000000"/>
              </w:rPr>
              <w:t>62,621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color w:val="000000"/>
              </w:rPr>
            </w:pPr>
            <w:r>
              <w:rPr>
                <w:color w:val="000000"/>
              </w:rPr>
              <w:t>78,198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0"/>
              <w:jc w:val="right"/>
              <w:rPr>
                <w:color w:val="000000"/>
              </w:rPr>
            </w:pPr>
            <w:r>
              <w:rPr>
                <w:color w:val="000000"/>
              </w:rPr>
              <w:t>140,819</w:t>
            </w:r>
          </w:p>
        </w:tc>
        <w:tc>
          <w:tcPr>
            <w:tcW w:w="76" w:type="dxa"/>
            <w:tcBorders/>
            <w:shd w:fill="CCEEFF" w:val="clear"/>
            <w:vAlign w:val="bottom"/>
          </w:tcPr>
          <w:p>
            <w:pPr>
              <w:pStyle w:val="TableContents"/>
              <w:spacing w:before="0" w:after="283"/>
              <w:jc w:val="left"/>
              <w:rPr/>
            </w:pPr>
            <w:r>
              <w:rPr/>
              <w:t> </w:t>
            </w:r>
          </w:p>
        </w:tc>
      </w:tr>
      <w:tr>
        <w:trPr/>
        <w:tc>
          <w:tcPr>
            <w:tcW w:w="6373" w:type="dxa"/>
            <w:tcBorders/>
            <w:shd w:fill="auto" w:val="clear"/>
            <w:vAlign w:val="bottom"/>
          </w:tcPr>
          <w:p>
            <w:pPr>
              <w:pStyle w:val="TableContents"/>
              <w:spacing w:before="0" w:after="283"/>
              <w:rPr/>
            </w:pPr>
            <w:r>
              <w:rPr/>
              <w:t>PIK interest</w:t>
            </w:r>
          </w:p>
        </w:tc>
        <w:tc>
          <w:tcPr>
            <w:tcW w:w="60"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jc w:val="left"/>
              <w:rPr/>
            </w:pPr>
            <w:r>
              <w:rPr/>
              <w:t> </w:t>
            </w:r>
          </w:p>
        </w:tc>
        <w:tc>
          <w:tcPr>
            <w:tcW w:w="1269" w:type="dxa"/>
            <w:tcBorders/>
            <w:shd w:fill="auto" w:val="clear"/>
            <w:vAlign w:val="bottom"/>
          </w:tcPr>
          <w:p>
            <w:pPr>
              <w:pStyle w:val="TableContents"/>
              <w:spacing w:before="0" w:after="283"/>
              <w:jc w:val="right"/>
              <w:rPr/>
            </w:pPr>
            <w:r>
              <w:rPr/>
              <w:t>11,573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283"/>
              <w:jc w:val="right"/>
              <w:rPr/>
            </w:pPr>
            <w:r>
              <w:rPr/>
              <w:t>11,573</w:t>
            </w:r>
          </w:p>
        </w:tc>
        <w:tc>
          <w:tcPr>
            <w:tcW w:w="76" w:type="dxa"/>
            <w:tcBorders/>
            <w:shd w:fill="auto" w:val="clear"/>
            <w:vAlign w:val="bottom"/>
          </w:tcPr>
          <w:p>
            <w:pPr>
              <w:pStyle w:val="TableContents"/>
              <w:spacing w:before="0" w:after="283"/>
              <w:jc w:val="left"/>
              <w:rPr/>
            </w:pPr>
            <w:r>
              <w:rPr/>
              <w:t> </w:t>
            </w:r>
          </w:p>
        </w:tc>
      </w:tr>
      <w:tr>
        <w:trPr/>
        <w:tc>
          <w:tcPr>
            <w:tcW w:w="6373" w:type="dxa"/>
            <w:tcBorders/>
            <w:shd w:fill="CCEEFF" w:val="clear"/>
            <w:vAlign w:val="bottom"/>
          </w:tcPr>
          <w:p>
            <w:pPr>
              <w:pStyle w:val="TableContents"/>
              <w:spacing w:before="0" w:after="0"/>
              <w:ind w:left="180" w:right="0" w:hanging="180"/>
              <w:rPr>
                <w:color w:val="000000"/>
              </w:rPr>
            </w:pPr>
            <w:r>
              <w:rPr>
                <w:color w:val="000000"/>
              </w:rPr>
              <w:t>Sales of investments</w:t>
            </w:r>
          </w:p>
        </w:tc>
        <w:tc>
          <w:tcPr>
            <w:tcW w:w="60"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jc w:val="left"/>
              <w:rPr/>
            </w:pPr>
            <w:r>
              <w:rPr/>
              <w:t> </w:t>
            </w:r>
          </w:p>
        </w:tc>
        <w:tc>
          <w:tcPr>
            <w:tcW w:w="1269"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0"/>
              <w:jc w:val="right"/>
              <w:rPr>
                <w:color w:val="000000"/>
              </w:rPr>
            </w:pPr>
            <w:r>
              <w:rPr>
                <w:color w:val="000000"/>
              </w:rPr>
              <w:t>-</w:t>
            </w:r>
          </w:p>
        </w:tc>
        <w:tc>
          <w:tcPr>
            <w:tcW w:w="76" w:type="dxa"/>
            <w:tcBorders/>
            <w:shd w:fill="CCEEFF" w:val="clear"/>
            <w:vAlign w:val="bottom"/>
          </w:tcPr>
          <w:p>
            <w:pPr>
              <w:pStyle w:val="TableContents"/>
              <w:spacing w:before="0" w:after="283"/>
              <w:jc w:val="left"/>
              <w:rPr/>
            </w:pPr>
            <w:r>
              <w:rPr/>
              <w:t> </w:t>
            </w:r>
          </w:p>
        </w:tc>
      </w:tr>
      <w:tr>
        <w:trPr/>
        <w:tc>
          <w:tcPr>
            <w:tcW w:w="6373" w:type="dxa"/>
            <w:tcBorders/>
            <w:shd w:fill="auto" w:val="clear"/>
            <w:vAlign w:val="bottom"/>
          </w:tcPr>
          <w:p>
            <w:pPr>
              <w:pStyle w:val="TableContents"/>
              <w:spacing w:before="0" w:after="0"/>
              <w:ind w:left="180" w:right="0" w:hanging="180"/>
              <w:rPr>
                <w:color w:val="000000"/>
              </w:rPr>
            </w:pPr>
            <w:r>
              <w:rPr>
                <w:color w:val="000000"/>
              </w:rPr>
              <w:t>Proceeds from principal repayments</w:t>
            </w:r>
          </w:p>
        </w:tc>
        <w:tc>
          <w:tcPr>
            <w:tcW w:w="60"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jc w:val="left"/>
              <w:rPr/>
            </w:pPr>
            <w:r>
              <w:rPr/>
              <w:t> </w:t>
            </w:r>
          </w:p>
        </w:tc>
        <w:tc>
          <w:tcPr>
            <w:tcW w:w="1269"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0"/>
              <w:jc w:val="right"/>
              <w:rPr>
                <w:color w:val="000000"/>
              </w:rPr>
            </w:pPr>
            <w:r>
              <w:rPr>
                <w:color w:val="000000"/>
              </w:rPr>
              <w:t>-</w:t>
            </w:r>
          </w:p>
        </w:tc>
        <w:tc>
          <w:tcPr>
            <w:tcW w:w="76" w:type="dxa"/>
            <w:tcBorders/>
            <w:shd w:fill="auto" w:val="clear"/>
            <w:vAlign w:val="bottom"/>
          </w:tcPr>
          <w:p>
            <w:pPr>
              <w:pStyle w:val="TableContents"/>
              <w:spacing w:before="0" w:after="283"/>
              <w:jc w:val="left"/>
              <w:rPr/>
            </w:pPr>
            <w:r>
              <w:rPr/>
              <w:t> </w:t>
            </w:r>
          </w:p>
        </w:tc>
      </w:tr>
      <w:tr>
        <w:trPr/>
        <w:tc>
          <w:tcPr>
            <w:tcW w:w="6373" w:type="dxa"/>
            <w:tcBorders/>
            <w:shd w:fill="CCEEFF" w:val="clear"/>
            <w:vAlign w:val="bottom"/>
          </w:tcPr>
          <w:p>
            <w:pPr>
              <w:pStyle w:val="TableContents"/>
              <w:spacing w:before="0" w:after="0"/>
              <w:ind w:left="180" w:right="0" w:hanging="180"/>
              <w:rPr>
                <w:color w:val="000000"/>
              </w:rPr>
            </w:pPr>
            <w:r>
              <w:rPr>
                <w:color w:val="000000"/>
              </w:rPr>
              <w:t>Net realized gain (loss) on investments</w:t>
            </w:r>
          </w:p>
        </w:tc>
        <w:tc>
          <w:tcPr>
            <w:tcW w:w="60"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jc w:val="left"/>
              <w:rPr/>
            </w:pPr>
            <w:r>
              <w:rPr/>
              <w:t> </w:t>
            </w:r>
          </w:p>
        </w:tc>
        <w:tc>
          <w:tcPr>
            <w:tcW w:w="1269"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0"/>
              <w:jc w:val="right"/>
              <w:rPr>
                <w:color w:val="000000"/>
              </w:rPr>
            </w:pPr>
            <w:r>
              <w:rPr>
                <w:color w:val="000000"/>
              </w:rPr>
              <w:t>-</w:t>
            </w:r>
          </w:p>
        </w:tc>
        <w:tc>
          <w:tcPr>
            <w:tcW w:w="76" w:type="dxa"/>
            <w:tcBorders/>
            <w:shd w:fill="CCEEFF" w:val="clear"/>
            <w:vAlign w:val="bottom"/>
          </w:tcPr>
          <w:p>
            <w:pPr>
              <w:pStyle w:val="TableContents"/>
              <w:spacing w:before="0" w:after="283"/>
              <w:jc w:val="left"/>
              <w:rPr/>
            </w:pPr>
            <w:r>
              <w:rPr/>
              <w:t> </w:t>
            </w:r>
          </w:p>
        </w:tc>
      </w:tr>
      <w:tr>
        <w:trPr/>
        <w:tc>
          <w:tcPr>
            <w:tcW w:w="6373" w:type="dxa"/>
            <w:tcBorders/>
            <w:shd w:fill="auto" w:val="clear"/>
            <w:vAlign w:val="bottom"/>
          </w:tcPr>
          <w:p>
            <w:pPr>
              <w:pStyle w:val="TableContents"/>
              <w:spacing w:before="0" w:after="0"/>
              <w:ind w:left="180" w:right="0" w:hanging="180"/>
              <w:rPr>
                <w:color w:val="000000"/>
              </w:rPr>
            </w:pPr>
            <w:r>
              <w:rPr>
                <w:color w:val="000000"/>
              </w:rPr>
              <w:t>Net change in unrealized appreciation (depreciation) on investments</w:t>
            </w:r>
          </w:p>
        </w:tc>
        <w:tc>
          <w:tcPr>
            <w:tcW w:w="60" w:type="dxa"/>
            <w:tcBorders/>
            <w:shd w:fill="auto" w:val="clear"/>
            <w:vAlign w:val="bottom"/>
          </w:tcPr>
          <w:p>
            <w:pPr>
              <w:pStyle w:val="TableContents"/>
              <w:spacing w:before="0" w:after="283"/>
              <w:jc w:val="right"/>
              <w:rPr/>
            </w:pPr>
            <w:r>
              <w:rPr/>
              <w:t> </w:t>
            </w:r>
          </w:p>
        </w:tc>
        <w:tc>
          <w:tcPr>
            <w:tcW w:w="16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69"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738,564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247,793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986,357</w:t>
            </w:r>
          </w:p>
        </w:tc>
        <w:tc>
          <w:tcPr>
            <w:tcW w:w="76" w:type="dxa"/>
            <w:tcBorders/>
            <w:shd w:fill="auto" w:val="clear"/>
            <w:vAlign w:val="bottom"/>
          </w:tcPr>
          <w:p>
            <w:pPr>
              <w:pStyle w:val="TableContents"/>
              <w:spacing w:before="0" w:after="283"/>
              <w:jc w:val="left"/>
              <w:rPr/>
            </w:pPr>
            <w:r>
              <w:rPr/>
              <w:t> </w:t>
            </w:r>
          </w:p>
        </w:tc>
      </w:tr>
      <w:tr>
        <w:trPr/>
        <w:tc>
          <w:tcPr>
            <w:tcW w:w="6373" w:type="dxa"/>
            <w:tcBorders/>
            <w:shd w:fill="CCEEFF" w:val="clear"/>
            <w:vAlign w:val="bottom"/>
          </w:tcPr>
          <w:p>
            <w:pPr>
              <w:pStyle w:val="TableContents"/>
              <w:spacing w:before="0" w:after="0"/>
              <w:ind w:left="180" w:right="0" w:hanging="180"/>
              <w:rPr>
                <w:color w:val="000000"/>
              </w:rPr>
            </w:pPr>
            <w:r>
              <w:rPr>
                <w:color w:val="000000"/>
              </w:rPr>
              <w:t>Balance as of March 31, 2023</w:t>
            </w:r>
          </w:p>
        </w:tc>
        <w:tc>
          <w:tcPr>
            <w:tcW w:w="60" w:type="dxa"/>
            <w:tcBorders/>
            <w:shd w:fill="CCEEFF" w:val="clear"/>
            <w:vAlign w:val="bottom"/>
          </w:tcPr>
          <w:p>
            <w:pPr>
              <w:pStyle w:val="TableContents"/>
              <w:spacing w:before="0" w:after="283"/>
              <w:jc w:val="right"/>
              <w:rPr/>
            </w:pPr>
            <w:r>
              <w:rPr/>
              <w:t> </w:t>
            </w:r>
          </w:p>
        </w:tc>
        <w:tc>
          <w:tcPr>
            <w:tcW w:w="161"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269"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45,703,391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98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9,919,908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1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55,623,299</w:t>
            </w:r>
          </w:p>
        </w:tc>
        <w:tc>
          <w:tcPr>
            <w:tcW w:w="76" w:type="dxa"/>
            <w:tcBorders/>
            <w:shd w:fill="CCEEFF" w:val="clear"/>
            <w:vAlign w:val="bottom"/>
          </w:tcPr>
          <w:p>
            <w:pPr>
              <w:pStyle w:val="TableContents"/>
              <w:spacing w:before="0" w:after="283"/>
              <w:jc w:val="left"/>
              <w:rPr/>
            </w:pPr>
            <w:r>
              <w:rPr/>
              <w:t> </w:t>
            </w:r>
          </w:p>
        </w:tc>
      </w:tr>
      <w:tr>
        <w:trPr/>
        <w:tc>
          <w:tcPr>
            <w:tcW w:w="6373" w:type="dxa"/>
            <w:tcBorders/>
            <w:shd w:fill="auto" w:val="clear"/>
            <w:vAlign w:val="bottom"/>
          </w:tcPr>
          <w:p>
            <w:pPr>
              <w:pStyle w:val="TableContents"/>
              <w:spacing w:before="0" w:after="0"/>
              <w:ind w:left="180" w:right="0" w:hanging="180"/>
              <w:rPr/>
            </w:pPr>
            <w:r>
              <w:rPr/>
              <w:t> </w:t>
            </w:r>
          </w:p>
        </w:tc>
        <w:tc>
          <w:tcPr>
            <w:tcW w:w="60"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jc w:val="left"/>
              <w:rPr/>
            </w:pPr>
            <w:r>
              <w:rPr/>
              <w:t> </w:t>
            </w:r>
          </w:p>
        </w:tc>
        <w:tc>
          <w:tcPr>
            <w:tcW w:w="126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283"/>
              <w:jc w:val="right"/>
              <w:rPr/>
            </w:pPr>
            <w:r>
              <w:rPr/>
              <w:t> </w:t>
            </w:r>
          </w:p>
        </w:tc>
        <w:tc>
          <w:tcPr>
            <w:tcW w:w="76" w:type="dxa"/>
            <w:tcBorders/>
            <w:shd w:fill="auto" w:val="clear"/>
            <w:vAlign w:val="bottom"/>
          </w:tcPr>
          <w:p>
            <w:pPr>
              <w:pStyle w:val="TableContents"/>
              <w:spacing w:before="0" w:after="283"/>
              <w:jc w:val="left"/>
              <w:rPr/>
            </w:pPr>
            <w:r>
              <w:rPr/>
              <w:t> </w:t>
            </w:r>
          </w:p>
        </w:tc>
      </w:tr>
      <w:tr>
        <w:trPr/>
        <w:tc>
          <w:tcPr>
            <w:tcW w:w="6373" w:type="dxa"/>
            <w:tcBorders/>
            <w:shd w:fill="CCEEFF" w:val="clear"/>
            <w:vAlign w:val="bottom"/>
          </w:tcPr>
          <w:p>
            <w:pPr>
              <w:pStyle w:val="TableContents"/>
              <w:spacing w:before="0" w:after="0"/>
              <w:ind w:left="180" w:right="0" w:hanging="180"/>
              <w:rPr>
                <w:color w:val="000000"/>
              </w:rPr>
            </w:pPr>
            <w:r>
              <w:rPr>
                <w:color w:val="000000"/>
              </w:rPr>
              <w:t>Net change in unrealized appreciation/depreciation on Level 3 investments still held as of March 31, 2023</w:t>
            </w:r>
          </w:p>
        </w:tc>
        <w:tc>
          <w:tcPr>
            <w:tcW w:w="60" w:type="dxa"/>
            <w:tcBorders/>
            <w:shd w:fill="CCEEFF" w:val="clear"/>
            <w:vAlign w:val="bottom"/>
          </w:tcPr>
          <w:p>
            <w:pPr>
              <w:pStyle w:val="TableContents"/>
              <w:spacing w:before="0" w:after="283"/>
              <w:jc w:val="right"/>
              <w:rPr/>
            </w:pPr>
            <w:r>
              <w:rPr/>
              <w:t> </w:t>
            </w:r>
          </w:p>
        </w:tc>
        <w:tc>
          <w:tcPr>
            <w:tcW w:w="161"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269"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738,564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98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247,793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1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986,357</w:t>
            </w:r>
          </w:p>
        </w:tc>
        <w:tc>
          <w:tcPr>
            <w:tcW w:w="76" w:type="dxa"/>
            <w:tcBorders/>
            <w:shd w:fill="CCEEFF" w:val="clear"/>
            <w:vAlign w:val="bottom"/>
          </w:tcPr>
          <w:p>
            <w:pPr>
              <w:pStyle w:val="TableContents"/>
              <w:spacing w:before="0" w:after="283"/>
              <w:jc w:val="left"/>
              <w:rPr/>
            </w:pPr>
            <w:r>
              <w:rPr/>
              <w:t> </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As of March 31, 2022, and for the year then ended, the Company had no investments.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NOTE 5 — RELATED PARTY TRANSACTIONS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Pursuant to the investment advisory agreement between the Company and SSC (the “Investment Advisory Agreement”), fees payable to SSC are equal to (a) a base management fee of 1.75% of the average value of the Company’s gross assets at the end of the two most recent quarters (i.e., total assets held before deduction of any liabilities), which includes investments acquired with the use of leverage and excludes cash and cash equivalents and (b) an incentive fee based on the Company’s performance. The incentive fee consists of two parts. The first part is calculated and payable quarterly in arrears and equals 20% of the Company’s “Pre-Incentive Fee Net Investment Income” for the quarter, subject to a preferred return, or “hurdle,” of 1.75% per quarter (7% annualized), and a “catch-up” feature. The second part is determined and payable in arrears as of the end of each fiscal year (or upon termination of the Investment Advisory Agreement) and equals 20% of the Company’s realized capital gains on a cumulative basis from inception through the end of the fiscal year, if any, computed net of all realized capital losses and unrealized capital depreciation on a cumulative basis, less the aggregate amount of any previously paid capital gain incentive fee (the “Incentive Fee on Capital Gains”). </w:t>
      </w:r>
    </w:p>
    <w:p>
      <w:pPr>
        <w:pStyle w:val="TextBody"/>
        <w:spacing w:before="0" w:after="0"/>
        <w:jc w:val="both"/>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While the Investment Advisory Agreement neither includes nor contemplates the inclusion of unrealized gains in the calculation of the Incentive Fee on Capital Gains, as required by U.S. GAAP, we accrue the Incentive Fee on Capital Gains on unrealized capital appreciation exceeding unrealized depreciation. This accrual reflects the Incentive Fee on Capital Gains that would be payable to SSC if the Company's entire investment portfolio was liquidated at its fair value as of the balance sheet date even though SSC is not entitled to an Incentive Fee on Capital Gains with respect to unrealized capital appreciation unless and until such gains are actually realized.</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SILVER SPIKE INVESTMENT CORP.</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Notes to Financial Statements</w:t>
      </w:r>
    </w:p>
    <w:p>
      <w:pPr>
        <w:pStyle w:val="TextBody"/>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spacing w:before="0" w:after="0"/>
        <w:jc w:val="both"/>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management fee is payable quarterly in arrears. For the three months ended March 31, 2023 and 2022, the Company incurred management fee expenses of $238,419 and $0, respectively. As of March 31, 2023 and December 31, 2022, $409,384 and $170,965, respectively, remained payable.</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both"/>
        <w:rPr>
          <w:rFonts w:ascii="Times New Roman;serif" w:hAnsi="Times New Roman;serif"/>
          <w:color w:val="000000"/>
          <w:sz w:val="20"/>
        </w:rPr>
      </w:pPr>
      <w:r>
        <w:rPr>
          <w:rFonts w:ascii="Times New Roman;serif" w:hAnsi="Times New Roman;serif"/>
          <w:color w:val="000000"/>
          <w:sz w:val="20"/>
        </w:rPr>
        <w:t>For the three months ended March 31, 2023 and 2022, the Company incurred income-based incentive fee expenses of $203,821 and $0, respectively. As of March 31, 2023 and December 31, 2022, $203,821 and $0, respectively, remained payable. For the three months ended March 31, 2023 and 2022, the Company incurred capital gains incentive fee expenses of $142,602 and $0, respectively. As of March 31, 2023 and December 31, 2022, $142,602 and $0, respectively, remained payable.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Pursuant to the administration agreement between the Company and SSC (the “Administration Agreement”), the Company is to reimburse the administrator, SSC, for the costs and expenses incurred by SSC in performing its obligations, including but not limited to maintaining and keeping all books and records and providing personnel and facilities. This includes costs and expenses incurred by SSC in connection with the delegation of its obligations to SS&amp;C, the sub-administrator. The Company is generally not responsible for the compensation of SSC’s employees or any overhead expenses. However, we may reimburse SSC for an allocable portion of the compensation paid by SSC to our CCO and CFO and their respective staffs (based on a percentage of time such individuals devote, on an estimated basis, to our business affairs). For the three months ended March 31, 2023 and 2022, the Adviser has waived any expense reimbursement, other than those associated with the delegation of its obligations to the sub-administrator.</w:t>
      </w:r>
    </w:p>
    <w:p>
      <w:pPr>
        <w:pStyle w:val="TextBody"/>
        <w:spacing w:before="0" w:after="0"/>
        <w:ind w:left="720" w:right="500" w:hanging="0"/>
        <w:jc w:val="both"/>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Due to affiliate in the accompanying Statements of Assets and Liabilities in the amount of $0 and $37 as of March 31, 2023 and December 31, 2022, respectively, is due to SSC for expenses paid on the Company’s behalf.  For the three months ended March 31, 2023 and 2022, the Company paid $984 and $387,373, respectively, for expenses on SSC’s behalf.</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SSC was the seed investor of the Company and provided initial funding to the Company by purchasing approximately $63 million of the Company’s common stock in the Company’s initial public offering. SSC provided this “seed capital” to the Company for the purpose of facilitating the launch and initial operation of the Company, as opposed to for long term investment purposes. SSC does not expect to hold the Company’s common stock indefinitely, and may sell the Company’s common stock at a future point in time. In order for SSC’s sales of the shares of the Company not to be deemed to have been made “on the basis of” material nonpublic information, such sales may be made pursuant to a pre-approved trading plan that complies with Rule 10b5-1 under the Exchange Act and that may obligate SSC to make recurring sales of the Company’s common stock on a periodic basis. Sales of substantial amounts of the Company’s common stock, including by SSC or other large stockholders, or the availability of such common stock for sale, could adversely affect the prevailing market prices for the Company’s common stock. If this occurs and continues for a sustained period of time, it could impair the Company’s ability to raise additional capital through the sale of securities, should the Company desire to do so.</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SSC holds approximately 72% of the Company’s voting stock and has the ability to exercise substantial control over all corporate actions requiring stockholder approval, including the election and removal of directors, certain amendments of the Company’s charter, the Company’s ability to issue its common stock at a price below NAV per share, and the approval of any merger or other extraordinary corporate action.</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SSC has agreed to absorb $2.07 million, the cost of the sales load (i.e., underwriting discounts and commissions) incurred by the Company in connection with the initial public offering of its common stock.</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NOTE 6 — COMMITMENTS AND CONTINGENCIES</w:t>
      </w:r>
    </w:p>
    <w:p>
      <w:pPr>
        <w:pStyle w:val="TextBody"/>
        <w:spacing w:before="0" w:after="0"/>
        <w:ind w:left="720" w:right="500" w:hanging="0"/>
        <w:jc w:val="both"/>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Commitments and contingencies have been reviewed and the Company has identified no commitments or contingencies as of March 31, 2023 and December 31, 2022.</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NOTE 7 — COMMON STOCK</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In connection with its formation, the Company authorized 100,000,000 shares of its common stock with a par value of $0.01 per share. As of March 31, 2023 and December 31, 2022, the Company had issued and outstanding shares of 6,214,672 and raised capital of approximately $85 million (net of approximately $2 million of offering costs).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Distribution Reinvestment Plan</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Company’s distribution reinvestment plan (“DRIP”) provides for the reinvestment of distributions in the form of common stock on behalf of its stockholders, unless a stockholder has elected to receive distributions in cash. As a result, if the Company declares a cash distribution, its stockholders who have not “opted out” of the DRIP by the opt out date will have their cash distribution automatically reinvested into additional shares of the Company’s common stock. The share requirements of the DRIP may be satisfied through the issuance of common shares or through open market purchases of common shares by the DRIP plan administrator.</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Company’s DRIP is administered by its transfer agent on behalf of the Company’s record holders and participating brokerage firms. Brokerage firms and other financial intermediaries may decide not to participate in the Company’s DRIP but may provide a similar distribution reinvestment plan for their clients. During the three months ended March 31, 2023 and 2022, the Company issued no shares of common stock under the DRIP.</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SILVER SPIKE INVESTMENT CORP.</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Notes to Financial Statements</w:t>
      </w:r>
    </w:p>
    <w:p>
      <w:pPr>
        <w:pStyle w:val="TextBody"/>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spacing w:before="0" w:after="0"/>
        <w:jc w:val="both"/>
        <w:rPr>
          <w:rFonts w:ascii="Times New Roman" w:hAnsi="Times New Roman"/>
          <w:b/>
          <w:sz w:val="20"/>
        </w:rPr>
      </w:pPr>
      <w:r>
        <w:rPr>
          <w:rFonts w:ascii="Times New Roman" w:hAnsi="Times New Roman"/>
          <w:b/>
          <w:sz w:val="20"/>
        </w:rPr>
      </w:r>
    </w:p>
    <w:p>
      <w:pPr>
        <w:pStyle w:val="TextBody"/>
        <w:spacing w:before="0" w:after="0"/>
        <w:jc w:val="both"/>
        <w:rPr>
          <w:rFonts w:ascii="Times New Roman" w:hAnsi="Times New Roman"/>
          <w:b/>
          <w:color w:val="000000"/>
          <w:sz w:val="20"/>
        </w:rPr>
      </w:pPr>
      <w:r>
        <w:rPr>
          <w:rFonts w:ascii="Times New Roman" w:hAnsi="Times New Roman"/>
          <w:b/>
          <w:color w:val="000000"/>
          <w:sz w:val="20"/>
        </w:rPr>
        <w:t>NOTE 8 — INDEMNIFICATION</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Under the Company’s organizational documents, the Company’s officers and directors are indemnified against certain liabilities arising out of the performance of their duties to the Company. In addition, in the normal course of business the Company enters into contracts that contain a variety of representations which provide general indemnifications. The Company’s maximum exposure under these agreements cannot be known; however, the Company expects any risk of loss to be remote.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NOTE 9 — EARNINGS PER SHARE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sets forth the computation of the weighted average basic and diluted net increase (decrease) in net assets per share from operations for the three months ended March 31, 2023 and 2022:</w:t>
      </w:r>
    </w:p>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7204"/>
        <w:gridCol w:w="60"/>
        <w:gridCol w:w="189"/>
        <w:gridCol w:w="1332"/>
        <w:gridCol w:w="60"/>
        <w:gridCol w:w="60"/>
        <w:gridCol w:w="189"/>
        <w:gridCol w:w="1332"/>
        <w:gridCol w:w="113"/>
      </w:tblGrid>
      <w:tr>
        <w:trPr/>
        <w:tc>
          <w:tcPr>
            <w:tcW w:w="7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1" w:type="dxa"/>
            <w:gridSpan w:val="2"/>
            <w:tcBorders/>
            <w:shd w:fill="auto" w:val="clear"/>
            <w:vAlign w:val="bottom"/>
          </w:tcPr>
          <w:p>
            <w:pPr>
              <w:pStyle w:val="TableContents"/>
              <w:spacing w:before="0" w:after="0"/>
              <w:jc w:val="center"/>
              <w:rPr>
                <w:b/>
                <w:color w:val="000000"/>
              </w:rPr>
            </w:pPr>
            <w:r>
              <w:rPr>
                <w:b/>
                <w:color w:val="000000"/>
              </w:rPr>
              <w:t>For the three</w:t>
              <w:br/>
              <w:t>months ended</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21" w:type="dxa"/>
            <w:gridSpan w:val="2"/>
            <w:tcBorders/>
            <w:shd w:fill="auto" w:val="clear"/>
            <w:vAlign w:val="bottom"/>
          </w:tcPr>
          <w:p>
            <w:pPr>
              <w:pStyle w:val="TableContents"/>
              <w:spacing w:before="0" w:after="0"/>
              <w:jc w:val="center"/>
              <w:rPr>
                <w:b/>
                <w:color w:val="000000"/>
              </w:rPr>
            </w:pPr>
            <w:r>
              <w:rPr>
                <w:b/>
                <w:color w:val="000000"/>
              </w:rPr>
              <w:t>For the three</w:t>
              <w:br/>
              <w:t>months ended</w:t>
            </w:r>
          </w:p>
        </w:tc>
        <w:tc>
          <w:tcPr>
            <w:tcW w:w="113" w:type="dxa"/>
            <w:tcBorders/>
            <w:shd w:fill="auto" w:val="clear"/>
            <w:vAlign w:val="bottom"/>
          </w:tcPr>
          <w:p>
            <w:pPr>
              <w:pStyle w:val="TableContents"/>
              <w:spacing w:before="0" w:after="283"/>
              <w:jc w:val="left"/>
              <w:rPr/>
            </w:pPr>
            <w:r>
              <w:rPr/>
              <w:t> </w:t>
            </w:r>
          </w:p>
        </w:tc>
      </w:tr>
      <w:tr>
        <w:trPr/>
        <w:tc>
          <w:tcPr>
            <w:tcW w:w="7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1"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 2023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21"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 2022</w:t>
            </w:r>
          </w:p>
        </w:tc>
        <w:tc>
          <w:tcPr>
            <w:tcW w:w="113" w:type="dxa"/>
            <w:tcBorders/>
            <w:shd w:fill="auto" w:val="clear"/>
            <w:vAlign w:val="bottom"/>
          </w:tcPr>
          <w:p>
            <w:pPr>
              <w:pStyle w:val="TableContents"/>
              <w:spacing w:before="0" w:after="283"/>
              <w:jc w:val="left"/>
              <w:rPr/>
            </w:pPr>
            <w:r>
              <w:rPr/>
              <w:t> </w:t>
            </w:r>
          </w:p>
        </w:tc>
      </w:tr>
      <w:tr>
        <w:trPr/>
        <w:tc>
          <w:tcPr>
            <w:tcW w:w="7204" w:type="dxa"/>
            <w:tcBorders/>
            <w:shd w:fill="CCEEFF" w:val="clear"/>
            <w:vAlign w:val="bottom"/>
          </w:tcPr>
          <w:p>
            <w:pPr>
              <w:pStyle w:val="TableContents"/>
              <w:spacing w:before="0" w:after="0"/>
              <w:ind w:left="180" w:right="0" w:hanging="180"/>
              <w:rPr>
                <w:color w:val="000000"/>
              </w:rPr>
            </w:pPr>
            <w:r>
              <w:rPr>
                <w:color w:val="000000"/>
              </w:rPr>
              <w:t>Net increase (decrease) in net assets resulting from operations</w:t>
            </w:r>
          </w:p>
        </w:tc>
        <w:tc>
          <w:tcPr>
            <w:tcW w:w="60" w:type="dxa"/>
            <w:tcBorders/>
            <w:shd w:fill="CCEEFF" w:val="clear"/>
            <w:vAlign w:val="bottom"/>
          </w:tcPr>
          <w:p>
            <w:pPr>
              <w:pStyle w:val="TableContents"/>
              <w:spacing w:before="0" w:after="283"/>
              <w:jc w:val="right"/>
              <w:rPr/>
            </w:pPr>
            <w:r>
              <w:rPr/>
              <w:t> </w:t>
            </w:r>
          </w:p>
        </w:tc>
        <w:tc>
          <w:tcPr>
            <w:tcW w:w="189" w:type="dxa"/>
            <w:tcBorders/>
            <w:shd w:fill="CCEEFF" w:val="clear"/>
            <w:vAlign w:val="bottom"/>
          </w:tcPr>
          <w:p>
            <w:pPr>
              <w:pStyle w:val="TableContents"/>
              <w:spacing w:before="0" w:after="0"/>
              <w:jc w:val="left"/>
              <w:rPr>
                <w:color w:val="000000"/>
              </w:rPr>
            </w:pPr>
            <w:r>
              <w:rPr>
                <w:color w:val="000000"/>
              </w:rPr>
              <w:t>$</w:t>
            </w:r>
          </w:p>
        </w:tc>
        <w:tc>
          <w:tcPr>
            <w:tcW w:w="1332" w:type="dxa"/>
            <w:tcBorders/>
            <w:shd w:fill="CCEEFF" w:val="clear"/>
            <w:vAlign w:val="bottom"/>
          </w:tcPr>
          <w:p>
            <w:pPr>
              <w:pStyle w:val="TableContents"/>
              <w:spacing w:before="0" w:after="0"/>
              <w:jc w:val="right"/>
              <w:rPr>
                <w:color w:val="000000"/>
              </w:rPr>
            </w:pPr>
            <w:r>
              <w:rPr>
                <w:color w:val="000000"/>
              </w:rPr>
              <w:t>2,357,080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9" w:type="dxa"/>
            <w:tcBorders/>
            <w:shd w:fill="CCEEFF" w:val="clear"/>
            <w:vAlign w:val="bottom"/>
          </w:tcPr>
          <w:p>
            <w:pPr>
              <w:pStyle w:val="TableContents"/>
              <w:spacing w:before="0" w:after="0"/>
              <w:jc w:val="left"/>
              <w:rPr>
                <w:color w:val="000000"/>
              </w:rPr>
            </w:pPr>
            <w:r>
              <w:rPr>
                <w:color w:val="000000"/>
              </w:rPr>
              <w:t>$</w:t>
            </w:r>
          </w:p>
        </w:tc>
        <w:tc>
          <w:tcPr>
            <w:tcW w:w="1332" w:type="dxa"/>
            <w:tcBorders/>
            <w:shd w:fill="CCEEFF" w:val="clear"/>
            <w:vAlign w:val="bottom"/>
          </w:tcPr>
          <w:p>
            <w:pPr>
              <w:pStyle w:val="TableContents"/>
              <w:spacing w:before="0" w:after="0"/>
              <w:jc w:val="right"/>
              <w:rPr>
                <w:color w:val="000000"/>
              </w:rPr>
            </w:pPr>
            <w:r>
              <w:rPr>
                <w:color w:val="000000"/>
              </w:rPr>
              <w:t>(215,531</w:t>
            </w:r>
          </w:p>
        </w:tc>
        <w:tc>
          <w:tcPr>
            <w:tcW w:w="113" w:type="dxa"/>
            <w:tcBorders/>
            <w:shd w:fill="CCEEFF" w:val="clear"/>
            <w:vAlign w:val="bottom"/>
          </w:tcPr>
          <w:p>
            <w:pPr>
              <w:pStyle w:val="TableContents"/>
              <w:spacing w:before="0" w:after="0"/>
              <w:jc w:val="left"/>
              <w:rPr>
                <w:color w:val="000000"/>
              </w:rPr>
            </w:pPr>
            <w:r>
              <w:rPr>
                <w:color w:val="000000"/>
              </w:rPr>
              <w:t>)</w:t>
            </w:r>
          </w:p>
        </w:tc>
      </w:tr>
      <w:tr>
        <w:trPr/>
        <w:tc>
          <w:tcPr>
            <w:tcW w:w="7204" w:type="dxa"/>
            <w:tcBorders/>
            <w:shd w:fill="auto" w:val="clear"/>
            <w:vAlign w:val="bottom"/>
          </w:tcPr>
          <w:p>
            <w:pPr>
              <w:pStyle w:val="TableContents"/>
              <w:spacing w:before="0" w:after="0"/>
              <w:ind w:left="180" w:right="0" w:hanging="180"/>
              <w:rPr>
                <w:color w:val="000000"/>
              </w:rPr>
            </w:pPr>
            <w:r>
              <w:rPr>
                <w:color w:val="000000"/>
              </w:rPr>
              <w:t>Weighted Average Shares Outstanding  - basic and diluted</w:t>
            </w:r>
          </w:p>
        </w:tc>
        <w:tc>
          <w:tcPr>
            <w:tcW w:w="60" w:type="dxa"/>
            <w:tcBorders/>
            <w:shd w:fill="auto" w:val="clear"/>
            <w:vAlign w:val="bottom"/>
          </w:tcPr>
          <w:p>
            <w:pPr>
              <w:pStyle w:val="TableContents"/>
              <w:spacing w:before="0" w:after="283"/>
              <w:jc w:val="right"/>
              <w:rPr/>
            </w:pPr>
            <w:r>
              <w:rPr/>
              <w:t> </w:t>
            </w:r>
          </w:p>
        </w:tc>
        <w:tc>
          <w:tcPr>
            <w:tcW w:w="189" w:type="dxa"/>
            <w:tcBorders/>
            <w:shd w:fill="auto" w:val="clear"/>
            <w:vAlign w:val="bottom"/>
          </w:tcPr>
          <w:p>
            <w:pPr>
              <w:pStyle w:val="TableContents"/>
              <w:spacing w:before="0" w:after="283"/>
              <w:jc w:val="left"/>
              <w:rPr/>
            </w:pPr>
            <w:r>
              <w:rPr/>
              <w:t> </w:t>
            </w:r>
          </w:p>
        </w:tc>
        <w:tc>
          <w:tcPr>
            <w:tcW w:w="1332" w:type="dxa"/>
            <w:tcBorders/>
            <w:shd w:fill="auto" w:val="clear"/>
            <w:vAlign w:val="bottom"/>
          </w:tcPr>
          <w:p>
            <w:pPr>
              <w:pStyle w:val="TableContents"/>
              <w:spacing w:before="0" w:after="0"/>
              <w:jc w:val="right"/>
              <w:rPr>
                <w:color w:val="000000"/>
              </w:rPr>
            </w:pPr>
            <w:r>
              <w:rPr>
                <w:color w:val="000000"/>
              </w:rPr>
              <w:t>6,214,672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9" w:type="dxa"/>
            <w:tcBorders/>
            <w:shd w:fill="auto" w:val="clear"/>
            <w:vAlign w:val="bottom"/>
          </w:tcPr>
          <w:p>
            <w:pPr>
              <w:pStyle w:val="TableContents"/>
              <w:spacing w:before="0" w:after="283"/>
              <w:jc w:val="left"/>
              <w:rPr/>
            </w:pPr>
            <w:r>
              <w:rPr/>
              <w:t> </w:t>
            </w:r>
          </w:p>
        </w:tc>
        <w:tc>
          <w:tcPr>
            <w:tcW w:w="1332" w:type="dxa"/>
            <w:tcBorders/>
            <w:shd w:fill="auto" w:val="clear"/>
            <w:vAlign w:val="bottom"/>
          </w:tcPr>
          <w:p>
            <w:pPr>
              <w:pStyle w:val="TableContents"/>
              <w:spacing w:before="0" w:after="0"/>
              <w:jc w:val="right"/>
              <w:rPr>
                <w:color w:val="000000"/>
              </w:rPr>
            </w:pPr>
            <w:r>
              <w:rPr>
                <w:color w:val="000000"/>
              </w:rPr>
              <w:t>3,557,529</w:t>
            </w:r>
          </w:p>
        </w:tc>
        <w:tc>
          <w:tcPr>
            <w:tcW w:w="113" w:type="dxa"/>
            <w:tcBorders/>
            <w:shd w:fill="auto" w:val="clear"/>
            <w:vAlign w:val="bottom"/>
          </w:tcPr>
          <w:p>
            <w:pPr>
              <w:pStyle w:val="TableContents"/>
              <w:spacing w:before="0" w:after="283"/>
              <w:jc w:val="left"/>
              <w:rPr/>
            </w:pPr>
            <w:r>
              <w:rPr/>
              <w:t> </w:t>
            </w:r>
          </w:p>
        </w:tc>
      </w:tr>
      <w:tr>
        <w:trPr/>
        <w:tc>
          <w:tcPr>
            <w:tcW w:w="7204" w:type="dxa"/>
            <w:tcBorders/>
            <w:shd w:fill="CCEEFF" w:val="clear"/>
            <w:vAlign w:val="bottom"/>
          </w:tcPr>
          <w:p>
            <w:pPr>
              <w:pStyle w:val="TableContents"/>
              <w:spacing w:before="0" w:after="0"/>
              <w:ind w:left="180" w:right="0" w:hanging="180"/>
              <w:rPr>
                <w:color w:val="000000"/>
              </w:rPr>
            </w:pPr>
            <w:r>
              <w:rPr>
                <w:color w:val="000000"/>
              </w:rPr>
              <w:t>Net increase (decrease) in net assets resulting from operations per share - basic and diluted</w:t>
            </w:r>
          </w:p>
        </w:tc>
        <w:tc>
          <w:tcPr>
            <w:tcW w:w="60" w:type="dxa"/>
            <w:tcBorders/>
            <w:shd w:fill="CCEEFF" w:val="clear"/>
            <w:vAlign w:val="bottom"/>
          </w:tcPr>
          <w:p>
            <w:pPr>
              <w:pStyle w:val="TableContents"/>
              <w:spacing w:before="0" w:after="283"/>
              <w:jc w:val="right"/>
              <w:rPr/>
            </w:pPr>
            <w:r>
              <w:rPr/>
              <w:t> </w:t>
            </w:r>
          </w:p>
        </w:tc>
        <w:tc>
          <w:tcPr>
            <w:tcW w:w="189" w:type="dxa"/>
            <w:tcBorders/>
            <w:shd w:fill="CCEEFF" w:val="clear"/>
            <w:vAlign w:val="bottom"/>
          </w:tcPr>
          <w:p>
            <w:pPr>
              <w:pStyle w:val="TableContents"/>
              <w:spacing w:before="0" w:after="0"/>
              <w:jc w:val="left"/>
              <w:rPr>
                <w:color w:val="000000"/>
              </w:rPr>
            </w:pPr>
            <w:r>
              <w:rPr>
                <w:color w:val="000000"/>
              </w:rPr>
              <w:t>$</w:t>
            </w:r>
          </w:p>
        </w:tc>
        <w:tc>
          <w:tcPr>
            <w:tcW w:w="1332" w:type="dxa"/>
            <w:tcBorders/>
            <w:shd w:fill="CCEEFF" w:val="clear"/>
            <w:vAlign w:val="bottom"/>
          </w:tcPr>
          <w:p>
            <w:pPr>
              <w:pStyle w:val="TableContents"/>
              <w:spacing w:before="0" w:after="0"/>
              <w:jc w:val="right"/>
              <w:rPr>
                <w:color w:val="000000"/>
              </w:rPr>
            </w:pPr>
            <w:r>
              <w:rPr>
                <w:color w:val="000000"/>
              </w:rPr>
              <w:t>0.38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9" w:type="dxa"/>
            <w:tcBorders/>
            <w:shd w:fill="CCEEFF" w:val="clear"/>
            <w:vAlign w:val="bottom"/>
          </w:tcPr>
          <w:p>
            <w:pPr>
              <w:pStyle w:val="TableContents"/>
              <w:spacing w:before="0" w:after="0"/>
              <w:jc w:val="left"/>
              <w:rPr>
                <w:color w:val="000000"/>
              </w:rPr>
            </w:pPr>
            <w:r>
              <w:rPr>
                <w:color w:val="000000"/>
              </w:rPr>
              <w:t>$</w:t>
            </w:r>
          </w:p>
        </w:tc>
        <w:tc>
          <w:tcPr>
            <w:tcW w:w="1332" w:type="dxa"/>
            <w:tcBorders/>
            <w:shd w:fill="CCEEFF" w:val="clear"/>
            <w:vAlign w:val="bottom"/>
          </w:tcPr>
          <w:p>
            <w:pPr>
              <w:pStyle w:val="TableContents"/>
              <w:spacing w:before="0" w:after="0"/>
              <w:jc w:val="right"/>
              <w:rPr>
                <w:color w:val="000000"/>
              </w:rPr>
            </w:pPr>
            <w:r>
              <w:rPr>
                <w:color w:val="000000"/>
              </w:rPr>
              <w:t>(0.06</w:t>
            </w:r>
          </w:p>
        </w:tc>
        <w:tc>
          <w:tcPr>
            <w:tcW w:w="113" w:type="dxa"/>
            <w:tcBorders/>
            <w:shd w:fill="CCEEFF" w:val="clear"/>
            <w:vAlign w:val="bottom"/>
          </w:tcPr>
          <w:p>
            <w:pPr>
              <w:pStyle w:val="TableContents"/>
              <w:spacing w:before="0" w:after="0"/>
              <w:jc w:val="left"/>
              <w:rPr>
                <w:color w:val="000000"/>
              </w:rPr>
            </w:pPr>
            <w:r>
              <w:rPr>
                <w:color w:val="000000"/>
              </w:rPr>
              <w:t>)</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NOTE 10 — INCOME TAXES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Company adopted a tax year end of March 31, with the period from January 1, 2022 to March 31, 2022 being the first tax period. The Company elected to be treated as a regulated investment company (“RIC”) for U.S. federal income tax purposes under Subchapter M of the Code for the tax period January 1, 2022 through March 31, 2022, and intends to maintain such election in future taxable years, including the tax year from April 1, 2022 to March 31, 2023. However, there is no guarantee that the Company will qualify to make such an election for any taxable year. As a RIC, the Company generally will not pay corporate-level income tax if it distributes to stockholders at least 90% of its investment company taxable income (“ICTI”) (which is generally its net ordinary taxable income and realized net short-term capital gains in excess of realized net long-term capital losses) and 90% of its tax-exempt income to maintain its RIC status. Depending on the level of ICTI earned in a tax year, the Company may choose to carry forward ICTI in excess of the current year distribution into the next tax year. Any such carryover ICTI must be distributed before the end of that next tax year through a dividend declared prior to filing the final tax return related to the year which generated such ICTI. The amount to be paid out as a distribution is determined by the Company’s Board of Directors each quarter and is based upon the annual earnings estimated by the management of the Company. To the extent the Company’s earnings fall below the amount of dividend distributions declared, however, a portion of the total amount of the Company’s distributions for the tax year may be deemed a return of capital for tax purposes to the Company’s stockholders.</w:t>
      </w:r>
    </w:p>
    <w:p>
      <w:pPr>
        <w:pStyle w:val="TextBody"/>
        <w:spacing w:before="0" w:after="0"/>
        <w:jc w:val="left"/>
        <w:rPr/>
      </w:pPr>
      <w:r>
        <w:rPr/>
      </w:r>
    </w:p>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Because federal income tax regulations differ from GAAP, distributions in accordance with tax regulations may differ from net investment income and realized gains recognized for financial reporting purposes. Differences may be permanent or temporary in nature. Permanent differences are reclassified among the capital accounts in the financial statements to reflect their appropriate tax character. Temporary differences arise when certain items of income, expense, gain or loss are recognized in different periods for book and tax purposes.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 has not recorded a liability for any uncertain tax positions pursuant to the provisions of ASC 740, Income Taxes, as of March 31, 2023 and December 31, 2022.</w:t>
      </w:r>
    </w:p>
    <w:p>
      <w:pPr>
        <w:pStyle w:val="TextBody"/>
        <w:spacing w:before="0" w:after="0"/>
        <w:ind w:left="720" w:right="410" w:hanging="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In the normal course of business, the Company is subject to examination by federal and certain state and local tax regulators.</w:t>
      </w:r>
    </w:p>
    <w:p>
      <w:pPr>
        <w:pStyle w:val="TextBody"/>
        <w:spacing w:before="0" w:after="0"/>
        <w:ind w:left="720" w:right="410" w:hanging="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r>
    </w:p>
    <w:p>
      <w:pPr>
        <w:pStyle w:val="TextBody"/>
        <w:spacing w:before="0" w:after="0"/>
        <w:ind w:left="0" w:right="0" w:hanging="0"/>
        <w:jc w:val="both"/>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As of March 31, 2023, the Company has no capital loss carryforwards for federal income tax purposes, which can be used to offset future capital gains. Any such capital losses are permitted to be carried forward indefinitely.</w:t>
      </w:r>
    </w:p>
    <w:p>
      <w:pPr>
        <w:pStyle w:val="TextBody"/>
        <w:widowControl/>
        <w:spacing w:before="0" w:after="0"/>
        <w:ind w:left="0" w:right="0" w:hanging="0"/>
        <w:jc w:val="both"/>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Company’s taxable income for each period is an estimate and will not be finally determined until the Company files its tax return for each year. Therefore, the final taxable income earned in each period and carried forward for distribution in the following period may be different than this estimate.</w:t>
      </w:r>
    </w:p>
    <w:p>
      <w:pPr>
        <w:pStyle w:val="TextBody"/>
        <w:spacing w:before="0" w:after="0"/>
        <w:ind w:left="720" w:right="410" w:hanging="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For income tax purposes, distributions paid to shareholders are reported as ordinary income, return of capital, long-term capital gains, or a combination thereof. There were no distributions paid for the tax periods ending March 31, 2022 or March 31, 2023.</w:t>
      </w:r>
    </w:p>
    <w:p>
      <w:pPr>
        <w:pStyle w:val="TextBody"/>
        <w:spacing w:before="0" w:after="0"/>
        <w:jc w:val="both"/>
        <w:rPr>
          <w:rFonts w:ascii="Times New Roman" w:hAnsi="Times New Roman"/>
          <w:color w:val="000000"/>
          <w:sz w:val="20"/>
        </w:rPr>
      </w:pPr>
      <w:r>
        <w:rPr>
          <w:rFonts w:ascii="Times New Roman" w:hAnsi="Times New Roman"/>
          <w:color w:val="000000"/>
          <w:sz w:val="20"/>
        </w:rPr>
      </w:r>
    </w:p>
    <w:p>
      <w:pPr>
        <w:pStyle w:val="TextBody"/>
        <w:spacing w:before="0" w:after="0"/>
        <w:jc w:val="both"/>
        <w:rPr>
          <w:rFonts w:ascii="Times New Roman" w:hAnsi="Times New Roman"/>
          <w:color w:val="000000"/>
          <w:sz w:val="20"/>
        </w:rPr>
      </w:pPr>
      <w:r>
        <w:rPr>
          <w:rFonts w:ascii="Times New Roman" w:hAnsi="Times New Roman"/>
          <w:b w:val="false"/>
          <w:i w:val="false"/>
          <w:caps w:val="false"/>
          <w:smallCaps w:val="false"/>
          <w:color w:val="000000"/>
          <w:sz w:val="20"/>
          <w:highlight w:val="white"/>
        </w:rPr>
        <w:t>For the tax year ended March 31, 2023, the Company reclassified $121,099 from distributable earnings to additional paid-in-capital on the Statement of Assets and Liabilities arising from permanent book to tax differences primarily related to prior year post-financial statement updates and non-deductible excise tax.</w:t>
      </w:r>
      <w:r>
        <w:rPr>
          <w:rFonts w:ascii="Times New Roman" w:hAnsi="Times New Roman"/>
          <w:color w:val="000000"/>
          <w:sz w:val="20"/>
        </w:rPr>
        <w:t xml:space="preserve"> For the tax year ended March 31, 2022, the Company reclassified $295,235 from additional paid-in-capital to accumulated losses on the Statement of Assets and Liabilities arising from permanent book to tax difference primarily related to net operating loss forfeiture for income tax purposes.</w:t>
      </w:r>
    </w:p>
    <w:p>
      <w:pPr>
        <w:pStyle w:val="TextBody"/>
        <w:spacing w:before="0" w:after="0"/>
        <w:jc w:val="both"/>
        <w:rPr/>
      </w:pPr>
      <w:r>
        <w:rPr/>
      </w:r>
    </w:p>
    <w:p>
      <w:pPr>
        <w:pStyle w:val="TextBody"/>
        <w:spacing w:before="0" w:after="0"/>
        <w:ind w:left="0" w:right="0" w:hanging="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r>
    </w:p>
    <w:p>
      <w:pPr>
        <w:pStyle w:val="TextBody"/>
        <w:spacing w:before="0" w:after="0"/>
        <w:jc w:val="both"/>
        <w:rPr/>
      </w:pPr>
      <w:r>
        <w:rPr/>
      </w:r>
    </w:p>
    <w:p>
      <w:pPr>
        <w:pStyle w:val="TextBody"/>
        <w:spacing w:before="0" w:after="0"/>
        <w:ind w:left="0" w:right="0" w:hanging="0"/>
        <w:jc w:val="both"/>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As of March 31, 2023, the components of distributable earnings on a tax basis detailed below differ from the amounts reflected in the Company’s Statements of Assets and Liabilities by temporary book or tax differences primarily arising from the tax treatment of organizational costs.</w:t>
      </w:r>
    </w:p>
    <w:p>
      <w:pPr>
        <w:pStyle w:val="TextBody"/>
        <w:spacing w:before="0" w:after="0"/>
        <w:jc w:val="both"/>
        <w:rPr/>
      </w:pPr>
      <w:r>
        <w:rPr/>
      </w:r>
    </w:p>
    <w:p>
      <w:pPr>
        <w:pStyle w:val="TextBody"/>
        <w:spacing w:before="0" w:after="0"/>
        <w:ind w:left="0" w:right="0" w:hanging="0"/>
        <w:jc w:val="both"/>
        <w:rPr>
          <w:rFonts w:ascii="Times New Roman;Times;serif" w:hAnsi="Times New Roman;Times;serif"/>
          <w:b w:val="false"/>
          <w:i w:val="false"/>
          <w:caps w:val="false"/>
          <w:smallCaps w:val="false"/>
          <w:color w:val="000000"/>
          <w:spacing w:val="0"/>
          <w:sz w:val="20"/>
          <w:highlight w:val="white"/>
        </w:rPr>
      </w:pPr>
      <w:r>
        <w:rPr>
          <w:rFonts w:ascii="Times New Roman;Times;serif" w:hAnsi="Times New Roman;Times;serif"/>
          <w:b w:val="false"/>
          <w:i w:val="false"/>
          <w:caps w:val="false"/>
          <w:smallCaps w:val="false"/>
          <w:color w:val="000000"/>
          <w:spacing w:val="0"/>
          <w:sz w:val="20"/>
          <w:highlight w:val="white"/>
        </w:rPr>
      </w:r>
    </w:p>
    <w:p>
      <w:pPr>
        <w:pStyle w:val="TextBody"/>
        <w:spacing w:before="0" w:after="0"/>
        <w:jc w:val="both"/>
        <w:rPr/>
      </w:pPr>
      <w:r>
        <w:rPr/>
      </w:r>
    </w:p>
    <w:tbl>
      <w:tblPr>
        <w:tblW w:w="7214" w:type="dxa"/>
        <w:jc w:val="left"/>
        <w:tblInd w:w="0" w:type="dxa"/>
        <w:tblCellMar>
          <w:top w:w="0" w:type="dxa"/>
          <w:left w:w="0" w:type="dxa"/>
          <w:bottom w:w="0" w:type="dxa"/>
          <w:right w:w="0" w:type="dxa"/>
        </w:tblCellMar>
      </w:tblPr>
      <w:tblGrid>
        <w:gridCol w:w="5450"/>
        <w:gridCol w:w="60"/>
        <w:gridCol w:w="201"/>
        <w:gridCol w:w="1408"/>
        <w:gridCol w:w="95"/>
      </w:tblGrid>
      <w:tr>
        <w:trPr/>
        <w:tc>
          <w:tcPr>
            <w:tcW w:w="54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 2023</w:t>
            </w:r>
          </w:p>
        </w:tc>
        <w:tc>
          <w:tcPr>
            <w:tcW w:w="95" w:type="dxa"/>
            <w:tcBorders/>
            <w:shd w:fill="auto" w:val="clear"/>
            <w:vAlign w:val="bottom"/>
          </w:tcPr>
          <w:p>
            <w:pPr>
              <w:pStyle w:val="TableContents"/>
              <w:spacing w:before="0" w:after="283"/>
              <w:jc w:val="left"/>
              <w:rPr/>
            </w:pPr>
            <w:r>
              <w:rPr/>
              <w:t> </w:t>
            </w:r>
          </w:p>
        </w:tc>
      </w:tr>
      <w:tr>
        <w:trPr/>
        <w:tc>
          <w:tcPr>
            <w:tcW w:w="5450" w:type="dxa"/>
            <w:tcBorders/>
            <w:shd w:fill="CCEEFF" w:val="clear"/>
            <w:vAlign w:val="bottom"/>
          </w:tcPr>
          <w:p>
            <w:pPr>
              <w:pStyle w:val="TableContents"/>
              <w:spacing w:before="0" w:after="0"/>
              <w:ind w:left="180" w:right="0" w:hanging="180"/>
              <w:rPr>
                <w:color w:val="000000"/>
              </w:rPr>
            </w:pPr>
            <w:r>
              <w:rPr>
                <w:color w:val="000000"/>
              </w:rPr>
              <w:t>Undistributed ordinary income</w:t>
            </w:r>
          </w:p>
        </w:tc>
        <w:tc>
          <w:tcPr>
            <w:tcW w:w="60"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0"/>
              <w:jc w:val="left"/>
              <w:rPr>
                <w:color w:val="000000"/>
              </w:rPr>
            </w:pPr>
            <w:r>
              <w:rPr>
                <w:color w:val="000000"/>
              </w:rPr>
              <w:t>$</w:t>
            </w:r>
          </w:p>
        </w:tc>
        <w:tc>
          <w:tcPr>
            <w:tcW w:w="1408" w:type="dxa"/>
            <w:tcBorders/>
            <w:shd w:fill="CCEEFF" w:val="clear"/>
            <w:vAlign w:val="bottom"/>
          </w:tcPr>
          <w:p>
            <w:pPr>
              <w:pStyle w:val="TableContents"/>
              <w:spacing w:before="0" w:after="0"/>
              <w:jc w:val="right"/>
              <w:rPr>
                <w:color w:val="000000"/>
              </w:rPr>
            </w:pPr>
            <w:r>
              <w:rPr>
                <w:color w:val="000000"/>
              </w:rPr>
              <w:t>3,418,714</w:t>
            </w:r>
          </w:p>
        </w:tc>
        <w:tc>
          <w:tcPr>
            <w:tcW w:w="95" w:type="dxa"/>
            <w:tcBorders/>
            <w:shd w:fill="CCEEFF" w:val="clear"/>
            <w:vAlign w:val="bottom"/>
          </w:tcPr>
          <w:p>
            <w:pPr>
              <w:pStyle w:val="TableContents"/>
              <w:spacing w:before="0" w:after="283"/>
              <w:jc w:val="left"/>
              <w:rPr/>
            </w:pPr>
            <w:r>
              <w:rPr/>
              <w:t> </w:t>
            </w:r>
          </w:p>
        </w:tc>
      </w:tr>
      <w:tr>
        <w:trPr/>
        <w:tc>
          <w:tcPr>
            <w:tcW w:w="5450" w:type="dxa"/>
            <w:tcBorders/>
            <w:shd w:fill="auto" w:val="clear"/>
            <w:vAlign w:val="bottom"/>
          </w:tcPr>
          <w:p>
            <w:pPr>
              <w:pStyle w:val="TableContents"/>
              <w:spacing w:before="0" w:after="0"/>
              <w:ind w:left="180" w:right="0" w:hanging="180"/>
              <w:rPr>
                <w:color w:val="000000"/>
              </w:rPr>
            </w:pPr>
            <w:r>
              <w:rPr>
                <w:color w:val="000000"/>
              </w:rPr>
              <w:t>Net unrealized appreciation (depreciation) on investments</w:t>
            </w:r>
          </w:p>
        </w:tc>
        <w:tc>
          <w:tcPr>
            <w:tcW w:w="60" w:type="dxa"/>
            <w:tcBorders/>
            <w:shd w:fill="auto" w:val="cle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jc w:val="left"/>
              <w:rPr/>
            </w:pPr>
            <w:r>
              <w:rPr/>
              <w:t> </w:t>
            </w:r>
          </w:p>
        </w:tc>
        <w:tc>
          <w:tcPr>
            <w:tcW w:w="1408" w:type="dxa"/>
            <w:tcBorders/>
            <w:shd w:fill="auto" w:val="clear"/>
            <w:vAlign w:val="bottom"/>
          </w:tcPr>
          <w:p>
            <w:pPr>
              <w:pStyle w:val="TableContents"/>
              <w:spacing w:before="0" w:after="0"/>
              <w:jc w:val="right"/>
              <w:rPr>
                <w:color w:val="000000"/>
              </w:rPr>
            </w:pPr>
            <w:r>
              <w:rPr>
                <w:color w:val="000000"/>
              </w:rPr>
              <w:t>713,009</w:t>
            </w:r>
          </w:p>
        </w:tc>
        <w:tc>
          <w:tcPr>
            <w:tcW w:w="95" w:type="dxa"/>
            <w:tcBorders/>
            <w:shd w:fill="auto" w:val="clear"/>
            <w:vAlign w:val="bottom"/>
          </w:tcPr>
          <w:p>
            <w:pPr>
              <w:pStyle w:val="TableContents"/>
              <w:spacing w:before="0" w:after="283"/>
              <w:jc w:val="left"/>
              <w:rPr/>
            </w:pPr>
            <w:r>
              <w:rPr/>
              <w:t> </w:t>
            </w:r>
          </w:p>
        </w:tc>
      </w:tr>
      <w:tr>
        <w:trPr/>
        <w:tc>
          <w:tcPr>
            <w:tcW w:w="5450" w:type="dxa"/>
            <w:tcBorders/>
            <w:shd w:fill="CCEEFF" w:val="clear"/>
            <w:vAlign w:val="bottom"/>
          </w:tcPr>
          <w:p>
            <w:pPr>
              <w:pStyle w:val="TableContents"/>
              <w:spacing w:before="0" w:after="0"/>
              <w:ind w:left="180" w:right="0" w:hanging="180"/>
              <w:rPr>
                <w:color w:val="000000"/>
              </w:rPr>
            </w:pPr>
            <w:r>
              <w:rPr>
                <w:color w:val="000000"/>
              </w:rPr>
              <w:t>Other temporary differences</w:t>
            </w:r>
          </w:p>
        </w:tc>
        <w:tc>
          <w:tcPr>
            <w:tcW w:w="60" w:type="dxa"/>
            <w:tcBorders/>
            <w:shd w:fill="CCEEFF" w:val="clear"/>
            <w:vAlign w:val="bottom"/>
          </w:tcPr>
          <w:p>
            <w:pPr>
              <w:pStyle w:val="TableContents"/>
              <w:spacing w:before="0" w:after="283"/>
              <w:jc w:val="right"/>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40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(399,948</w:t>
            </w:r>
          </w:p>
        </w:tc>
        <w:tc>
          <w:tcPr>
            <w:tcW w:w="95" w:type="dxa"/>
            <w:tcBorders/>
            <w:shd w:fill="CCEEFF" w:val="clear"/>
            <w:vAlign w:val="bottom"/>
          </w:tcPr>
          <w:p>
            <w:pPr>
              <w:pStyle w:val="TableContents"/>
              <w:spacing w:before="0" w:after="0"/>
              <w:jc w:val="left"/>
              <w:rPr>
                <w:color w:val="000000"/>
              </w:rPr>
            </w:pPr>
            <w:r>
              <w:rPr>
                <w:color w:val="000000"/>
              </w:rPr>
              <w:t>)</w:t>
            </w:r>
          </w:p>
        </w:tc>
      </w:tr>
      <w:tr>
        <w:trPr/>
        <w:tc>
          <w:tcPr>
            <w:tcW w:w="5450" w:type="dxa"/>
            <w:tcBorders/>
            <w:shd w:fill="auto" w:val="clear"/>
            <w:vAlign w:val="bottom"/>
          </w:tcPr>
          <w:p>
            <w:pPr>
              <w:pStyle w:val="TableContents"/>
              <w:spacing w:before="0" w:after="0"/>
              <w:ind w:left="180" w:right="0" w:hanging="180"/>
              <w:rPr>
                <w:color w:val="000000"/>
              </w:rPr>
            </w:pPr>
            <w:r>
              <w:rPr>
                <w:color w:val="000000"/>
              </w:rPr>
              <w:t>Total</w:t>
            </w:r>
          </w:p>
        </w:tc>
        <w:tc>
          <w:tcPr>
            <w:tcW w:w="60" w:type="dxa"/>
            <w:tcBorders/>
            <w:shd w:fill="auto" w:val="clear"/>
            <w:vAlign w:val="bottom"/>
          </w:tcPr>
          <w:p>
            <w:pPr>
              <w:pStyle w:val="TableContents"/>
              <w:spacing w:before="0" w:after="283"/>
              <w:jc w:val="right"/>
              <w:rPr/>
            </w:pPr>
            <w:r>
              <w:rPr/>
              <w:t> </w:t>
            </w:r>
          </w:p>
        </w:tc>
        <w:tc>
          <w:tcPr>
            <w:tcW w:w="201" w:type="dxa"/>
            <w:tcBorders>
              <w:bottom w:val="double" w:sz="8" w:space="0" w:color="000000"/>
            </w:tcBorders>
            <w:shd w:fill="auto" w:val="clear"/>
            <w:tcMar>
              <w:bottom w:w="28" w:type="dxa"/>
            </w:tcMar>
            <w:vAlign w:val="bottom"/>
          </w:tcPr>
          <w:p>
            <w:pPr>
              <w:pStyle w:val="TableContents"/>
              <w:spacing w:before="0" w:after="0"/>
              <w:rPr>
                <w:color w:val="000000"/>
              </w:rPr>
            </w:pPr>
            <w:r>
              <w:rPr>
                <w:color w:val="000000"/>
              </w:rPr>
            </w:r>
          </w:p>
        </w:tc>
        <w:tc>
          <w:tcPr>
            <w:tcW w:w="1408"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3,731,775</w:t>
            </w:r>
          </w:p>
        </w:tc>
        <w:tc>
          <w:tcPr>
            <w:tcW w:w="95" w:type="dxa"/>
            <w:tcBorders/>
            <w:shd w:fill="auto" w:val="clear"/>
            <w:vAlign w:val="bottom"/>
          </w:tcPr>
          <w:p>
            <w:pPr>
              <w:pStyle w:val="TableContents"/>
              <w:spacing w:before="0" w:after="283"/>
              <w:jc w:val="left"/>
              <w:rPr/>
            </w:pPr>
            <w:r>
              <w:rPr/>
              <w:t> </w:t>
            </w:r>
          </w:p>
        </w:tc>
      </w:tr>
    </w:tbl>
    <w:p>
      <w:pPr>
        <w:pStyle w:val="TextBody"/>
        <w:spacing w:before="0" w:after="0"/>
        <w:ind w:left="720" w:right="410" w:hanging="0"/>
        <w:jc w:val="left"/>
        <w:rPr>
          <w:rFonts w:ascii="Times New Roman;Times;serif" w:hAnsi="Times New Roman;Times;serif"/>
          <w:b w:val="false"/>
          <w:i w:val="false"/>
          <w:caps w:val="false"/>
          <w:smallCaps w:val="false"/>
          <w:color w:val="000000"/>
          <w:spacing w:val="0"/>
          <w:sz w:val="20"/>
          <w:highlight w:val="white"/>
        </w:rPr>
      </w:pPr>
      <w:r>
        <w:rPr>
          <w:rFonts w:ascii="Times New Roman;Times;serif" w:hAnsi="Times New Roman;Times;serif"/>
          <w:b w:val="false"/>
          <w:i w:val="false"/>
          <w:caps w:val="false"/>
          <w:smallCaps w:val="false"/>
          <w:color w:val="000000"/>
          <w:spacing w:val="0"/>
          <w:sz w:val="20"/>
          <w:highlight w:val="white"/>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SILVER SPIKE INVESTMENT CORP.</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Notes to Financial Statements</w:t>
      </w:r>
    </w:p>
    <w:p>
      <w:pPr>
        <w:pStyle w:val="TextBody"/>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spacing w:before="0" w:after="0"/>
        <w:jc w:val="both"/>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sets forth the tax cost basis and the estimated aggregate gross unrealized appreciation and depreciation from investments and cash equivalents for federal income tax purposes as of March 31, 2023 and December 31, 2022:</w:t>
      </w:r>
    </w:p>
    <w:p>
      <w:pPr>
        <w:pStyle w:val="TextBody"/>
        <w:spacing w:before="0" w:after="0"/>
        <w:jc w:val="left"/>
        <w:rPr>
          <w:rFonts w:ascii="Times New Roman" w:hAnsi="Times New Roman"/>
          <w:sz w:val="20"/>
        </w:rPr>
      </w:pPr>
      <w:r>
        <w:rPr>
          <w:rFonts w:ascii="Times New Roman" w:hAnsi="Times New Roman"/>
          <w:sz w:val="20"/>
        </w:rPr>
      </w:r>
    </w:p>
    <w:tbl>
      <w:tblPr>
        <w:tblW w:w="10539" w:type="dxa"/>
        <w:jc w:val="left"/>
        <w:tblInd w:w="0" w:type="dxa"/>
        <w:tblCellMar>
          <w:top w:w="0" w:type="dxa"/>
          <w:left w:w="0" w:type="dxa"/>
          <w:bottom w:w="0" w:type="dxa"/>
          <w:right w:w="0" w:type="dxa"/>
        </w:tblCellMar>
      </w:tblPr>
      <w:tblGrid>
        <w:gridCol w:w="6828"/>
        <w:gridCol w:w="60"/>
        <w:gridCol w:w="175"/>
        <w:gridCol w:w="1384"/>
        <w:gridCol w:w="60"/>
        <w:gridCol w:w="60"/>
        <w:gridCol w:w="209"/>
        <w:gridCol w:w="1650"/>
        <w:gridCol w:w="113"/>
      </w:tblGrid>
      <w:tr>
        <w:trPr/>
        <w:tc>
          <w:tcPr>
            <w:tcW w:w="68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 2023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85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 2022</w:t>
            </w:r>
          </w:p>
        </w:tc>
        <w:tc>
          <w:tcPr>
            <w:tcW w:w="113" w:type="dxa"/>
            <w:tcBorders/>
            <w:shd w:fill="auto" w:val="clear"/>
            <w:vAlign w:val="bottom"/>
          </w:tcPr>
          <w:p>
            <w:pPr>
              <w:pStyle w:val="TableContents"/>
              <w:spacing w:before="0" w:after="283"/>
              <w:jc w:val="left"/>
              <w:rPr/>
            </w:pPr>
            <w:r>
              <w:rPr/>
              <w:t> </w:t>
            </w:r>
          </w:p>
        </w:tc>
      </w:tr>
      <w:tr>
        <w:trPr/>
        <w:tc>
          <w:tcPr>
            <w:tcW w:w="6828" w:type="dxa"/>
            <w:tcBorders/>
            <w:shd w:fill="CCEEFF" w:val="clear"/>
            <w:vAlign w:val="bottom"/>
          </w:tcPr>
          <w:p>
            <w:pPr>
              <w:pStyle w:val="TableContents"/>
              <w:spacing w:before="0" w:after="0"/>
              <w:ind w:left="180" w:right="0" w:hanging="180"/>
              <w:rPr>
                <w:color w:val="000000"/>
              </w:rPr>
            </w:pPr>
            <w:r>
              <w:rPr>
                <w:color w:val="000000"/>
              </w:rPr>
              <w:t>Tax Cost of Investments and Cash Equivalents</w:t>
            </w:r>
          </w:p>
        </w:tc>
        <w:tc>
          <w:tcPr>
            <w:tcW w:w="60" w:type="dxa"/>
            <w:tcBorders/>
            <w:shd w:fill="CCEEFF" w:val="clear"/>
            <w:vAlign w:val="bottom"/>
          </w:tcPr>
          <w:p>
            <w:pPr>
              <w:pStyle w:val="TableContents"/>
              <w:spacing w:before="0" w:after="283"/>
              <w:jc w:val="right"/>
              <w:rPr/>
            </w:pPr>
            <w:r>
              <w:rPr/>
              <w:t> </w:t>
            </w:r>
          </w:p>
        </w:tc>
        <w:tc>
          <w:tcPr>
            <w:tcW w:w="175" w:type="dxa"/>
            <w:tcBorders/>
            <w:shd w:fill="CCEEFF" w:val="clear"/>
            <w:vAlign w:val="bottom"/>
          </w:tcPr>
          <w:p>
            <w:pPr>
              <w:pStyle w:val="TableContents"/>
              <w:spacing w:before="0" w:after="0"/>
              <w:jc w:val="left"/>
              <w:rPr>
                <w:color w:val="000000"/>
              </w:rPr>
            </w:pPr>
            <w:r>
              <w:rPr>
                <w:color w:val="000000"/>
              </w:rPr>
              <w:t>$</w:t>
            </w:r>
          </w:p>
        </w:tc>
        <w:tc>
          <w:tcPr>
            <w:tcW w:w="1384" w:type="dxa"/>
            <w:tcBorders/>
            <w:shd w:fill="CCEEFF" w:val="clear"/>
            <w:vAlign w:val="bottom"/>
          </w:tcPr>
          <w:p>
            <w:pPr>
              <w:pStyle w:val="TableContents"/>
              <w:spacing w:before="0" w:after="0"/>
              <w:jc w:val="right"/>
              <w:rPr>
                <w:color w:val="000000"/>
              </w:rPr>
            </w:pPr>
            <w:r>
              <w:rPr>
                <w:color w:val="000000"/>
              </w:rPr>
              <w:t>87,454,317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9" w:type="dxa"/>
            <w:tcBorders/>
            <w:shd w:fill="CCEEFF" w:val="clear"/>
            <w:vAlign w:val="bottom"/>
          </w:tcPr>
          <w:p>
            <w:pPr>
              <w:pStyle w:val="TableContents"/>
              <w:spacing w:before="0" w:after="0"/>
              <w:jc w:val="left"/>
              <w:rPr>
                <w:color w:val="000000"/>
              </w:rPr>
            </w:pPr>
            <w:r>
              <w:rPr>
                <w:color w:val="000000"/>
              </w:rPr>
              <w:t>$</w:t>
            </w:r>
          </w:p>
        </w:tc>
        <w:tc>
          <w:tcPr>
            <w:tcW w:w="1650" w:type="dxa"/>
            <w:tcBorders/>
            <w:shd w:fill="CCEEFF" w:val="clear"/>
            <w:vAlign w:val="bottom"/>
          </w:tcPr>
          <w:p>
            <w:pPr>
              <w:pStyle w:val="TableContents"/>
              <w:spacing w:before="0" w:after="0"/>
              <w:jc w:val="right"/>
              <w:rPr>
                <w:color w:val="000000"/>
              </w:rPr>
            </w:pPr>
            <w:r>
              <w:rPr>
                <w:color w:val="000000"/>
              </w:rPr>
              <w:t>85,653,218</w:t>
            </w:r>
          </w:p>
        </w:tc>
        <w:tc>
          <w:tcPr>
            <w:tcW w:w="113" w:type="dxa"/>
            <w:tcBorders/>
            <w:shd w:fill="CCEEFF" w:val="clear"/>
            <w:vAlign w:val="bottom"/>
          </w:tcPr>
          <w:p>
            <w:pPr>
              <w:pStyle w:val="TableContents"/>
              <w:spacing w:before="0" w:after="283"/>
              <w:jc w:val="left"/>
              <w:rPr/>
            </w:pPr>
            <w:r>
              <w:rPr/>
              <w:t> </w:t>
            </w:r>
          </w:p>
        </w:tc>
      </w:tr>
      <w:tr>
        <w:trPr/>
        <w:tc>
          <w:tcPr>
            <w:tcW w:w="6828" w:type="dxa"/>
            <w:tcBorders/>
            <w:shd w:fill="auto" w:val="clear"/>
            <w:vAlign w:val="bottom"/>
          </w:tcPr>
          <w:p>
            <w:pPr>
              <w:pStyle w:val="TableContents"/>
              <w:spacing w:before="0" w:after="0"/>
              <w:ind w:left="180" w:right="0" w:hanging="180"/>
              <w:rPr/>
            </w:pPr>
            <w:r>
              <w:rPr/>
              <w:t> </w:t>
            </w:r>
          </w:p>
        </w:tc>
        <w:tc>
          <w:tcPr>
            <w:tcW w:w="60" w:type="dxa"/>
            <w:tcBorders/>
            <w:shd w:fill="auto" w:val="clear"/>
            <w:vAlign w:val="bottom"/>
          </w:tcPr>
          <w:p>
            <w:pPr>
              <w:pStyle w:val="TableContents"/>
              <w:spacing w:before="0" w:after="283"/>
              <w:jc w:val="right"/>
              <w:rPr/>
            </w:pPr>
            <w:r>
              <w:rPr/>
              <w:t> </w:t>
            </w:r>
          </w:p>
        </w:tc>
        <w:tc>
          <w:tcPr>
            <w:tcW w:w="175" w:type="dxa"/>
            <w:tcBorders/>
            <w:shd w:fill="auto" w:val="clear"/>
            <w:vAlign w:val="bottom"/>
          </w:tcPr>
          <w:p>
            <w:pPr>
              <w:pStyle w:val="TableContents"/>
              <w:spacing w:before="0" w:after="283"/>
              <w:jc w:val="left"/>
              <w:rPr/>
            </w:pPr>
            <w:r>
              <w:rPr/>
              <w:t> </w:t>
            </w:r>
          </w:p>
        </w:tc>
        <w:tc>
          <w:tcPr>
            <w:tcW w:w="138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9" w:type="dxa"/>
            <w:tcBorders/>
            <w:shd w:fill="auto" w:val="clear"/>
            <w:vAlign w:val="bottom"/>
          </w:tcPr>
          <w:p>
            <w:pPr>
              <w:pStyle w:val="TableContents"/>
              <w:spacing w:before="0" w:after="283"/>
              <w:jc w:val="left"/>
              <w:rPr/>
            </w:pPr>
            <w:r>
              <w:rPr/>
              <w:t> </w:t>
            </w:r>
          </w:p>
        </w:tc>
        <w:tc>
          <w:tcPr>
            <w:tcW w:w="1650" w:type="dxa"/>
            <w:tcBorders/>
            <w:shd w:fill="auto" w:val="clear"/>
            <w:vAlign w:val="bottom"/>
          </w:tcPr>
          <w:p>
            <w:pPr>
              <w:pStyle w:val="TableContents"/>
              <w:spacing w:before="0" w:after="283"/>
              <w:jc w:val="right"/>
              <w:rPr/>
            </w:pPr>
            <w:r>
              <w:rPr/>
              <w:t> </w:t>
            </w:r>
          </w:p>
        </w:tc>
        <w:tc>
          <w:tcPr>
            <w:tcW w:w="113" w:type="dxa"/>
            <w:tcBorders/>
            <w:shd w:fill="auto" w:val="clear"/>
            <w:vAlign w:val="bottom"/>
          </w:tcPr>
          <w:p>
            <w:pPr>
              <w:pStyle w:val="TableContents"/>
              <w:spacing w:before="0" w:after="283"/>
              <w:jc w:val="left"/>
              <w:rPr/>
            </w:pPr>
            <w:r>
              <w:rPr/>
              <w:t> </w:t>
            </w:r>
          </w:p>
        </w:tc>
      </w:tr>
      <w:tr>
        <w:trPr/>
        <w:tc>
          <w:tcPr>
            <w:tcW w:w="6828" w:type="dxa"/>
            <w:tcBorders/>
            <w:shd w:fill="CCEEFF" w:val="clear"/>
            <w:vAlign w:val="bottom"/>
          </w:tcPr>
          <w:p>
            <w:pPr>
              <w:pStyle w:val="TableContents"/>
              <w:spacing w:before="0" w:after="0"/>
              <w:ind w:left="180" w:right="0" w:hanging="180"/>
              <w:rPr>
                <w:color w:val="000000"/>
              </w:rPr>
            </w:pPr>
            <w:r>
              <w:rPr>
                <w:color w:val="000000"/>
              </w:rPr>
              <w:t>Gross unrealized appreciation</w:t>
            </w:r>
          </w:p>
        </w:tc>
        <w:tc>
          <w:tcPr>
            <w:tcW w:w="60" w:type="dxa"/>
            <w:tcBorders/>
            <w:shd w:fill="CCEEFF" w:val="clear"/>
            <w:vAlign w:val="bottom"/>
          </w:tcPr>
          <w:p>
            <w:pPr>
              <w:pStyle w:val="TableContents"/>
              <w:spacing w:before="0" w:after="283"/>
              <w:jc w:val="right"/>
              <w:rPr/>
            </w:pPr>
            <w:r>
              <w:rPr/>
              <w:t> </w:t>
            </w:r>
          </w:p>
        </w:tc>
        <w:tc>
          <w:tcPr>
            <w:tcW w:w="175" w:type="dxa"/>
            <w:tcBorders/>
            <w:shd w:fill="CCEEFF" w:val="clear"/>
            <w:vAlign w:val="bottom"/>
          </w:tcPr>
          <w:p>
            <w:pPr>
              <w:pStyle w:val="TableContents"/>
              <w:spacing w:before="0" w:after="0"/>
              <w:jc w:val="left"/>
              <w:rPr>
                <w:color w:val="000000"/>
              </w:rPr>
            </w:pPr>
            <w:r>
              <w:rPr>
                <w:color w:val="000000"/>
              </w:rPr>
              <w:t>$</w:t>
            </w:r>
          </w:p>
        </w:tc>
        <w:tc>
          <w:tcPr>
            <w:tcW w:w="1384" w:type="dxa"/>
            <w:tcBorders/>
            <w:shd w:fill="CCEEFF" w:val="clear"/>
            <w:vAlign w:val="bottom"/>
          </w:tcPr>
          <w:p>
            <w:pPr>
              <w:pStyle w:val="TableContents"/>
              <w:spacing w:before="0" w:after="0"/>
              <w:jc w:val="right"/>
              <w:rPr>
                <w:color w:val="000000"/>
              </w:rPr>
            </w:pPr>
            <w:r>
              <w:rPr>
                <w:color w:val="000000"/>
              </w:rPr>
              <w:t>713,009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9" w:type="dxa"/>
            <w:tcBorders/>
            <w:shd w:fill="CCEEFF" w:val="clear"/>
            <w:vAlign w:val="bottom"/>
          </w:tcPr>
          <w:p>
            <w:pPr>
              <w:pStyle w:val="TableContents"/>
              <w:spacing w:before="0" w:after="0"/>
              <w:jc w:val="left"/>
              <w:rPr>
                <w:color w:val="000000"/>
              </w:rPr>
            </w:pPr>
            <w:r>
              <w:rPr>
                <w:color w:val="000000"/>
              </w:rPr>
              <w:t>$</w:t>
            </w:r>
          </w:p>
        </w:tc>
        <w:tc>
          <w:tcPr>
            <w:tcW w:w="1650" w:type="dxa"/>
            <w:tcBorders/>
            <w:shd w:fill="CCEEFF" w:val="clear"/>
            <w:vAlign w:val="bottom"/>
          </w:tcPr>
          <w:p>
            <w:pPr>
              <w:pStyle w:val="TableContents"/>
              <w:spacing w:before="0" w:after="0"/>
              <w:jc w:val="right"/>
              <w:rPr>
                <w:color w:val="000000"/>
              </w:rPr>
            </w:pPr>
            <w:r>
              <w:rPr>
                <w:color w:val="000000"/>
              </w:rPr>
              <w:t>-</w:t>
            </w:r>
          </w:p>
        </w:tc>
        <w:tc>
          <w:tcPr>
            <w:tcW w:w="113" w:type="dxa"/>
            <w:tcBorders/>
            <w:shd w:fill="CCEEFF" w:val="clear"/>
            <w:vAlign w:val="bottom"/>
          </w:tcPr>
          <w:p>
            <w:pPr>
              <w:pStyle w:val="TableContents"/>
              <w:spacing w:before="0" w:after="283"/>
              <w:jc w:val="left"/>
              <w:rPr/>
            </w:pPr>
            <w:r>
              <w:rPr/>
              <w:t> </w:t>
            </w:r>
          </w:p>
        </w:tc>
      </w:tr>
      <w:tr>
        <w:trPr/>
        <w:tc>
          <w:tcPr>
            <w:tcW w:w="6828" w:type="dxa"/>
            <w:tcBorders/>
            <w:shd w:fill="auto" w:val="clear"/>
            <w:vAlign w:val="bottom"/>
          </w:tcPr>
          <w:p>
            <w:pPr>
              <w:pStyle w:val="TableContents"/>
              <w:spacing w:before="0" w:after="0"/>
              <w:ind w:left="180" w:right="0" w:hanging="180"/>
              <w:rPr>
                <w:color w:val="000000"/>
              </w:rPr>
            </w:pPr>
            <w:r>
              <w:rPr>
                <w:color w:val="000000"/>
              </w:rPr>
              <w:t>Gross unrealized depreciation</w:t>
            </w:r>
          </w:p>
        </w:tc>
        <w:tc>
          <w:tcPr>
            <w:tcW w:w="60" w:type="dxa"/>
            <w:tcBorders/>
            <w:shd w:fill="auto" w:val="clear"/>
            <w:vAlign w:val="bottom"/>
          </w:tcPr>
          <w:p>
            <w:pPr>
              <w:pStyle w:val="TableContents"/>
              <w:spacing w:before="0" w:after="283"/>
              <w:jc w:val="right"/>
              <w:rPr/>
            </w:pPr>
            <w:r>
              <w:rPr/>
              <w:t> </w:t>
            </w:r>
          </w:p>
        </w:tc>
        <w:tc>
          <w:tcPr>
            <w:tcW w:w="17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8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65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(273,348</w:t>
            </w:r>
          </w:p>
        </w:tc>
        <w:tc>
          <w:tcPr>
            <w:tcW w:w="113" w:type="dxa"/>
            <w:tcBorders/>
            <w:shd w:fill="auto" w:val="clear"/>
            <w:vAlign w:val="bottom"/>
          </w:tcPr>
          <w:p>
            <w:pPr>
              <w:pStyle w:val="TableContents"/>
              <w:spacing w:before="0" w:after="0"/>
              <w:jc w:val="left"/>
              <w:rPr>
                <w:color w:val="000000"/>
              </w:rPr>
            </w:pPr>
            <w:r>
              <w:rPr>
                <w:color w:val="000000"/>
              </w:rPr>
              <w:t>)</w:t>
            </w:r>
          </w:p>
        </w:tc>
      </w:tr>
      <w:tr>
        <w:trPr/>
        <w:tc>
          <w:tcPr>
            <w:tcW w:w="6828" w:type="dxa"/>
            <w:tcBorders/>
            <w:shd w:fill="CCEEFF" w:val="clear"/>
            <w:vAlign w:val="bottom"/>
          </w:tcPr>
          <w:p>
            <w:pPr>
              <w:pStyle w:val="TableContents"/>
              <w:spacing w:before="0" w:after="0"/>
              <w:ind w:left="180" w:right="0" w:hanging="180"/>
              <w:rPr>
                <w:color w:val="000000"/>
              </w:rPr>
            </w:pPr>
            <w:r>
              <w:rPr>
                <w:color w:val="000000"/>
              </w:rPr>
              <w:t>Net unrealized appreciation (depreciation) from investments and cash equivalents</w:t>
            </w:r>
          </w:p>
        </w:tc>
        <w:tc>
          <w:tcPr>
            <w:tcW w:w="60" w:type="dxa"/>
            <w:tcBorders/>
            <w:shd w:fill="CCEEFF" w:val="clear"/>
            <w:vAlign w:val="bottom"/>
          </w:tcPr>
          <w:p>
            <w:pPr>
              <w:pStyle w:val="TableContents"/>
              <w:spacing w:before="0" w:after="283"/>
              <w:jc w:val="right"/>
              <w:rPr/>
            </w:pPr>
            <w:r>
              <w:rPr/>
              <w:t> </w:t>
            </w:r>
          </w:p>
        </w:tc>
        <w:tc>
          <w:tcPr>
            <w:tcW w:w="175"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384"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713,009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9"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65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(273,348</w:t>
            </w:r>
          </w:p>
        </w:tc>
        <w:tc>
          <w:tcPr>
            <w:tcW w:w="113" w:type="dxa"/>
            <w:tcBorders/>
            <w:shd w:fill="CCEEFF" w:val="clear"/>
            <w:vAlign w:val="bottom"/>
          </w:tcPr>
          <w:p>
            <w:pPr>
              <w:pStyle w:val="TableContents"/>
              <w:spacing w:before="0" w:after="0"/>
              <w:jc w:val="left"/>
              <w:rPr>
                <w:color w:val="000000"/>
              </w:rPr>
            </w:pPr>
            <w:r>
              <w:rPr>
                <w:color w:val="000000"/>
              </w:rPr>
              <w:t>)</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NOTE 11 — FINANCIAL HIGHLIGHTS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 was formed on January 25, 2021 and the effective date of our registration statement was February 3, 2022. Prior to February 3, 2022, the Company had no operations, except for matters relating to our formation and organization as a BDC. As a result, there are no significant financial results for comparative purposes. The following presents financial highlights for the three months ended March 31, 2023 and 2022:</w:t>
      </w:r>
    </w:p>
    <w:p>
      <w:pPr>
        <w:pStyle w:val="TextBody"/>
        <w:spacing w:before="0" w:after="0"/>
        <w:jc w:val="left"/>
        <w:rPr>
          <w:color w:val="000000"/>
        </w:rPr>
      </w:pPr>
      <w:r>
        <w:rPr>
          <w:color w:val="000000"/>
        </w:rPr>
        <w:t> </w:t>
      </w:r>
    </w:p>
    <w:tbl>
      <w:tblPr>
        <w:tblW w:w="10178" w:type="dxa"/>
        <w:jc w:val="left"/>
        <w:tblInd w:w="0" w:type="dxa"/>
        <w:tblCellMar>
          <w:top w:w="0" w:type="dxa"/>
          <w:left w:w="0" w:type="dxa"/>
          <w:bottom w:w="0" w:type="dxa"/>
          <w:right w:w="0" w:type="dxa"/>
        </w:tblCellMar>
      </w:tblPr>
      <w:tblGrid>
        <w:gridCol w:w="5825"/>
        <w:gridCol w:w="60"/>
        <w:gridCol w:w="181"/>
        <w:gridCol w:w="1428"/>
        <w:gridCol w:w="290"/>
        <w:gridCol w:w="60"/>
        <w:gridCol w:w="229"/>
        <w:gridCol w:w="1800"/>
        <w:gridCol w:w="305"/>
      </w:tblGrid>
      <w:tr>
        <w:trPr/>
        <w:tc>
          <w:tcPr>
            <w:tcW w:w="58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9" w:type="dxa"/>
            <w:gridSpan w:val="2"/>
            <w:tcBorders/>
            <w:shd w:fill="auto" w:val="clear"/>
            <w:vAlign w:val="bottom"/>
          </w:tcPr>
          <w:p>
            <w:pPr>
              <w:pStyle w:val="TableContents"/>
              <w:spacing w:before="0" w:after="0"/>
              <w:jc w:val="center"/>
              <w:rPr>
                <w:b/>
                <w:color w:val="000000"/>
              </w:rPr>
            </w:pPr>
            <w:r>
              <w:rPr>
                <w:b/>
                <w:color w:val="000000"/>
              </w:rPr>
              <w:t>For the three</w:t>
              <w:br/>
              <w:t>months ended</w:t>
            </w:r>
          </w:p>
        </w:tc>
        <w:tc>
          <w:tcPr>
            <w:tcW w:w="29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29" w:type="dxa"/>
            <w:gridSpan w:val="2"/>
            <w:tcBorders/>
            <w:shd w:fill="auto" w:val="clear"/>
            <w:vAlign w:val="bottom"/>
          </w:tcPr>
          <w:p>
            <w:pPr>
              <w:pStyle w:val="TableContents"/>
              <w:spacing w:before="0" w:after="0"/>
              <w:jc w:val="center"/>
              <w:rPr>
                <w:b/>
                <w:color w:val="000000"/>
              </w:rPr>
            </w:pPr>
            <w:r>
              <w:rPr>
                <w:b/>
                <w:color w:val="000000"/>
              </w:rPr>
              <w:t>Period from</w:t>
              <w:br/>
              <w:t>February 3, 2022 to</w:t>
            </w:r>
          </w:p>
        </w:tc>
        <w:tc>
          <w:tcPr>
            <w:tcW w:w="305" w:type="dxa"/>
            <w:tcBorders/>
            <w:shd w:fill="auto" w:val="clear"/>
            <w:vAlign w:val="bottom"/>
          </w:tcPr>
          <w:p>
            <w:pPr>
              <w:pStyle w:val="TableContents"/>
              <w:spacing w:before="0" w:after="283"/>
              <w:jc w:val="left"/>
              <w:rPr/>
            </w:pPr>
            <w:r>
              <w:rPr/>
              <w:t> </w:t>
            </w:r>
          </w:p>
        </w:tc>
      </w:tr>
      <w:tr>
        <w:trPr/>
        <w:tc>
          <w:tcPr>
            <w:tcW w:w="58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 2023</w:t>
            </w:r>
          </w:p>
        </w:tc>
        <w:tc>
          <w:tcPr>
            <w:tcW w:w="29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2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 2022*</w:t>
            </w:r>
          </w:p>
        </w:tc>
        <w:tc>
          <w:tcPr>
            <w:tcW w:w="305" w:type="dxa"/>
            <w:tcBorders/>
            <w:shd w:fill="auto" w:val="clear"/>
            <w:vAlign w:val="bottom"/>
          </w:tcPr>
          <w:p>
            <w:pPr>
              <w:pStyle w:val="TableContents"/>
              <w:spacing w:before="0" w:after="283"/>
              <w:jc w:val="left"/>
              <w:rPr/>
            </w:pPr>
            <w:r>
              <w:rPr/>
              <w:t> </w:t>
            </w:r>
          </w:p>
        </w:tc>
      </w:tr>
      <w:tr>
        <w:trPr/>
        <w:tc>
          <w:tcPr>
            <w:tcW w:w="5825" w:type="dxa"/>
            <w:tcBorders/>
            <w:shd w:fill="auto" w:val="clear"/>
            <w:vAlign w:val="bottom"/>
          </w:tcPr>
          <w:p>
            <w:pPr>
              <w:pStyle w:val="TableContents"/>
              <w:spacing w:before="0" w:after="0"/>
              <w:ind w:left="180" w:right="0" w:hanging="180"/>
              <w:rPr>
                <w:b/>
                <w:color w:val="000000"/>
              </w:rPr>
            </w:pPr>
            <w:r>
              <w:rPr>
                <w:b/>
                <w:color w:val="000000"/>
              </w:rPr>
              <w:t>Per share data:</w:t>
            </w:r>
          </w:p>
        </w:tc>
        <w:tc>
          <w:tcPr>
            <w:tcW w:w="60" w:type="dxa"/>
            <w:tcBorders/>
            <w:shd w:fill="auto" w:val="clear"/>
            <w:vAlign w:val="bottom"/>
          </w:tcPr>
          <w:p>
            <w:pPr>
              <w:pStyle w:val="TableContents"/>
              <w:spacing w:before="0" w:after="283"/>
              <w:rPr/>
            </w:pPr>
            <w:r>
              <w:rPr/>
              <w:t> </w:t>
            </w:r>
          </w:p>
        </w:tc>
        <w:tc>
          <w:tcPr>
            <w:tcW w:w="1609" w:type="dxa"/>
            <w:gridSpan w:val="2"/>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29" w:type="dxa"/>
            <w:gridSpan w:val="2"/>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jc w:val="left"/>
              <w:rPr/>
            </w:pPr>
            <w:r>
              <w:rPr/>
              <w:t> </w:t>
            </w:r>
          </w:p>
        </w:tc>
      </w:tr>
      <w:tr>
        <w:trPr/>
        <w:tc>
          <w:tcPr>
            <w:tcW w:w="5825" w:type="dxa"/>
            <w:tcBorders/>
            <w:shd w:fill="CCEEFF" w:val="clear"/>
            <w:vAlign w:val="bottom"/>
          </w:tcPr>
          <w:p>
            <w:pPr>
              <w:pStyle w:val="TableContents"/>
              <w:spacing w:before="0" w:after="0"/>
              <w:ind w:left="180" w:right="0" w:hanging="180"/>
              <w:rPr>
                <w:color w:val="000000"/>
              </w:rPr>
            </w:pPr>
            <w:r>
              <w:rPr>
                <w:color w:val="000000"/>
              </w:rPr>
              <w:t>Net asset value at beginning of period</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0"/>
              <w:jc w:val="left"/>
              <w:rPr>
                <w:color w:val="000000"/>
              </w:rPr>
            </w:pPr>
            <w:r>
              <w:rPr>
                <w:color w:val="000000"/>
              </w:rPr>
              <w:t>$</w:t>
            </w:r>
          </w:p>
        </w:tc>
        <w:tc>
          <w:tcPr>
            <w:tcW w:w="1428" w:type="dxa"/>
            <w:tcBorders/>
            <w:shd w:fill="CCEEFF" w:val="clear"/>
            <w:vAlign w:val="bottom"/>
          </w:tcPr>
          <w:p>
            <w:pPr>
              <w:pStyle w:val="TableContents"/>
              <w:spacing w:before="0" w:after="0"/>
              <w:jc w:val="right"/>
              <w:rPr>
                <w:color w:val="000000"/>
              </w:rPr>
            </w:pPr>
            <w:r>
              <w:rPr>
                <w:color w:val="000000"/>
              </w:rPr>
              <w:t>13.91</w:t>
            </w:r>
          </w:p>
        </w:tc>
        <w:tc>
          <w:tcPr>
            <w:tcW w:w="29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9" w:type="dxa"/>
            <w:tcBorders/>
            <w:shd w:fill="CCEEFF" w:val="clear"/>
            <w:vAlign w:val="bottom"/>
          </w:tcPr>
          <w:p>
            <w:pPr>
              <w:pStyle w:val="TableContents"/>
              <w:spacing w:before="0" w:after="0"/>
              <w:jc w:val="left"/>
              <w:rPr>
                <w:color w:val="000000"/>
              </w:rPr>
            </w:pPr>
            <w:r>
              <w:rPr>
                <w:color w:val="000000"/>
              </w:rPr>
              <w:t>$</w:t>
            </w:r>
          </w:p>
        </w:tc>
        <w:tc>
          <w:tcPr>
            <w:tcW w:w="1800" w:type="dxa"/>
            <w:tcBorders/>
            <w:shd w:fill="CCEEFF" w:val="clear"/>
            <w:vAlign w:val="bottom"/>
          </w:tcPr>
          <w:p>
            <w:pPr>
              <w:pStyle w:val="TableContents"/>
              <w:spacing w:before="0" w:after="0"/>
              <w:jc w:val="right"/>
              <w:rPr>
                <w:color w:val="000000"/>
              </w:rPr>
            </w:pPr>
            <w:r>
              <w:rPr>
                <w:color w:val="000000"/>
              </w:rPr>
              <w:t>14.00</w:t>
            </w:r>
          </w:p>
        </w:tc>
        <w:tc>
          <w:tcPr>
            <w:tcW w:w="305" w:type="dxa"/>
            <w:tcBorders/>
            <w:shd w:fill="CCEEFF" w:val="clear"/>
            <w:vAlign w:val="bottom"/>
          </w:tcPr>
          <w:p>
            <w:pPr>
              <w:pStyle w:val="TableContents"/>
              <w:spacing w:before="0" w:after="283"/>
              <w:jc w:val="left"/>
              <w:rPr/>
            </w:pPr>
            <w:r>
              <w:rPr/>
              <w:t> </w:t>
            </w:r>
          </w:p>
        </w:tc>
      </w:tr>
      <w:tr>
        <w:trPr/>
        <w:tc>
          <w:tcPr>
            <w:tcW w:w="5825" w:type="dxa"/>
            <w:tcBorders/>
            <w:shd w:fill="auto" w:val="clear"/>
            <w:vAlign w:val="bottom"/>
          </w:tcPr>
          <w:p>
            <w:pPr>
              <w:pStyle w:val="TableContents"/>
              <w:spacing w:lineRule="auto" w:line="240" w:before="0" w:after="0"/>
              <w:ind w:left="180" w:right="0" w:hanging="180"/>
              <w:rPr>
                <w:color w:val="000000"/>
              </w:rPr>
            </w:pPr>
            <w:r>
              <w:rPr>
                <w:color w:val="000000"/>
              </w:rPr>
              <w:t>Net investment income (loss) (1)</w:t>
            </w:r>
          </w:p>
        </w:tc>
        <w:tc>
          <w:tcPr>
            <w:tcW w:w="60" w:type="dxa"/>
            <w:tcBorders/>
            <w:shd w:fill="auto" w:val="cle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283"/>
              <w:jc w:val="left"/>
              <w:rPr/>
            </w:pPr>
            <w:r>
              <w:rPr/>
              <w:t> </w:t>
            </w:r>
          </w:p>
        </w:tc>
        <w:tc>
          <w:tcPr>
            <w:tcW w:w="1428" w:type="dxa"/>
            <w:tcBorders/>
            <w:shd w:fill="auto" w:val="clear"/>
            <w:vAlign w:val="bottom"/>
          </w:tcPr>
          <w:p>
            <w:pPr>
              <w:pStyle w:val="TableContents"/>
              <w:spacing w:before="0" w:after="0"/>
              <w:jc w:val="right"/>
              <w:rPr>
                <w:color w:val="000000"/>
              </w:rPr>
            </w:pPr>
            <w:r>
              <w:rPr>
                <w:color w:val="000000"/>
              </w:rPr>
              <w:t>0.22</w:t>
            </w:r>
          </w:p>
        </w:tc>
        <w:tc>
          <w:tcPr>
            <w:tcW w:w="29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9" w:type="dxa"/>
            <w:tcBorders/>
            <w:shd w:fill="auto" w:val="clear"/>
            <w:vAlign w:val="bottom"/>
          </w:tcPr>
          <w:p>
            <w:pPr>
              <w:pStyle w:val="TableContents"/>
              <w:spacing w:before="0" w:after="283"/>
              <w:jc w:val="left"/>
              <w:rPr/>
            </w:pPr>
            <w:r>
              <w:rPr/>
              <w:t> </w:t>
            </w:r>
          </w:p>
        </w:tc>
        <w:tc>
          <w:tcPr>
            <w:tcW w:w="1800" w:type="dxa"/>
            <w:tcBorders/>
            <w:shd w:fill="auto" w:val="clear"/>
            <w:vAlign w:val="bottom"/>
          </w:tcPr>
          <w:p>
            <w:pPr>
              <w:pStyle w:val="TableContents"/>
              <w:spacing w:before="0" w:after="0"/>
              <w:jc w:val="right"/>
              <w:rPr>
                <w:color w:val="000000"/>
              </w:rPr>
            </w:pPr>
            <w:r>
              <w:rPr>
                <w:color w:val="000000"/>
              </w:rPr>
              <w:t>(0.07</w:t>
            </w:r>
          </w:p>
        </w:tc>
        <w:tc>
          <w:tcPr>
            <w:tcW w:w="305" w:type="dxa"/>
            <w:tcBorders/>
            <w:shd w:fill="auto" w:val="clear"/>
            <w:vAlign w:val="bottom"/>
          </w:tcPr>
          <w:p>
            <w:pPr>
              <w:pStyle w:val="TableContents"/>
              <w:spacing w:before="0" w:after="0"/>
              <w:jc w:val="left"/>
              <w:rPr>
                <w:color w:val="000000"/>
              </w:rPr>
            </w:pPr>
            <w:r>
              <w:rPr>
                <w:color w:val="000000"/>
              </w:rPr>
              <w:t>)</w:t>
            </w:r>
          </w:p>
        </w:tc>
      </w:tr>
      <w:tr>
        <w:trPr/>
        <w:tc>
          <w:tcPr>
            <w:tcW w:w="5825" w:type="dxa"/>
            <w:tcBorders/>
            <w:shd w:fill="CCEEFF" w:val="clear"/>
            <w:vAlign w:val="bottom"/>
          </w:tcPr>
          <w:p>
            <w:pPr>
              <w:pStyle w:val="TableContents"/>
              <w:spacing w:lineRule="auto" w:line="240" w:before="0" w:after="0"/>
              <w:ind w:left="180" w:right="0" w:hanging="180"/>
              <w:rPr>
                <w:color w:val="000000"/>
              </w:rPr>
            </w:pPr>
            <w:r>
              <w:rPr>
                <w:color w:val="000000"/>
              </w:rPr>
              <w:t>Net realized and unrealized gains/(losses) on investments(1)</w:t>
            </w:r>
          </w:p>
        </w:tc>
        <w:tc>
          <w:tcPr>
            <w:tcW w:w="60" w:type="dxa"/>
            <w:tcBorders/>
            <w:shd w:fill="CCEEFF" w:val="clear"/>
            <w:vAlign w:val="bottom"/>
          </w:tcPr>
          <w:p>
            <w:pPr>
              <w:pStyle w:val="TableContents"/>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42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0.16</w:t>
            </w:r>
          </w:p>
        </w:tc>
        <w:tc>
          <w:tcPr>
            <w:tcW w:w="29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8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305" w:type="dxa"/>
            <w:tcBorders/>
            <w:shd w:fill="CCEEFF" w:val="clear"/>
            <w:vAlign w:val="bottom"/>
          </w:tcPr>
          <w:p>
            <w:pPr>
              <w:pStyle w:val="TableContents"/>
              <w:spacing w:before="0" w:after="283"/>
              <w:jc w:val="left"/>
              <w:rPr/>
            </w:pPr>
            <w:r>
              <w:rPr/>
              <w:t> </w:t>
            </w:r>
          </w:p>
        </w:tc>
      </w:tr>
      <w:tr>
        <w:trPr/>
        <w:tc>
          <w:tcPr>
            <w:tcW w:w="5825" w:type="dxa"/>
            <w:tcBorders/>
            <w:shd w:fill="auto" w:val="clear"/>
            <w:vAlign w:val="bottom"/>
          </w:tcPr>
          <w:p>
            <w:pPr>
              <w:pStyle w:val="TableContents"/>
              <w:spacing w:before="0" w:after="0"/>
              <w:ind w:left="180" w:right="0" w:hanging="180"/>
              <w:rPr>
                <w:color w:val="000000"/>
              </w:rPr>
            </w:pPr>
            <w:r>
              <w:rPr>
                <w:color w:val="000000"/>
              </w:rPr>
              <w:t>Net increase/(decrease) in net assets resulting from operations</w:t>
            </w:r>
          </w:p>
        </w:tc>
        <w:tc>
          <w:tcPr>
            <w:tcW w:w="60" w:type="dxa"/>
            <w:tcBorders/>
            <w:shd w:fill="auto" w:val="clear"/>
            <w:vAlign w:val="bottom"/>
          </w:tcPr>
          <w:p>
            <w:pPr>
              <w:pStyle w:val="TableContents"/>
              <w:spacing w:before="0" w:after="283"/>
              <w:jc w:val="right"/>
              <w:rPr/>
            </w:pPr>
            <w:r>
              <w:rPr/>
              <w:t> </w:t>
            </w:r>
          </w:p>
        </w:tc>
        <w:tc>
          <w:tcPr>
            <w:tcW w:w="18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42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0.38</w:t>
            </w:r>
          </w:p>
        </w:tc>
        <w:tc>
          <w:tcPr>
            <w:tcW w:w="29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(0.07</w:t>
            </w:r>
          </w:p>
        </w:tc>
        <w:tc>
          <w:tcPr>
            <w:tcW w:w="305" w:type="dxa"/>
            <w:tcBorders/>
            <w:shd w:fill="auto" w:val="clear"/>
            <w:vAlign w:val="bottom"/>
          </w:tcPr>
          <w:p>
            <w:pPr>
              <w:pStyle w:val="TableContents"/>
              <w:spacing w:before="0" w:after="0"/>
              <w:jc w:val="left"/>
              <w:rPr>
                <w:color w:val="000000"/>
              </w:rPr>
            </w:pPr>
            <w:r>
              <w:rPr>
                <w:color w:val="000000"/>
              </w:rPr>
              <w:t>)</w:t>
            </w:r>
          </w:p>
        </w:tc>
      </w:tr>
      <w:tr>
        <w:trPr/>
        <w:tc>
          <w:tcPr>
            <w:tcW w:w="5825" w:type="dxa"/>
            <w:tcBorders/>
            <w:shd w:fill="CCEEFF" w:val="clear"/>
            <w:vAlign w:val="bottom"/>
          </w:tcPr>
          <w:p>
            <w:pPr>
              <w:pStyle w:val="TableContents"/>
              <w:spacing w:lineRule="auto" w:line="240" w:before="0" w:after="0"/>
              <w:ind w:left="180" w:right="0" w:hanging="180"/>
              <w:rPr>
                <w:color w:val="000000"/>
              </w:rPr>
            </w:pPr>
            <w:r>
              <w:rPr>
                <w:color w:val="000000"/>
              </w:rPr>
              <w:t>Offering costs (2)</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428" w:type="dxa"/>
            <w:tcBorders/>
            <w:shd w:fill="CCEEFF" w:val="clear"/>
            <w:vAlign w:val="bottom"/>
          </w:tcPr>
          <w:p>
            <w:pPr>
              <w:pStyle w:val="TableContents"/>
              <w:spacing w:before="0" w:after="0"/>
              <w:jc w:val="right"/>
              <w:rPr>
                <w:color w:val="000000"/>
              </w:rPr>
            </w:pPr>
            <w:r>
              <w:rPr>
                <w:color w:val="000000"/>
              </w:rPr>
              <w:t>-</w:t>
            </w:r>
          </w:p>
        </w:tc>
        <w:tc>
          <w:tcPr>
            <w:tcW w:w="29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9" w:type="dxa"/>
            <w:tcBorders/>
            <w:shd w:fill="CCEEFF" w:val="clear"/>
            <w:vAlign w:val="bottom"/>
          </w:tcPr>
          <w:p>
            <w:pPr>
              <w:pStyle w:val="TableContents"/>
              <w:spacing w:before="0" w:after="283"/>
              <w:jc w:val="left"/>
              <w:rPr/>
            </w:pPr>
            <w:r>
              <w:rPr/>
              <w:t> </w:t>
            </w:r>
          </w:p>
        </w:tc>
        <w:tc>
          <w:tcPr>
            <w:tcW w:w="1800" w:type="dxa"/>
            <w:tcBorders/>
            <w:shd w:fill="CCEEFF" w:val="clear"/>
            <w:vAlign w:val="bottom"/>
          </w:tcPr>
          <w:p>
            <w:pPr>
              <w:pStyle w:val="TableContents"/>
              <w:spacing w:before="0" w:after="0"/>
              <w:jc w:val="right"/>
              <w:rPr>
                <w:color w:val="000000"/>
              </w:rPr>
            </w:pPr>
            <w:r>
              <w:rPr>
                <w:color w:val="000000"/>
              </w:rPr>
              <w:t>(0.27</w:t>
            </w:r>
          </w:p>
        </w:tc>
        <w:tc>
          <w:tcPr>
            <w:tcW w:w="305" w:type="dxa"/>
            <w:tcBorders/>
            <w:shd w:fill="CCEEFF" w:val="clear"/>
            <w:vAlign w:val="bottom"/>
          </w:tcPr>
          <w:p>
            <w:pPr>
              <w:pStyle w:val="TableContents"/>
              <w:spacing w:before="0" w:after="0"/>
              <w:jc w:val="left"/>
              <w:rPr>
                <w:color w:val="000000"/>
              </w:rPr>
            </w:pPr>
            <w:r>
              <w:rPr>
                <w:color w:val="000000"/>
              </w:rPr>
              <w:t>)</w:t>
            </w:r>
          </w:p>
        </w:tc>
      </w:tr>
      <w:tr>
        <w:trPr/>
        <w:tc>
          <w:tcPr>
            <w:tcW w:w="5825" w:type="dxa"/>
            <w:tcBorders/>
            <w:shd w:fill="auto" w:val="clear"/>
            <w:vAlign w:val="bottom"/>
          </w:tcPr>
          <w:p>
            <w:pPr>
              <w:pStyle w:val="TableContents"/>
              <w:spacing w:before="0" w:after="0"/>
              <w:ind w:left="180" w:right="0" w:hanging="180"/>
              <w:rPr>
                <w:color w:val="000000"/>
              </w:rPr>
            </w:pPr>
            <w:r>
              <w:rPr>
                <w:color w:val="000000"/>
              </w:rPr>
              <w:t>Permanent tax adjustments</w:t>
            </w:r>
          </w:p>
        </w:tc>
        <w:tc>
          <w:tcPr>
            <w:tcW w:w="60" w:type="dxa"/>
            <w:tcBorders/>
            <w:shd w:fill="auto" w:val="clear"/>
            <w:vAlign w:val="bottom"/>
          </w:tcPr>
          <w:p>
            <w:pPr>
              <w:pStyle w:val="TableContents"/>
              <w:spacing w:before="0" w:after="283"/>
              <w:jc w:val="right"/>
              <w:rPr/>
            </w:pPr>
            <w:r>
              <w:rPr/>
              <w:t> </w:t>
            </w:r>
          </w:p>
        </w:tc>
        <w:tc>
          <w:tcPr>
            <w:tcW w:w="18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42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29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8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(0.05</w:t>
            </w:r>
          </w:p>
        </w:tc>
        <w:tc>
          <w:tcPr>
            <w:tcW w:w="305" w:type="dxa"/>
            <w:tcBorders/>
            <w:shd w:fill="auto" w:val="clear"/>
            <w:vAlign w:val="bottom"/>
          </w:tcPr>
          <w:p>
            <w:pPr>
              <w:pStyle w:val="TableContents"/>
              <w:spacing w:before="0" w:after="0"/>
              <w:jc w:val="left"/>
              <w:rPr>
                <w:color w:val="000000"/>
              </w:rPr>
            </w:pPr>
            <w:r>
              <w:rPr>
                <w:color w:val="000000"/>
              </w:rPr>
              <w:t>)</w:t>
            </w:r>
          </w:p>
        </w:tc>
      </w:tr>
      <w:tr>
        <w:trPr/>
        <w:tc>
          <w:tcPr>
            <w:tcW w:w="5825" w:type="dxa"/>
            <w:tcBorders/>
            <w:shd w:fill="CCEEFF" w:val="clear"/>
            <w:vAlign w:val="bottom"/>
          </w:tcPr>
          <w:p>
            <w:pPr>
              <w:pStyle w:val="TableContents"/>
              <w:spacing w:before="0" w:after="0"/>
              <w:ind w:left="180" w:right="0" w:hanging="180"/>
              <w:rPr>
                <w:color w:val="000000"/>
              </w:rPr>
            </w:pPr>
            <w:r>
              <w:rPr>
                <w:color w:val="000000"/>
              </w:rPr>
              <w:t>Net asset value at end of period</w:t>
            </w:r>
          </w:p>
        </w:tc>
        <w:tc>
          <w:tcPr>
            <w:tcW w:w="60" w:type="dxa"/>
            <w:tcBorders/>
            <w:shd w:fill="CCEEFF" w:val="clear"/>
            <w:vAlign w:val="bottom"/>
          </w:tcPr>
          <w:p>
            <w:pPr>
              <w:pStyle w:val="TableContents"/>
              <w:spacing w:before="0" w:after="283"/>
              <w:jc w:val="right"/>
              <w:rPr/>
            </w:pPr>
            <w:r>
              <w:rPr/>
              <w:t> </w:t>
            </w:r>
          </w:p>
        </w:tc>
        <w:tc>
          <w:tcPr>
            <w:tcW w:w="181"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428"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14.29</w:t>
            </w:r>
          </w:p>
        </w:tc>
        <w:tc>
          <w:tcPr>
            <w:tcW w:w="29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9"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8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13.61</w:t>
            </w:r>
          </w:p>
        </w:tc>
        <w:tc>
          <w:tcPr>
            <w:tcW w:w="305" w:type="dxa"/>
            <w:tcBorders/>
            <w:shd w:fill="CCEEFF" w:val="clear"/>
            <w:vAlign w:val="bottom"/>
          </w:tcPr>
          <w:p>
            <w:pPr>
              <w:pStyle w:val="TableContents"/>
              <w:spacing w:before="0" w:after="283"/>
              <w:jc w:val="left"/>
              <w:rPr/>
            </w:pPr>
            <w:r>
              <w:rPr/>
              <w:t> </w:t>
            </w:r>
          </w:p>
        </w:tc>
      </w:tr>
      <w:tr>
        <w:trPr/>
        <w:tc>
          <w:tcPr>
            <w:tcW w:w="5825" w:type="dxa"/>
            <w:tcBorders/>
            <w:shd w:fill="auto" w:val="clear"/>
            <w:vAlign w:val="bottom"/>
          </w:tcPr>
          <w:p>
            <w:pPr>
              <w:pStyle w:val="TableContents"/>
              <w:spacing w:before="0" w:after="0"/>
              <w:ind w:left="180" w:right="0" w:hanging="180"/>
              <w:rPr>
                <w:color w:val="000000"/>
              </w:rPr>
            </w:pPr>
            <w:r>
              <w:rPr>
                <w:color w:val="000000"/>
              </w:rPr>
              <w:t>Net assets at end of period</w:t>
            </w:r>
          </w:p>
        </w:tc>
        <w:tc>
          <w:tcPr>
            <w:tcW w:w="60" w:type="dxa"/>
            <w:tcBorders/>
            <w:shd w:fill="auto" w:val="cle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0"/>
              <w:jc w:val="left"/>
              <w:rPr>
                <w:color w:val="000000"/>
              </w:rPr>
            </w:pPr>
            <w:r>
              <w:rPr>
                <w:color w:val="000000"/>
              </w:rPr>
              <w:t>$</w:t>
            </w:r>
          </w:p>
        </w:tc>
        <w:tc>
          <w:tcPr>
            <w:tcW w:w="1428" w:type="dxa"/>
            <w:tcBorders/>
            <w:shd w:fill="auto" w:val="clear"/>
            <w:vAlign w:val="bottom"/>
          </w:tcPr>
          <w:p>
            <w:pPr>
              <w:pStyle w:val="TableContents"/>
              <w:spacing w:before="0" w:after="0"/>
              <w:jc w:val="right"/>
              <w:rPr>
                <w:color w:val="000000"/>
              </w:rPr>
            </w:pPr>
            <w:r>
              <w:rPr>
                <w:color w:val="000000"/>
              </w:rPr>
              <w:t>88,832,809</w:t>
            </w:r>
          </w:p>
        </w:tc>
        <w:tc>
          <w:tcPr>
            <w:tcW w:w="29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9" w:type="dxa"/>
            <w:tcBorders/>
            <w:shd w:fill="auto" w:val="clear"/>
            <w:vAlign w:val="bottom"/>
          </w:tcPr>
          <w:p>
            <w:pPr>
              <w:pStyle w:val="TableContents"/>
              <w:spacing w:before="0" w:after="0"/>
              <w:jc w:val="left"/>
              <w:rPr>
                <w:color w:val="000000"/>
              </w:rPr>
            </w:pPr>
            <w:r>
              <w:rPr>
                <w:color w:val="000000"/>
              </w:rPr>
              <w:t>$</w:t>
            </w:r>
          </w:p>
        </w:tc>
        <w:tc>
          <w:tcPr>
            <w:tcW w:w="1800" w:type="dxa"/>
            <w:tcBorders/>
            <w:shd w:fill="auto" w:val="clear"/>
            <w:vAlign w:val="bottom"/>
          </w:tcPr>
          <w:p>
            <w:pPr>
              <w:pStyle w:val="TableContents"/>
              <w:spacing w:before="0" w:after="0"/>
              <w:jc w:val="right"/>
              <w:rPr>
                <w:color w:val="000000"/>
              </w:rPr>
            </w:pPr>
            <w:r>
              <w:rPr>
                <w:color w:val="000000"/>
              </w:rPr>
              <w:t>84,552,090</w:t>
            </w:r>
          </w:p>
        </w:tc>
        <w:tc>
          <w:tcPr>
            <w:tcW w:w="305" w:type="dxa"/>
            <w:tcBorders/>
            <w:shd w:fill="auto" w:val="clear"/>
            <w:vAlign w:val="bottom"/>
          </w:tcPr>
          <w:p>
            <w:pPr>
              <w:pStyle w:val="TableContents"/>
              <w:spacing w:before="0" w:after="283"/>
              <w:jc w:val="left"/>
              <w:rPr/>
            </w:pPr>
            <w:r>
              <w:rPr/>
              <w:t> </w:t>
            </w:r>
          </w:p>
        </w:tc>
      </w:tr>
      <w:tr>
        <w:trPr/>
        <w:tc>
          <w:tcPr>
            <w:tcW w:w="5825" w:type="dxa"/>
            <w:tcBorders/>
            <w:shd w:fill="CCEEFF" w:val="clear"/>
            <w:vAlign w:val="bottom"/>
          </w:tcPr>
          <w:p>
            <w:pPr>
              <w:pStyle w:val="TableContents"/>
              <w:spacing w:before="0" w:after="0"/>
              <w:ind w:left="180" w:right="0" w:hanging="180"/>
              <w:rPr>
                <w:color w:val="000000"/>
              </w:rPr>
            </w:pPr>
            <w:r>
              <w:rPr>
                <w:color w:val="000000"/>
              </w:rPr>
              <w:t>Shares outstanding at end of period</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428" w:type="dxa"/>
            <w:tcBorders/>
            <w:shd w:fill="CCEEFF" w:val="clear"/>
            <w:vAlign w:val="bottom"/>
          </w:tcPr>
          <w:p>
            <w:pPr>
              <w:pStyle w:val="TableContents"/>
              <w:spacing w:before="0" w:after="0"/>
              <w:jc w:val="right"/>
              <w:rPr>
                <w:color w:val="000000"/>
              </w:rPr>
            </w:pPr>
            <w:r>
              <w:rPr>
                <w:color w:val="000000"/>
              </w:rPr>
              <w:t>6,214,672</w:t>
            </w:r>
          </w:p>
        </w:tc>
        <w:tc>
          <w:tcPr>
            <w:tcW w:w="29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9" w:type="dxa"/>
            <w:tcBorders/>
            <w:shd w:fill="CCEEFF" w:val="clear"/>
            <w:vAlign w:val="bottom"/>
          </w:tcPr>
          <w:p>
            <w:pPr>
              <w:pStyle w:val="TableContents"/>
              <w:spacing w:before="0" w:after="283"/>
              <w:jc w:val="left"/>
              <w:rPr/>
            </w:pPr>
            <w:r>
              <w:rPr/>
              <w:t> </w:t>
            </w:r>
          </w:p>
        </w:tc>
        <w:tc>
          <w:tcPr>
            <w:tcW w:w="1800" w:type="dxa"/>
            <w:tcBorders/>
            <w:shd w:fill="CCEEFF" w:val="clear"/>
            <w:vAlign w:val="bottom"/>
          </w:tcPr>
          <w:p>
            <w:pPr>
              <w:pStyle w:val="TableContents"/>
              <w:spacing w:before="0" w:after="0"/>
              <w:jc w:val="right"/>
              <w:rPr>
                <w:color w:val="000000"/>
              </w:rPr>
            </w:pPr>
            <w:r>
              <w:rPr>
                <w:color w:val="000000"/>
              </w:rPr>
              <w:t>6,214,672</w:t>
            </w:r>
          </w:p>
        </w:tc>
        <w:tc>
          <w:tcPr>
            <w:tcW w:w="305" w:type="dxa"/>
            <w:tcBorders/>
            <w:shd w:fill="CCEEFF" w:val="clear"/>
            <w:vAlign w:val="bottom"/>
          </w:tcPr>
          <w:p>
            <w:pPr>
              <w:pStyle w:val="TableContents"/>
              <w:spacing w:before="0" w:after="283"/>
              <w:jc w:val="left"/>
              <w:rPr/>
            </w:pPr>
            <w:r>
              <w:rPr/>
              <w:t> </w:t>
            </w:r>
          </w:p>
        </w:tc>
      </w:tr>
      <w:tr>
        <w:trPr/>
        <w:tc>
          <w:tcPr>
            <w:tcW w:w="5825" w:type="dxa"/>
            <w:tcBorders/>
            <w:shd w:fill="auto" w:val="clear"/>
            <w:vAlign w:val="bottom"/>
          </w:tcPr>
          <w:p>
            <w:pPr>
              <w:pStyle w:val="TableContents"/>
              <w:spacing w:before="0" w:after="0"/>
              <w:ind w:left="180" w:right="0" w:hanging="180"/>
              <w:rPr>
                <w:color w:val="000000"/>
              </w:rPr>
            </w:pPr>
            <w:r>
              <w:rPr>
                <w:color w:val="000000"/>
              </w:rPr>
              <w:t>Weighted average net assets</w:t>
            </w:r>
          </w:p>
        </w:tc>
        <w:tc>
          <w:tcPr>
            <w:tcW w:w="60" w:type="dxa"/>
            <w:tcBorders/>
            <w:shd w:fill="auto" w:val="cle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0"/>
              <w:jc w:val="left"/>
              <w:rPr>
                <w:color w:val="000000"/>
              </w:rPr>
            </w:pPr>
            <w:r>
              <w:rPr>
                <w:color w:val="000000"/>
              </w:rPr>
              <w:t>$</w:t>
            </w:r>
          </w:p>
        </w:tc>
        <w:tc>
          <w:tcPr>
            <w:tcW w:w="1428" w:type="dxa"/>
            <w:tcBorders/>
            <w:shd w:fill="auto" w:val="clear"/>
            <w:vAlign w:val="bottom"/>
          </w:tcPr>
          <w:p>
            <w:pPr>
              <w:pStyle w:val="TableContents"/>
              <w:spacing w:before="0" w:after="0"/>
              <w:jc w:val="right"/>
              <w:rPr>
                <w:color w:val="000000"/>
              </w:rPr>
            </w:pPr>
            <w:r>
              <w:rPr>
                <w:color w:val="000000"/>
              </w:rPr>
              <w:t>86,501,919</w:t>
            </w:r>
          </w:p>
        </w:tc>
        <w:tc>
          <w:tcPr>
            <w:tcW w:w="29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9" w:type="dxa"/>
            <w:tcBorders/>
            <w:shd w:fill="auto" w:val="clear"/>
            <w:vAlign w:val="bottom"/>
          </w:tcPr>
          <w:p>
            <w:pPr>
              <w:pStyle w:val="TableContents"/>
              <w:spacing w:before="0" w:after="0"/>
              <w:jc w:val="left"/>
              <w:rPr>
                <w:color w:val="000000"/>
              </w:rPr>
            </w:pPr>
            <w:r>
              <w:rPr>
                <w:color w:val="000000"/>
              </w:rPr>
              <w:t>$</w:t>
            </w:r>
          </w:p>
        </w:tc>
        <w:tc>
          <w:tcPr>
            <w:tcW w:w="1800" w:type="dxa"/>
            <w:tcBorders/>
            <w:shd w:fill="auto" w:val="clear"/>
            <w:vAlign w:val="bottom"/>
          </w:tcPr>
          <w:p>
            <w:pPr>
              <w:pStyle w:val="TableContents"/>
              <w:spacing w:before="0" w:after="0"/>
              <w:jc w:val="right"/>
              <w:rPr>
                <w:color w:val="000000"/>
              </w:rPr>
            </w:pPr>
            <w:r>
              <w:rPr>
                <w:color w:val="000000"/>
              </w:rPr>
              <w:t>83,301,328</w:t>
            </w:r>
          </w:p>
        </w:tc>
        <w:tc>
          <w:tcPr>
            <w:tcW w:w="305" w:type="dxa"/>
            <w:tcBorders/>
            <w:shd w:fill="auto" w:val="clear"/>
            <w:vAlign w:val="bottom"/>
          </w:tcPr>
          <w:p>
            <w:pPr>
              <w:pStyle w:val="TableContents"/>
              <w:spacing w:before="0" w:after="283"/>
              <w:jc w:val="left"/>
              <w:rPr/>
            </w:pPr>
            <w:r>
              <w:rPr/>
              <w:t> </w:t>
            </w:r>
          </w:p>
        </w:tc>
      </w:tr>
      <w:tr>
        <w:trPr/>
        <w:tc>
          <w:tcPr>
            <w:tcW w:w="5825" w:type="dxa"/>
            <w:tcBorders/>
            <w:shd w:fill="CCEEFF" w:val="clear"/>
            <w:vAlign w:val="bottom"/>
          </w:tcPr>
          <w:p>
            <w:pPr>
              <w:pStyle w:val="TableContents"/>
              <w:spacing w:before="0" w:after="0"/>
              <w:ind w:left="180" w:right="0" w:hanging="180"/>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428" w:type="dxa"/>
            <w:tcBorders/>
            <w:shd w:fill="CCEEFF" w:val="clear"/>
            <w:vAlign w:val="bottom"/>
          </w:tcPr>
          <w:p>
            <w:pPr>
              <w:pStyle w:val="TableContents"/>
              <w:spacing w:before="0" w:after="283"/>
              <w:jc w:val="right"/>
              <w:rPr/>
            </w:pPr>
            <w:r>
              <w:rPr/>
              <w:t> </w:t>
            </w:r>
          </w:p>
        </w:tc>
        <w:tc>
          <w:tcPr>
            <w:tcW w:w="29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9" w:type="dxa"/>
            <w:tcBorders/>
            <w:shd w:fill="CCEEFF" w:val="clear"/>
            <w:vAlign w:val="bottom"/>
          </w:tcPr>
          <w:p>
            <w:pPr>
              <w:pStyle w:val="TableContents"/>
              <w:spacing w:before="0" w:after="283"/>
              <w:jc w:val="left"/>
              <w:rPr/>
            </w:pPr>
            <w:r>
              <w:rPr/>
              <w:t> </w:t>
            </w:r>
          </w:p>
        </w:tc>
        <w:tc>
          <w:tcPr>
            <w:tcW w:w="1800" w:type="dxa"/>
            <w:tcBorders/>
            <w:shd w:fill="CCEEFF" w:val="clear"/>
            <w:vAlign w:val="bottom"/>
          </w:tcPr>
          <w:p>
            <w:pPr>
              <w:pStyle w:val="TableContents"/>
              <w:spacing w:before="0" w:after="283"/>
              <w:jc w:val="right"/>
              <w:rPr/>
            </w:pPr>
            <w:r>
              <w:rPr/>
              <w:t> </w:t>
            </w:r>
          </w:p>
        </w:tc>
        <w:tc>
          <w:tcPr>
            <w:tcW w:w="305" w:type="dxa"/>
            <w:tcBorders/>
            <w:shd w:fill="CCEEFF" w:val="clear"/>
            <w:vAlign w:val="bottom"/>
          </w:tcPr>
          <w:p>
            <w:pPr>
              <w:pStyle w:val="TableContents"/>
              <w:spacing w:before="0" w:after="283"/>
              <w:jc w:val="left"/>
              <w:rPr/>
            </w:pPr>
            <w:r>
              <w:rPr/>
              <w:t> </w:t>
            </w:r>
          </w:p>
        </w:tc>
      </w:tr>
      <w:tr>
        <w:trPr/>
        <w:tc>
          <w:tcPr>
            <w:tcW w:w="5825" w:type="dxa"/>
            <w:tcBorders/>
            <w:shd w:fill="auto" w:val="clear"/>
            <w:vAlign w:val="bottom"/>
          </w:tcPr>
          <w:p>
            <w:pPr>
              <w:pStyle w:val="TableContents"/>
              <w:spacing w:before="0" w:after="0"/>
              <w:ind w:left="180" w:right="0" w:hanging="180"/>
              <w:rPr>
                <w:color w:val="000000"/>
              </w:rPr>
            </w:pPr>
            <w:r>
              <w:rPr>
                <w:color w:val="000000"/>
              </w:rPr>
              <w:t>Per share market value at end of period</w:t>
            </w:r>
          </w:p>
        </w:tc>
        <w:tc>
          <w:tcPr>
            <w:tcW w:w="60" w:type="dxa"/>
            <w:tcBorders/>
            <w:shd w:fill="auto" w:val="cle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0"/>
              <w:jc w:val="left"/>
              <w:rPr>
                <w:color w:val="000000"/>
              </w:rPr>
            </w:pPr>
            <w:r>
              <w:rPr>
                <w:color w:val="000000"/>
              </w:rPr>
              <w:t>$</w:t>
            </w:r>
          </w:p>
        </w:tc>
        <w:tc>
          <w:tcPr>
            <w:tcW w:w="1428" w:type="dxa"/>
            <w:tcBorders/>
            <w:shd w:fill="auto" w:val="clear"/>
            <w:vAlign w:val="bottom"/>
          </w:tcPr>
          <w:p>
            <w:pPr>
              <w:pStyle w:val="TableContents"/>
              <w:spacing w:before="0" w:after="0"/>
              <w:jc w:val="right"/>
              <w:rPr>
                <w:color w:val="000000"/>
              </w:rPr>
            </w:pPr>
            <w:r>
              <w:rPr>
                <w:color w:val="000000"/>
              </w:rPr>
              <w:t>9.19</w:t>
            </w:r>
          </w:p>
        </w:tc>
        <w:tc>
          <w:tcPr>
            <w:tcW w:w="29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9" w:type="dxa"/>
            <w:tcBorders/>
            <w:shd w:fill="auto" w:val="clear"/>
            <w:vAlign w:val="bottom"/>
          </w:tcPr>
          <w:p>
            <w:pPr>
              <w:pStyle w:val="TableContents"/>
              <w:spacing w:before="0" w:after="0"/>
              <w:jc w:val="left"/>
              <w:rPr>
                <w:color w:val="000000"/>
              </w:rPr>
            </w:pPr>
            <w:r>
              <w:rPr>
                <w:color w:val="000000"/>
              </w:rPr>
              <w:t>$</w:t>
            </w:r>
          </w:p>
        </w:tc>
        <w:tc>
          <w:tcPr>
            <w:tcW w:w="1800" w:type="dxa"/>
            <w:tcBorders/>
            <w:shd w:fill="auto" w:val="clear"/>
            <w:vAlign w:val="bottom"/>
          </w:tcPr>
          <w:p>
            <w:pPr>
              <w:pStyle w:val="TableContents"/>
              <w:spacing w:before="0" w:after="0"/>
              <w:jc w:val="right"/>
              <w:rPr>
                <w:color w:val="000000"/>
              </w:rPr>
            </w:pPr>
            <w:r>
              <w:rPr>
                <w:color w:val="000000"/>
              </w:rPr>
              <w:t>13.30</w:t>
            </w:r>
          </w:p>
        </w:tc>
        <w:tc>
          <w:tcPr>
            <w:tcW w:w="305" w:type="dxa"/>
            <w:tcBorders/>
            <w:shd w:fill="auto" w:val="clear"/>
            <w:vAlign w:val="bottom"/>
          </w:tcPr>
          <w:p>
            <w:pPr>
              <w:pStyle w:val="TableContents"/>
              <w:spacing w:before="0" w:after="283"/>
              <w:jc w:val="left"/>
              <w:rPr/>
            </w:pPr>
            <w:r>
              <w:rPr/>
              <w:t> </w:t>
            </w:r>
          </w:p>
        </w:tc>
      </w:tr>
      <w:tr>
        <w:trPr/>
        <w:tc>
          <w:tcPr>
            <w:tcW w:w="5825" w:type="dxa"/>
            <w:tcBorders/>
            <w:shd w:fill="CCEEFF" w:val="clear"/>
            <w:vAlign w:val="bottom"/>
          </w:tcPr>
          <w:p>
            <w:pPr>
              <w:pStyle w:val="TableContents"/>
              <w:spacing w:lineRule="auto" w:line="240" w:before="0" w:after="0"/>
              <w:ind w:left="180" w:right="0" w:hanging="180"/>
              <w:rPr>
                <w:color w:val="000000"/>
              </w:rPr>
            </w:pPr>
            <w:r>
              <w:rPr>
                <w:color w:val="000000"/>
              </w:rPr>
              <w:t>Total return based on market value (3)</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428" w:type="dxa"/>
            <w:tcBorders/>
            <w:shd w:fill="CCEEFF" w:val="clear"/>
            <w:vAlign w:val="bottom"/>
          </w:tcPr>
          <w:p>
            <w:pPr>
              <w:pStyle w:val="TableContents"/>
              <w:spacing w:before="0" w:after="0"/>
              <w:jc w:val="right"/>
              <w:rPr>
                <w:color w:val="000000"/>
              </w:rPr>
            </w:pPr>
            <w:r>
              <w:rPr>
                <w:color w:val="000000"/>
              </w:rPr>
              <w:t>(6.22</w:t>
            </w:r>
          </w:p>
        </w:tc>
        <w:tc>
          <w:tcPr>
            <w:tcW w:w="290"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229" w:type="dxa"/>
            <w:tcBorders/>
            <w:shd w:fill="CCEEFF" w:val="clear"/>
            <w:vAlign w:val="bottom"/>
          </w:tcPr>
          <w:p>
            <w:pPr>
              <w:pStyle w:val="TableContents"/>
              <w:spacing w:before="0" w:after="283"/>
              <w:jc w:val="left"/>
              <w:rPr/>
            </w:pPr>
            <w:r>
              <w:rPr/>
              <w:t> </w:t>
            </w:r>
          </w:p>
        </w:tc>
        <w:tc>
          <w:tcPr>
            <w:tcW w:w="1800" w:type="dxa"/>
            <w:tcBorders/>
            <w:shd w:fill="CCEEFF" w:val="clear"/>
            <w:vAlign w:val="bottom"/>
          </w:tcPr>
          <w:p>
            <w:pPr>
              <w:pStyle w:val="TableContents"/>
              <w:spacing w:before="0" w:after="0"/>
              <w:jc w:val="right"/>
              <w:rPr>
                <w:color w:val="000000"/>
              </w:rPr>
            </w:pPr>
            <w:r>
              <w:rPr>
                <w:color w:val="000000"/>
              </w:rPr>
              <w:t>(5.00</w:t>
            </w:r>
          </w:p>
        </w:tc>
        <w:tc>
          <w:tcPr>
            <w:tcW w:w="305" w:type="dxa"/>
            <w:tcBorders/>
            <w:shd w:fill="CCEEFF" w:val="clear"/>
            <w:vAlign w:val="bottom"/>
          </w:tcPr>
          <w:p>
            <w:pPr>
              <w:pStyle w:val="TableContents"/>
              <w:spacing w:before="0" w:after="0"/>
              <w:jc w:val="left"/>
              <w:rPr>
                <w:color w:val="000000"/>
              </w:rPr>
            </w:pPr>
            <w:r>
              <w:rPr>
                <w:color w:val="000000"/>
              </w:rPr>
              <w:t>)%</w:t>
            </w:r>
          </w:p>
        </w:tc>
      </w:tr>
      <w:tr>
        <w:trPr/>
        <w:tc>
          <w:tcPr>
            <w:tcW w:w="5825" w:type="dxa"/>
            <w:tcBorders/>
            <w:shd w:fill="auto" w:val="clear"/>
            <w:vAlign w:val="bottom"/>
          </w:tcPr>
          <w:p>
            <w:pPr>
              <w:pStyle w:val="TableContents"/>
              <w:spacing w:lineRule="auto" w:line="240" w:before="0" w:after="0"/>
              <w:ind w:left="180" w:right="0" w:hanging="180"/>
              <w:rPr>
                <w:color w:val="000000"/>
              </w:rPr>
            </w:pPr>
            <w:r>
              <w:rPr>
                <w:color w:val="000000"/>
              </w:rPr>
              <w:t>Total return based on net asset value (3)</w:t>
            </w:r>
          </w:p>
        </w:tc>
        <w:tc>
          <w:tcPr>
            <w:tcW w:w="60" w:type="dxa"/>
            <w:tcBorders/>
            <w:shd w:fill="auto" w:val="cle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283"/>
              <w:jc w:val="left"/>
              <w:rPr/>
            </w:pPr>
            <w:r>
              <w:rPr/>
              <w:t> </w:t>
            </w:r>
          </w:p>
        </w:tc>
        <w:tc>
          <w:tcPr>
            <w:tcW w:w="1428" w:type="dxa"/>
            <w:tcBorders/>
            <w:shd w:fill="auto" w:val="clear"/>
            <w:vAlign w:val="bottom"/>
          </w:tcPr>
          <w:p>
            <w:pPr>
              <w:pStyle w:val="TableContents"/>
              <w:spacing w:before="0" w:after="0"/>
              <w:jc w:val="right"/>
              <w:rPr>
                <w:color w:val="000000"/>
              </w:rPr>
            </w:pPr>
            <w:r>
              <w:rPr>
                <w:color w:val="000000"/>
              </w:rPr>
              <w:t>2.73</w:t>
            </w:r>
          </w:p>
        </w:tc>
        <w:tc>
          <w:tcPr>
            <w:tcW w:w="290"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229" w:type="dxa"/>
            <w:tcBorders/>
            <w:shd w:fill="auto" w:val="clear"/>
            <w:vAlign w:val="bottom"/>
          </w:tcPr>
          <w:p>
            <w:pPr>
              <w:pStyle w:val="TableContents"/>
              <w:spacing w:before="0" w:after="283"/>
              <w:jc w:val="left"/>
              <w:rPr/>
            </w:pPr>
            <w:r>
              <w:rPr/>
              <w:t> </w:t>
            </w:r>
          </w:p>
        </w:tc>
        <w:tc>
          <w:tcPr>
            <w:tcW w:w="1800" w:type="dxa"/>
            <w:tcBorders/>
            <w:shd w:fill="auto" w:val="clear"/>
            <w:vAlign w:val="bottom"/>
          </w:tcPr>
          <w:p>
            <w:pPr>
              <w:pStyle w:val="TableContents"/>
              <w:spacing w:before="0" w:after="0"/>
              <w:jc w:val="right"/>
              <w:rPr>
                <w:color w:val="000000"/>
              </w:rPr>
            </w:pPr>
            <w:r>
              <w:rPr>
                <w:color w:val="000000"/>
              </w:rPr>
              <w:t>(2.79</w:t>
            </w:r>
          </w:p>
        </w:tc>
        <w:tc>
          <w:tcPr>
            <w:tcW w:w="305" w:type="dxa"/>
            <w:tcBorders/>
            <w:shd w:fill="auto" w:val="clear"/>
            <w:vAlign w:val="bottom"/>
          </w:tcPr>
          <w:p>
            <w:pPr>
              <w:pStyle w:val="TableContents"/>
              <w:spacing w:before="0" w:after="0"/>
              <w:jc w:val="left"/>
              <w:rPr>
                <w:color w:val="000000"/>
              </w:rPr>
            </w:pPr>
            <w:r>
              <w:rPr>
                <w:color w:val="000000"/>
              </w:rPr>
              <w:t>)%</w:t>
            </w:r>
          </w:p>
        </w:tc>
      </w:tr>
      <w:tr>
        <w:trPr/>
        <w:tc>
          <w:tcPr>
            <w:tcW w:w="5825" w:type="dxa"/>
            <w:tcBorders/>
            <w:shd w:fill="CCEEFF" w:val="clear"/>
            <w:vAlign w:val="bottom"/>
          </w:tcPr>
          <w:p>
            <w:pPr>
              <w:pStyle w:val="TableContents"/>
              <w:spacing w:before="0" w:after="0"/>
              <w:ind w:left="180" w:right="0" w:hanging="180"/>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428" w:type="dxa"/>
            <w:tcBorders/>
            <w:shd w:fill="CCEEFF" w:val="clear"/>
            <w:vAlign w:val="bottom"/>
          </w:tcPr>
          <w:p>
            <w:pPr>
              <w:pStyle w:val="TableContents"/>
              <w:spacing w:before="0" w:after="283"/>
              <w:jc w:val="right"/>
              <w:rPr/>
            </w:pPr>
            <w:r>
              <w:rPr/>
              <w:t> </w:t>
            </w:r>
          </w:p>
        </w:tc>
        <w:tc>
          <w:tcPr>
            <w:tcW w:w="29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9" w:type="dxa"/>
            <w:tcBorders/>
            <w:shd w:fill="CCEEFF" w:val="clear"/>
            <w:vAlign w:val="bottom"/>
          </w:tcPr>
          <w:p>
            <w:pPr>
              <w:pStyle w:val="TableContents"/>
              <w:spacing w:before="0" w:after="283"/>
              <w:jc w:val="left"/>
              <w:rPr/>
            </w:pPr>
            <w:r>
              <w:rPr/>
              <w:t> </w:t>
            </w:r>
          </w:p>
        </w:tc>
        <w:tc>
          <w:tcPr>
            <w:tcW w:w="1800" w:type="dxa"/>
            <w:tcBorders/>
            <w:shd w:fill="CCEEFF" w:val="clear"/>
            <w:vAlign w:val="bottom"/>
          </w:tcPr>
          <w:p>
            <w:pPr>
              <w:pStyle w:val="TableContents"/>
              <w:spacing w:before="0" w:after="283"/>
              <w:jc w:val="right"/>
              <w:rPr/>
            </w:pPr>
            <w:r>
              <w:rPr/>
              <w:t> </w:t>
            </w:r>
          </w:p>
        </w:tc>
        <w:tc>
          <w:tcPr>
            <w:tcW w:w="305" w:type="dxa"/>
            <w:tcBorders/>
            <w:shd w:fill="CCEEFF" w:val="clear"/>
            <w:vAlign w:val="bottom"/>
          </w:tcPr>
          <w:p>
            <w:pPr>
              <w:pStyle w:val="TableContents"/>
              <w:spacing w:before="0" w:after="283"/>
              <w:jc w:val="left"/>
              <w:rPr/>
            </w:pPr>
            <w:r>
              <w:rPr/>
              <w:t> </w:t>
            </w:r>
          </w:p>
        </w:tc>
      </w:tr>
      <w:tr>
        <w:trPr/>
        <w:tc>
          <w:tcPr>
            <w:tcW w:w="5825" w:type="dxa"/>
            <w:tcBorders/>
            <w:shd w:fill="auto" w:val="clear"/>
            <w:vAlign w:val="bottom"/>
          </w:tcPr>
          <w:p>
            <w:pPr>
              <w:pStyle w:val="TableContents"/>
              <w:spacing w:before="0" w:after="0"/>
              <w:ind w:left="180" w:right="0" w:hanging="180"/>
              <w:rPr>
                <w:b/>
                <w:color w:val="000000"/>
              </w:rPr>
            </w:pPr>
            <w:r>
              <w:rPr>
                <w:b/>
                <w:color w:val="000000"/>
              </w:rPr>
              <w:t>Ratio/Supplemental data:</w:t>
            </w:r>
          </w:p>
        </w:tc>
        <w:tc>
          <w:tcPr>
            <w:tcW w:w="60" w:type="dxa"/>
            <w:tcBorders/>
            <w:shd w:fill="auto" w:val="cle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283"/>
              <w:jc w:val="left"/>
              <w:rPr/>
            </w:pPr>
            <w:r>
              <w:rPr/>
              <w:t> </w:t>
            </w:r>
          </w:p>
        </w:tc>
        <w:tc>
          <w:tcPr>
            <w:tcW w:w="1428" w:type="dxa"/>
            <w:tcBorders/>
            <w:shd w:fill="auto" w:val="clear"/>
            <w:vAlign w:val="bottom"/>
          </w:tcPr>
          <w:p>
            <w:pPr>
              <w:pStyle w:val="TableContents"/>
              <w:spacing w:before="0" w:after="283"/>
              <w:jc w:val="right"/>
              <w:rPr/>
            </w:pPr>
            <w:r>
              <w:rPr/>
              <w:t> </w:t>
            </w:r>
          </w:p>
        </w:tc>
        <w:tc>
          <w:tcPr>
            <w:tcW w:w="29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9" w:type="dxa"/>
            <w:tcBorders/>
            <w:shd w:fill="auto" w:val="clear"/>
            <w:vAlign w:val="bottom"/>
          </w:tcPr>
          <w:p>
            <w:pPr>
              <w:pStyle w:val="TableContents"/>
              <w:spacing w:before="0" w:after="283"/>
              <w:jc w:val="left"/>
              <w:rPr/>
            </w:pPr>
            <w:r>
              <w:rPr/>
              <w:t> </w:t>
            </w:r>
          </w:p>
        </w:tc>
        <w:tc>
          <w:tcPr>
            <w:tcW w:w="1800" w:type="dxa"/>
            <w:tcBorders/>
            <w:shd w:fill="auto" w:val="clear"/>
            <w:vAlign w:val="bottom"/>
          </w:tcPr>
          <w:p>
            <w:pPr>
              <w:pStyle w:val="TableContents"/>
              <w:spacing w:before="0" w:after="283"/>
              <w:jc w:val="right"/>
              <w:rPr/>
            </w:pPr>
            <w:r>
              <w:rPr/>
              <w:t> </w:t>
            </w:r>
          </w:p>
        </w:tc>
        <w:tc>
          <w:tcPr>
            <w:tcW w:w="305" w:type="dxa"/>
            <w:tcBorders/>
            <w:shd w:fill="auto" w:val="clear"/>
            <w:vAlign w:val="bottom"/>
          </w:tcPr>
          <w:p>
            <w:pPr>
              <w:pStyle w:val="TableContents"/>
              <w:spacing w:before="0" w:after="283"/>
              <w:jc w:val="left"/>
              <w:rPr/>
            </w:pPr>
            <w:r>
              <w:rPr/>
              <w:t> </w:t>
            </w:r>
          </w:p>
        </w:tc>
      </w:tr>
      <w:tr>
        <w:trPr/>
        <w:tc>
          <w:tcPr>
            <w:tcW w:w="5825" w:type="dxa"/>
            <w:tcBorders/>
            <w:shd w:fill="CCEEFF" w:val="clear"/>
            <w:vAlign w:val="bottom"/>
          </w:tcPr>
          <w:p>
            <w:pPr>
              <w:pStyle w:val="TableContents"/>
              <w:spacing w:lineRule="auto" w:line="240" w:before="0" w:after="0"/>
              <w:ind w:left="180" w:right="0" w:hanging="180"/>
              <w:rPr>
                <w:color w:val="000000"/>
              </w:rPr>
            </w:pPr>
            <w:r>
              <w:rPr>
                <w:color w:val="000000"/>
              </w:rPr>
              <w:t>Ratio of expenses to average net assets(4)</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428" w:type="dxa"/>
            <w:tcBorders/>
            <w:shd w:fill="CCEEFF" w:val="clear"/>
            <w:vAlign w:val="bottom"/>
          </w:tcPr>
          <w:p>
            <w:pPr>
              <w:pStyle w:val="TableContents"/>
              <w:spacing w:before="0" w:after="0"/>
              <w:jc w:val="right"/>
              <w:rPr>
                <w:color w:val="000000"/>
              </w:rPr>
            </w:pPr>
            <w:r>
              <w:rPr>
                <w:color w:val="000000"/>
              </w:rPr>
              <w:t>1.26</w:t>
            </w:r>
          </w:p>
        </w:tc>
        <w:tc>
          <w:tcPr>
            <w:tcW w:w="290"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229" w:type="dxa"/>
            <w:tcBorders/>
            <w:shd w:fill="CCEEFF" w:val="clear"/>
            <w:vAlign w:val="bottom"/>
          </w:tcPr>
          <w:p>
            <w:pPr>
              <w:pStyle w:val="TableContents"/>
              <w:spacing w:before="0" w:after="283"/>
              <w:jc w:val="left"/>
              <w:rPr/>
            </w:pPr>
            <w:r>
              <w:rPr/>
              <w:t> </w:t>
            </w:r>
          </w:p>
        </w:tc>
        <w:tc>
          <w:tcPr>
            <w:tcW w:w="1800" w:type="dxa"/>
            <w:tcBorders/>
            <w:shd w:fill="CCEEFF" w:val="clear"/>
            <w:vAlign w:val="bottom"/>
          </w:tcPr>
          <w:p>
            <w:pPr>
              <w:pStyle w:val="TableContents"/>
              <w:spacing w:before="0" w:after="0"/>
              <w:jc w:val="right"/>
              <w:rPr>
                <w:color w:val="000000"/>
              </w:rPr>
            </w:pPr>
            <w:r>
              <w:rPr>
                <w:color w:val="000000"/>
              </w:rPr>
              <w:t>0.22</w:t>
            </w:r>
          </w:p>
        </w:tc>
        <w:tc>
          <w:tcPr>
            <w:tcW w:w="305" w:type="dxa"/>
            <w:tcBorders/>
            <w:shd w:fill="CCEEFF" w:val="clear"/>
            <w:vAlign w:val="bottom"/>
          </w:tcPr>
          <w:p>
            <w:pPr>
              <w:pStyle w:val="TableContents"/>
              <w:spacing w:before="0" w:after="0"/>
              <w:jc w:val="left"/>
              <w:rPr>
                <w:color w:val="000000"/>
              </w:rPr>
            </w:pPr>
            <w:r>
              <w:rPr>
                <w:color w:val="000000"/>
              </w:rPr>
              <w:t>%</w:t>
            </w:r>
          </w:p>
        </w:tc>
      </w:tr>
      <w:tr>
        <w:trPr/>
        <w:tc>
          <w:tcPr>
            <w:tcW w:w="5825" w:type="dxa"/>
            <w:tcBorders/>
            <w:shd w:fill="auto" w:val="clear"/>
            <w:vAlign w:val="bottom"/>
          </w:tcPr>
          <w:p>
            <w:pPr>
              <w:pStyle w:val="TableContents"/>
              <w:spacing w:lineRule="auto" w:line="240" w:before="0" w:after="0"/>
              <w:ind w:left="180" w:right="0" w:hanging="180"/>
              <w:rPr>
                <w:color w:val="000000"/>
              </w:rPr>
            </w:pPr>
            <w:r>
              <w:rPr>
                <w:color w:val="000000"/>
              </w:rPr>
              <w:t>Ratio of net investment income (loss) to average net assets(4)</w:t>
            </w:r>
          </w:p>
        </w:tc>
        <w:tc>
          <w:tcPr>
            <w:tcW w:w="60" w:type="dxa"/>
            <w:tcBorders/>
            <w:shd w:fill="auto" w:val="cle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283"/>
              <w:jc w:val="left"/>
              <w:rPr/>
            </w:pPr>
            <w:r>
              <w:rPr/>
              <w:t> </w:t>
            </w:r>
          </w:p>
        </w:tc>
        <w:tc>
          <w:tcPr>
            <w:tcW w:w="1428" w:type="dxa"/>
            <w:tcBorders/>
            <w:shd w:fill="auto" w:val="clear"/>
            <w:vAlign w:val="bottom"/>
          </w:tcPr>
          <w:p>
            <w:pPr>
              <w:pStyle w:val="TableContents"/>
              <w:spacing w:before="0" w:after="0"/>
              <w:jc w:val="right"/>
              <w:rPr>
                <w:color w:val="000000"/>
              </w:rPr>
            </w:pPr>
            <w:r>
              <w:rPr>
                <w:color w:val="000000"/>
              </w:rPr>
              <w:t>1.58</w:t>
            </w:r>
          </w:p>
        </w:tc>
        <w:tc>
          <w:tcPr>
            <w:tcW w:w="290"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229" w:type="dxa"/>
            <w:tcBorders/>
            <w:shd w:fill="auto" w:val="clear"/>
            <w:vAlign w:val="bottom"/>
          </w:tcPr>
          <w:p>
            <w:pPr>
              <w:pStyle w:val="TableContents"/>
              <w:spacing w:before="0" w:after="283"/>
              <w:jc w:val="left"/>
              <w:rPr/>
            </w:pPr>
            <w:r>
              <w:rPr/>
              <w:t> </w:t>
            </w:r>
          </w:p>
        </w:tc>
        <w:tc>
          <w:tcPr>
            <w:tcW w:w="1800" w:type="dxa"/>
            <w:tcBorders/>
            <w:shd w:fill="auto" w:val="clear"/>
            <w:vAlign w:val="bottom"/>
          </w:tcPr>
          <w:p>
            <w:pPr>
              <w:pStyle w:val="TableContents"/>
              <w:spacing w:before="0" w:after="0"/>
              <w:jc w:val="right"/>
              <w:rPr>
                <w:color w:val="000000"/>
              </w:rPr>
            </w:pPr>
            <w:r>
              <w:rPr>
                <w:color w:val="000000"/>
              </w:rPr>
              <w:t>(0.20</w:t>
            </w:r>
          </w:p>
        </w:tc>
        <w:tc>
          <w:tcPr>
            <w:tcW w:w="305" w:type="dxa"/>
            <w:tcBorders/>
            <w:shd w:fill="auto" w:val="clear"/>
            <w:vAlign w:val="bottom"/>
          </w:tcPr>
          <w:p>
            <w:pPr>
              <w:pStyle w:val="TableContents"/>
              <w:spacing w:before="0" w:after="0"/>
              <w:jc w:val="left"/>
              <w:rPr>
                <w:color w:val="000000"/>
              </w:rPr>
            </w:pPr>
            <w:r>
              <w:rPr>
                <w:color w:val="000000"/>
              </w:rPr>
              <w:t>)%</w:t>
            </w:r>
          </w:p>
        </w:tc>
      </w:tr>
      <w:tr>
        <w:trPr/>
        <w:tc>
          <w:tcPr>
            <w:tcW w:w="5825" w:type="dxa"/>
            <w:tcBorders/>
            <w:shd w:fill="CCEEFF" w:val="clear"/>
            <w:vAlign w:val="bottom"/>
          </w:tcPr>
          <w:p>
            <w:pPr>
              <w:pStyle w:val="TableContents"/>
              <w:spacing w:before="0" w:after="0"/>
              <w:ind w:left="180" w:right="0" w:hanging="180"/>
              <w:rPr>
                <w:color w:val="000000"/>
              </w:rPr>
            </w:pPr>
            <w:r>
              <w:rPr>
                <w:color w:val="000000"/>
              </w:rPr>
              <w:t>Portfolio turnover</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428" w:type="dxa"/>
            <w:tcBorders/>
            <w:shd w:fill="CCEEFF" w:val="clear"/>
            <w:vAlign w:val="bottom"/>
          </w:tcPr>
          <w:p>
            <w:pPr>
              <w:pStyle w:val="TableContents"/>
              <w:spacing w:before="0" w:after="0"/>
              <w:jc w:val="right"/>
              <w:rPr>
                <w:color w:val="000000"/>
              </w:rPr>
            </w:pPr>
            <w:r>
              <w:rPr>
                <w:color w:val="000000"/>
              </w:rPr>
              <w:t>N/A</w:t>
            </w:r>
          </w:p>
        </w:tc>
        <w:tc>
          <w:tcPr>
            <w:tcW w:w="29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9" w:type="dxa"/>
            <w:tcBorders/>
            <w:shd w:fill="CCEEFF" w:val="clear"/>
            <w:vAlign w:val="bottom"/>
          </w:tcPr>
          <w:p>
            <w:pPr>
              <w:pStyle w:val="TableContents"/>
              <w:spacing w:before="0" w:after="283"/>
              <w:jc w:val="left"/>
              <w:rPr/>
            </w:pPr>
            <w:r>
              <w:rPr/>
              <w:t> </w:t>
            </w:r>
          </w:p>
        </w:tc>
        <w:tc>
          <w:tcPr>
            <w:tcW w:w="1800" w:type="dxa"/>
            <w:tcBorders/>
            <w:shd w:fill="CCEEFF" w:val="clear"/>
            <w:vAlign w:val="bottom"/>
          </w:tcPr>
          <w:p>
            <w:pPr>
              <w:pStyle w:val="TableContents"/>
              <w:spacing w:before="0" w:after="0"/>
              <w:jc w:val="right"/>
              <w:rPr>
                <w:color w:val="000000"/>
              </w:rPr>
            </w:pPr>
            <w:r>
              <w:rPr>
                <w:color w:val="000000"/>
              </w:rPr>
              <w:t>N/A</w:t>
            </w:r>
          </w:p>
        </w:tc>
        <w:tc>
          <w:tcPr>
            <w:tcW w:w="305" w:type="dxa"/>
            <w:tcBorders/>
            <w:shd w:fill="CCEEFF" w:val="clear"/>
            <w:vAlign w:val="bottom"/>
          </w:tcPr>
          <w:p>
            <w:pPr>
              <w:pStyle w:val="TableContents"/>
              <w:spacing w:before="0" w:after="283"/>
              <w:jc w:val="left"/>
              <w:rPr/>
            </w:pPr>
            <w:r>
              <w:rPr/>
              <w:t> </w:t>
            </w:r>
          </w:p>
        </w:tc>
      </w:tr>
    </w:tbl>
    <w:p>
      <w:pPr>
        <w:pStyle w:val="TextBody"/>
        <w:spacing w:before="0" w:after="0"/>
        <w:rPr>
          <w:rFonts w:ascii="Times New Roman" w:hAnsi="Times New Roman"/>
          <w:sz w:val="20"/>
        </w:rPr>
      </w:pPr>
      <w:r>
        <w:rPr>
          <w:rFonts w:ascii="Times New Roman" w:hAnsi="Times New Roman"/>
          <w:sz w:val="20"/>
        </w:rPr>
      </w:r>
    </w:p>
    <w:tbl>
      <w:tblPr>
        <w:tblW w:w="10539" w:type="dxa"/>
        <w:jc w:val="left"/>
        <w:tblInd w:w="0" w:type="dxa"/>
        <w:tblCellMar>
          <w:top w:w="0" w:type="dxa"/>
          <w:left w:w="0" w:type="dxa"/>
          <w:bottom w:w="0" w:type="dxa"/>
          <w:right w:w="0" w:type="dxa"/>
        </w:tblCellMar>
      </w:tblPr>
      <w:tblGrid>
        <w:gridCol w:w="155"/>
        <w:gridCol w:w="10384"/>
      </w:tblGrid>
      <w:tr>
        <w:trPr/>
        <w:tc>
          <w:tcPr>
            <w:tcW w:w="155" w:type="dxa"/>
            <w:tcBorders/>
            <w:shd w:fill="auto" w:val="clear"/>
            <w:vAlign w:val="center"/>
          </w:tcPr>
          <w:p>
            <w:pPr>
              <w:pStyle w:val="TableContents"/>
              <w:spacing w:lineRule="auto" w:line="240" w:before="0" w:after="0"/>
              <w:jc w:val="left"/>
              <w:rPr>
                <w:color w:val="000000"/>
              </w:rPr>
            </w:pPr>
            <w:r>
              <w:rPr>
                <w:color w:val="000000"/>
              </w:rPr>
              <w:t>*</w:t>
            </w:r>
          </w:p>
        </w:tc>
        <w:tc>
          <w:tcPr>
            <w:tcW w:w="10384" w:type="dxa"/>
            <w:tcBorders/>
            <w:shd w:fill="auto" w:val="clear"/>
            <w:vAlign w:val="center"/>
          </w:tcPr>
          <w:p>
            <w:pPr>
              <w:pStyle w:val="TableContents"/>
              <w:spacing w:before="0" w:after="0"/>
              <w:jc w:val="left"/>
              <w:rPr>
                <w:color w:val="000000"/>
              </w:rPr>
            </w:pPr>
            <w:r>
              <w:rPr>
                <w:color w:val="000000"/>
              </w:rPr>
              <w:t>The Company was formed on January 25, 2021 and the effective date of the registration statement was February 3, 2022.</w:t>
            </w:r>
          </w:p>
        </w:tc>
      </w:tr>
    </w:tbl>
    <w:tbl>
      <w:tblPr>
        <w:tblW w:w="10539" w:type="dxa"/>
        <w:jc w:val="left"/>
        <w:tblInd w:w="0" w:type="dxa"/>
        <w:tblCellMar>
          <w:top w:w="0" w:type="dxa"/>
          <w:left w:w="0" w:type="dxa"/>
          <w:bottom w:w="0" w:type="dxa"/>
          <w:right w:w="0" w:type="dxa"/>
        </w:tblCellMar>
      </w:tblPr>
      <w:tblGrid>
        <w:gridCol w:w="302"/>
        <w:gridCol w:w="10237"/>
      </w:tblGrid>
      <w:tr>
        <w:trPr/>
        <w:tc>
          <w:tcPr>
            <w:tcW w:w="302" w:type="dxa"/>
            <w:tcBorders/>
            <w:shd w:fill="auto" w:val="clear"/>
            <w:vAlign w:val="center"/>
          </w:tcPr>
          <w:p>
            <w:pPr>
              <w:pStyle w:val="TableContents"/>
              <w:spacing w:lineRule="auto" w:line="240" w:before="0" w:after="283"/>
              <w:rPr>
                <w:color w:val="000000"/>
              </w:rPr>
            </w:pPr>
            <w:r>
              <w:rPr>
                <w:color w:val="000000"/>
              </w:rPr>
              <w:t>(1)</w:t>
            </w:r>
          </w:p>
        </w:tc>
        <w:tc>
          <w:tcPr>
            <w:tcW w:w="10237" w:type="dxa"/>
            <w:tcBorders/>
            <w:shd w:fill="auto" w:val="clear"/>
            <w:vAlign w:val="center"/>
          </w:tcPr>
          <w:p>
            <w:pPr>
              <w:pStyle w:val="TableContents"/>
              <w:spacing w:before="0" w:after="0"/>
              <w:rPr>
                <w:color w:val="000000"/>
              </w:rPr>
            </w:pPr>
            <w:r>
              <w:rPr>
                <w:color w:val="000000"/>
              </w:rPr>
              <w:t>The per share data was derived by using the weighted average shares outstanding during the periods presented.</w:t>
            </w:r>
          </w:p>
        </w:tc>
      </w:tr>
    </w:tbl>
    <w:tbl>
      <w:tblPr>
        <w:tblW w:w="10539" w:type="dxa"/>
        <w:jc w:val="left"/>
        <w:tblInd w:w="0" w:type="dxa"/>
        <w:tblCellMar>
          <w:top w:w="0" w:type="dxa"/>
          <w:left w:w="0" w:type="dxa"/>
          <w:bottom w:w="0" w:type="dxa"/>
          <w:right w:w="0" w:type="dxa"/>
        </w:tblCellMar>
      </w:tblPr>
      <w:tblGrid>
        <w:gridCol w:w="272"/>
        <w:gridCol w:w="10267"/>
      </w:tblGrid>
      <w:tr>
        <w:trPr/>
        <w:tc>
          <w:tcPr>
            <w:tcW w:w="272" w:type="dxa"/>
            <w:tcBorders/>
            <w:shd w:fill="auto" w:val="clear"/>
            <w:vAlign w:val="center"/>
          </w:tcPr>
          <w:p>
            <w:pPr>
              <w:pStyle w:val="TableContents"/>
              <w:spacing w:lineRule="auto" w:line="240" w:before="0" w:after="283"/>
              <w:rPr>
                <w:color w:val="000000"/>
              </w:rPr>
            </w:pPr>
            <w:r>
              <w:rPr>
                <w:color w:val="000000"/>
              </w:rPr>
              <w:t>(2)</w:t>
            </w:r>
          </w:p>
        </w:tc>
        <w:tc>
          <w:tcPr>
            <w:tcW w:w="10267" w:type="dxa"/>
            <w:tcBorders/>
            <w:shd w:fill="auto" w:val="clear"/>
            <w:vAlign w:val="center"/>
          </w:tcPr>
          <w:p>
            <w:pPr>
              <w:pStyle w:val="TableContents"/>
              <w:spacing w:before="0" w:after="0"/>
              <w:rPr>
                <w:color w:val="000000"/>
              </w:rPr>
            </w:pPr>
            <w:r>
              <w:rPr>
                <w:color w:val="000000"/>
              </w:rPr>
              <w:t>SSC has absorbed the cost of the sales load (i.e, underwriting discounts and commissions) incurred by the Company in connection with the initial public offering of its common stock.</w:t>
            </w:r>
          </w:p>
        </w:tc>
      </w:tr>
    </w:tbl>
    <w:tbl>
      <w:tblPr>
        <w:tblW w:w="10539" w:type="dxa"/>
        <w:jc w:val="left"/>
        <w:tblInd w:w="0" w:type="dxa"/>
        <w:tblCellMar>
          <w:top w:w="0" w:type="dxa"/>
          <w:left w:w="0" w:type="dxa"/>
          <w:bottom w:w="0" w:type="dxa"/>
          <w:right w:w="0" w:type="dxa"/>
        </w:tblCellMar>
      </w:tblPr>
      <w:tblGrid>
        <w:gridCol w:w="241"/>
        <w:gridCol w:w="10298"/>
      </w:tblGrid>
      <w:tr>
        <w:trPr/>
        <w:tc>
          <w:tcPr>
            <w:tcW w:w="241" w:type="dxa"/>
            <w:tcBorders/>
            <w:shd w:fill="auto" w:val="clear"/>
            <w:vAlign w:val="center"/>
          </w:tcPr>
          <w:p>
            <w:pPr>
              <w:pStyle w:val="TableContents"/>
              <w:spacing w:lineRule="auto" w:line="240" w:before="0" w:after="283"/>
              <w:rPr>
                <w:color w:val="000000"/>
              </w:rPr>
            </w:pPr>
            <w:r>
              <w:rPr>
                <w:color w:val="000000"/>
              </w:rPr>
              <w:t>(3)</w:t>
            </w:r>
          </w:p>
        </w:tc>
        <w:tc>
          <w:tcPr>
            <w:tcW w:w="10298" w:type="dxa"/>
            <w:tcBorders/>
            <w:shd w:fill="auto" w:val="clear"/>
            <w:vAlign w:val="center"/>
          </w:tcPr>
          <w:p>
            <w:pPr>
              <w:pStyle w:val="TableContents"/>
              <w:spacing w:before="0" w:after="0"/>
              <w:rPr>
                <w:color w:val="000000"/>
              </w:rPr>
            </w:pPr>
            <w:r>
              <w:rPr>
                <w:color w:val="000000"/>
              </w:rPr>
              <w:t>Total return based on market value is based on the change in market price per share between the beginning and ending market prices per share in each period and assumes that common stock dividends are reinvested in accordance with our common stock dividend reinvestment plan. Total return based on net asset value is based upon the change in net asset value per share between the beginning and ending net asset values per share in each period and assumes that dividends are reinvested in accordance with our common stock dividend reinvestment plan. For periods less than a year, total return is not annualized.</w:t>
            </w:r>
          </w:p>
        </w:tc>
      </w:tr>
    </w:tbl>
    <w:tbl>
      <w:tblPr>
        <w:tblW w:w="2560" w:type="dxa"/>
        <w:jc w:val="left"/>
        <w:tblInd w:w="0" w:type="dxa"/>
        <w:tblCellMar>
          <w:top w:w="0" w:type="dxa"/>
          <w:left w:w="0" w:type="dxa"/>
          <w:bottom w:w="0" w:type="dxa"/>
          <w:right w:w="0" w:type="dxa"/>
        </w:tblCellMar>
      </w:tblPr>
      <w:tblGrid>
        <w:gridCol w:w="305"/>
        <w:gridCol w:w="2255"/>
      </w:tblGrid>
      <w:tr>
        <w:trPr/>
        <w:tc>
          <w:tcPr>
            <w:tcW w:w="305" w:type="dxa"/>
            <w:tcBorders/>
            <w:shd w:fill="auto" w:val="clear"/>
            <w:vAlign w:val="center"/>
          </w:tcPr>
          <w:p>
            <w:pPr>
              <w:pStyle w:val="TableContents"/>
              <w:spacing w:lineRule="auto" w:line="240" w:before="0" w:after="283"/>
              <w:rPr>
                <w:color w:val="000000"/>
              </w:rPr>
            </w:pPr>
            <w:r>
              <w:rPr>
                <w:color w:val="000000"/>
              </w:rPr>
              <w:t>(4)</w:t>
            </w:r>
          </w:p>
        </w:tc>
        <w:tc>
          <w:tcPr>
            <w:tcW w:w="2255" w:type="dxa"/>
            <w:tcBorders/>
            <w:shd w:fill="auto" w:val="clear"/>
            <w:vAlign w:val="center"/>
          </w:tcPr>
          <w:p>
            <w:pPr>
              <w:pStyle w:val="TableContents"/>
              <w:spacing w:before="0" w:after="0"/>
              <w:rPr>
                <w:color w:val="000000"/>
              </w:rPr>
            </w:pPr>
            <w:r>
              <w:rPr>
                <w:color w:val="000000"/>
              </w:rPr>
              <w:t>Ratio is not annualized.</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NOTE 12 — SUBSEQUENT EVENTS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Company’s management evaluated subsequent events through the date on which the financial statements were issued. Other than the item listed below, there have been no subsequent events that occurred during such period that have required adjustment or disclosure in the financial statements.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serif" w:hAnsi="Times New Roman;serif"/>
          <w:color w:val="000000"/>
          <w:sz w:val="20"/>
        </w:rPr>
      </w:pPr>
      <w:r>
        <w:rPr>
          <w:rFonts w:ascii="Times New Roman;serif" w:hAnsi="Times New Roman;serif"/>
          <w:color w:val="000000"/>
          <w:sz w:val="20"/>
        </w:rPr>
        <w:t>On May 3, 2023, the Company invested $4.32 million in Dreamfields Brand, Inc.’s first lien senior secured term loan maturing on May 3, 2026 for a net consideration of $4.21 million.</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SILVER SPIKE INVESTMENT CORP.</w:t>
      </w:r>
    </w:p>
    <w:p>
      <w:pPr>
        <w:pStyle w:val="TextBody"/>
        <w:spacing w:before="0" w:after="0"/>
        <w:jc w:val="left"/>
        <w:rPr/>
      </w:pPr>
      <w:r>
        <w:rPr/>
      </w:r>
    </w:p>
    <w:p>
      <w:pPr>
        <w:pStyle w:val="Normal"/>
        <w:spacing w:before="0" w:after="0"/>
        <w:jc w:val="left"/>
        <w:rPr>
          <w:sz w:val="4"/>
          <w:szCs w:val="4"/>
        </w:rPr>
      </w:pPr>
      <w:r>
        <w:rPr>
          <w:sz w:val="4"/>
          <w:szCs w:val="4"/>
        </w:rPr>
      </w:r>
      <w:bookmarkStart w:id="10" w:name="Item2."/>
      <w:bookmarkStart w:id="11" w:name="Item2."/>
      <w:bookmarkEnd w:id="11"/>
    </w:p>
    <w:tbl>
      <w:tblPr>
        <w:tblW w:w="9790" w:type="dxa"/>
        <w:jc w:val="left"/>
        <w:tblInd w:w="0" w:type="dxa"/>
        <w:tblCellMar>
          <w:top w:w="0" w:type="dxa"/>
          <w:left w:w="0" w:type="dxa"/>
          <w:bottom w:w="0" w:type="dxa"/>
          <w:right w:w="0" w:type="dxa"/>
        </w:tblCellMar>
      </w:tblPr>
      <w:tblGrid>
        <w:gridCol w:w="740"/>
        <w:gridCol w:w="9050"/>
      </w:tblGrid>
      <w:tr>
        <w:trPr/>
        <w:tc>
          <w:tcPr>
            <w:tcW w:w="740" w:type="dxa"/>
            <w:tcBorders/>
            <w:shd w:fill="auto" w:val="clear"/>
            <w:vAlign w:val="center"/>
          </w:tcPr>
          <w:p>
            <w:pPr>
              <w:pStyle w:val="TableContents"/>
              <w:spacing w:before="0" w:after="283"/>
              <w:rPr>
                <w:b/>
              </w:rPr>
            </w:pPr>
            <w:r>
              <w:rPr>
                <w:b/>
              </w:rPr>
              <w:t>Item 2.</w:t>
            </w:r>
          </w:p>
        </w:tc>
        <w:tc>
          <w:tcPr>
            <w:tcW w:w="9050" w:type="dxa"/>
            <w:tcBorders/>
            <w:shd w:fill="auto" w:val="clear"/>
            <w:vAlign w:val="center"/>
          </w:tcPr>
          <w:p>
            <w:pPr>
              <w:pStyle w:val="TableContents"/>
              <w:spacing w:before="0" w:after="0"/>
              <w:jc w:val="both"/>
              <w:rPr>
                <w:b/>
              </w:rPr>
            </w:pPr>
            <w:r>
              <w:rPr>
                <w:b/>
              </w:rPr>
              <w:t>Management’s Discussion and Analysis of Financial Condition and Results of Operations</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i/>
          <w:color w:val="000000"/>
          <w:sz w:val="20"/>
        </w:rPr>
      </w:pPr>
      <w:r>
        <w:rPr>
          <w:rFonts w:ascii="Times New Roman" w:hAnsi="Times New Roman"/>
          <w:i/>
          <w:color w:val="000000"/>
          <w:sz w:val="20"/>
        </w:rPr>
        <w:t>The following discussion and analysis or our financial condition and results of operations should be read together with the financial statements and the related notes that are included in Item 1 of Part I of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entitled “Item 1A. Risk Factors” in our transition report on Form 10-K for the transition period from April 1, 2022 to December 31, 2022 and elsewhere in this quarterly report on Form 10-Q. Please also see the section entitled “Special Note Regarding Forward-Looking Statements.”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Overview</w:t>
      </w:r>
    </w:p>
    <w:p>
      <w:pPr>
        <w:pStyle w:val="TextBody"/>
        <w:spacing w:before="0" w:after="0"/>
        <w:jc w:val="both"/>
        <w:rPr>
          <w:rFonts w:ascii="Times New Roman" w:hAnsi="Times New Roman"/>
          <w:color w:val="000000"/>
          <w:sz w:val="20"/>
        </w:rPr>
      </w:pPr>
      <w:r>
        <w:rPr>
          <w:rFonts w:ascii="Times New Roman" w:hAnsi="Times New Roman"/>
          <w:color w:val="000000"/>
          <w:sz w:val="20"/>
        </w:rPr>
        <w:t>We were formed in January 2021 as a Maryland corporation and structured as an externally managed, closed-end, non-diversified management investment company. We have elected to be treated as a BDC under the 1940 Act. In addition, for U.S. federal income tax purposes we have elected to be treated, and intend to qualify annually to be treated, as a RIC under Subchapter M of the Code, commencing with our taxable year ended March 31, 2022. On November 8, 2022, our Board of Directors approved a change in our fiscal year end from March 31 to December 31.</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are a specialty finance company that may invest across the cannabis ecosystem through investments in the form of direct loans to, and equity ownership of, privately held cannabis companies. All of our investments are designed to be compliant with all applicable laws and regulations within the jurisdictions in which they are made or to which we are otherwise subject, including U.S. federal laws. We will make equity investments only in companies that are compliant with all applicable laws and regulations within the jurisdictions in which they are located or operate, including U.S. federal laws. We may make loans to companies that we determine based on our due diligence are licensed in, and complying with, state-regulated cannabis programs, regardless of their status under U.S. federal law, so long as the investment itself is designed to be compliant with all applicable laws and regulations in the jurisdiction in which the investment is made or to which we are otherwise subject, including U.S. federal law. We are externally managed by SSC and seek to expand the compliant cannabis investment activities of SSC’s leading investment platform in the cannabis industry. We primarily seek to partner with private equity firms, entrepreneurs, business owners and management teams to provide credit and equity financing alternatives to support buyouts, recapitalizations, growth initiatives, refinancings and acquisitions across cannabis companies, including cannabis-enabling technology companies, cannabis-related health and wellness companies, and hemp and CBD distribution companies. Under normal circumstances, each such cannabis company derives at least 50% of its revenues or profits from, or commits at least 50% of its assets to, activities related to cannabis at the time of our investment in the cannabis company. We are not required to invest a specific percentage of our assets in such cannabis companies, and we may make debt and equity investments in other companies in the health and wellness sector.</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investment objective is to maximize risk-adjusted returns on equity for our shareholders. We seek to capitalize on what we believe to be nascent cannabis industry growth and drive return on equity by generating current income from our debt investments and capital appreciation from our equity and equity-related investments. We intend to achieve our investment objective by investing primarily in secured debt, unsecured debt, equity warrants and direct equity investments in privately held businesses. We intend that our debt investments will often be secured by either a first or second priority lien on the assets of the portfolio company, can include either fixed or floating rate terms and will generally have a term of between three and six years from the original investment date. To date, we have invested in first lien secured, fixed and floating rate debt with terms of two to four years. We expect our secured loans to be secured by various types of assets of our borrowers. While the types of collateral securing any given secured loan will depend on the nature of the borrower’s business, common types of collateral we expect to secure our loans include real property and certain personal property, including equipment, inventory, receivables, cash, intellectual property rights and other assets to the extent permitted by applicable laws and the regulations governing our borrowers. Certain attractive assets of our borrowers, such as cannabis licenses and cannabis inventory, may not be able to be used as collateral or transferred to us. See “Item 1A. Risk Factors—Risks Relating to Our Investments—Certain assets of our borrowers may not be used as collateral or transferred to us due to applicable state laws and regulations governing the cannabis industry, and such restrictions could negatively impact our profitability.” In some of our portfolio investments, we expect to receive nominally priced equity warrants and/or make direct equity investments in connection with a debt investment. In addition, a portion of our portfolio may be comprised of derivatives, including total return swaps.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Generally, the loans we invest in have a complete set of financial maintenance covenants, which are used to proactively address materially adverse changes in a portfolio company’s financial performance. However, we may invest in “covenant-lite” loans. We use the term “covenant-lite”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loans in which we tend to invest typically pay interest at rates which are determined periodically on the basis of PRIME plus a premium. The loans in which we have invested and expect to invest are typically made to U.S. and, to a limited extent, non-U.S. (including emerging market) corporations, partnerships and other business entities which operate in various industries and geographical regions. These loans typically are not rated or are rated below investment grade. Securities rated below investment grade are often referred to as “high-yield” or “junk” securities, and may be considered a higher risk than debt instruments that are rated above investment grade.</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SILVER SPIKE INVESTMENT CORP.</w:t>
      </w:r>
    </w:p>
    <w:p>
      <w:pPr>
        <w:pStyle w:val="TextBody"/>
        <w:spacing w:before="0" w:after="0"/>
        <w:jc w:val="both"/>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have typically invested in and expect to continue to invest in loans made primarily to private leveraged middle-market companies with up to $100 million of earnings before interest, taxes, depreciation and amortization, or “EBITDA.” Our business model is focused primarily on the direct origination of investments through portfolio companies or their financial sponsors. We expect that our investments will generally range between $4 million and $40 million each, although we expect that this investment size will vary proportionately with the size of our capital base. We have an active pipeline of investments and are currently reviewing over $673 million of potential investments in varying stages of underwriting.</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are externally managed by SSC. SSC also provides the administrative services necessary for us to operate. We believe that our ability to leverage the existing investment management platform of SSC enables us to operate more efficiently and with lower overhead costs than other newly formed funds of comparable size.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Revenues</w:t>
      </w:r>
    </w:p>
    <w:p>
      <w:pPr>
        <w:pStyle w:val="TextBody"/>
        <w:spacing w:before="0" w:after="0"/>
        <w:jc w:val="both"/>
        <w:rPr>
          <w:rFonts w:ascii="Times New Roman" w:hAnsi="Times New Roman"/>
          <w:color w:val="000000"/>
          <w:sz w:val="20"/>
        </w:rPr>
      </w:pPr>
      <w:r>
        <w:rPr>
          <w:rFonts w:ascii="Times New Roman" w:hAnsi="Times New Roman"/>
          <w:color w:val="000000"/>
          <w:sz w:val="20"/>
        </w:rPr>
        <w:t>We generate revenues primarily in the form of interest income from the investments we hold. In addition, we may generate income from dividends on either direct equity investments or equity interests obtained in connection with originating loans, such as options, warrants or conversion rights. Our debt investments typically have a term of three to six years. Our loan portfolio will bear interest at a fixed or floating rate, subject to interest rate floors in certain cases. Interest on our debt investments will generally be payable either monthly or quarterly, but may be semi-annually.</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investment portfolio consists of fixed and floating rate loans, and our credit facilities, if any, will bear interest at floating rates. Macro trends in base interest rates like PRIME may affect our net investment income over the long term.</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Loan origination fees, OID, closing fees and market discount or premium are capitalized, and we accrete or amortize such amounts under accounting principles generally accepted in the United States of America (“U.S. GAAP”) as interest income, using the effective yield method for term instruments and the straight-line method for revolving or delayed draw instruments. Repayments of our debt investments will reduce interest income in future periods. The frequency or volume of these repayments may fluctuate significantly. We will record prepayment premiums on loans as interest income. We may also generate revenue in the form of commitment, structuring, or due diligence fees, fees for providing managerial assistance to our portfolio companies, and consulting fees.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Dividend income on equity investments, if applicable, will be recorded on the record date for private portfolio companies or on the ex-dividend date for publicly traded companies.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portfolio activity may also reflect the proceeds from sales of investments. We will recognize realized gains or losses on sales of investments based on the difference between the net proceeds from the disposition and the amortized cost basis of the investment, without regard to unrealized gains or losses previously recognized. We will record current-period changes in fair value of investments that are measured at fair value as a component of the net change in unrealized gains (losses) on investments on the Statements of Operations.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Expenses</w:t>
      </w:r>
    </w:p>
    <w:p>
      <w:pPr>
        <w:pStyle w:val="TextBody"/>
        <w:spacing w:before="0" w:after="0"/>
        <w:jc w:val="both"/>
        <w:rPr>
          <w:rFonts w:ascii="Times New Roman" w:hAnsi="Times New Roman"/>
          <w:color w:val="000000"/>
          <w:sz w:val="20"/>
        </w:rPr>
      </w:pPr>
      <w:r>
        <w:rPr>
          <w:rFonts w:ascii="Times New Roman" w:hAnsi="Times New Roman"/>
          <w:color w:val="000000"/>
          <w:sz w:val="20"/>
        </w:rPr>
        <w:t>Our primary operating expenses are a base management fee and any incentive fees under the Investment Advisory Agreement. Our investment management fee compensates our Adviser for its work in identifying, evaluating, negotiating, executing, monitoring, servicing and realizing our investments. See “Item 1. Business—Investment Advisory Agreement.”</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Except as specifically provided below, all investment professionals and staff of the Adviser, when and to the extent engaged in providing investment advisory and management services to us, the base compensation, bonus and benefits, and the routine overhead expenses of such personnel allocable to such services, are provided and paid for by the Adviser. We may bear our allocable portion of the compensation paid by the Adviser (or its affiliates) to our CFO and CCO and their respective staffs (based on a percentage of time such individuals devote, on an estimated basis, to our business affairs). We may bear any other expenses of our operations and transactions, including (without limitation) fees and expenses relating to:</w:t>
      </w:r>
    </w:p>
    <w:p>
      <w:pPr>
        <w:pStyle w:val="TextBody"/>
        <w:spacing w:before="0" w:after="0"/>
        <w:jc w:val="left"/>
        <w:rPr>
          <w:color w:val="000000"/>
        </w:rPr>
      </w:pPr>
      <w:r>
        <w:rPr>
          <w:color w:val="000000"/>
        </w:rPr>
        <w:t> </w:t>
      </w:r>
    </w:p>
    <w:tbl>
      <w:tblPr>
        <w:tblW w:w="4105" w:type="dxa"/>
        <w:jc w:val="left"/>
        <w:tblInd w:w="0" w:type="dxa"/>
        <w:tblCellMar>
          <w:top w:w="0" w:type="dxa"/>
          <w:left w:w="0" w:type="dxa"/>
          <w:bottom w:w="0" w:type="dxa"/>
          <w:right w:w="0" w:type="dxa"/>
        </w:tblCellMar>
      </w:tblPr>
      <w:tblGrid>
        <w:gridCol w:w="125"/>
        <w:gridCol w:w="3980"/>
      </w:tblGrid>
      <w:tr>
        <w:trPr/>
        <w:tc>
          <w:tcPr>
            <w:tcW w:w="125" w:type="dxa"/>
            <w:tcBorders/>
            <w:shd w:fill="auto" w:val="clear"/>
            <w:vAlign w:val="center"/>
          </w:tcPr>
          <w:p>
            <w:pPr>
              <w:pStyle w:val="TableContents"/>
              <w:spacing w:before="0" w:after="283"/>
              <w:rPr/>
            </w:pPr>
            <w:r>
              <w:rPr/>
              <w:t>•</w:t>
            </w:r>
          </w:p>
        </w:tc>
        <w:tc>
          <w:tcPr>
            <w:tcW w:w="3980" w:type="dxa"/>
            <w:tcBorders/>
            <w:shd w:fill="auto" w:val="clear"/>
            <w:vAlign w:val="center"/>
          </w:tcPr>
          <w:p>
            <w:pPr>
              <w:pStyle w:val="TableContents"/>
              <w:spacing w:before="0" w:after="0"/>
              <w:jc w:val="both"/>
              <w:rPr/>
            </w:pPr>
            <w:r>
              <w:rPr/>
              <w:t>the cost of our organization and offerings;</w:t>
            </w:r>
          </w:p>
        </w:tc>
      </w:tr>
    </w:tbl>
    <w:p>
      <w:pPr>
        <w:pStyle w:val="TextBody"/>
        <w:spacing w:before="0" w:after="0"/>
        <w:jc w:val="left"/>
        <w:rPr>
          <w:color w:val="000000"/>
        </w:rPr>
      </w:pPr>
      <w:r>
        <w:rPr>
          <w:color w:val="000000"/>
        </w:rPr>
        <w:t> </w:t>
      </w:r>
    </w:p>
    <w:tbl>
      <w:tblPr>
        <w:tblW w:w="8485" w:type="dxa"/>
        <w:jc w:val="left"/>
        <w:tblInd w:w="0" w:type="dxa"/>
        <w:tblCellMar>
          <w:top w:w="0" w:type="dxa"/>
          <w:left w:w="0" w:type="dxa"/>
          <w:bottom w:w="0" w:type="dxa"/>
          <w:right w:w="0" w:type="dxa"/>
        </w:tblCellMar>
      </w:tblPr>
      <w:tblGrid>
        <w:gridCol w:w="125"/>
        <w:gridCol w:w="8360"/>
      </w:tblGrid>
      <w:tr>
        <w:trPr/>
        <w:tc>
          <w:tcPr>
            <w:tcW w:w="125" w:type="dxa"/>
            <w:tcBorders/>
            <w:shd w:fill="auto" w:val="clear"/>
            <w:vAlign w:val="center"/>
          </w:tcPr>
          <w:p>
            <w:pPr>
              <w:pStyle w:val="TableContents"/>
              <w:spacing w:before="0" w:after="283"/>
              <w:rPr/>
            </w:pPr>
            <w:r>
              <w:rPr/>
              <w:t>•</w:t>
            </w:r>
          </w:p>
        </w:tc>
        <w:tc>
          <w:tcPr>
            <w:tcW w:w="8360" w:type="dxa"/>
            <w:tcBorders/>
            <w:shd w:fill="auto" w:val="clear"/>
            <w:vAlign w:val="center"/>
          </w:tcPr>
          <w:p>
            <w:pPr>
              <w:pStyle w:val="TableContents"/>
              <w:spacing w:before="0" w:after="0"/>
              <w:jc w:val="both"/>
              <w:rPr/>
            </w:pPr>
            <w:r>
              <w:rPr/>
              <w:t>the cost of calculating our NAV, including the cost of any third-party valuation services;</w:t>
            </w:r>
          </w:p>
        </w:tc>
      </w:tr>
    </w:tbl>
    <w:p>
      <w:pPr>
        <w:pStyle w:val="TextBody"/>
        <w:spacing w:before="0" w:after="0"/>
        <w:jc w:val="left"/>
        <w:rPr>
          <w:color w:val="000000"/>
        </w:rPr>
      </w:pPr>
      <w:r>
        <w:rPr>
          <w:color w:val="000000"/>
        </w:rPr>
        <w:t> </w:t>
      </w:r>
    </w:p>
    <w:tbl>
      <w:tblPr>
        <w:tblW w:w="9010" w:type="dxa"/>
        <w:jc w:val="left"/>
        <w:tblInd w:w="0" w:type="dxa"/>
        <w:tblCellMar>
          <w:top w:w="0" w:type="dxa"/>
          <w:left w:w="0" w:type="dxa"/>
          <w:bottom w:w="0" w:type="dxa"/>
          <w:right w:w="0" w:type="dxa"/>
        </w:tblCellMar>
      </w:tblPr>
      <w:tblGrid>
        <w:gridCol w:w="125"/>
        <w:gridCol w:w="8885"/>
      </w:tblGrid>
      <w:tr>
        <w:trPr/>
        <w:tc>
          <w:tcPr>
            <w:tcW w:w="125" w:type="dxa"/>
            <w:tcBorders/>
            <w:shd w:fill="auto" w:val="clear"/>
            <w:vAlign w:val="center"/>
          </w:tcPr>
          <w:p>
            <w:pPr>
              <w:pStyle w:val="TableContents"/>
              <w:spacing w:before="0" w:after="283"/>
              <w:rPr/>
            </w:pPr>
            <w:r>
              <w:rPr/>
              <w:t>•</w:t>
            </w:r>
          </w:p>
        </w:tc>
        <w:tc>
          <w:tcPr>
            <w:tcW w:w="8885" w:type="dxa"/>
            <w:tcBorders/>
            <w:shd w:fill="auto" w:val="clear"/>
            <w:vAlign w:val="center"/>
          </w:tcPr>
          <w:p>
            <w:pPr>
              <w:pStyle w:val="TableContents"/>
              <w:spacing w:before="0" w:after="0"/>
              <w:jc w:val="both"/>
              <w:rPr/>
            </w:pPr>
            <w:r>
              <w:rPr/>
              <w:t>the cost of effecting sales and repurchases of shares of our common stock and other securities;</w:t>
            </w:r>
          </w:p>
        </w:tc>
      </w:tr>
    </w:tbl>
    <w:p>
      <w:pPr>
        <w:pStyle w:val="TextBody"/>
        <w:spacing w:before="0" w:after="0"/>
        <w:rPr/>
      </w:pPr>
      <w:r>
        <w:rPr/>
      </w:r>
    </w:p>
    <w:tbl>
      <w:tblPr>
        <w:tblW w:w="6775" w:type="dxa"/>
        <w:jc w:val="left"/>
        <w:tblInd w:w="0" w:type="dxa"/>
        <w:tblCellMar>
          <w:top w:w="0" w:type="dxa"/>
          <w:left w:w="0" w:type="dxa"/>
          <w:bottom w:w="0" w:type="dxa"/>
          <w:right w:w="0" w:type="dxa"/>
        </w:tblCellMar>
      </w:tblPr>
      <w:tblGrid>
        <w:gridCol w:w="125"/>
        <w:gridCol w:w="6650"/>
      </w:tblGrid>
      <w:tr>
        <w:trPr/>
        <w:tc>
          <w:tcPr>
            <w:tcW w:w="125" w:type="dxa"/>
            <w:tcBorders/>
            <w:shd w:fill="auto" w:val="clear"/>
            <w:vAlign w:val="center"/>
          </w:tcPr>
          <w:p>
            <w:pPr>
              <w:pStyle w:val="TableContents"/>
              <w:spacing w:before="0" w:after="283"/>
              <w:rPr/>
            </w:pPr>
            <w:r>
              <w:rPr/>
              <w:t>•</w:t>
            </w:r>
          </w:p>
        </w:tc>
        <w:tc>
          <w:tcPr>
            <w:tcW w:w="6650" w:type="dxa"/>
            <w:tcBorders/>
            <w:shd w:fill="auto" w:val="clear"/>
            <w:vAlign w:val="center"/>
          </w:tcPr>
          <w:p>
            <w:pPr>
              <w:pStyle w:val="TableContents"/>
              <w:spacing w:before="0" w:after="0"/>
              <w:jc w:val="both"/>
              <w:rPr/>
            </w:pPr>
            <w:r>
              <w:rPr/>
              <w:t>fees and expenses payable under any underwriting agreements, if any;</w:t>
            </w:r>
          </w:p>
        </w:tc>
      </w:tr>
    </w:tbl>
    <w:p>
      <w:pPr>
        <w:pStyle w:val="TextBody"/>
        <w:spacing w:before="0" w:after="0"/>
        <w:jc w:val="left"/>
        <w:rPr>
          <w:color w:val="000000"/>
        </w:rPr>
      </w:pPr>
      <w:r>
        <w:rPr>
          <w:color w:val="000000"/>
        </w:rPr>
        <w:t> </w:t>
      </w:r>
    </w:p>
    <w:tbl>
      <w:tblPr>
        <w:tblW w:w="7270" w:type="dxa"/>
        <w:jc w:val="left"/>
        <w:tblInd w:w="0" w:type="dxa"/>
        <w:tblCellMar>
          <w:top w:w="0" w:type="dxa"/>
          <w:left w:w="0" w:type="dxa"/>
          <w:bottom w:w="0" w:type="dxa"/>
          <w:right w:w="0" w:type="dxa"/>
        </w:tblCellMar>
      </w:tblPr>
      <w:tblGrid>
        <w:gridCol w:w="125"/>
        <w:gridCol w:w="7145"/>
      </w:tblGrid>
      <w:tr>
        <w:trPr/>
        <w:tc>
          <w:tcPr>
            <w:tcW w:w="125" w:type="dxa"/>
            <w:tcBorders/>
            <w:shd w:fill="auto" w:val="clear"/>
            <w:vAlign w:val="center"/>
          </w:tcPr>
          <w:p>
            <w:pPr>
              <w:pStyle w:val="TableContents"/>
              <w:spacing w:before="0" w:after="283"/>
              <w:rPr/>
            </w:pPr>
            <w:r>
              <w:rPr/>
              <w:t>•</w:t>
            </w:r>
          </w:p>
        </w:tc>
        <w:tc>
          <w:tcPr>
            <w:tcW w:w="7145" w:type="dxa"/>
            <w:tcBorders/>
            <w:shd w:fill="auto" w:val="clear"/>
            <w:vAlign w:val="center"/>
          </w:tcPr>
          <w:p>
            <w:pPr>
              <w:pStyle w:val="TableContents"/>
              <w:spacing w:before="0" w:after="0"/>
              <w:jc w:val="both"/>
              <w:rPr/>
            </w:pPr>
            <w:r>
              <w:rPr/>
              <w:t>debt service and other costs of borrowings or other financing arrangements;</w:t>
            </w:r>
          </w:p>
        </w:tc>
      </w:tr>
    </w:tbl>
    <w:p>
      <w:pPr>
        <w:pStyle w:val="TextBody"/>
        <w:spacing w:before="0" w:after="0"/>
        <w:jc w:val="left"/>
        <w:rPr>
          <w:color w:val="000000"/>
        </w:rPr>
      </w:pPr>
      <w:r>
        <w:rPr>
          <w:color w:val="000000"/>
        </w:rPr>
        <w:t> </w:t>
      </w:r>
    </w:p>
    <w:tbl>
      <w:tblPr>
        <w:tblW w:w="1765" w:type="dxa"/>
        <w:jc w:val="left"/>
        <w:tblInd w:w="0" w:type="dxa"/>
        <w:tblCellMar>
          <w:top w:w="0" w:type="dxa"/>
          <w:left w:w="0" w:type="dxa"/>
          <w:bottom w:w="0" w:type="dxa"/>
          <w:right w:w="0" w:type="dxa"/>
        </w:tblCellMar>
      </w:tblPr>
      <w:tblGrid>
        <w:gridCol w:w="125"/>
        <w:gridCol w:w="1640"/>
      </w:tblGrid>
      <w:tr>
        <w:trPr/>
        <w:tc>
          <w:tcPr>
            <w:tcW w:w="125" w:type="dxa"/>
            <w:tcBorders/>
            <w:shd w:fill="auto" w:val="clear"/>
            <w:vAlign w:val="center"/>
          </w:tcPr>
          <w:p>
            <w:pPr>
              <w:pStyle w:val="TableContents"/>
              <w:spacing w:before="0" w:after="283"/>
              <w:rPr/>
            </w:pPr>
            <w:r>
              <w:rPr/>
              <w:t>•</w:t>
            </w:r>
          </w:p>
        </w:tc>
        <w:tc>
          <w:tcPr>
            <w:tcW w:w="1640" w:type="dxa"/>
            <w:tcBorders/>
            <w:shd w:fill="auto" w:val="clear"/>
            <w:vAlign w:val="center"/>
          </w:tcPr>
          <w:p>
            <w:pPr>
              <w:pStyle w:val="TableContents"/>
              <w:spacing w:before="0" w:after="0"/>
              <w:jc w:val="both"/>
              <w:rPr/>
            </w:pPr>
            <w:r>
              <w:rPr/>
              <w:t>costs of hedging;</w:t>
            </w:r>
          </w:p>
        </w:tc>
      </w:tr>
    </w:tbl>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125"/>
        <w:gridCol w:w="10414"/>
      </w:tblGrid>
      <w:tr>
        <w:trPr/>
        <w:tc>
          <w:tcPr>
            <w:tcW w:w="125" w:type="dxa"/>
            <w:tcBorders/>
            <w:shd w:fill="auto" w:val="clear"/>
            <w:vAlign w:val="center"/>
          </w:tcPr>
          <w:p>
            <w:pPr>
              <w:pStyle w:val="TableContents"/>
              <w:spacing w:before="0" w:after="283"/>
              <w:rPr/>
            </w:pPr>
            <w:r>
              <w:rPr/>
              <w:t>•</w:t>
            </w:r>
          </w:p>
        </w:tc>
        <w:tc>
          <w:tcPr>
            <w:tcW w:w="10414" w:type="dxa"/>
            <w:tcBorders/>
            <w:shd w:fill="auto" w:val="clear"/>
            <w:vAlign w:val="center"/>
          </w:tcPr>
          <w:p>
            <w:pPr>
              <w:pStyle w:val="TableContents"/>
              <w:spacing w:before="0" w:after="0"/>
              <w:jc w:val="both"/>
              <w:rPr/>
            </w:pPr>
            <w:r>
              <w:rPr/>
              <w:t>expenses, including travel expenses, incurred by the Adviser, or members of the investment team, or payable to third-parties, performing due diligence on prospective portfolio companies and, if necessary, enforcing our rights;</w:t>
            </w:r>
          </w:p>
        </w:tc>
      </w:tr>
    </w:tbl>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SILVER SPIKE INVESTMENT CORP.</w:t>
      </w:r>
    </w:p>
    <w:p>
      <w:pPr>
        <w:pStyle w:val="TextBody"/>
        <w:spacing w:before="0" w:after="0"/>
        <w:jc w:val="left"/>
        <w:rPr/>
      </w:pPr>
      <w:r>
        <w:rPr/>
      </w:r>
    </w:p>
    <w:tbl>
      <w:tblPr>
        <w:tblW w:w="8575" w:type="dxa"/>
        <w:jc w:val="left"/>
        <w:tblInd w:w="0" w:type="dxa"/>
        <w:tblCellMar>
          <w:top w:w="0" w:type="dxa"/>
          <w:left w:w="0" w:type="dxa"/>
          <w:bottom w:w="0" w:type="dxa"/>
          <w:right w:w="0" w:type="dxa"/>
        </w:tblCellMar>
      </w:tblPr>
      <w:tblGrid>
        <w:gridCol w:w="125"/>
        <w:gridCol w:w="8450"/>
      </w:tblGrid>
      <w:tr>
        <w:trPr/>
        <w:tc>
          <w:tcPr>
            <w:tcW w:w="125" w:type="dxa"/>
            <w:tcBorders/>
            <w:shd w:fill="auto" w:val="clear"/>
            <w:vAlign w:val="center"/>
          </w:tcPr>
          <w:p>
            <w:pPr>
              <w:pStyle w:val="TableContents"/>
              <w:spacing w:before="0" w:after="283"/>
              <w:rPr/>
            </w:pPr>
            <w:r>
              <w:rPr/>
              <w:t>•</w:t>
            </w:r>
          </w:p>
        </w:tc>
        <w:tc>
          <w:tcPr>
            <w:tcW w:w="8450" w:type="dxa"/>
            <w:tcBorders/>
            <w:shd w:fill="auto" w:val="clear"/>
            <w:vAlign w:val="center"/>
          </w:tcPr>
          <w:p>
            <w:pPr>
              <w:pStyle w:val="TableContents"/>
              <w:spacing w:before="0" w:after="0"/>
              <w:jc w:val="both"/>
              <w:rPr/>
            </w:pPr>
            <w:r>
              <w:rPr/>
              <w:t>management and incentive fees payable pursuant to the Investment Advisory Agreement;</w:t>
            </w:r>
          </w:p>
        </w:tc>
      </w:tr>
    </w:tbl>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125"/>
        <w:gridCol w:w="10414"/>
      </w:tblGrid>
      <w:tr>
        <w:trPr/>
        <w:tc>
          <w:tcPr>
            <w:tcW w:w="125" w:type="dxa"/>
            <w:tcBorders/>
            <w:shd w:fill="auto" w:val="clear"/>
            <w:vAlign w:val="center"/>
          </w:tcPr>
          <w:p>
            <w:pPr>
              <w:pStyle w:val="TableContents"/>
              <w:spacing w:before="0" w:after="283"/>
              <w:rPr/>
            </w:pPr>
            <w:r>
              <w:rPr/>
              <w:t>•</w:t>
            </w:r>
          </w:p>
        </w:tc>
        <w:tc>
          <w:tcPr>
            <w:tcW w:w="10414" w:type="dxa"/>
            <w:tcBorders/>
            <w:shd w:fill="auto" w:val="clear"/>
            <w:vAlign w:val="center"/>
          </w:tcPr>
          <w:p>
            <w:pPr>
              <w:pStyle w:val="TableContents"/>
              <w:spacing w:before="0" w:after="0"/>
              <w:jc w:val="both"/>
              <w:rPr/>
            </w:pPr>
            <w:r>
              <w:rPr/>
              <w:t>fees payable to third-parties relating to, or associated with, making investments and valuing investments (including third-party valuation firms);</w:t>
            </w:r>
          </w:p>
        </w:tc>
      </w:tr>
    </w:tbl>
    <w:p>
      <w:pPr>
        <w:pStyle w:val="TextBody"/>
        <w:spacing w:before="0" w:after="0"/>
        <w:jc w:val="left"/>
        <w:rPr>
          <w:color w:val="000000"/>
        </w:rPr>
      </w:pPr>
      <w:r>
        <w:rPr>
          <w:color w:val="000000"/>
        </w:rPr>
        <w:t> </w:t>
      </w:r>
    </w:p>
    <w:tbl>
      <w:tblPr>
        <w:tblW w:w="7315" w:type="dxa"/>
        <w:jc w:val="left"/>
        <w:tblInd w:w="0" w:type="dxa"/>
        <w:tblCellMar>
          <w:top w:w="0" w:type="dxa"/>
          <w:left w:w="0" w:type="dxa"/>
          <w:bottom w:w="0" w:type="dxa"/>
          <w:right w:w="0" w:type="dxa"/>
        </w:tblCellMar>
      </w:tblPr>
      <w:tblGrid>
        <w:gridCol w:w="125"/>
        <w:gridCol w:w="7190"/>
      </w:tblGrid>
      <w:tr>
        <w:trPr/>
        <w:tc>
          <w:tcPr>
            <w:tcW w:w="125" w:type="dxa"/>
            <w:tcBorders/>
            <w:shd w:fill="auto" w:val="clear"/>
            <w:vAlign w:val="center"/>
          </w:tcPr>
          <w:p>
            <w:pPr>
              <w:pStyle w:val="TableContents"/>
              <w:spacing w:before="0" w:after="283"/>
              <w:rPr/>
            </w:pPr>
            <w:r>
              <w:rPr/>
              <w:t>•</w:t>
            </w:r>
          </w:p>
        </w:tc>
        <w:tc>
          <w:tcPr>
            <w:tcW w:w="7190" w:type="dxa"/>
            <w:tcBorders/>
            <w:shd w:fill="auto" w:val="clear"/>
            <w:vAlign w:val="center"/>
          </w:tcPr>
          <w:p>
            <w:pPr>
              <w:pStyle w:val="TableContents"/>
              <w:spacing w:before="0" w:after="0"/>
              <w:jc w:val="both"/>
              <w:rPr/>
            </w:pPr>
            <w:r>
              <w:rPr/>
              <w:t>costs, including legal fees, associated with compliance under cannabis laws;</w:t>
            </w:r>
          </w:p>
        </w:tc>
      </w:tr>
    </w:tbl>
    <w:p>
      <w:pPr>
        <w:pStyle w:val="TextBody"/>
        <w:spacing w:before="0" w:after="0"/>
        <w:jc w:val="left"/>
        <w:rPr>
          <w:color w:val="000000"/>
        </w:rPr>
      </w:pPr>
      <w:r>
        <w:rPr>
          <w:color w:val="000000"/>
        </w:rPr>
        <w:t> </w:t>
      </w:r>
    </w:p>
    <w:tbl>
      <w:tblPr>
        <w:tblW w:w="3235" w:type="dxa"/>
        <w:jc w:val="left"/>
        <w:tblInd w:w="0" w:type="dxa"/>
        <w:tblCellMar>
          <w:top w:w="0" w:type="dxa"/>
          <w:left w:w="0" w:type="dxa"/>
          <w:bottom w:w="0" w:type="dxa"/>
          <w:right w:w="0" w:type="dxa"/>
        </w:tblCellMar>
      </w:tblPr>
      <w:tblGrid>
        <w:gridCol w:w="125"/>
        <w:gridCol w:w="3110"/>
      </w:tblGrid>
      <w:tr>
        <w:trPr/>
        <w:tc>
          <w:tcPr>
            <w:tcW w:w="125" w:type="dxa"/>
            <w:tcBorders/>
            <w:shd w:fill="auto" w:val="clear"/>
            <w:vAlign w:val="center"/>
          </w:tcPr>
          <w:p>
            <w:pPr>
              <w:pStyle w:val="TableContents"/>
              <w:spacing w:before="0" w:after="283"/>
              <w:rPr/>
            </w:pPr>
            <w:r>
              <w:rPr/>
              <w:t>•</w:t>
            </w:r>
          </w:p>
        </w:tc>
        <w:tc>
          <w:tcPr>
            <w:tcW w:w="3110" w:type="dxa"/>
            <w:tcBorders/>
            <w:shd w:fill="auto" w:val="clear"/>
            <w:vAlign w:val="center"/>
          </w:tcPr>
          <w:p>
            <w:pPr>
              <w:pStyle w:val="TableContents"/>
              <w:spacing w:before="0" w:after="0"/>
              <w:jc w:val="both"/>
              <w:rPr/>
            </w:pPr>
            <w:r>
              <w:rPr/>
              <w:t>transfer agent and custodial fees;</w:t>
            </w:r>
          </w:p>
        </w:tc>
      </w:tr>
    </w:tbl>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125"/>
        <w:gridCol w:w="10414"/>
      </w:tblGrid>
      <w:tr>
        <w:trPr/>
        <w:tc>
          <w:tcPr>
            <w:tcW w:w="125" w:type="dxa"/>
            <w:tcBorders/>
            <w:shd w:fill="auto" w:val="clear"/>
            <w:vAlign w:val="center"/>
          </w:tcPr>
          <w:p>
            <w:pPr>
              <w:pStyle w:val="TableContents"/>
              <w:spacing w:before="0" w:after="283"/>
              <w:rPr/>
            </w:pPr>
            <w:r>
              <w:rPr/>
              <w:t>•</w:t>
            </w:r>
          </w:p>
        </w:tc>
        <w:tc>
          <w:tcPr>
            <w:tcW w:w="10414" w:type="dxa"/>
            <w:tcBorders/>
            <w:shd w:fill="auto" w:val="clear"/>
            <w:vAlign w:val="center"/>
          </w:tcPr>
          <w:p>
            <w:pPr>
              <w:pStyle w:val="TableContents"/>
              <w:spacing w:before="0" w:after="0"/>
              <w:jc w:val="both"/>
              <w:rPr/>
            </w:pPr>
            <w:r>
              <w:rPr/>
              <w:t>fees and expenses associated with marketing efforts (including attendance at industry and investor conferences and similar events);</w:t>
            </w:r>
          </w:p>
        </w:tc>
      </w:tr>
    </w:tbl>
    <w:p>
      <w:pPr>
        <w:pStyle w:val="TextBody"/>
        <w:spacing w:before="0" w:after="0"/>
        <w:jc w:val="left"/>
        <w:rPr>
          <w:color w:val="000000"/>
        </w:rPr>
      </w:pPr>
      <w:r>
        <w:rPr>
          <w:color w:val="000000"/>
        </w:rPr>
        <w:t> </w:t>
      </w:r>
    </w:p>
    <w:tbl>
      <w:tblPr>
        <w:tblW w:w="3295" w:type="dxa"/>
        <w:jc w:val="left"/>
        <w:tblInd w:w="0" w:type="dxa"/>
        <w:tblCellMar>
          <w:top w:w="0" w:type="dxa"/>
          <w:left w:w="0" w:type="dxa"/>
          <w:bottom w:w="0" w:type="dxa"/>
          <w:right w:w="0" w:type="dxa"/>
        </w:tblCellMar>
      </w:tblPr>
      <w:tblGrid>
        <w:gridCol w:w="125"/>
        <w:gridCol w:w="3170"/>
      </w:tblGrid>
      <w:tr>
        <w:trPr/>
        <w:tc>
          <w:tcPr>
            <w:tcW w:w="125" w:type="dxa"/>
            <w:tcBorders/>
            <w:shd w:fill="auto" w:val="clear"/>
            <w:vAlign w:val="center"/>
          </w:tcPr>
          <w:p>
            <w:pPr>
              <w:pStyle w:val="TableContents"/>
              <w:spacing w:before="0" w:after="283"/>
              <w:rPr/>
            </w:pPr>
            <w:r>
              <w:rPr/>
              <w:t>•</w:t>
            </w:r>
          </w:p>
        </w:tc>
        <w:tc>
          <w:tcPr>
            <w:tcW w:w="3170" w:type="dxa"/>
            <w:tcBorders/>
            <w:shd w:fill="auto" w:val="clear"/>
            <w:vAlign w:val="center"/>
          </w:tcPr>
          <w:p>
            <w:pPr>
              <w:pStyle w:val="TableContents"/>
              <w:spacing w:before="0" w:after="0"/>
              <w:jc w:val="both"/>
              <w:rPr/>
            </w:pPr>
            <w:r>
              <w:rPr/>
              <w:t>federal and state registration fees;</w:t>
            </w:r>
          </w:p>
        </w:tc>
      </w:tr>
    </w:tbl>
    <w:p>
      <w:pPr>
        <w:pStyle w:val="TextBody"/>
        <w:spacing w:before="0" w:after="0"/>
        <w:jc w:val="left"/>
        <w:rPr>
          <w:color w:val="000000"/>
        </w:rPr>
      </w:pPr>
      <w:r>
        <w:rPr>
          <w:color w:val="000000"/>
        </w:rPr>
        <w:t> </w:t>
      </w:r>
    </w:p>
    <w:tbl>
      <w:tblPr>
        <w:tblW w:w="5935" w:type="dxa"/>
        <w:jc w:val="left"/>
        <w:tblInd w:w="0" w:type="dxa"/>
        <w:tblCellMar>
          <w:top w:w="0" w:type="dxa"/>
          <w:left w:w="0" w:type="dxa"/>
          <w:bottom w:w="0" w:type="dxa"/>
          <w:right w:w="0" w:type="dxa"/>
        </w:tblCellMar>
      </w:tblPr>
      <w:tblGrid>
        <w:gridCol w:w="125"/>
        <w:gridCol w:w="5810"/>
      </w:tblGrid>
      <w:tr>
        <w:trPr/>
        <w:tc>
          <w:tcPr>
            <w:tcW w:w="125" w:type="dxa"/>
            <w:tcBorders/>
            <w:shd w:fill="auto" w:val="clear"/>
            <w:vAlign w:val="center"/>
          </w:tcPr>
          <w:p>
            <w:pPr>
              <w:pStyle w:val="TableContents"/>
              <w:spacing w:before="0" w:after="283"/>
              <w:rPr/>
            </w:pPr>
            <w:r>
              <w:rPr/>
              <w:t>•</w:t>
            </w:r>
          </w:p>
        </w:tc>
        <w:tc>
          <w:tcPr>
            <w:tcW w:w="5810" w:type="dxa"/>
            <w:tcBorders/>
            <w:shd w:fill="auto" w:val="clear"/>
            <w:vAlign w:val="center"/>
          </w:tcPr>
          <w:p>
            <w:pPr>
              <w:pStyle w:val="TableContents"/>
              <w:spacing w:before="0" w:after="0"/>
              <w:jc w:val="both"/>
              <w:rPr/>
            </w:pPr>
            <w:r>
              <w:rPr/>
              <w:t>any exchange listing fees and fees payable to rating agencies;</w:t>
            </w:r>
          </w:p>
        </w:tc>
      </w:tr>
    </w:tbl>
    <w:p>
      <w:pPr>
        <w:pStyle w:val="TextBody"/>
        <w:spacing w:before="0" w:after="0"/>
        <w:jc w:val="left"/>
        <w:rPr>
          <w:color w:val="000000"/>
        </w:rPr>
      </w:pPr>
      <w:r>
        <w:rPr>
          <w:color w:val="000000"/>
        </w:rPr>
        <w:t> </w:t>
      </w:r>
    </w:p>
    <w:tbl>
      <w:tblPr>
        <w:tblW w:w="2860" w:type="dxa"/>
        <w:jc w:val="left"/>
        <w:tblInd w:w="0" w:type="dxa"/>
        <w:tblCellMar>
          <w:top w:w="0" w:type="dxa"/>
          <w:left w:w="0" w:type="dxa"/>
          <w:bottom w:w="0" w:type="dxa"/>
          <w:right w:w="0" w:type="dxa"/>
        </w:tblCellMar>
      </w:tblPr>
      <w:tblGrid>
        <w:gridCol w:w="125"/>
        <w:gridCol w:w="2735"/>
      </w:tblGrid>
      <w:tr>
        <w:trPr/>
        <w:tc>
          <w:tcPr>
            <w:tcW w:w="125" w:type="dxa"/>
            <w:tcBorders/>
            <w:shd w:fill="auto" w:val="clear"/>
            <w:vAlign w:val="center"/>
          </w:tcPr>
          <w:p>
            <w:pPr>
              <w:pStyle w:val="TableContents"/>
              <w:spacing w:before="0" w:after="283"/>
              <w:rPr/>
            </w:pPr>
            <w:r>
              <w:rPr/>
              <w:t>•</w:t>
            </w:r>
          </w:p>
        </w:tc>
        <w:tc>
          <w:tcPr>
            <w:tcW w:w="2735" w:type="dxa"/>
            <w:tcBorders/>
            <w:shd w:fill="auto" w:val="clear"/>
            <w:vAlign w:val="center"/>
          </w:tcPr>
          <w:p>
            <w:pPr>
              <w:pStyle w:val="TableContents"/>
              <w:spacing w:before="0" w:after="0"/>
              <w:jc w:val="both"/>
              <w:rPr/>
            </w:pPr>
            <w:r>
              <w:rPr/>
              <w:t>federal, state and local taxes;</w:t>
            </w:r>
          </w:p>
        </w:tc>
      </w:tr>
    </w:tbl>
    <w:p>
      <w:pPr>
        <w:pStyle w:val="TextBody"/>
        <w:spacing w:before="0" w:after="0"/>
        <w:jc w:val="left"/>
        <w:rPr>
          <w:color w:val="000000"/>
        </w:rPr>
      </w:pPr>
      <w:r>
        <w:rPr>
          <w:color w:val="000000"/>
        </w:rPr>
        <w:t> </w:t>
      </w:r>
    </w:p>
    <w:tbl>
      <w:tblPr>
        <w:tblW w:w="6580" w:type="dxa"/>
        <w:jc w:val="left"/>
        <w:tblInd w:w="0" w:type="dxa"/>
        <w:tblCellMar>
          <w:top w:w="0" w:type="dxa"/>
          <w:left w:w="0" w:type="dxa"/>
          <w:bottom w:w="0" w:type="dxa"/>
          <w:right w:w="0" w:type="dxa"/>
        </w:tblCellMar>
      </w:tblPr>
      <w:tblGrid>
        <w:gridCol w:w="125"/>
        <w:gridCol w:w="6455"/>
      </w:tblGrid>
      <w:tr>
        <w:trPr/>
        <w:tc>
          <w:tcPr>
            <w:tcW w:w="125" w:type="dxa"/>
            <w:tcBorders/>
            <w:shd w:fill="auto" w:val="clear"/>
            <w:vAlign w:val="center"/>
          </w:tcPr>
          <w:p>
            <w:pPr>
              <w:pStyle w:val="TableContents"/>
              <w:spacing w:before="0" w:after="283"/>
              <w:rPr/>
            </w:pPr>
            <w:r>
              <w:rPr/>
              <w:t>•</w:t>
            </w:r>
          </w:p>
        </w:tc>
        <w:tc>
          <w:tcPr>
            <w:tcW w:w="6455" w:type="dxa"/>
            <w:tcBorders/>
            <w:shd w:fill="auto" w:val="clear"/>
            <w:vAlign w:val="center"/>
          </w:tcPr>
          <w:p>
            <w:pPr>
              <w:pStyle w:val="TableContents"/>
              <w:spacing w:before="0" w:after="0"/>
              <w:jc w:val="both"/>
              <w:rPr/>
            </w:pPr>
            <w:r>
              <w:rPr/>
              <w:t>independent directors’ fees and expenses, including travel expenses;</w:t>
            </w:r>
          </w:p>
        </w:tc>
      </w:tr>
    </w:tbl>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125"/>
        <w:gridCol w:w="10414"/>
      </w:tblGrid>
      <w:tr>
        <w:trPr/>
        <w:tc>
          <w:tcPr>
            <w:tcW w:w="125" w:type="dxa"/>
            <w:tcBorders/>
            <w:shd w:fill="auto" w:val="clear"/>
            <w:vAlign w:val="center"/>
          </w:tcPr>
          <w:p>
            <w:pPr>
              <w:pStyle w:val="TableContents"/>
              <w:spacing w:before="0" w:after="283"/>
              <w:rPr/>
            </w:pPr>
            <w:r>
              <w:rPr/>
              <w:t>•</w:t>
            </w:r>
          </w:p>
        </w:tc>
        <w:tc>
          <w:tcPr>
            <w:tcW w:w="10414" w:type="dxa"/>
            <w:tcBorders/>
            <w:shd w:fill="auto" w:val="clear"/>
            <w:vAlign w:val="center"/>
          </w:tcPr>
          <w:p>
            <w:pPr>
              <w:pStyle w:val="TableContents"/>
              <w:spacing w:before="0" w:after="0"/>
              <w:jc w:val="both"/>
              <w:rPr/>
            </w:pPr>
            <w:r>
              <w:rPr/>
              <w:t>cost of preparing financial statements and maintaining books and records and filing reports or other documents with the SEC (or other regulatory bodies) and other reporting and compliance costs, and the compensation of professionals responsible for the preparation of the foregoing;</w:t>
            </w:r>
          </w:p>
        </w:tc>
      </w:tr>
    </w:tbl>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125"/>
        <w:gridCol w:w="10414"/>
      </w:tblGrid>
      <w:tr>
        <w:trPr/>
        <w:tc>
          <w:tcPr>
            <w:tcW w:w="125" w:type="dxa"/>
            <w:tcBorders/>
            <w:shd w:fill="auto" w:val="clear"/>
            <w:vAlign w:val="center"/>
          </w:tcPr>
          <w:p>
            <w:pPr>
              <w:pStyle w:val="TableContents"/>
              <w:spacing w:before="0" w:after="283"/>
              <w:rPr/>
            </w:pPr>
            <w:r>
              <w:rPr/>
              <w:t>•</w:t>
            </w:r>
          </w:p>
        </w:tc>
        <w:tc>
          <w:tcPr>
            <w:tcW w:w="10414" w:type="dxa"/>
            <w:tcBorders/>
            <w:shd w:fill="auto" w:val="clear"/>
            <w:vAlign w:val="center"/>
          </w:tcPr>
          <w:p>
            <w:pPr>
              <w:pStyle w:val="TableContents"/>
              <w:spacing w:before="0" w:after="0"/>
              <w:jc w:val="both"/>
              <w:rPr/>
            </w:pPr>
            <w:r>
              <w:rPr/>
              <w:t>the cost of any reports, proxy statements or other notices to our stockholders (including printing and mailing costs), the costs of any stockholder or director meetings and the compensation of investor relations personnel responsible for the preparation of the foregoing and related matters;</w:t>
            </w:r>
          </w:p>
        </w:tc>
      </w:tr>
    </w:tbl>
    <w:p>
      <w:pPr>
        <w:pStyle w:val="TextBody"/>
        <w:spacing w:before="0" w:after="0"/>
        <w:jc w:val="left"/>
        <w:rPr>
          <w:color w:val="000000"/>
        </w:rPr>
      </w:pPr>
      <w:r>
        <w:rPr>
          <w:color w:val="000000"/>
        </w:rPr>
        <w:t> </w:t>
      </w:r>
    </w:p>
    <w:tbl>
      <w:tblPr>
        <w:tblW w:w="7525" w:type="dxa"/>
        <w:jc w:val="left"/>
        <w:tblInd w:w="0" w:type="dxa"/>
        <w:tblCellMar>
          <w:top w:w="0" w:type="dxa"/>
          <w:left w:w="0" w:type="dxa"/>
          <w:bottom w:w="0" w:type="dxa"/>
          <w:right w:w="0" w:type="dxa"/>
        </w:tblCellMar>
      </w:tblPr>
      <w:tblGrid>
        <w:gridCol w:w="125"/>
        <w:gridCol w:w="7400"/>
      </w:tblGrid>
      <w:tr>
        <w:trPr/>
        <w:tc>
          <w:tcPr>
            <w:tcW w:w="125" w:type="dxa"/>
            <w:tcBorders/>
            <w:shd w:fill="auto" w:val="clear"/>
            <w:vAlign w:val="center"/>
          </w:tcPr>
          <w:p>
            <w:pPr>
              <w:pStyle w:val="TableContents"/>
              <w:spacing w:before="0" w:after="283"/>
              <w:rPr/>
            </w:pPr>
            <w:r>
              <w:rPr/>
              <w:t>•</w:t>
            </w:r>
          </w:p>
        </w:tc>
        <w:tc>
          <w:tcPr>
            <w:tcW w:w="7400" w:type="dxa"/>
            <w:tcBorders/>
            <w:shd w:fill="auto" w:val="clear"/>
            <w:vAlign w:val="center"/>
          </w:tcPr>
          <w:p>
            <w:pPr>
              <w:pStyle w:val="TableContents"/>
              <w:spacing w:before="0" w:after="0"/>
              <w:jc w:val="both"/>
              <w:rPr/>
            </w:pPr>
            <w:r>
              <w:rPr/>
              <w:t>brokerage commissions and other compensation payable to brokers or dealers;</w:t>
            </w:r>
          </w:p>
        </w:tc>
      </w:tr>
    </w:tbl>
    <w:p>
      <w:pPr>
        <w:pStyle w:val="TextBody"/>
        <w:spacing w:before="0" w:after="0"/>
        <w:jc w:val="left"/>
        <w:rPr>
          <w:color w:val="000000"/>
        </w:rPr>
      </w:pPr>
      <w:r>
        <w:rPr>
          <w:color w:val="000000"/>
        </w:rPr>
        <w:t> </w:t>
      </w:r>
    </w:p>
    <w:tbl>
      <w:tblPr>
        <w:tblW w:w="2560" w:type="dxa"/>
        <w:jc w:val="left"/>
        <w:tblInd w:w="0" w:type="dxa"/>
        <w:tblCellMar>
          <w:top w:w="0" w:type="dxa"/>
          <w:left w:w="0" w:type="dxa"/>
          <w:bottom w:w="0" w:type="dxa"/>
          <w:right w:w="0" w:type="dxa"/>
        </w:tblCellMar>
      </w:tblPr>
      <w:tblGrid>
        <w:gridCol w:w="125"/>
        <w:gridCol w:w="2435"/>
      </w:tblGrid>
      <w:tr>
        <w:trPr/>
        <w:tc>
          <w:tcPr>
            <w:tcW w:w="125" w:type="dxa"/>
            <w:tcBorders/>
            <w:shd w:fill="auto" w:val="clear"/>
            <w:vAlign w:val="center"/>
          </w:tcPr>
          <w:p>
            <w:pPr>
              <w:pStyle w:val="TableContents"/>
              <w:spacing w:before="0" w:after="283"/>
              <w:rPr/>
            </w:pPr>
            <w:r>
              <w:rPr/>
              <w:t>•</w:t>
            </w:r>
          </w:p>
        </w:tc>
        <w:tc>
          <w:tcPr>
            <w:tcW w:w="2435" w:type="dxa"/>
            <w:tcBorders/>
            <w:shd w:fill="auto" w:val="clear"/>
            <w:vAlign w:val="center"/>
          </w:tcPr>
          <w:p>
            <w:pPr>
              <w:pStyle w:val="TableContents"/>
              <w:spacing w:before="0" w:after="0"/>
              <w:jc w:val="both"/>
              <w:rPr/>
            </w:pPr>
            <w:r>
              <w:rPr/>
              <w:t>research and market data;</w:t>
            </w:r>
          </w:p>
        </w:tc>
      </w:tr>
    </w:tbl>
    <w:p>
      <w:pPr>
        <w:pStyle w:val="TextBody"/>
        <w:spacing w:before="0" w:after="0"/>
        <w:jc w:val="left"/>
        <w:rPr>
          <w:color w:val="000000"/>
        </w:rPr>
      </w:pPr>
      <w:r>
        <w:rPr>
          <w:color w:val="000000"/>
        </w:rPr>
        <w:t> </w:t>
      </w:r>
    </w:p>
    <w:tbl>
      <w:tblPr>
        <w:tblW w:w="10285" w:type="dxa"/>
        <w:jc w:val="left"/>
        <w:tblInd w:w="0" w:type="dxa"/>
        <w:tblCellMar>
          <w:top w:w="0" w:type="dxa"/>
          <w:left w:w="0" w:type="dxa"/>
          <w:bottom w:w="0" w:type="dxa"/>
          <w:right w:w="0" w:type="dxa"/>
        </w:tblCellMar>
      </w:tblPr>
      <w:tblGrid>
        <w:gridCol w:w="125"/>
        <w:gridCol w:w="10160"/>
      </w:tblGrid>
      <w:tr>
        <w:trPr/>
        <w:tc>
          <w:tcPr>
            <w:tcW w:w="125" w:type="dxa"/>
            <w:tcBorders/>
            <w:shd w:fill="auto" w:val="clear"/>
            <w:vAlign w:val="center"/>
          </w:tcPr>
          <w:p>
            <w:pPr>
              <w:pStyle w:val="TableContents"/>
              <w:spacing w:before="0" w:after="283"/>
              <w:rPr/>
            </w:pPr>
            <w:r>
              <w:rPr/>
              <w:t>•</w:t>
            </w:r>
          </w:p>
        </w:tc>
        <w:tc>
          <w:tcPr>
            <w:tcW w:w="10160" w:type="dxa"/>
            <w:tcBorders/>
            <w:shd w:fill="auto" w:val="clear"/>
            <w:vAlign w:val="center"/>
          </w:tcPr>
          <w:p>
            <w:pPr>
              <w:pStyle w:val="TableContents"/>
              <w:spacing w:before="0" w:after="0"/>
              <w:jc w:val="both"/>
              <w:rPr/>
            </w:pPr>
            <w:r>
              <w:rPr/>
              <w:t>fidelity bond, directors’ and officers’ errors and omissions liability insurance and other insurance premiums;</w:t>
            </w:r>
          </w:p>
        </w:tc>
      </w:tr>
    </w:tbl>
    <w:p>
      <w:pPr>
        <w:pStyle w:val="TextBody"/>
        <w:spacing w:before="0" w:after="0"/>
        <w:jc w:val="left"/>
        <w:rPr>
          <w:color w:val="000000"/>
        </w:rPr>
      </w:pPr>
      <w:r>
        <w:rPr>
          <w:color w:val="000000"/>
        </w:rPr>
        <w:t> </w:t>
      </w:r>
    </w:p>
    <w:tbl>
      <w:tblPr>
        <w:tblW w:w="7735" w:type="dxa"/>
        <w:jc w:val="left"/>
        <w:tblInd w:w="0" w:type="dxa"/>
        <w:tblCellMar>
          <w:top w:w="0" w:type="dxa"/>
          <w:left w:w="0" w:type="dxa"/>
          <w:bottom w:w="0" w:type="dxa"/>
          <w:right w:w="0" w:type="dxa"/>
        </w:tblCellMar>
      </w:tblPr>
      <w:tblGrid>
        <w:gridCol w:w="125"/>
        <w:gridCol w:w="7610"/>
      </w:tblGrid>
      <w:tr>
        <w:trPr/>
        <w:tc>
          <w:tcPr>
            <w:tcW w:w="125" w:type="dxa"/>
            <w:tcBorders/>
            <w:shd w:fill="auto" w:val="clear"/>
            <w:vAlign w:val="center"/>
          </w:tcPr>
          <w:p>
            <w:pPr>
              <w:pStyle w:val="TableContents"/>
              <w:spacing w:before="0" w:after="283"/>
              <w:rPr/>
            </w:pPr>
            <w:r>
              <w:rPr/>
              <w:t>•</w:t>
            </w:r>
          </w:p>
        </w:tc>
        <w:tc>
          <w:tcPr>
            <w:tcW w:w="7610" w:type="dxa"/>
            <w:tcBorders/>
            <w:shd w:fill="auto" w:val="clear"/>
            <w:vAlign w:val="center"/>
          </w:tcPr>
          <w:p>
            <w:pPr>
              <w:pStyle w:val="TableContents"/>
              <w:spacing w:before="0" w:after="0"/>
              <w:jc w:val="both"/>
              <w:rPr/>
            </w:pPr>
            <w:r>
              <w:rPr/>
              <w:t>direct costs and expenses of administration, including printing, mailing and staff;</w:t>
            </w:r>
          </w:p>
        </w:tc>
      </w:tr>
    </w:tbl>
    <w:p>
      <w:pPr>
        <w:pStyle w:val="TextBody"/>
        <w:spacing w:before="0" w:after="0"/>
        <w:jc w:val="left"/>
        <w:rPr>
          <w:color w:val="000000"/>
        </w:rPr>
      </w:pPr>
      <w:r>
        <w:rPr>
          <w:color w:val="000000"/>
        </w:rPr>
        <w:t> </w:t>
      </w:r>
    </w:p>
    <w:tbl>
      <w:tblPr>
        <w:tblW w:w="8920" w:type="dxa"/>
        <w:jc w:val="left"/>
        <w:tblInd w:w="0" w:type="dxa"/>
        <w:tblCellMar>
          <w:top w:w="0" w:type="dxa"/>
          <w:left w:w="0" w:type="dxa"/>
          <w:bottom w:w="0" w:type="dxa"/>
          <w:right w:w="0" w:type="dxa"/>
        </w:tblCellMar>
      </w:tblPr>
      <w:tblGrid>
        <w:gridCol w:w="125"/>
        <w:gridCol w:w="8795"/>
      </w:tblGrid>
      <w:tr>
        <w:trPr/>
        <w:tc>
          <w:tcPr>
            <w:tcW w:w="125" w:type="dxa"/>
            <w:tcBorders/>
            <w:shd w:fill="auto" w:val="clear"/>
            <w:vAlign w:val="center"/>
          </w:tcPr>
          <w:p>
            <w:pPr>
              <w:pStyle w:val="TableContents"/>
              <w:spacing w:before="0" w:after="283"/>
              <w:rPr/>
            </w:pPr>
            <w:r>
              <w:rPr/>
              <w:t>•</w:t>
            </w:r>
          </w:p>
        </w:tc>
        <w:tc>
          <w:tcPr>
            <w:tcW w:w="8795" w:type="dxa"/>
            <w:tcBorders/>
            <w:shd w:fill="auto" w:val="clear"/>
            <w:vAlign w:val="center"/>
          </w:tcPr>
          <w:p>
            <w:pPr>
              <w:pStyle w:val="TableContents"/>
              <w:spacing w:before="0" w:after="0"/>
              <w:jc w:val="both"/>
              <w:rPr/>
            </w:pPr>
            <w:r>
              <w:rPr/>
              <w:t>fees and expenses associated with independent audits, and outside legal and consulting costs;</w:t>
            </w:r>
          </w:p>
        </w:tc>
      </w:tr>
    </w:tbl>
    <w:p>
      <w:pPr>
        <w:pStyle w:val="TextBody"/>
        <w:spacing w:before="0" w:after="0"/>
        <w:jc w:val="left"/>
        <w:rPr>
          <w:color w:val="000000"/>
        </w:rPr>
      </w:pPr>
      <w:r>
        <w:rPr>
          <w:color w:val="000000"/>
        </w:rPr>
        <w:t> </w:t>
      </w:r>
    </w:p>
    <w:tbl>
      <w:tblPr>
        <w:tblW w:w="2080" w:type="dxa"/>
        <w:jc w:val="left"/>
        <w:tblInd w:w="0" w:type="dxa"/>
        <w:tblCellMar>
          <w:top w:w="0" w:type="dxa"/>
          <w:left w:w="0" w:type="dxa"/>
          <w:bottom w:w="0" w:type="dxa"/>
          <w:right w:w="0" w:type="dxa"/>
        </w:tblCellMar>
      </w:tblPr>
      <w:tblGrid>
        <w:gridCol w:w="125"/>
        <w:gridCol w:w="1955"/>
      </w:tblGrid>
      <w:tr>
        <w:trPr/>
        <w:tc>
          <w:tcPr>
            <w:tcW w:w="125" w:type="dxa"/>
            <w:tcBorders/>
            <w:shd w:fill="auto" w:val="clear"/>
            <w:vAlign w:val="center"/>
          </w:tcPr>
          <w:p>
            <w:pPr>
              <w:pStyle w:val="TableContents"/>
              <w:spacing w:before="0" w:after="283"/>
              <w:rPr/>
            </w:pPr>
            <w:r>
              <w:rPr/>
              <w:t>•</w:t>
            </w:r>
          </w:p>
        </w:tc>
        <w:tc>
          <w:tcPr>
            <w:tcW w:w="1955" w:type="dxa"/>
            <w:tcBorders/>
            <w:shd w:fill="auto" w:val="clear"/>
            <w:vAlign w:val="center"/>
          </w:tcPr>
          <w:p>
            <w:pPr>
              <w:pStyle w:val="TableContents"/>
              <w:spacing w:before="0" w:after="0"/>
              <w:jc w:val="both"/>
              <w:rPr/>
            </w:pPr>
            <w:r>
              <w:rPr/>
              <w:t>costs of winding up;</w:t>
            </w:r>
          </w:p>
        </w:tc>
      </w:tr>
    </w:tbl>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125"/>
        <w:gridCol w:w="10414"/>
      </w:tblGrid>
      <w:tr>
        <w:trPr/>
        <w:tc>
          <w:tcPr>
            <w:tcW w:w="125" w:type="dxa"/>
            <w:tcBorders/>
            <w:shd w:fill="auto" w:val="clear"/>
            <w:vAlign w:val="center"/>
          </w:tcPr>
          <w:p>
            <w:pPr>
              <w:pStyle w:val="TableContents"/>
              <w:spacing w:before="0" w:after="283"/>
              <w:rPr/>
            </w:pPr>
            <w:r>
              <w:rPr/>
              <w:t>•</w:t>
            </w:r>
          </w:p>
        </w:tc>
        <w:tc>
          <w:tcPr>
            <w:tcW w:w="10414" w:type="dxa"/>
            <w:tcBorders/>
            <w:shd w:fill="auto" w:val="clear"/>
            <w:vAlign w:val="center"/>
          </w:tcPr>
          <w:p>
            <w:pPr>
              <w:pStyle w:val="TableContents"/>
              <w:spacing w:before="0" w:after="0"/>
              <w:jc w:val="both"/>
              <w:rPr/>
            </w:pPr>
            <w:r>
              <w:rPr/>
              <w:t>costs incurred in connection with the formation or maintenance of entities or vehicles to hold our assets for tax or other purposes;</w:t>
            </w:r>
          </w:p>
        </w:tc>
      </w:tr>
    </w:tbl>
    <w:p>
      <w:pPr>
        <w:pStyle w:val="TextBody"/>
        <w:spacing w:before="0" w:after="0"/>
        <w:jc w:val="left"/>
        <w:rPr>
          <w:color w:val="000000"/>
        </w:rPr>
      </w:pPr>
      <w:r>
        <w:rPr>
          <w:color w:val="000000"/>
        </w:rPr>
        <w:t> </w:t>
      </w:r>
    </w:p>
    <w:tbl>
      <w:tblPr>
        <w:tblW w:w="6370" w:type="dxa"/>
        <w:jc w:val="left"/>
        <w:tblInd w:w="0" w:type="dxa"/>
        <w:tblCellMar>
          <w:top w:w="0" w:type="dxa"/>
          <w:left w:w="0" w:type="dxa"/>
          <w:bottom w:w="0" w:type="dxa"/>
          <w:right w:w="0" w:type="dxa"/>
        </w:tblCellMar>
      </w:tblPr>
      <w:tblGrid>
        <w:gridCol w:w="125"/>
        <w:gridCol w:w="6245"/>
      </w:tblGrid>
      <w:tr>
        <w:trPr/>
        <w:tc>
          <w:tcPr>
            <w:tcW w:w="125" w:type="dxa"/>
            <w:tcBorders/>
            <w:shd w:fill="auto" w:val="clear"/>
            <w:vAlign w:val="center"/>
          </w:tcPr>
          <w:p>
            <w:pPr>
              <w:pStyle w:val="TableContents"/>
              <w:spacing w:before="0" w:after="283"/>
              <w:rPr/>
            </w:pPr>
            <w:r>
              <w:rPr/>
              <w:t>•</w:t>
            </w:r>
          </w:p>
        </w:tc>
        <w:tc>
          <w:tcPr>
            <w:tcW w:w="6245" w:type="dxa"/>
            <w:tcBorders/>
            <w:shd w:fill="auto" w:val="clear"/>
            <w:vAlign w:val="center"/>
          </w:tcPr>
          <w:p>
            <w:pPr>
              <w:pStyle w:val="TableContents"/>
              <w:spacing w:before="0" w:after="0"/>
              <w:jc w:val="both"/>
              <w:rPr/>
            </w:pPr>
            <w:r>
              <w:rPr/>
              <w:t>extraordinary expenses (such as litigation or indemnification); and</w:t>
            </w:r>
          </w:p>
        </w:tc>
      </w:tr>
    </w:tbl>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125"/>
        <w:gridCol w:w="10414"/>
      </w:tblGrid>
      <w:tr>
        <w:trPr/>
        <w:tc>
          <w:tcPr>
            <w:tcW w:w="125" w:type="dxa"/>
            <w:tcBorders/>
            <w:shd w:fill="auto" w:val="clear"/>
            <w:vAlign w:val="center"/>
          </w:tcPr>
          <w:p>
            <w:pPr>
              <w:pStyle w:val="TableContents"/>
              <w:spacing w:before="0" w:after="283"/>
              <w:rPr/>
            </w:pPr>
            <w:r>
              <w:rPr/>
              <w:t>•</w:t>
            </w:r>
          </w:p>
        </w:tc>
        <w:tc>
          <w:tcPr>
            <w:tcW w:w="10414" w:type="dxa"/>
            <w:tcBorders/>
            <w:shd w:fill="auto" w:val="clear"/>
            <w:vAlign w:val="center"/>
          </w:tcPr>
          <w:p>
            <w:pPr>
              <w:pStyle w:val="TableContents"/>
              <w:spacing w:before="0" w:after="0"/>
              <w:jc w:val="both"/>
              <w:rPr/>
            </w:pPr>
            <w:r>
              <w:rPr/>
              <w:t>costs associated with reporting and compliance obligations under the 1940 Act and applicable federal and state securities laws.</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expect, but cannot assure, that our general and administrative expenses will increase in dollar terms during periods of asset growth, but will decline as a percentage of total assets during such periods.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Hedging</w:t>
      </w:r>
    </w:p>
    <w:p>
      <w:pPr>
        <w:pStyle w:val="TextBody"/>
        <w:spacing w:before="0" w:after="0"/>
        <w:jc w:val="both"/>
        <w:rPr>
          <w:rFonts w:ascii="Times New Roman" w:hAnsi="Times New Roman"/>
          <w:color w:val="000000"/>
          <w:sz w:val="20"/>
        </w:rPr>
      </w:pPr>
      <w:r>
        <w:rPr>
          <w:rFonts w:ascii="Times New Roman" w:hAnsi="Times New Roman"/>
          <w:color w:val="000000"/>
          <w:sz w:val="20"/>
        </w:rPr>
        <w:t>To the extent that any of our investments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futures, options, swaps and forward contracts. Costs incurred in entering into such contracts or in connection with settling them will be borne by us.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Portfolio Composition and Investment Activity</w:t>
      </w:r>
    </w:p>
    <w:p>
      <w:pPr>
        <w:pStyle w:val="TextBody"/>
        <w:spacing w:before="0" w:after="0"/>
        <w:jc w:val="both"/>
        <w:rPr>
          <w:rFonts w:ascii="Times New Roman" w:hAnsi="Times New Roman"/>
          <w:i/>
          <w:color w:val="000000"/>
          <w:sz w:val="20"/>
        </w:rPr>
      </w:pPr>
      <w:r>
        <w:rPr>
          <w:rFonts w:ascii="Times New Roman" w:hAnsi="Times New Roman"/>
          <w:i/>
          <w:color w:val="000000"/>
          <w:sz w:val="20"/>
        </w:rPr>
        <w:t>Portfolio Composition</w:t>
      </w:r>
    </w:p>
    <w:p>
      <w:pPr>
        <w:pStyle w:val="TextBody"/>
        <w:spacing w:before="0" w:after="0"/>
        <w:jc w:val="both"/>
        <w:rPr>
          <w:rFonts w:ascii="Times New Roman" w:hAnsi="Times New Roman"/>
          <w:color w:val="000000"/>
          <w:sz w:val="20"/>
        </w:rPr>
      </w:pPr>
      <w:r>
        <w:rPr>
          <w:rFonts w:ascii="Times New Roman" w:hAnsi="Times New Roman"/>
          <w:color w:val="000000"/>
          <w:sz w:val="20"/>
        </w:rPr>
        <w:t>As of March 31, 2023, our investment portfolio had an aggregate fair value of approximately $55.6 million and was comprised of approximately $45.7 million in first lien, senior secured loans, and approximately $9.9 million in senior secured notes across six portfolio companies. As of December 31, 2022, our investment portfolio had an aggregate fair value of approximately $50.3 million and was comprised of approximately $40.7 million in first lien, senior secured loans, and approximately $9.6 million in senior secured notes across five portfolio companies.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SILVER SPIKE INVESTMENT CORP.</w:t>
      </w:r>
    </w:p>
    <w:p>
      <w:pPr>
        <w:pStyle w:val="TextBody"/>
        <w:spacing w:before="0" w:after="0"/>
        <w:jc w:val="both"/>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 summary of the composition of our investment portfolio at cost and fair value as a percentage of total investments are shown in the following tables as of March 31, 2023 and December 31, 2022.</w:t>
      </w:r>
    </w:p>
    <w:p>
      <w:pPr>
        <w:pStyle w:val="TextBody"/>
        <w:spacing w:before="0" w:after="0"/>
        <w:jc w:val="left"/>
        <w:rPr>
          <w:color w:val="000000"/>
        </w:rPr>
      </w:pPr>
      <w:r>
        <w:rPr>
          <w:color w:val="000000"/>
        </w:rPr>
        <w:t> </w:t>
      </w:r>
    </w:p>
    <w:tbl>
      <w:tblPr>
        <w:tblW w:w="6894" w:type="dxa"/>
        <w:jc w:val="left"/>
        <w:tblInd w:w="0" w:type="dxa"/>
        <w:tblCellMar>
          <w:top w:w="0" w:type="dxa"/>
          <w:left w:w="0" w:type="dxa"/>
          <w:bottom w:w="0" w:type="dxa"/>
          <w:right w:w="0" w:type="dxa"/>
        </w:tblCellMar>
      </w:tblPr>
      <w:tblGrid>
        <w:gridCol w:w="3575"/>
        <w:gridCol w:w="60"/>
        <w:gridCol w:w="156"/>
        <w:gridCol w:w="1468"/>
        <w:gridCol w:w="228"/>
        <w:gridCol w:w="63"/>
        <w:gridCol w:w="106"/>
        <w:gridCol w:w="1008"/>
        <w:gridCol w:w="230"/>
      </w:tblGrid>
      <w:tr>
        <w:trPr/>
        <w:tc>
          <w:tcPr>
            <w:tcW w:w="35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29"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 2023</w:t>
            </w:r>
          </w:p>
        </w:tc>
        <w:tc>
          <w:tcPr>
            <w:tcW w:w="230" w:type="dxa"/>
            <w:tcBorders/>
            <w:shd w:fill="auto" w:val="clear"/>
            <w:vAlign w:val="bottom"/>
          </w:tcPr>
          <w:p>
            <w:pPr>
              <w:pStyle w:val="TableContents"/>
              <w:spacing w:before="0" w:after="283"/>
              <w:rPr/>
            </w:pPr>
            <w:r>
              <w:rPr/>
              <w:t> </w:t>
            </w:r>
          </w:p>
        </w:tc>
      </w:tr>
      <w:tr>
        <w:trPr/>
        <w:tc>
          <w:tcPr>
            <w:tcW w:w="3575" w:type="dxa"/>
            <w:tcBorders/>
            <w:shd w:fill="auto" w:val="clear"/>
            <w:vAlign w:val="bottom"/>
          </w:tcPr>
          <w:p>
            <w:pPr>
              <w:pStyle w:val="TableContents"/>
              <w:spacing w:before="0" w:after="0"/>
              <w:rPr>
                <w:b/>
                <w:color w:val="000000"/>
              </w:rPr>
            </w:pPr>
            <w:r>
              <w:rPr>
                <w:b/>
                <w:color w:val="000000"/>
              </w:rPr>
              <w:t>Type</w:t>
            </w:r>
          </w:p>
        </w:tc>
        <w:tc>
          <w:tcPr>
            <w:tcW w:w="60" w:type="dxa"/>
            <w:tcBorders/>
            <w:shd w:fill="auto" w:val="clear"/>
            <w:vAlign w:val="bottom"/>
          </w:tcPr>
          <w:p>
            <w:pPr>
              <w:pStyle w:val="TableContents"/>
              <w:spacing w:before="0" w:after="283"/>
              <w:rPr/>
            </w:pPr>
            <w:r>
              <w:rPr/>
              <w:t> </w:t>
            </w:r>
          </w:p>
        </w:tc>
        <w:tc>
          <w:tcPr>
            <w:tcW w:w="162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 Cost</w:t>
            </w:r>
          </w:p>
        </w:tc>
        <w:tc>
          <w:tcPr>
            <w:tcW w:w="22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11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 Value</w:t>
            </w:r>
          </w:p>
        </w:tc>
        <w:tc>
          <w:tcPr>
            <w:tcW w:w="230" w:type="dxa"/>
            <w:tcBorders/>
            <w:shd w:fill="auto" w:val="clear"/>
            <w:vAlign w:val="bottom"/>
          </w:tcPr>
          <w:p>
            <w:pPr>
              <w:pStyle w:val="TableContents"/>
              <w:spacing w:before="0" w:after="283"/>
              <w:rPr/>
            </w:pPr>
            <w:r>
              <w:rPr/>
              <w:t> </w:t>
            </w:r>
          </w:p>
        </w:tc>
      </w:tr>
      <w:tr>
        <w:trPr/>
        <w:tc>
          <w:tcPr>
            <w:tcW w:w="3575" w:type="dxa"/>
            <w:tcBorders/>
            <w:shd w:fill="CCEEFF" w:val="clear"/>
            <w:vAlign w:val="bottom"/>
          </w:tcPr>
          <w:p>
            <w:pPr>
              <w:pStyle w:val="TableContents"/>
              <w:spacing w:before="0" w:after="0"/>
              <w:rPr>
                <w:color w:val="000000"/>
              </w:rPr>
            </w:pPr>
            <w:r>
              <w:rPr>
                <w:color w:val="000000"/>
              </w:rPr>
              <w:t>Senior Secured First Lien Term Loan</w:t>
            </w:r>
          </w:p>
        </w:tc>
        <w:tc>
          <w:tcPr>
            <w:tcW w:w="6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468" w:type="dxa"/>
            <w:tcBorders/>
            <w:shd w:fill="CCEEFF" w:val="clear"/>
            <w:vAlign w:val="bottom"/>
          </w:tcPr>
          <w:p>
            <w:pPr>
              <w:pStyle w:val="TableContents"/>
              <w:spacing w:before="0" w:after="0"/>
              <w:jc w:val="right"/>
              <w:rPr>
                <w:color w:val="000000"/>
              </w:rPr>
            </w:pPr>
            <w:r>
              <w:rPr>
                <w:color w:val="000000"/>
              </w:rPr>
              <w:t>82.3</w:t>
            </w:r>
          </w:p>
        </w:tc>
        <w:tc>
          <w:tcPr>
            <w:tcW w:w="228" w:type="dxa"/>
            <w:tcBorders/>
            <w:shd w:fill="CCEEFF" w:val="clear"/>
            <w:vAlign w:val="bottom"/>
          </w:tcPr>
          <w:p>
            <w:pPr>
              <w:pStyle w:val="TableContents"/>
              <w:spacing w:before="0" w:after="0"/>
              <w:rPr>
                <w:color w:val="000000"/>
              </w:rPr>
            </w:pPr>
            <w:r>
              <w:rPr>
                <w:color w:val="000000"/>
              </w:rPr>
              <w:t>%</w:t>
            </w:r>
          </w:p>
        </w:tc>
        <w:tc>
          <w:tcPr>
            <w:tcW w:w="63"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0"/>
              <w:jc w:val="right"/>
              <w:rPr>
                <w:color w:val="000000"/>
              </w:rPr>
            </w:pPr>
            <w:r>
              <w:rPr>
                <w:color w:val="000000"/>
              </w:rPr>
              <w:t>82.2</w:t>
            </w:r>
          </w:p>
        </w:tc>
        <w:tc>
          <w:tcPr>
            <w:tcW w:w="230" w:type="dxa"/>
            <w:tcBorders/>
            <w:shd w:fill="CCEEFF" w:val="clear"/>
            <w:vAlign w:val="bottom"/>
          </w:tcPr>
          <w:p>
            <w:pPr>
              <w:pStyle w:val="TableContents"/>
              <w:spacing w:before="0" w:after="0"/>
              <w:rPr>
                <w:color w:val="000000"/>
              </w:rPr>
            </w:pPr>
            <w:r>
              <w:rPr>
                <w:color w:val="000000"/>
              </w:rPr>
              <w:t>%</w:t>
            </w:r>
          </w:p>
        </w:tc>
      </w:tr>
      <w:tr>
        <w:trPr/>
        <w:tc>
          <w:tcPr>
            <w:tcW w:w="3575" w:type="dxa"/>
            <w:tcBorders/>
            <w:shd w:fill="auto" w:val="clear"/>
            <w:vAlign w:val="bottom"/>
          </w:tcPr>
          <w:p>
            <w:pPr>
              <w:pStyle w:val="TableContents"/>
              <w:spacing w:before="0" w:after="0"/>
              <w:rPr>
                <w:color w:val="000000"/>
              </w:rPr>
            </w:pPr>
            <w:r>
              <w:rPr>
                <w:color w:val="000000"/>
              </w:rPr>
              <w:t>Senior Secured Notes</w:t>
            </w:r>
          </w:p>
        </w:tc>
        <w:tc>
          <w:tcPr>
            <w:tcW w:w="60" w:type="dxa"/>
            <w:tcBorders/>
            <w:shd w:fill="auto" w:val="clear"/>
            <w:vAlign w:val="bottom"/>
          </w:tcPr>
          <w:p>
            <w:pPr>
              <w:pStyle w:val="TableContents"/>
              <w:spacing w:before="0" w:after="283"/>
              <w:rPr/>
            </w:pPr>
            <w:r>
              <w:rPr/>
              <w:t> </w:t>
            </w:r>
          </w:p>
        </w:tc>
        <w:tc>
          <w:tcPr>
            <w:tcW w:w="156" w:type="dxa"/>
            <w:tcBorders>
              <w:bottom w:val="single" w:sz="12" w:space="0" w:color="000000"/>
            </w:tcBorders>
            <w:shd w:fill="auto" w:val="clear"/>
            <w:tcMar>
              <w:bottom w:w="28" w:type="dxa"/>
            </w:tcMar>
            <w:vAlign w:val="bottom"/>
          </w:tcPr>
          <w:p>
            <w:pPr>
              <w:pStyle w:val="TableContents"/>
              <w:spacing w:before="0" w:after="283"/>
              <w:rPr/>
            </w:pPr>
            <w:r>
              <w:rPr/>
              <w:t> </w:t>
            </w:r>
          </w:p>
        </w:tc>
        <w:tc>
          <w:tcPr>
            <w:tcW w:w="146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17.7</w:t>
            </w:r>
          </w:p>
        </w:tc>
        <w:tc>
          <w:tcPr>
            <w:tcW w:w="22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6" w:type="dxa"/>
            <w:tcBorders>
              <w:bottom w:val="single" w:sz="12" w:space="0" w:color="000000"/>
            </w:tcBorders>
            <w:shd w:fill="auto" w:val="clear"/>
            <w:tcMar>
              <w:bottom w:w="28" w:type="dxa"/>
            </w:tcMar>
            <w:vAlign w:val="bottom"/>
          </w:tcPr>
          <w:p>
            <w:pPr>
              <w:pStyle w:val="TableContents"/>
              <w:spacing w:before="0" w:after="283"/>
              <w:rPr/>
            </w:pPr>
            <w:r>
              <w:rPr/>
              <w:t> </w:t>
            </w:r>
          </w:p>
        </w:tc>
        <w:tc>
          <w:tcPr>
            <w:tcW w:w="100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17.8</w:t>
            </w:r>
          </w:p>
        </w:tc>
        <w:tc>
          <w:tcPr>
            <w:tcW w:w="230" w:type="dxa"/>
            <w:tcBorders/>
            <w:shd w:fill="auto" w:val="clear"/>
            <w:vAlign w:val="bottom"/>
          </w:tcPr>
          <w:p>
            <w:pPr>
              <w:pStyle w:val="TableContents"/>
              <w:spacing w:before="0" w:after="283"/>
              <w:rPr/>
            </w:pPr>
            <w:r>
              <w:rPr/>
              <w:t> </w:t>
            </w:r>
          </w:p>
        </w:tc>
      </w:tr>
      <w:tr>
        <w:trPr/>
        <w:tc>
          <w:tcPr>
            <w:tcW w:w="3575" w:type="dxa"/>
            <w:tcBorders/>
            <w:shd w:fill="CCEEFF" w:val="clear"/>
            <w:vAlign w:val="bottom"/>
          </w:tcPr>
          <w:p>
            <w:pPr>
              <w:pStyle w:val="TableContents"/>
              <w:spacing w:before="0" w:after="0"/>
              <w:ind w:left="180" w:right="0" w:hanging="0"/>
              <w:rPr>
                <w:color w:val="000000"/>
              </w:rPr>
            </w:pPr>
            <w:r>
              <w:rPr>
                <w:color w:val="000000"/>
              </w:rPr>
              <w:t>Total</w:t>
            </w:r>
          </w:p>
        </w:tc>
        <w:tc>
          <w:tcPr>
            <w:tcW w:w="60" w:type="dxa"/>
            <w:tcBorders/>
            <w:shd w:fill="CCEEFF" w:val="clear"/>
            <w:vAlign w:val="bottom"/>
          </w:tcPr>
          <w:p>
            <w:pPr>
              <w:pStyle w:val="TableContents"/>
              <w:spacing w:before="0" w:after="283"/>
              <w:rPr/>
            </w:pPr>
            <w:r>
              <w:rPr/>
              <w:t> </w:t>
            </w:r>
          </w:p>
        </w:tc>
        <w:tc>
          <w:tcPr>
            <w:tcW w:w="156" w:type="dxa"/>
            <w:tcBorders>
              <w:bottom w:val="double" w:sz="8" w:space="0" w:color="000000"/>
            </w:tcBorders>
            <w:shd w:fill="CCEEFF" w:val="clear"/>
            <w:tcMar>
              <w:bottom w:w="28" w:type="dxa"/>
            </w:tcMar>
            <w:vAlign w:val="bottom"/>
          </w:tcPr>
          <w:p>
            <w:pPr>
              <w:pStyle w:val="TableContents"/>
              <w:spacing w:before="0" w:after="283"/>
              <w:rPr/>
            </w:pPr>
            <w:r>
              <w:rPr/>
              <w:t> </w:t>
            </w:r>
          </w:p>
        </w:tc>
        <w:tc>
          <w:tcPr>
            <w:tcW w:w="1468"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28" w:type="dxa"/>
            <w:tcBorders/>
            <w:shd w:fill="CCEEFF" w:val="clear"/>
            <w:vAlign w:val="bottom"/>
          </w:tcPr>
          <w:p>
            <w:pPr>
              <w:pStyle w:val="TableContents"/>
              <w:spacing w:before="0" w:after="0"/>
              <w:rPr>
                <w:color w:val="000000"/>
              </w:rPr>
            </w:pPr>
            <w:r>
              <w:rPr>
                <w:color w:val="000000"/>
              </w:rPr>
              <w:t>%</w:t>
            </w:r>
          </w:p>
        </w:tc>
        <w:tc>
          <w:tcPr>
            <w:tcW w:w="63" w:type="dxa"/>
            <w:tcBorders/>
            <w:shd w:fill="CCEEFF" w:val="clear"/>
            <w:vAlign w:val="bottom"/>
          </w:tcPr>
          <w:p>
            <w:pPr>
              <w:pStyle w:val="TableContents"/>
              <w:spacing w:before="0" w:after="283"/>
              <w:rPr/>
            </w:pPr>
            <w:r>
              <w:rPr/>
              <w:t> </w:t>
            </w:r>
          </w:p>
        </w:tc>
        <w:tc>
          <w:tcPr>
            <w:tcW w:w="106" w:type="dxa"/>
            <w:tcBorders>
              <w:bottom w:val="double" w:sz="8" w:space="0" w:color="000000"/>
            </w:tcBorders>
            <w:shd w:fill="CCEEFF" w:val="clear"/>
            <w:tcMar>
              <w:bottom w:w="28" w:type="dxa"/>
            </w:tcMar>
            <w:vAlign w:val="bottom"/>
          </w:tcPr>
          <w:p>
            <w:pPr>
              <w:pStyle w:val="TableContents"/>
              <w:spacing w:before="0" w:after="283"/>
              <w:rPr/>
            </w:pPr>
            <w:r>
              <w:rPr/>
              <w:t> </w:t>
            </w:r>
          </w:p>
        </w:tc>
        <w:tc>
          <w:tcPr>
            <w:tcW w:w="1008"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30" w:type="dxa"/>
            <w:tcBorders/>
            <w:shd w:fill="CCEEFF" w:val="clear"/>
            <w:vAlign w:val="bottom"/>
          </w:tcPr>
          <w:p>
            <w:pPr>
              <w:pStyle w:val="TableContents"/>
              <w:spacing w:before="0" w:after="0"/>
              <w:rPr>
                <w:color w:val="000000"/>
              </w:rPr>
            </w:pPr>
            <w:r>
              <w:rPr>
                <w:color w:val="000000"/>
              </w:rPr>
              <w:t>%</w:t>
            </w:r>
          </w:p>
        </w:tc>
      </w:tr>
    </w:tbl>
    <w:p>
      <w:pPr>
        <w:pStyle w:val="TextBody"/>
        <w:spacing w:before="0" w:after="0"/>
        <w:jc w:val="left"/>
        <w:rPr>
          <w:color w:val="000000"/>
        </w:rPr>
      </w:pPr>
      <w:r>
        <w:rPr>
          <w:color w:val="000000"/>
        </w:rPr>
        <w:t> </w:t>
      </w:r>
    </w:p>
    <w:tbl>
      <w:tblPr>
        <w:tblW w:w="6957" w:type="dxa"/>
        <w:jc w:val="center"/>
        <w:tblInd w:w="0" w:type="dxa"/>
        <w:tblCellMar>
          <w:top w:w="0" w:type="dxa"/>
          <w:left w:w="0" w:type="dxa"/>
          <w:bottom w:w="0" w:type="dxa"/>
          <w:right w:w="0" w:type="dxa"/>
        </w:tblCellMar>
      </w:tblPr>
      <w:tblGrid>
        <w:gridCol w:w="3575"/>
        <w:gridCol w:w="60"/>
        <w:gridCol w:w="156"/>
        <w:gridCol w:w="1468"/>
        <w:gridCol w:w="277"/>
        <w:gridCol w:w="77"/>
        <w:gridCol w:w="107"/>
        <w:gridCol w:w="1007"/>
        <w:gridCol w:w="230"/>
      </w:tblGrid>
      <w:tr>
        <w:trPr/>
        <w:tc>
          <w:tcPr>
            <w:tcW w:w="35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92"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 2022</w:t>
            </w:r>
          </w:p>
        </w:tc>
        <w:tc>
          <w:tcPr>
            <w:tcW w:w="230" w:type="dxa"/>
            <w:tcBorders/>
            <w:shd w:fill="auto" w:val="clear"/>
            <w:vAlign w:val="bottom"/>
          </w:tcPr>
          <w:p>
            <w:pPr>
              <w:pStyle w:val="TableContents"/>
              <w:spacing w:before="0" w:after="283"/>
              <w:rPr/>
            </w:pPr>
            <w:r>
              <w:rPr/>
              <w:t> </w:t>
            </w:r>
          </w:p>
        </w:tc>
      </w:tr>
      <w:tr>
        <w:trPr/>
        <w:tc>
          <w:tcPr>
            <w:tcW w:w="3575" w:type="dxa"/>
            <w:tcBorders/>
            <w:shd w:fill="auto" w:val="clear"/>
            <w:vAlign w:val="bottom"/>
          </w:tcPr>
          <w:p>
            <w:pPr>
              <w:pStyle w:val="TableContents"/>
              <w:spacing w:before="0" w:after="0"/>
              <w:ind w:left="144" w:right="0" w:hanging="144"/>
              <w:rPr>
                <w:b/>
                <w:color w:val="000000"/>
              </w:rPr>
            </w:pPr>
            <w:r>
              <w:rPr>
                <w:b/>
                <w:color w:val="000000"/>
              </w:rPr>
              <w:t>Type</w:t>
            </w:r>
          </w:p>
        </w:tc>
        <w:tc>
          <w:tcPr>
            <w:tcW w:w="60" w:type="dxa"/>
            <w:tcBorders/>
            <w:shd w:fill="auto" w:val="clear"/>
            <w:vAlign w:val="bottom"/>
          </w:tcPr>
          <w:p>
            <w:pPr>
              <w:pStyle w:val="TableContents"/>
              <w:spacing w:before="0" w:after="283"/>
              <w:rPr/>
            </w:pPr>
            <w:r>
              <w:rPr/>
              <w:t> </w:t>
            </w:r>
          </w:p>
        </w:tc>
        <w:tc>
          <w:tcPr>
            <w:tcW w:w="162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 Cost</w:t>
            </w:r>
          </w:p>
        </w:tc>
        <w:tc>
          <w:tcPr>
            <w:tcW w:w="27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11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 Value</w:t>
            </w:r>
          </w:p>
        </w:tc>
        <w:tc>
          <w:tcPr>
            <w:tcW w:w="230" w:type="dxa"/>
            <w:tcBorders/>
            <w:shd w:fill="auto" w:val="clear"/>
            <w:vAlign w:val="bottom"/>
          </w:tcPr>
          <w:p>
            <w:pPr>
              <w:pStyle w:val="TableContents"/>
              <w:spacing w:before="0" w:after="283"/>
              <w:rPr/>
            </w:pPr>
            <w:r>
              <w:rPr/>
              <w:t> </w:t>
            </w:r>
          </w:p>
        </w:tc>
      </w:tr>
      <w:tr>
        <w:trPr/>
        <w:tc>
          <w:tcPr>
            <w:tcW w:w="3575" w:type="dxa"/>
            <w:tcBorders/>
            <w:shd w:fill="CCEEFF" w:val="clear"/>
            <w:vAlign w:val="bottom"/>
          </w:tcPr>
          <w:p>
            <w:pPr>
              <w:pStyle w:val="TableContents"/>
              <w:spacing w:before="0" w:after="0"/>
              <w:ind w:left="144" w:right="0" w:hanging="144"/>
              <w:rPr>
                <w:color w:val="000000"/>
              </w:rPr>
            </w:pPr>
            <w:r>
              <w:rPr>
                <w:color w:val="000000"/>
              </w:rPr>
              <w:t>Senior Secured First Lien Term Loan</w:t>
            </w:r>
          </w:p>
        </w:tc>
        <w:tc>
          <w:tcPr>
            <w:tcW w:w="6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468" w:type="dxa"/>
            <w:tcBorders/>
            <w:shd w:fill="CCEEFF" w:val="clear"/>
            <w:vAlign w:val="bottom"/>
          </w:tcPr>
          <w:p>
            <w:pPr>
              <w:pStyle w:val="TableContents"/>
              <w:spacing w:before="0" w:after="0"/>
              <w:jc w:val="right"/>
              <w:rPr>
                <w:color w:val="000000"/>
              </w:rPr>
            </w:pPr>
            <w:r>
              <w:rPr>
                <w:color w:val="000000"/>
              </w:rPr>
              <w:t>80.9</w:t>
            </w:r>
          </w:p>
        </w:tc>
        <w:tc>
          <w:tcPr>
            <w:tcW w:w="277" w:type="dxa"/>
            <w:tcBorders/>
            <w:shd w:fill="CCEEFF" w:val="clear"/>
            <w:vAlign w:val="bottom"/>
          </w:tcPr>
          <w:p>
            <w:pPr>
              <w:pStyle w:val="TableContents"/>
              <w:spacing w:before="0" w:after="0"/>
              <w:rPr>
                <w:color w:val="000000"/>
              </w:rPr>
            </w:pPr>
            <w:r>
              <w:rPr>
                <w:color w:val="000000"/>
              </w:rPr>
              <w:t>%</w:t>
            </w:r>
          </w:p>
        </w:tc>
        <w:tc>
          <w:tcPr>
            <w:tcW w:w="7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0"/>
              <w:jc w:val="right"/>
              <w:rPr>
                <w:color w:val="000000"/>
              </w:rPr>
            </w:pPr>
            <w:r>
              <w:rPr>
                <w:color w:val="000000"/>
              </w:rPr>
              <w:t>80.9</w:t>
            </w:r>
          </w:p>
        </w:tc>
        <w:tc>
          <w:tcPr>
            <w:tcW w:w="230" w:type="dxa"/>
            <w:tcBorders/>
            <w:shd w:fill="CCEEFF" w:val="clear"/>
            <w:vAlign w:val="bottom"/>
          </w:tcPr>
          <w:p>
            <w:pPr>
              <w:pStyle w:val="TableContents"/>
              <w:spacing w:before="0" w:after="0"/>
              <w:rPr>
                <w:color w:val="000000"/>
              </w:rPr>
            </w:pPr>
            <w:r>
              <w:rPr>
                <w:color w:val="000000"/>
              </w:rPr>
              <w:t>%</w:t>
            </w:r>
          </w:p>
        </w:tc>
      </w:tr>
      <w:tr>
        <w:trPr/>
        <w:tc>
          <w:tcPr>
            <w:tcW w:w="3575" w:type="dxa"/>
            <w:tcBorders/>
            <w:shd w:fill="auto" w:val="clear"/>
            <w:vAlign w:val="bottom"/>
          </w:tcPr>
          <w:p>
            <w:pPr>
              <w:pStyle w:val="TableContents"/>
              <w:spacing w:before="0" w:after="0"/>
              <w:ind w:left="144" w:right="0" w:hanging="144"/>
              <w:rPr>
                <w:color w:val="000000"/>
              </w:rPr>
            </w:pPr>
            <w:r>
              <w:rPr>
                <w:color w:val="000000"/>
              </w:rPr>
              <w:t>Senior Secured Notes</w:t>
            </w:r>
          </w:p>
        </w:tc>
        <w:tc>
          <w:tcPr>
            <w:tcW w:w="60" w:type="dxa"/>
            <w:tcBorders/>
            <w:shd w:fill="auto" w:val="clear"/>
            <w:vAlign w:val="bottom"/>
          </w:tcPr>
          <w:p>
            <w:pPr>
              <w:pStyle w:val="TableContents"/>
              <w:spacing w:before="0" w:after="283"/>
              <w:rPr/>
            </w:pPr>
            <w:r>
              <w:rPr/>
              <w:t> </w:t>
            </w:r>
          </w:p>
        </w:tc>
        <w:tc>
          <w:tcPr>
            <w:tcW w:w="156" w:type="dxa"/>
            <w:tcBorders>
              <w:bottom w:val="single" w:sz="12" w:space="0" w:color="000000"/>
            </w:tcBorders>
            <w:shd w:fill="auto" w:val="clear"/>
            <w:tcMar>
              <w:bottom w:w="28" w:type="dxa"/>
            </w:tcMar>
            <w:vAlign w:val="bottom"/>
          </w:tcPr>
          <w:p>
            <w:pPr>
              <w:pStyle w:val="TableContents"/>
              <w:spacing w:before="0" w:after="283"/>
              <w:rPr/>
            </w:pPr>
            <w:r>
              <w:rPr/>
              <w:t> </w:t>
            </w:r>
          </w:p>
        </w:tc>
        <w:tc>
          <w:tcPr>
            <w:tcW w:w="146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19.1</w:t>
            </w:r>
          </w:p>
        </w:tc>
        <w:tc>
          <w:tcPr>
            <w:tcW w:w="27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07" w:type="dxa"/>
            <w:tcBorders>
              <w:bottom w:val="single" w:sz="12" w:space="0" w:color="000000"/>
            </w:tcBorders>
            <w:shd w:fill="auto" w:val="clear"/>
            <w:tcMar>
              <w:bottom w:w="28" w:type="dxa"/>
            </w:tcMar>
            <w:vAlign w:val="bottom"/>
          </w:tcPr>
          <w:p>
            <w:pPr>
              <w:pStyle w:val="TableContents"/>
              <w:spacing w:before="0" w:after="283"/>
              <w:rPr/>
            </w:pPr>
            <w:r>
              <w:rPr/>
              <w:t> </w:t>
            </w:r>
          </w:p>
        </w:tc>
        <w:tc>
          <w:tcPr>
            <w:tcW w:w="100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19.1</w:t>
            </w:r>
          </w:p>
        </w:tc>
        <w:tc>
          <w:tcPr>
            <w:tcW w:w="230" w:type="dxa"/>
            <w:tcBorders/>
            <w:shd w:fill="auto" w:val="clear"/>
            <w:vAlign w:val="bottom"/>
          </w:tcPr>
          <w:p>
            <w:pPr>
              <w:pStyle w:val="TableContents"/>
              <w:spacing w:before="0" w:after="283"/>
              <w:rPr/>
            </w:pPr>
            <w:r>
              <w:rPr/>
              <w:t> </w:t>
            </w:r>
          </w:p>
        </w:tc>
      </w:tr>
      <w:tr>
        <w:trPr/>
        <w:tc>
          <w:tcPr>
            <w:tcW w:w="3575" w:type="dxa"/>
            <w:tcBorders/>
            <w:shd w:fill="CCEEFF" w:val="clear"/>
            <w:vAlign w:val="bottom"/>
          </w:tcPr>
          <w:p>
            <w:pPr>
              <w:pStyle w:val="TableContents"/>
              <w:spacing w:before="0" w:after="0"/>
              <w:ind w:left="324" w:right="0" w:hanging="144"/>
              <w:rPr>
                <w:color w:val="000000"/>
              </w:rPr>
            </w:pPr>
            <w:r>
              <w:rPr>
                <w:color w:val="000000"/>
              </w:rPr>
              <w:t>Total</w:t>
            </w:r>
          </w:p>
        </w:tc>
        <w:tc>
          <w:tcPr>
            <w:tcW w:w="60" w:type="dxa"/>
            <w:tcBorders/>
            <w:shd w:fill="CCEEFF" w:val="clear"/>
            <w:vAlign w:val="bottom"/>
          </w:tcPr>
          <w:p>
            <w:pPr>
              <w:pStyle w:val="TableContents"/>
              <w:spacing w:before="0" w:after="283"/>
              <w:rPr/>
            </w:pPr>
            <w:r>
              <w:rPr/>
              <w:t> </w:t>
            </w:r>
          </w:p>
        </w:tc>
        <w:tc>
          <w:tcPr>
            <w:tcW w:w="156" w:type="dxa"/>
            <w:tcBorders>
              <w:bottom w:val="double" w:sz="8" w:space="0" w:color="000000"/>
            </w:tcBorders>
            <w:shd w:fill="CCEEFF" w:val="clear"/>
            <w:tcMar>
              <w:bottom w:w="28" w:type="dxa"/>
            </w:tcMar>
            <w:vAlign w:val="bottom"/>
          </w:tcPr>
          <w:p>
            <w:pPr>
              <w:pStyle w:val="TableContents"/>
              <w:spacing w:before="0" w:after="283"/>
              <w:rPr/>
            </w:pPr>
            <w:r>
              <w:rPr/>
              <w:t> </w:t>
            </w:r>
          </w:p>
        </w:tc>
        <w:tc>
          <w:tcPr>
            <w:tcW w:w="1468"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77" w:type="dxa"/>
            <w:tcBorders/>
            <w:shd w:fill="CCEEFF" w:val="clear"/>
            <w:vAlign w:val="bottom"/>
          </w:tcPr>
          <w:p>
            <w:pPr>
              <w:pStyle w:val="TableContents"/>
              <w:spacing w:before="0" w:after="0"/>
              <w:rPr>
                <w:color w:val="000000"/>
              </w:rPr>
            </w:pPr>
            <w:r>
              <w:rPr>
                <w:color w:val="000000"/>
              </w:rPr>
              <w:t>%</w:t>
            </w:r>
          </w:p>
        </w:tc>
        <w:tc>
          <w:tcPr>
            <w:tcW w:w="77" w:type="dxa"/>
            <w:tcBorders/>
            <w:shd w:fill="CCEEFF" w:val="clear"/>
            <w:vAlign w:val="bottom"/>
          </w:tcPr>
          <w:p>
            <w:pPr>
              <w:pStyle w:val="TableContents"/>
              <w:spacing w:before="0" w:after="283"/>
              <w:rPr/>
            </w:pPr>
            <w:r>
              <w:rPr/>
              <w:t> </w:t>
            </w:r>
          </w:p>
        </w:tc>
        <w:tc>
          <w:tcPr>
            <w:tcW w:w="107" w:type="dxa"/>
            <w:tcBorders>
              <w:bottom w:val="double" w:sz="8" w:space="0" w:color="000000"/>
            </w:tcBorders>
            <w:shd w:fill="CCEEFF" w:val="clear"/>
            <w:tcMar>
              <w:bottom w:w="28" w:type="dxa"/>
            </w:tcMar>
            <w:vAlign w:val="bottom"/>
          </w:tcPr>
          <w:p>
            <w:pPr>
              <w:pStyle w:val="TableContents"/>
              <w:spacing w:before="0" w:after="283"/>
              <w:rPr/>
            </w:pPr>
            <w:r>
              <w:rPr/>
              <w:t> </w:t>
            </w:r>
          </w:p>
        </w:tc>
        <w:tc>
          <w:tcPr>
            <w:tcW w:w="1007"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30" w:type="dxa"/>
            <w:tcBorders/>
            <w:shd w:fill="CCEEFF" w:val="clear"/>
            <w:vAlign w:val="bottom"/>
          </w:tcPr>
          <w:p>
            <w:pPr>
              <w:pStyle w:val="TableContents"/>
              <w:spacing w:before="0" w:after="0"/>
              <w:rPr>
                <w:color w:val="000000"/>
              </w:rPr>
            </w:pPr>
            <w:r>
              <w:rPr>
                <w:color w:val="000000"/>
              </w:rPr>
              <w:t>%</w:t>
            </w:r>
          </w:p>
        </w:tc>
      </w:tr>
    </w:tbl>
    <w:p>
      <w:pPr>
        <w:pStyle w:val="TextBody"/>
        <w:spacing w:before="0" w:after="0"/>
        <w:jc w:val="center"/>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tables show the composition of our investment portfolio by geographic region of the United States at cost and fair value as a percentage of total investments as of March 31, 2023 and December 31, 2022. The geographic composition is determined by the location of the headquarters of the portfolio company.</w:t>
      </w:r>
    </w:p>
    <w:p>
      <w:pPr>
        <w:pStyle w:val="TextBody"/>
        <w:spacing w:before="0" w:after="0"/>
        <w:jc w:val="left"/>
        <w:rPr>
          <w:color w:val="000000"/>
        </w:rPr>
      </w:pPr>
      <w:r>
        <w:rPr>
          <w:color w:val="000000"/>
        </w:rPr>
        <w:t> </w:t>
      </w:r>
    </w:p>
    <w:tbl>
      <w:tblPr>
        <w:tblW w:w="5319" w:type="dxa"/>
        <w:jc w:val="left"/>
        <w:tblInd w:w="0" w:type="dxa"/>
        <w:tblCellMar>
          <w:top w:w="0" w:type="dxa"/>
          <w:left w:w="0" w:type="dxa"/>
          <w:bottom w:w="0" w:type="dxa"/>
          <w:right w:w="0" w:type="dxa"/>
        </w:tblCellMar>
      </w:tblPr>
      <w:tblGrid>
        <w:gridCol w:w="2000"/>
        <w:gridCol w:w="60"/>
        <w:gridCol w:w="156"/>
        <w:gridCol w:w="1468"/>
        <w:gridCol w:w="228"/>
        <w:gridCol w:w="63"/>
        <w:gridCol w:w="106"/>
        <w:gridCol w:w="1008"/>
        <w:gridCol w:w="230"/>
      </w:tblGrid>
      <w:tr>
        <w:trPr/>
        <w:tc>
          <w:tcPr>
            <w:tcW w:w="20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29"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 2023</w:t>
            </w:r>
          </w:p>
        </w:tc>
        <w:tc>
          <w:tcPr>
            <w:tcW w:w="230" w:type="dxa"/>
            <w:tcBorders/>
            <w:shd w:fill="auto" w:val="clear"/>
            <w:vAlign w:val="bottom"/>
          </w:tcPr>
          <w:p>
            <w:pPr>
              <w:pStyle w:val="TableContents"/>
              <w:spacing w:before="0" w:after="283"/>
              <w:rPr/>
            </w:pPr>
            <w:r>
              <w:rPr/>
              <w:t> </w:t>
            </w:r>
          </w:p>
        </w:tc>
      </w:tr>
      <w:tr>
        <w:trPr/>
        <w:tc>
          <w:tcPr>
            <w:tcW w:w="2000" w:type="dxa"/>
            <w:tcBorders/>
            <w:shd w:fill="auto" w:val="clear"/>
            <w:vAlign w:val="bottom"/>
          </w:tcPr>
          <w:p>
            <w:pPr>
              <w:pStyle w:val="TableContents"/>
              <w:spacing w:before="0" w:after="0"/>
              <w:rPr>
                <w:b/>
                <w:color w:val="000000"/>
              </w:rPr>
            </w:pPr>
            <w:r>
              <w:rPr>
                <w:b/>
                <w:color w:val="000000"/>
              </w:rPr>
              <w:t>Geographic Region</w:t>
            </w:r>
          </w:p>
        </w:tc>
        <w:tc>
          <w:tcPr>
            <w:tcW w:w="60" w:type="dxa"/>
            <w:tcBorders/>
            <w:shd w:fill="auto" w:val="clear"/>
            <w:vAlign w:val="bottom"/>
          </w:tcPr>
          <w:p>
            <w:pPr>
              <w:pStyle w:val="TableContents"/>
              <w:spacing w:before="0" w:after="283"/>
              <w:rPr/>
            </w:pPr>
            <w:r>
              <w:rPr/>
              <w:t> </w:t>
            </w:r>
          </w:p>
        </w:tc>
        <w:tc>
          <w:tcPr>
            <w:tcW w:w="162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 Cost</w:t>
            </w:r>
          </w:p>
        </w:tc>
        <w:tc>
          <w:tcPr>
            <w:tcW w:w="22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11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 Value</w:t>
            </w:r>
          </w:p>
        </w:tc>
        <w:tc>
          <w:tcPr>
            <w:tcW w:w="230" w:type="dxa"/>
            <w:tcBorders/>
            <w:shd w:fill="auto" w:val="clear"/>
            <w:vAlign w:val="bottom"/>
          </w:tcPr>
          <w:p>
            <w:pPr>
              <w:pStyle w:val="TableContents"/>
              <w:spacing w:before="0" w:after="283"/>
              <w:rPr/>
            </w:pPr>
            <w:r>
              <w:rPr/>
              <w:t> </w:t>
            </w:r>
          </w:p>
        </w:tc>
      </w:tr>
      <w:tr>
        <w:trPr/>
        <w:tc>
          <w:tcPr>
            <w:tcW w:w="2000" w:type="dxa"/>
            <w:tcBorders/>
            <w:shd w:fill="CCEEFF" w:val="clear"/>
            <w:vAlign w:val="bottom"/>
          </w:tcPr>
          <w:p>
            <w:pPr>
              <w:pStyle w:val="TableContents"/>
              <w:spacing w:before="0" w:after="0"/>
              <w:rPr>
                <w:color w:val="000000"/>
              </w:rPr>
            </w:pPr>
            <w:r>
              <w:rPr>
                <w:color w:val="000000"/>
              </w:rPr>
              <w:t>Midwest</w:t>
            </w:r>
          </w:p>
        </w:tc>
        <w:tc>
          <w:tcPr>
            <w:tcW w:w="6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468" w:type="dxa"/>
            <w:tcBorders/>
            <w:shd w:fill="CCEEFF" w:val="clear"/>
            <w:vAlign w:val="bottom"/>
          </w:tcPr>
          <w:p>
            <w:pPr>
              <w:pStyle w:val="TableContents"/>
              <w:spacing w:before="0" w:after="0"/>
              <w:jc w:val="right"/>
              <w:rPr>
                <w:color w:val="000000"/>
              </w:rPr>
            </w:pPr>
            <w:r>
              <w:rPr>
                <w:color w:val="000000"/>
              </w:rPr>
              <w:t>44.5</w:t>
            </w:r>
          </w:p>
        </w:tc>
        <w:tc>
          <w:tcPr>
            <w:tcW w:w="228" w:type="dxa"/>
            <w:tcBorders/>
            <w:shd w:fill="CCEEFF" w:val="clear"/>
            <w:vAlign w:val="bottom"/>
          </w:tcPr>
          <w:p>
            <w:pPr>
              <w:pStyle w:val="TableContents"/>
              <w:spacing w:before="0" w:after="0"/>
              <w:rPr>
                <w:color w:val="000000"/>
              </w:rPr>
            </w:pPr>
            <w:r>
              <w:rPr>
                <w:color w:val="000000"/>
              </w:rPr>
              <w:t>%</w:t>
            </w:r>
          </w:p>
        </w:tc>
        <w:tc>
          <w:tcPr>
            <w:tcW w:w="63"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0"/>
              <w:jc w:val="right"/>
              <w:rPr>
                <w:color w:val="000000"/>
              </w:rPr>
            </w:pPr>
            <w:r>
              <w:rPr>
                <w:color w:val="000000"/>
              </w:rPr>
              <w:t>44.9</w:t>
            </w:r>
          </w:p>
        </w:tc>
        <w:tc>
          <w:tcPr>
            <w:tcW w:w="230" w:type="dxa"/>
            <w:tcBorders/>
            <w:shd w:fill="CCEEFF" w:val="clear"/>
            <w:vAlign w:val="bottom"/>
          </w:tcPr>
          <w:p>
            <w:pPr>
              <w:pStyle w:val="TableContents"/>
              <w:spacing w:before="0" w:after="0"/>
              <w:rPr>
                <w:color w:val="000000"/>
              </w:rPr>
            </w:pPr>
            <w:r>
              <w:rPr>
                <w:color w:val="000000"/>
              </w:rPr>
              <w:t>%</w:t>
            </w:r>
          </w:p>
        </w:tc>
      </w:tr>
      <w:tr>
        <w:trPr/>
        <w:tc>
          <w:tcPr>
            <w:tcW w:w="2000" w:type="dxa"/>
            <w:tcBorders/>
            <w:shd w:fill="auto" w:val="clear"/>
            <w:vAlign w:val="bottom"/>
          </w:tcPr>
          <w:p>
            <w:pPr>
              <w:pStyle w:val="TableContents"/>
              <w:spacing w:before="0" w:after="0"/>
              <w:rPr>
                <w:color w:val="000000"/>
              </w:rPr>
            </w:pPr>
            <w:r>
              <w:rPr>
                <w:color w:val="000000"/>
              </w:rPr>
              <w:t>West</w:t>
            </w:r>
          </w:p>
        </w:tc>
        <w:tc>
          <w:tcPr>
            <w:tcW w:w="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468" w:type="dxa"/>
            <w:tcBorders/>
            <w:shd w:fill="auto" w:val="clear"/>
            <w:vAlign w:val="bottom"/>
          </w:tcPr>
          <w:p>
            <w:pPr>
              <w:pStyle w:val="TableContents"/>
              <w:spacing w:before="0" w:after="0"/>
              <w:jc w:val="right"/>
              <w:rPr>
                <w:color w:val="000000"/>
              </w:rPr>
            </w:pPr>
            <w:r>
              <w:rPr>
                <w:color w:val="000000"/>
              </w:rPr>
              <w:t>37.4</w:t>
            </w:r>
          </w:p>
        </w:tc>
        <w:tc>
          <w:tcPr>
            <w:tcW w:w="22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0"/>
              <w:jc w:val="right"/>
              <w:rPr>
                <w:color w:val="000000"/>
              </w:rPr>
            </w:pPr>
            <w:r>
              <w:rPr>
                <w:color w:val="000000"/>
              </w:rPr>
              <w:t>37.0</w:t>
            </w:r>
          </w:p>
        </w:tc>
        <w:tc>
          <w:tcPr>
            <w:tcW w:w="230" w:type="dxa"/>
            <w:tcBorders/>
            <w:shd w:fill="auto" w:val="clear"/>
            <w:vAlign w:val="bottom"/>
          </w:tcPr>
          <w:p>
            <w:pPr>
              <w:pStyle w:val="TableContents"/>
              <w:spacing w:before="0" w:after="283"/>
              <w:rPr/>
            </w:pPr>
            <w:r>
              <w:rPr/>
              <w:t> </w:t>
            </w:r>
          </w:p>
        </w:tc>
      </w:tr>
      <w:tr>
        <w:trPr/>
        <w:tc>
          <w:tcPr>
            <w:tcW w:w="2000" w:type="dxa"/>
            <w:tcBorders/>
            <w:shd w:fill="CCEEFF" w:val="clear"/>
            <w:vAlign w:val="bottom"/>
          </w:tcPr>
          <w:p>
            <w:pPr>
              <w:pStyle w:val="TableContents"/>
              <w:spacing w:before="0" w:after="0"/>
              <w:rPr>
                <w:color w:val="000000"/>
              </w:rPr>
            </w:pPr>
            <w:r>
              <w:rPr>
                <w:color w:val="000000"/>
              </w:rPr>
              <w:t>Northeast</w:t>
            </w:r>
          </w:p>
        </w:tc>
        <w:tc>
          <w:tcPr>
            <w:tcW w:w="6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468" w:type="dxa"/>
            <w:tcBorders/>
            <w:shd w:fill="CCEEFF" w:val="clear"/>
            <w:vAlign w:val="bottom"/>
          </w:tcPr>
          <w:p>
            <w:pPr>
              <w:pStyle w:val="TableContents"/>
              <w:spacing w:before="0" w:after="0"/>
              <w:jc w:val="right"/>
              <w:rPr>
                <w:color w:val="000000"/>
              </w:rPr>
            </w:pPr>
            <w:r>
              <w:rPr>
                <w:color w:val="000000"/>
              </w:rPr>
              <w:t>14.8</w:t>
            </w:r>
          </w:p>
        </w:tc>
        <w:tc>
          <w:tcPr>
            <w:tcW w:w="228"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0"/>
              <w:jc w:val="right"/>
              <w:rPr>
                <w:color w:val="000000"/>
              </w:rPr>
            </w:pPr>
            <w:r>
              <w:rPr>
                <w:color w:val="000000"/>
              </w:rPr>
              <w:t>14.9</w:t>
            </w:r>
          </w:p>
        </w:tc>
        <w:tc>
          <w:tcPr>
            <w:tcW w:w="230" w:type="dxa"/>
            <w:tcBorders/>
            <w:shd w:fill="CCEEFF" w:val="clear"/>
            <w:vAlign w:val="bottom"/>
          </w:tcPr>
          <w:p>
            <w:pPr>
              <w:pStyle w:val="TableContents"/>
              <w:spacing w:before="0" w:after="283"/>
              <w:rPr/>
            </w:pPr>
            <w:r>
              <w:rPr/>
              <w:t> </w:t>
            </w:r>
          </w:p>
        </w:tc>
      </w:tr>
      <w:tr>
        <w:trPr/>
        <w:tc>
          <w:tcPr>
            <w:tcW w:w="2000" w:type="dxa"/>
            <w:tcBorders/>
            <w:shd w:fill="auto" w:val="clear"/>
            <w:vAlign w:val="bottom"/>
          </w:tcPr>
          <w:p>
            <w:pPr>
              <w:pStyle w:val="TableContents"/>
              <w:spacing w:before="0" w:after="0"/>
              <w:rPr>
                <w:color w:val="000000"/>
              </w:rPr>
            </w:pPr>
            <w:r>
              <w:rPr>
                <w:color w:val="000000"/>
              </w:rPr>
              <w:t>Southeast</w:t>
            </w:r>
          </w:p>
        </w:tc>
        <w:tc>
          <w:tcPr>
            <w:tcW w:w="60" w:type="dxa"/>
            <w:tcBorders/>
            <w:shd w:fill="auto" w:val="clear"/>
            <w:vAlign w:val="bottom"/>
          </w:tcPr>
          <w:p>
            <w:pPr>
              <w:pStyle w:val="TableContents"/>
              <w:spacing w:before="0" w:after="283"/>
              <w:rPr/>
            </w:pPr>
            <w:r>
              <w:rPr/>
              <w:t> </w:t>
            </w:r>
          </w:p>
        </w:tc>
        <w:tc>
          <w:tcPr>
            <w:tcW w:w="156" w:type="dxa"/>
            <w:tcBorders>
              <w:bottom w:val="single" w:sz="12" w:space="0" w:color="000000"/>
            </w:tcBorders>
            <w:shd w:fill="auto" w:val="clear"/>
            <w:tcMar>
              <w:bottom w:w="28" w:type="dxa"/>
            </w:tcMar>
            <w:vAlign w:val="bottom"/>
          </w:tcPr>
          <w:p>
            <w:pPr>
              <w:pStyle w:val="TableContents"/>
              <w:spacing w:before="0" w:after="283"/>
              <w:rPr/>
            </w:pPr>
            <w:r>
              <w:rPr/>
              <w:t> </w:t>
            </w:r>
          </w:p>
        </w:tc>
        <w:tc>
          <w:tcPr>
            <w:tcW w:w="146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3.3</w:t>
            </w:r>
          </w:p>
        </w:tc>
        <w:tc>
          <w:tcPr>
            <w:tcW w:w="22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6" w:type="dxa"/>
            <w:tcBorders>
              <w:bottom w:val="single" w:sz="12" w:space="0" w:color="000000"/>
            </w:tcBorders>
            <w:shd w:fill="auto" w:val="clear"/>
            <w:tcMar>
              <w:bottom w:w="28" w:type="dxa"/>
            </w:tcMar>
            <w:vAlign w:val="bottom"/>
          </w:tcPr>
          <w:p>
            <w:pPr>
              <w:pStyle w:val="TableContents"/>
              <w:spacing w:before="0" w:after="283"/>
              <w:rPr/>
            </w:pPr>
            <w:r>
              <w:rPr/>
              <w:t> </w:t>
            </w:r>
          </w:p>
        </w:tc>
        <w:tc>
          <w:tcPr>
            <w:tcW w:w="100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3.2</w:t>
            </w:r>
          </w:p>
        </w:tc>
        <w:tc>
          <w:tcPr>
            <w:tcW w:w="230" w:type="dxa"/>
            <w:tcBorders/>
            <w:shd w:fill="auto" w:val="clear"/>
            <w:vAlign w:val="bottom"/>
          </w:tcPr>
          <w:p>
            <w:pPr>
              <w:pStyle w:val="TableContents"/>
              <w:spacing w:before="0" w:after="283"/>
              <w:rPr/>
            </w:pPr>
            <w:r>
              <w:rPr/>
              <w:t> </w:t>
            </w:r>
          </w:p>
        </w:tc>
      </w:tr>
      <w:tr>
        <w:trPr/>
        <w:tc>
          <w:tcPr>
            <w:tcW w:w="2000" w:type="dxa"/>
            <w:tcBorders/>
            <w:shd w:fill="CCEEFF" w:val="clear"/>
            <w:vAlign w:val="bottom"/>
          </w:tcPr>
          <w:p>
            <w:pPr>
              <w:pStyle w:val="TableContents"/>
              <w:spacing w:before="0" w:after="0"/>
              <w:ind w:left="180" w:right="0" w:hanging="0"/>
              <w:rPr>
                <w:color w:val="000000"/>
              </w:rPr>
            </w:pPr>
            <w:r>
              <w:rPr>
                <w:color w:val="000000"/>
              </w:rPr>
              <w:t>Total</w:t>
            </w:r>
          </w:p>
        </w:tc>
        <w:tc>
          <w:tcPr>
            <w:tcW w:w="60" w:type="dxa"/>
            <w:tcBorders/>
            <w:shd w:fill="CCEEFF" w:val="clear"/>
            <w:vAlign w:val="bottom"/>
          </w:tcPr>
          <w:p>
            <w:pPr>
              <w:pStyle w:val="TableContents"/>
              <w:spacing w:before="0" w:after="283"/>
              <w:rPr/>
            </w:pPr>
            <w:r>
              <w:rPr/>
              <w:t> </w:t>
            </w:r>
          </w:p>
        </w:tc>
        <w:tc>
          <w:tcPr>
            <w:tcW w:w="156" w:type="dxa"/>
            <w:tcBorders>
              <w:bottom w:val="double" w:sz="8" w:space="0" w:color="000000"/>
            </w:tcBorders>
            <w:shd w:fill="CCEEFF" w:val="clear"/>
            <w:tcMar>
              <w:bottom w:w="28" w:type="dxa"/>
            </w:tcMar>
            <w:vAlign w:val="bottom"/>
          </w:tcPr>
          <w:p>
            <w:pPr>
              <w:pStyle w:val="TableContents"/>
              <w:spacing w:before="0" w:after="283"/>
              <w:rPr/>
            </w:pPr>
            <w:r>
              <w:rPr/>
              <w:t> </w:t>
            </w:r>
          </w:p>
        </w:tc>
        <w:tc>
          <w:tcPr>
            <w:tcW w:w="1468"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28" w:type="dxa"/>
            <w:tcBorders/>
            <w:shd w:fill="CCEEFF" w:val="clear"/>
            <w:vAlign w:val="bottom"/>
          </w:tcPr>
          <w:p>
            <w:pPr>
              <w:pStyle w:val="TableContents"/>
              <w:spacing w:before="0" w:after="0"/>
              <w:rPr>
                <w:color w:val="000000"/>
              </w:rPr>
            </w:pPr>
            <w:r>
              <w:rPr>
                <w:color w:val="000000"/>
              </w:rPr>
              <w:t>%</w:t>
            </w:r>
          </w:p>
        </w:tc>
        <w:tc>
          <w:tcPr>
            <w:tcW w:w="63" w:type="dxa"/>
            <w:tcBorders/>
            <w:shd w:fill="CCEEFF" w:val="clear"/>
            <w:vAlign w:val="bottom"/>
          </w:tcPr>
          <w:p>
            <w:pPr>
              <w:pStyle w:val="TableContents"/>
              <w:spacing w:before="0" w:after="283"/>
              <w:rPr/>
            </w:pPr>
            <w:r>
              <w:rPr/>
              <w:t> </w:t>
            </w:r>
          </w:p>
        </w:tc>
        <w:tc>
          <w:tcPr>
            <w:tcW w:w="106" w:type="dxa"/>
            <w:tcBorders>
              <w:bottom w:val="double" w:sz="8" w:space="0" w:color="000000"/>
            </w:tcBorders>
            <w:shd w:fill="CCEEFF" w:val="clear"/>
            <w:tcMar>
              <w:bottom w:w="28" w:type="dxa"/>
            </w:tcMar>
            <w:vAlign w:val="bottom"/>
          </w:tcPr>
          <w:p>
            <w:pPr>
              <w:pStyle w:val="TableContents"/>
              <w:spacing w:before="0" w:after="283"/>
              <w:rPr/>
            </w:pPr>
            <w:r>
              <w:rPr/>
              <w:t> </w:t>
            </w:r>
          </w:p>
        </w:tc>
        <w:tc>
          <w:tcPr>
            <w:tcW w:w="1008"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30" w:type="dxa"/>
            <w:tcBorders/>
            <w:shd w:fill="CCEEFF" w:val="clear"/>
            <w:vAlign w:val="bottom"/>
          </w:tcPr>
          <w:p>
            <w:pPr>
              <w:pStyle w:val="TableContents"/>
              <w:spacing w:before="0" w:after="0"/>
              <w:rPr>
                <w:color w:val="000000"/>
              </w:rPr>
            </w:pPr>
            <w:r>
              <w:rPr>
                <w:color w:val="000000"/>
              </w:rPr>
              <w:t>%</w:t>
            </w:r>
          </w:p>
        </w:tc>
      </w:tr>
    </w:tbl>
    <w:p>
      <w:pPr>
        <w:pStyle w:val="TextBody"/>
        <w:spacing w:before="0" w:after="0"/>
        <w:jc w:val="left"/>
        <w:rPr>
          <w:color w:val="000000"/>
        </w:rPr>
      </w:pPr>
      <w:r>
        <w:rPr>
          <w:color w:val="000000"/>
        </w:rPr>
        <w:t xml:space="preserve">  </w:t>
      </w:r>
    </w:p>
    <w:tbl>
      <w:tblPr>
        <w:tblW w:w="5382" w:type="dxa"/>
        <w:jc w:val="center"/>
        <w:tblInd w:w="0" w:type="dxa"/>
        <w:tblCellMar>
          <w:top w:w="0" w:type="dxa"/>
          <w:left w:w="0" w:type="dxa"/>
          <w:bottom w:w="0" w:type="dxa"/>
          <w:right w:w="0" w:type="dxa"/>
        </w:tblCellMar>
      </w:tblPr>
      <w:tblGrid>
        <w:gridCol w:w="2000"/>
        <w:gridCol w:w="60"/>
        <w:gridCol w:w="156"/>
        <w:gridCol w:w="1468"/>
        <w:gridCol w:w="277"/>
        <w:gridCol w:w="77"/>
        <w:gridCol w:w="107"/>
        <w:gridCol w:w="1007"/>
        <w:gridCol w:w="230"/>
      </w:tblGrid>
      <w:tr>
        <w:trPr/>
        <w:tc>
          <w:tcPr>
            <w:tcW w:w="20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92"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 2022</w:t>
            </w:r>
          </w:p>
        </w:tc>
        <w:tc>
          <w:tcPr>
            <w:tcW w:w="230" w:type="dxa"/>
            <w:tcBorders/>
            <w:shd w:fill="auto" w:val="clear"/>
            <w:vAlign w:val="bottom"/>
          </w:tcPr>
          <w:p>
            <w:pPr>
              <w:pStyle w:val="TableContents"/>
              <w:spacing w:before="0" w:after="283"/>
              <w:rPr/>
            </w:pPr>
            <w:r>
              <w:rPr/>
              <w:t> </w:t>
            </w:r>
          </w:p>
        </w:tc>
      </w:tr>
      <w:tr>
        <w:trPr/>
        <w:tc>
          <w:tcPr>
            <w:tcW w:w="2000" w:type="dxa"/>
            <w:tcBorders/>
            <w:shd w:fill="auto" w:val="clear"/>
            <w:vAlign w:val="bottom"/>
          </w:tcPr>
          <w:p>
            <w:pPr>
              <w:pStyle w:val="TableContents"/>
              <w:spacing w:before="0" w:after="0"/>
              <w:ind w:left="144" w:right="0" w:hanging="144"/>
              <w:rPr>
                <w:b/>
                <w:color w:val="000000"/>
              </w:rPr>
            </w:pPr>
            <w:r>
              <w:rPr>
                <w:b/>
                <w:color w:val="000000"/>
              </w:rPr>
              <w:t>Geographic Region</w:t>
            </w:r>
          </w:p>
        </w:tc>
        <w:tc>
          <w:tcPr>
            <w:tcW w:w="60" w:type="dxa"/>
            <w:tcBorders/>
            <w:shd w:fill="auto" w:val="clear"/>
            <w:vAlign w:val="bottom"/>
          </w:tcPr>
          <w:p>
            <w:pPr>
              <w:pStyle w:val="TableContents"/>
              <w:spacing w:before="0" w:after="283"/>
              <w:rPr/>
            </w:pPr>
            <w:r>
              <w:rPr/>
              <w:t> </w:t>
            </w:r>
          </w:p>
        </w:tc>
        <w:tc>
          <w:tcPr>
            <w:tcW w:w="162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 Cost</w:t>
            </w:r>
          </w:p>
        </w:tc>
        <w:tc>
          <w:tcPr>
            <w:tcW w:w="27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11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 Value</w:t>
            </w:r>
          </w:p>
        </w:tc>
        <w:tc>
          <w:tcPr>
            <w:tcW w:w="230" w:type="dxa"/>
            <w:tcBorders/>
            <w:shd w:fill="auto" w:val="clear"/>
            <w:vAlign w:val="bottom"/>
          </w:tcPr>
          <w:p>
            <w:pPr>
              <w:pStyle w:val="TableContents"/>
              <w:spacing w:before="0" w:after="283"/>
              <w:rPr/>
            </w:pPr>
            <w:r>
              <w:rPr/>
              <w:t> </w:t>
            </w:r>
          </w:p>
        </w:tc>
      </w:tr>
      <w:tr>
        <w:trPr/>
        <w:tc>
          <w:tcPr>
            <w:tcW w:w="2000" w:type="dxa"/>
            <w:tcBorders/>
            <w:shd w:fill="CCEEFF" w:val="clear"/>
            <w:vAlign w:val="bottom"/>
          </w:tcPr>
          <w:p>
            <w:pPr>
              <w:pStyle w:val="TableContents"/>
              <w:spacing w:before="0" w:after="0"/>
              <w:ind w:left="144" w:right="0" w:hanging="144"/>
              <w:rPr>
                <w:color w:val="000000"/>
              </w:rPr>
            </w:pPr>
            <w:r>
              <w:rPr>
                <w:color w:val="000000"/>
              </w:rPr>
              <w:t>Midwest</w:t>
            </w:r>
          </w:p>
        </w:tc>
        <w:tc>
          <w:tcPr>
            <w:tcW w:w="6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468" w:type="dxa"/>
            <w:tcBorders/>
            <w:shd w:fill="CCEEFF" w:val="clear"/>
            <w:vAlign w:val="bottom"/>
          </w:tcPr>
          <w:p>
            <w:pPr>
              <w:pStyle w:val="TableContents"/>
              <w:spacing w:before="0" w:after="0"/>
              <w:jc w:val="right"/>
              <w:rPr>
                <w:color w:val="000000"/>
              </w:rPr>
            </w:pPr>
            <w:r>
              <w:rPr>
                <w:color w:val="000000"/>
              </w:rPr>
              <w:t>48.4</w:t>
            </w:r>
          </w:p>
        </w:tc>
        <w:tc>
          <w:tcPr>
            <w:tcW w:w="277" w:type="dxa"/>
            <w:tcBorders/>
            <w:shd w:fill="CCEEFF" w:val="clear"/>
            <w:vAlign w:val="bottom"/>
          </w:tcPr>
          <w:p>
            <w:pPr>
              <w:pStyle w:val="TableContents"/>
              <w:spacing w:before="0" w:after="0"/>
              <w:rPr>
                <w:color w:val="000000"/>
              </w:rPr>
            </w:pPr>
            <w:r>
              <w:rPr>
                <w:color w:val="000000"/>
              </w:rPr>
              <w:t>%</w:t>
            </w:r>
          </w:p>
        </w:tc>
        <w:tc>
          <w:tcPr>
            <w:tcW w:w="7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0"/>
              <w:jc w:val="right"/>
              <w:rPr>
                <w:color w:val="000000"/>
              </w:rPr>
            </w:pPr>
            <w:r>
              <w:rPr>
                <w:color w:val="000000"/>
              </w:rPr>
              <w:t>48.5</w:t>
            </w:r>
          </w:p>
        </w:tc>
        <w:tc>
          <w:tcPr>
            <w:tcW w:w="230" w:type="dxa"/>
            <w:tcBorders/>
            <w:shd w:fill="CCEEFF" w:val="clear"/>
            <w:vAlign w:val="bottom"/>
          </w:tcPr>
          <w:p>
            <w:pPr>
              <w:pStyle w:val="TableContents"/>
              <w:spacing w:before="0" w:after="0"/>
              <w:rPr>
                <w:color w:val="000000"/>
              </w:rPr>
            </w:pPr>
            <w:r>
              <w:rPr>
                <w:color w:val="000000"/>
              </w:rPr>
              <w:t>%</w:t>
            </w:r>
          </w:p>
        </w:tc>
      </w:tr>
      <w:tr>
        <w:trPr/>
        <w:tc>
          <w:tcPr>
            <w:tcW w:w="2000" w:type="dxa"/>
            <w:tcBorders/>
            <w:shd w:fill="auto" w:val="clear"/>
            <w:vAlign w:val="bottom"/>
          </w:tcPr>
          <w:p>
            <w:pPr>
              <w:pStyle w:val="TableContents"/>
              <w:spacing w:before="0" w:after="0"/>
              <w:ind w:left="144" w:right="0" w:hanging="144"/>
              <w:rPr>
                <w:color w:val="000000"/>
              </w:rPr>
            </w:pPr>
            <w:r>
              <w:rPr>
                <w:color w:val="000000"/>
              </w:rPr>
              <w:t>West</w:t>
            </w:r>
          </w:p>
        </w:tc>
        <w:tc>
          <w:tcPr>
            <w:tcW w:w="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468" w:type="dxa"/>
            <w:tcBorders/>
            <w:shd w:fill="auto" w:val="clear"/>
            <w:vAlign w:val="bottom"/>
          </w:tcPr>
          <w:p>
            <w:pPr>
              <w:pStyle w:val="TableContents"/>
              <w:spacing w:before="0" w:after="0"/>
              <w:jc w:val="right"/>
              <w:rPr>
                <w:color w:val="000000"/>
              </w:rPr>
            </w:pPr>
            <w:r>
              <w:rPr>
                <w:color w:val="000000"/>
              </w:rPr>
              <w:t>40.5</w:t>
            </w:r>
          </w:p>
        </w:tc>
        <w:tc>
          <w:tcPr>
            <w:tcW w:w="27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0"/>
              <w:jc w:val="right"/>
              <w:rPr>
                <w:color w:val="000000"/>
              </w:rPr>
            </w:pPr>
            <w:r>
              <w:rPr>
                <w:color w:val="000000"/>
              </w:rPr>
              <w:t>40.3</w:t>
            </w:r>
          </w:p>
        </w:tc>
        <w:tc>
          <w:tcPr>
            <w:tcW w:w="230" w:type="dxa"/>
            <w:tcBorders/>
            <w:shd w:fill="auto" w:val="clear"/>
            <w:vAlign w:val="bottom"/>
          </w:tcPr>
          <w:p>
            <w:pPr>
              <w:pStyle w:val="TableContents"/>
              <w:spacing w:before="0" w:after="283"/>
              <w:rPr/>
            </w:pPr>
            <w:r>
              <w:rPr/>
              <w:t> </w:t>
            </w:r>
          </w:p>
        </w:tc>
      </w:tr>
      <w:tr>
        <w:trPr/>
        <w:tc>
          <w:tcPr>
            <w:tcW w:w="2000" w:type="dxa"/>
            <w:tcBorders/>
            <w:shd w:fill="CCEEFF" w:val="clear"/>
            <w:vAlign w:val="bottom"/>
          </w:tcPr>
          <w:p>
            <w:pPr>
              <w:pStyle w:val="TableContents"/>
              <w:spacing w:before="0" w:after="0"/>
              <w:ind w:left="144" w:right="0" w:hanging="144"/>
              <w:rPr>
                <w:color w:val="000000"/>
              </w:rPr>
            </w:pPr>
            <w:r>
              <w:rPr>
                <w:color w:val="000000"/>
              </w:rPr>
              <w:t>Northeast</w:t>
            </w:r>
          </w:p>
        </w:tc>
        <w:tc>
          <w:tcPr>
            <w:tcW w:w="6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468" w:type="dxa"/>
            <w:tcBorders/>
            <w:shd w:fill="CCEEFF" w:val="clear"/>
            <w:vAlign w:val="bottom"/>
          </w:tcPr>
          <w:p>
            <w:pPr>
              <w:pStyle w:val="TableContents"/>
              <w:spacing w:before="0" w:after="0"/>
              <w:jc w:val="right"/>
              <w:rPr>
                <w:color w:val="000000"/>
              </w:rPr>
            </w:pPr>
            <w:r>
              <w:rPr>
                <w:color w:val="000000"/>
              </w:rPr>
              <w:t>7.6</w:t>
            </w:r>
          </w:p>
        </w:tc>
        <w:tc>
          <w:tcPr>
            <w:tcW w:w="27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0"/>
              <w:jc w:val="right"/>
              <w:rPr>
                <w:color w:val="000000"/>
              </w:rPr>
            </w:pPr>
            <w:r>
              <w:rPr>
                <w:color w:val="000000"/>
              </w:rPr>
              <w:t>7.7</w:t>
            </w:r>
          </w:p>
        </w:tc>
        <w:tc>
          <w:tcPr>
            <w:tcW w:w="230" w:type="dxa"/>
            <w:tcBorders/>
            <w:shd w:fill="CCEEFF" w:val="clear"/>
            <w:vAlign w:val="bottom"/>
          </w:tcPr>
          <w:p>
            <w:pPr>
              <w:pStyle w:val="TableContents"/>
              <w:spacing w:before="0" w:after="283"/>
              <w:rPr/>
            </w:pPr>
            <w:r>
              <w:rPr/>
              <w:t> </w:t>
            </w:r>
          </w:p>
        </w:tc>
      </w:tr>
      <w:tr>
        <w:trPr/>
        <w:tc>
          <w:tcPr>
            <w:tcW w:w="2000" w:type="dxa"/>
            <w:tcBorders/>
            <w:shd w:fill="auto" w:val="clear"/>
            <w:vAlign w:val="bottom"/>
          </w:tcPr>
          <w:p>
            <w:pPr>
              <w:pStyle w:val="TableContents"/>
              <w:spacing w:before="0" w:after="0"/>
              <w:ind w:left="144" w:right="0" w:hanging="144"/>
              <w:rPr>
                <w:color w:val="000000"/>
              </w:rPr>
            </w:pPr>
            <w:r>
              <w:rPr>
                <w:color w:val="000000"/>
              </w:rPr>
              <w:t>Southeast</w:t>
            </w:r>
          </w:p>
        </w:tc>
        <w:tc>
          <w:tcPr>
            <w:tcW w:w="60" w:type="dxa"/>
            <w:tcBorders/>
            <w:shd w:fill="auto" w:val="clear"/>
            <w:vAlign w:val="bottom"/>
          </w:tcPr>
          <w:p>
            <w:pPr>
              <w:pStyle w:val="TableContents"/>
              <w:spacing w:before="0" w:after="283"/>
              <w:rPr/>
            </w:pPr>
            <w:r>
              <w:rPr/>
              <w:t> </w:t>
            </w:r>
          </w:p>
        </w:tc>
        <w:tc>
          <w:tcPr>
            <w:tcW w:w="156" w:type="dxa"/>
            <w:tcBorders>
              <w:bottom w:val="single" w:sz="12" w:space="0" w:color="000000"/>
            </w:tcBorders>
            <w:shd w:fill="auto" w:val="clear"/>
            <w:tcMar>
              <w:bottom w:w="28" w:type="dxa"/>
            </w:tcMar>
            <w:vAlign w:val="bottom"/>
          </w:tcPr>
          <w:p>
            <w:pPr>
              <w:pStyle w:val="TableContents"/>
              <w:spacing w:before="0" w:after="283"/>
              <w:rPr/>
            </w:pPr>
            <w:r>
              <w:rPr/>
              <w:t> </w:t>
            </w:r>
          </w:p>
        </w:tc>
        <w:tc>
          <w:tcPr>
            <w:tcW w:w="146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3.5</w:t>
            </w:r>
          </w:p>
        </w:tc>
        <w:tc>
          <w:tcPr>
            <w:tcW w:w="27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07" w:type="dxa"/>
            <w:tcBorders>
              <w:bottom w:val="single" w:sz="12" w:space="0" w:color="000000"/>
            </w:tcBorders>
            <w:shd w:fill="auto" w:val="clear"/>
            <w:tcMar>
              <w:bottom w:w="28" w:type="dxa"/>
            </w:tcMar>
            <w:vAlign w:val="bottom"/>
          </w:tcPr>
          <w:p>
            <w:pPr>
              <w:pStyle w:val="TableContents"/>
              <w:spacing w:before="0" w:after="283"/>
              <w:rPr/>
            </w:pPr>
            <w:r>
              <w:rPr/>
              <w:t> </w:t>
            </w:r>
          </w:p>
        </w:tc>
        <w:tc>
          <w:tcPr>
            <w:tcW w:w="100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3.5</w:t>
            </w:r>
          </w:p>
        </w:tc>
        <w:tc>
          <w:tcPr>
            <w:tcW w:w="230" w:type="dxa"/>
            <w:tcBorders/>
            <w:shd w:fill="auto" w:val="clear"/>
            <w:vAlign w:val="bottom"/>
          </w:tcPr>
          <w:p>
            <w:pPr>
              <w:pStyle w:val="TableContents"/>
              <w:spacing w:before="0" w:after="283"/>
              <w:rPr/>
            </w:pPr>
            <w:r>
              <w:rPr/>
              <w:t> </w:t>
            </w:r>
          </w:p>
        </w:tc>
      </w:tr>
      <w:tr>
        <w:trPr/>
        <w:tc>
          <w:tcPr>
            <w:tcW w:w="2000" w:type="dxa"/>
            <w:tcBorders/>
            <w:shd w:fill="CCEEFF" w:val="clear"/>
            <w:vAlign w:val="bottom"/>
          </w:tcPr>
          <w:p>
            <w:pPr>
              <w:pStyle w:val="TableContents"/>
              <w:spacing w:before="0" w:after="0"/>
              <w:ind w:left="324" w:right="0" w:hanging="144"/>
              <w:rPr>
                <w:color w:val="000000"/>
              </w:rPr>
            </w:pPr>
            <w:r>
              <w:rPr>
                <w:color w:val="000000"/>
              </w:rPr>
              <w:t>Total</w:t>
            </w:r>
          </w:p>
        </w:tc>
        <w:tc>
          <w:tcPr>
            <w:tcW w:w="60" w:type="dxa"/>
            <w:tcBorders/>
            <w:shd w:fill="CCEEFF" w:val="clear"/>
            <w:vAlign w:val="bottom"/>
          </w:tcPr>
          <w:p>
            <w:pPr>
              <w:pStyle w:val="TableContents"/>
              <w:spacing w:before="0" w:after="283"/>
              <w:rPr/>
            </w:pPr>
            <w:r>
              <w:rPr/>
              <w:t> </w:t>
            </w:r>
          </w:p>
        </w:tc>
        <w:tc>
          <w:tcPr>
            <w:tcW w:w="156" w:type="dxa"/>
            <w:tcBorders>
              <w:bottom w:val="double" w:sz="8" w:space="0" w:color="000000"/>
            </w:tcBorders>
            <w:shd w:fill="CCEEFF" w:val="clear"/>
            <w:tcMar>
              <w:bottom w:w="28" w:type="dxa"/>
            </w:tcMar>
            <w:vAlign w:val="bottom"/>
          </w:tcPr>
          <w:p>
            <w:pPr>
              <w:pStyle w:val="TableContents"/>
              <w:spacing w:before="0" w:after="283"/>
              <w:rPr/>
            </w:pPr>
            <w:r>
              <w:rPr/>
              <w:t> </w:t>
            </w:r>
          </w:p>
        </w:tc>
        <w:tc>
          <w:tcPr>
            <w:tcW w:w="1468"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77" w:type="dxa"/>
            <w:tcBorders/>
            <w:shd w:fill="CCEEFF" w:val="clear"/>
            <w:vAlign w:val="bottom"/>
          </w:tcPr>
          <w:p>
            <w:pPr>
              <w:pStyle w:val="TableContents"/>
              <w:spacing w:before="0" w:after="0"/>
              <w:rPr>
                <w:color w:val="000000"/>
              </w:rPr>
            </w:pPr>
            <w:r>
              <w:rPr>
                <w:color w:val="000000"/>
              </w:rPr>
              <w:t>%</w:t>
            </w:r>
          </w:p>
        </w:tc>
        <w:tc>
          <w:tcPr>
            <w:tcW w:w="77" w:type="dxa"/>
            <w:tcBorders/>
            <w:shd w:fill="CCEEFF" w:val="clear"/>
            <w:vAlign w:val="bottom"/>
          </w:tcPr>
          <w:p>
            <w:pPr>
              <w:pStyle w:val="TableContents"/>
              <w:spacing w:before="0" w:after="283"/>
              <w:rPr/>
            </w:pPr>
            <w:r>
              <w:rPr/>
              <w:t> </w:t>
            </w:r>
          </w:p>
        </w:tc>
        <w:tc>
          <w:tcPr>
            <w:tcW w:w="107" w:type="dxa"/>
            <w:tcBorders>
              <w:bottom w:val="double" w:sz="8" w:space="0" w:color="000000"/>
            </w:tcBorders>
            <w:shd w:fill="CCEEFF" w:val="clear"/>
            <w:tcMar>
              <w:bottom w:w="28" w:type="dxa"/>
            </w:tcMar>
            <w:vAlign w:val="bottom"/>
          </w:tcPr>
          <w:p>
            <w:pPr>
              <w:pStyle w:val="TableContents"/>
              <w:spacing w:before="0" w:after="283"/>
              <w:rPr/>
            </w:pPr>
            <w:r>
              <w:rPr/>
              <w:t> </w:t>
            </w:r>
          </w:p>
        </w:tc>
        <w:tc>
          <w:tcPr>
            <w:tcW w:w="1007"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30" w:type="dxa"/>
            <w:tcBorders/>
            <w:shd w:fill="CCEEFF" w:val="clear"/>
            <w:vAlign w:val="bottom"/>
          </w:tcPr>
          <w:p>
            <w:pPr>
              <w:pStyle w:val="TableContents"/>
              <w:spacing w:before="0" w:after="0"/>
              <w:rPr>
                <w:color w:val="000000"/>
              </w:rPr>
            </w:pPr>
            <w:r>
              <w:rPr>
                <w:color w:val="000000"/>
              </w:rPr>
              <w:t>%</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Set forth below are tables showing the industry composition of our investment portfolio at cost and fair value as a percentage of total investments as of March 31, 2023 and December 31, 2022.</w:t>
      </w:r>
    </w:p>
    <w:p>
      <w:pPr>
        <w:pStyle w:val="TextBody"/>
        <w:spacing w:before="0" w:after="0"/>
        <w:jc w:val="left"/>
        <w:rPr>
          <w:color w:val="000000"/>
        </w:rPr>
      </w:pPr>
      <w:r>
        <w:rPr>
          <w:color w:val="000000"/>
        </w:rPr>
        <w:t> </w:t>
      </w:r>
    </w:p>
    <w:tbl>
      <w:tblPr>
        <w:tblW w:w="4959" w:type="dxa"/>
        <w:jc w:val="left"/>
        <w:tblInd w:w="0" w:type="dxa"/>
        <w:tblCellMar>
          <w:top w:w="0" w:type="dxa"/>
          <w:left w:w="0" w:type="dxa"/>
          <w:bottom w:w="0" w:type="dxa"/>
          <w:right w:w="0" w:type="dxa"/>
        </w:tblCellMar>
      </w:tblPr>
      <w:tblGrid>
        <w:gridCol w:w="1640"/>
        <w:gridCol w:w="60"/>
        <w:gridCol w:w="156"/>
        <w:gridCol w:w="1468"/>
        <w:gridCol w:w="228"/>
        <w:gridCol w:w="63"/>
        <w:gridCol w:w="106"/>
        <w:gridCol w:w="1008"/>
        <w:gridCol w:w="230"/>
      </w:tblGrid>
      <w:tr>
        <w:trPr/>
        <w:tc>
          <w:tcPr>
            <w:tcW w:w="16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29"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 2023</w:t>
            </w:r>
          </w:p>
        </w:tc>
        <w:tc>
          <w:tcPr>
            <w:tcW w:w="230" w:type="dxa"/>
            <w:tcBorders/>
            <w:shd w:fill="auto" w:val="clear"/>
            <w:vAlign w:val="bottom"/>
          </w:tcPr>
          <w:p>
            <w:pPr>
              <w:pStyle w:val="TableContents"/>
              <w:spacing w:before="0" w:after="283"/>
              <w:rPr/>
            </w:pPr>
            <w:r>
              <w:rPr/>
              <w:t> </w:t>
            </w:r>
          </w:p>
        </w:tc>
      </w:tr>
      <w:tr>
        <w:trPr/>
        <w:tc>
          <w:tcPr>
            <w:tcW w:w="1640" w:type="dxa"/>
            <w:tcBorders/>
            <w:shd w:fill="auto" w:val="clear"/>
            <w:vAlign w:val="bottom"/>
          </w:tcPr>
          <w:p>
            <w:pPr>
              <w:pStyle w:val="TableContents"/>
              <w:spacing w:before="0" w:after="0"/>
              <w:rPr>
                <w:b/>
                <w:color w:val="000000"/>
              </w:rPr>
            </w:pPr>
            <w:r>
              <w:rPr>
                <w:b/>
                <w:color w:val="000000"/>
              </w:rPr>
              <w:t>Industry</w:t>
            </w:r>
          </w:p>
        </w:tc>
        <w:tc>
          <w:tcPr>
            <w:tcW w:w="60" w:type="dxa"/>
            <w:tcBorders/>
            <w:shd w:fill="auto" w:val="clear"/>
            <w:vAlign w:val="bottom"/>
          </w:tcPr>
          <w:p>
            <w:pPr>
              <w:pStyle w:val="TableContents"/>
              <w:spacing w:before="0" w:after="283"/>
              <w:rPr/>
            </w:pPr>
            <w:r>
              <w:rPr/>
              <w:t> </w:t>
            </w:r>
          </w:p>
        </w:tc>
        <w:tc>
          <w:tcPr>
            <w:tcW w:w="162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 Cost</w:t>
            </w:r>
          </w:p>
        </w:tc>
        <w:tc>
          <w:tcPr>
            <w:tcW w:w="22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11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 Value</w:t>
            </w:r>
          </w:p>
        </w:tc>
        <w:tc>
          <w:tcPr>
            <w:tcW w:w="230" w:type="dxa"/>
            <w:tcBorders/>
            <w:shd w:fill="auto" w:val="clear"/>
            <w:vAlign w:val="bottom"/>
          </w:tcPr>
          <w:p>
            <w:pPr>
              <w:pStyle w:val="TableContents"/>
              <w:spacing w:before="0" w:after="283"/>
              <w:rPr/>
            </w:pPr>
            <w:r>
              <w:rPr/>
              <w:t> </w:t>
            </w:r>
          </w:p>
        </w:tc>
      </w:tr>
      <w:tr>
        <w:trPr/>
        <w:tc>
          <w:tcPr>
            <w:tcW w:w="1640" w:type="dxa"/>
            <w:tcBorders/>
            <w:shd w:fill="CCEEFF" w:val="clear"/>
            <w:vAlign w:val="bottom"/>
          </w:tcPr>
          <w:p>
            <w:pPr>
              <w:pStyle w:val="TableContents"/>
              <w:spacing w:before="0" w:after="0"/>
              <w:rPr>
                <w:color w:val="000000"/>
              </w:rPr>
            </w:pPr>
            <w:r>
              <w:rPr>
                <w:color w:val="000000"/>
              </w:rPr>
              <w:t>Wholesale Trade</w:t>
            </w:r>
          </w:p>
        </w:tc>
        <w:tc>
          <w:tcPr>
            <w:tcW w:w="60" w:type="dxa"/>
            <w:tcBorders/>
            <w:shd w:fill="CCEEFF" w:val="clear"/>
            <w:vAlign w:val="bottom"/>
          </w:tcPr>
          <w:p>
            <w:pPr>
              <w:pStyle w:val="TableContents"/>
              <w:spacing w:before="0" w:after="283"/>
              <w:rPr/>
            </w:pPr>
            <w:r>
              <w:rPr/>
              <w:t> </w:t>
            </w:r>
          </w:p>
        </w:tc>
        <w:tc>
          <w:tcPr>
            <w:tcW w:w="15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46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28" w:type="dxa"/>
            <w:tcBorders/>
            <w:shd w:fill="CCEEFF" w:val="clear"/>
            <w:vAlign w:val="bottom"/>
          </w:tcPr>
          <w:p>
            <w:pPr>
              <w:pStyle w:val="TableContents"/>
              <w:spacing w:before="0" w:after="0"/>
              <w:rPr>
                <w:color w:val="000000"/>
              </w:rPr>
            </w:pPr>
            <w:r>
              <w:rPr>
                <w:color w:val="000000"/>
              </w:rPr>
              <w:t>%</w:t>
            </w:r>
          </w:p>
        </w:tc>
        <w:tc>
          <w:tcPr>
            <w:tcW w:w="63" w:type="dxa"/>
            <w:tcBorders/>
            <w:shd w:fill="CCEEFF" w:val="clear"/>
            <w:vAlign w:val="bottom"/>
          </w:tcPr>
          <w:p>
            <w:pPr>
              <w:pStyle w:val="TableContents"/>
              <w:spacing w:before="0" w:after="283"/>
              <w:rPr/>
            </w:pPr>
            <w:r>
              <w:rPr/>
              <w:t> </w:t>
            </w:r>
          </w:p>
        </w:tc>
        <w:tc>
          <w:tcPr>
            <w:tcW w:w="10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00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30" w:type="dxa"/>
            <w:tcBorders/>
            <w:shd w:fill="CCEEFF" w:val="clear"/>
            <w:vAlign w:val="bottom"/>
          </w:tcPr>
          <w:p>
            <w:pPr>
              <w:pStyle w:val="TableContents"/>
              <w:spacing w:before="0" w:after="0"/>
              <w:rPr>
                <w:color w:val="000000"/>
              </w:rPr>
            </w:pPr>
            <w:r>
              <w:rPr>
                <w:color w:val="000000"/>
              </w:rPr>
              <w:t>%</w:t>
            </w:r>
          </w:p>
        </w:tc>
      </w:tr>
      <w:tr>
        <w:trPr/>
        <w:tc>
          <w:tcPr>
            <w:tcW w:w="1640" w:type="dxa"/>
            <w:tcBorders/>
            <w:shd w:fill="auto" w:val="clear"/>
            <w:vAlign w:val="bottom"/>
          </w:tcPr>
          <w:p>
            <w:pPr>
              <w:pStyle w:val="TableContents"/>
              <w:spacing w:before="0" w:after="0"/>
              <w:ind w:left="180" w:right="0" w:hanging="0"/>
              <w:rPr>
                <w:color w:val="000000"/>
              </w:rPr>
            </w:pPr>
            <w:r>
              <w:rPr>
                <w:color w:val="000000"/>
              </w:rPr>
              <w:t>Total</w:t>
            </w:r>
          </w:p>
        </w:tc>
        <w:tc>
          <w:tcPr>
            <w:tcW w:w="60" w:type="dxa"/>
            <w:tcBorders/>
            <w:shd w:fill="auto" w:val="clear"/>
            <w:vAlign w:val="bottom"/>
          </w:tcPr>
          <w:p>
            <w:pPr>
              <w:pStyle w:val="TableContents"/>
              <w:spacing w:before="0" w:after="283"/>
              <w:rPr/>
            </w:pPr>
            <w:r>
              <w:rPr/>
              <w:t> </w:t>
            </w:r>
          </w:p>
        </w:tc>
        <w:tc>
          <w:tcPr>
            <w:tcW w:w="156" w:type="dxa"/>
            <w:tcBorders>
              <w:bottom w:val="double" w:sz="8" w:space="0" w:color="000000"/>
            </w:tcBorders>
            <w:shd w:fill="auto" w:val="clear"/>
            <w:tcMar>
              <w:bottom w:w="28" w:type="dxa"/>
            </w:tcMar>
            <w:vAlign w:val="bottom"/>
          </w:tcPr>
          <w:p>
            <w:pPr>
              <w:pStyle w:val="TableContents"/>
              <w:spacing w:before="0" w:after="283"/>
              <w:rPr/>
            </w:pPr>
            <w:r>
              <w:rPr/>
              <w:t> </w:t>
            </w:r>
          </w:p>
        </w:tc>
        <w:tc>
          <w:tcPr>
            <w:tcW w:w="1468"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100.0</w:t>
            </w:r>
          </w:p>
        </w:tc>
        <w:tc>
          <w:tcPr>
            <w:tcW w:w="228" w:type="dxa"/>
            <w:tcBorders/>
            <w:shd w:fill="auto" w:val="clear"/>
            <w:vAlign w:val="bottom"/>
          </w:tcPr>
          <w:p>
            <w:pPr>
              <w:pStyle w:val="TableContents"/>
              <w:spacing w:before="0" w:after="0"/>
              <w:rPr>
                <w:color w:val="000000"/>
              </w:rPr>
            </w:pPr>
            <w:r>
              <w:rPr>
                <w:color w:val="000000"/>
              </w:rPr>
              <w:t>%</w:t>
            </w:r>
          </w:p>
        </w:tc>
        <w:tc>
          <w:tcPr>
            <w:tcW w:w="63" w:type="dxa"/>
            <w:tcBorders/>
            <w:shd w:fill="auto" w:val="clear"/>
            <w:vAlign w:val="bottom"/>
          </w:tcPr>
          <w:p>
            <w:pPr>
              <w:pStyle w:val="TableContents"/>
              <w:spacing w:before="0" w:after="283"/>
              <w:rPr/>
            </w:pPr>
            <w:r>
              <w:rPr/>
              <w:t> </w:t>
            </w:r>
          </w:p>
        </w:tc>
        <w:tc>
          <w:tcPr>
            <w:tcW w:w="106" w:type="dxa"/>
            <w:tcBorders>
              <w:bottom w:val="double" w:sz="8" w:space="0" w:color="000000"/>
            </w:tcBorders>
            <w:shd w:fill="auto" w:val="clear"/>
            <w:tcMar>
              <w:bottom w:w="28" w:type="dxa"/>
            </w:tcMar>
            <w:vAlign w:val="bottom"/>
          </w:tcPr>
          <w:p>
            <w:pPr>
              <w:pStyle w:val="TableContents"/>
              <w:spacing w:before="0" w:after="283"/>
              <w:rPr/>
            </w:pPr>
            <w:r>
              <w:rPr/>
              <w:t> </w:t>
            </w:r>
          </w:p>
        </w:tc>
        <w:tc>
          <w:tcPr>
            <w:tcW w:w="1008"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100.0</w:t>
            </w:r>
          </w:p>
        </w:tc>
        <w:tc>
          <w:tcPr>
            <w:tcW w:w="230" w:type="dxa"/>
            <w:tcBorders/>
            <w:shd w:fill="auto" w:val="clear"/>
            <w:vAlign w:val="bottom"/>
          </w:tcPr>
          <w:p>
            <w:pPr>
              <w:pStyle w:val="TableContents"/>
              <w:spacing w:before="0" w:after="0"/>
              <w:rPr>
                <w:color w:val="000000"/>
              </w:rPr>
            </w:pPr>
            <w:r>
              <w:rPr>
                <w:color w:val="000000"/>
              </w:rPr>
              <w:t>%</w:t>
            </w:r>
          </w:p>
        </w:tc>
      </w:tr>
    </w:tbl>
    <w:p>
      <w:pPr>
        <w:pStyle w:val="TextBody"/>
        <w:spacing w:before="0" w:after="0"/>
        <w:jc w:val="left"/>
        <w:rPr>
          <w:color w:val="000000"/>
        </w:rPr>
      </w:pPr>
      <w:r>
        <w:rPr>
          <w:color w:val="000000"/>
        </w:rPr>
        <w:t> </w:t>
      </w:r>
    </w:p>
    <w:tbl>
      <w:tblPr>
        <w:tblW w:w="5022" w:type="dxa"/>
        <w:jc w:val="center"/>
        <w:tblInd w:w="0" w:type="dxa"/>
        <w:tblCellMar>
          <w:top w:w="0" w:type="dxa"/>
          <w:left w:w="0" w:type="dxa"/>
          <w:bottom w:w="0" w:type="dxa"/>
          <w:right w:w="0" w:type="dxa"/>
        </w:tblCellMar>
      </w:tblPr>
      <w:tblGrid>
        <w:gridCol w:w="1640"/>
        <w:gridCol w:w="60"/>
        <w:gridCol w:w="156"/>
        <w:gridCol w:w="1468"/>
        <w:gridCol w:w="277"/>
        <w:gridCol w:w="77"/>
        <w:gridCol w:w="107"/>
        <w:gridCol w:w="1007"/>
        <w:gridCol w:w="230"/>
      </w:tblGrid>
      <w:tr>
        <w:trPr/>
        <w:tc>
          <w:tcPr>
            <w:tcW w:w="16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92"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 2022</w:t>
            </w:r>
          </w:p>
        </w:tc>
        <w:tc>
          <w:tcPr>
            <w:tcW w:w="230" w:type="dxa"/>
            <w:tcBorders/>
            <w:shd w:fill="auto" w:val="clear"/>
            <w:vAlign w:val="bottom"/>
          </w:tcPr>
          <w:p>
            <w:pPr>
              <w:pStyle w:val="TableContents"/>
              <w:spacing w:before="0" w:after="283"/>
              <w:rPr/>
            </w:pPr>
            <w:r>
              <w:rPr/>
              <w:t> </w:t>
            </w:r>
          </w:p>
        </w:tc>
      </w:tr>
      <w:tr>
        <w:trPr/>
        <w:tc>
          <w:tcPr>
            <w:tcW w:w="1640" w:type="dxa"/>
            <w:tcBorders/>
            <w:shd w:fill="auto" w:val="clear"/>
            <w:vAlign w:val="bottom"/>
          </w:tcPr>
          <w:p>
            <w:pPr>
              <w:pStyle w:val="TableContents"/>
              <w:spacing w:before="0" w:after="0"/>
              <w:ind w:left="144" w:right="0" w:hanging="144"/>
              <w:rPr>
                <w:b/>
                <w:color w:val="000000"/>
              </w:rPr>
            </w:pPr>
            <w:r>
              <w:rPr>
                <w:b/>
                <w:color w:val="000000"/>
              </w:rPr>
              <w:t>Industry</w:t>
            </w:r>
          </w:p>
        </w:tc>
        <w:tc>
          <w:tcPr>
            <w:tcW w:w="60" w:type="dxa"/>
            <w:tcBorders/>
            <w:shd w:fill="auto" w:val="clear"/>
            <w:vAlign w:val="bottom"/>
          </w:tcPr>
          <w:p>
            <w:pPr>
              <w:pStyle w:val="TableContents"/>
              <w:spacing w:before="0" w:after="283"/>
              <w:rPr/>
            </w:pPr>
            <w:r>
              <w:rPr/>
              <w:t> </w:t>
            </w:r>
          </w:p>
        </w:tc>
        <w:tc>
          <w:tcPr>
            <w:tcW w:w="162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 Cost</w:t>
            </w:r>
          </w:p>
        </w:tc>
        <w:tc>
          <w:tcPr>
            <w:tcW w:w="27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11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 Value</w:t>
            </w:r>
          </w:p>
        </w:tc>
        <w:tc>
          <w:tcPr>
            <w:tcW w:w="230" w:type="dxa"/>
            <w:tcBorders/>
            <w:shd w:fill="auto" w:val="clear"/>
            <w:vAlign w:val="bottom"/>
          </w:tcPr>
          <w:p>
            <w:pPr>
              <w:pStyle w:val="TableContents"/>
              <w:spacing w:before="0" w:after="283"/>
              <w:rPr/>
            </w:pPr>
            <w:r>
              <w:rPr/>
              <w:t> </w:t>
            </w:r>
          </w:p>
        </w:tc>
      </w:tr>
      <w:tr>
        <w:trPr/>
        <w:tc>
          <w:tcPr>
            <w:tcW w:w="1640" w:type="dxa"/>
            <w:tcBorders/>
            <w:shd w:fill="CCEEFF" w:val="clear"/>
            <w:vAlign w:val="bottom"/>
          </w:tcPr>
          <w:p>
            <w:pPr>
              <w:pStyle w:val="TableContents"/>
              <w:spacing w:before="0" w:after="0"/>
              <w:ind w:left="144" w:right="0" w:hanging="144"/>
              <w:rPr>
                <w:color w:val="000000"/>
              </w:rPr>
            </w:pPr>
            <w:r>
              <w:rPr>
                <w:color w:val="000000"/>
              </w:rPr>
              <w:t>Wholesale Trade</w:t>
            </w:r>
          </w:p>
        </w:tc>
        <w:tc>
          <w:tcPr>
            <w:tcW w:w="60" w:type="dxa"/>
            <w:tcBorders/>
            <w:shd w:fill="CCEEFF" w:val="clear"/>
            <w:vAlign w:val="bottom"/>
          </w:tcPr>
          <w:p>
            <w:pPr>
              <w:pStyle w:val="TableContents"/>
              <w:spacing w:before="0" w:after="283"/>
              <w:rPr/>
            </w:pPr>
            <w:r>
              <w:rPr/>
              <w:t> </w:t>
            </w:r>
          </w:p>
        </w:tc>
        <w:tc>
          <w:tcPr>
            <w:tcW w:w="15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46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77" w:type="dxa"/>
            <w:tcBorders/>
            <w:shd w:fill="CCEEFF" w:val="clear"/>
            <w:vAlign w:val="bottom"/>
          </w:tcPr>
          <w:p>
            <w:pPr>
              <w:pStyle w:val="TableContents"/>
              <w:spacing w:before="0" w:after="0"/>
              <w:rPr>
                <w:color w:val="000000"/>
              </w:rPr>
            </w:pPr>
            <w:r>
              <w:rPr>
                <w:color w:val="000000"/>
              </w:rPr>
              <w:t>%</w:t>
            </w:r>
          </w:p>
        </w:tc>
        <w:tc>
          <w:tcPr>
            <w:tcW w:w="77" w:type="dxa"/>
            <w:tcBorders/>
            <w:shd w:fill="CCEEFF" w:val="clear"/>
            <w:vAlign w:val="bottom"/>
          </w:tcPr>
          <w:p>
            <w:pPr>
              <w:pStyle w:val="TableContents"/>
              <w:spacing w:before="0" w:after="283"/>
              <w:rPr/>
            </w:pPr>
            <w:r>
              <w:rPr/>
              <w:t> </w:t>
            </w:r>
          </w:p>
        </w:tc>
        <w:tc>
          <w:tcPr>
            <w:tcW w:w="107"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007"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30" w:type="dxa"/>
            <w:tcBorders/>
            <w:shd w:fill="CCEEFF" w:val="clear"/>
            <w:vAlign w:val="bottom"/>
          </w:tcPr>
          <w:p>
            <w:pPr>
              <w:pStyle w:val="TableContents"/>
              <w:spacing w:before="0" w:after="0"/>
              <w:rPr>
                <w:color w:val="000000"/>
              </w:rPr>
            </w:pPr>
            <w:r>
              <w:rPr>
                <w:color w:val="000000"/>
              </w:rPr>
              <w:t>%</w:t>
            </w:r>
          </w:p>
        </w:tc>
      </w:tr>
      <w:tr>
        <w:trPr/>
        <w:tc>
          <w:tcPr>
            <w:tcW w:w="1640" w:type="dxa"/>
            <w:tcBorders/>
            <w:shd w:fill="auto" w:val="clear"/>
            <w:vAlign w:val="bottom"/>
          </w:tcPr>
          <w:p>
            <w:pPr>
              <w:pStyle w:val="TableContents"/>
              <w:spacing w:before="0" w:after="0"/>
              <w:ind w:left="324" w:right="0" w:hanging="144"/>
              <w:rPr>
                <w:color w:val="000000"/>
              </w:rPr>
            </w:pPr>
            <w:r>
              <w:rPr>
                <w:color w:val="000000"/>
              </w:rPr>
              <w:t>Total</w:t>
            </w:r>
          </w:p>
        </w:tc>
        <w:tc>
          <w:tcPr>
            <w:tcW w:w="60" w:type="dxa"/>
            <w:tcBorders/>
            <w:shd w:fill="auto" w:val="clear"/>
            <w:vAlign w:val="bottom"/>
          </w:tcPr>
          <w:p>
            <w:pPr>
              <w:pStyle w:val="TableContents"/>
              <w:spacing w:before="0" w:after="283"/>
              <w:rPr/>
            </w:pPr>
            <w:r>
              <w:rPr/>
              <w:t> </w:t>
            </w:r>
          </w:p>
        </w:tc>
        <w:tc>
          <w:tcPr>
            <w:tcW w:w="156" w:type="dxa"/>
            <w:tcBorders>
              <w:bottom w:val="double" w:sz="8" w:space="0" w:color="000000"/>
            </w:tcBorders>
            <w:shd w:fill="auto" w:val="clear"/>
            <w:tcMar>
              <w:bottom w:w="28" w:type="dxa"/>
            </w:tcMar>
            <w:vAlign w:val="bottom"/>
          </w:tcPr>
          <w:p>
            <w:pPr>
              <w:pStyle w:val="TableContents"/>
              <w:spacing w:before="0" w:after="283"/>
              <w:rPr/>
            </w:pPr>
            <w:r>
              <w:rPr/>
              <w:t> </w:t>
            </w:r>
          </w:p>
        </w:tc>
        <w:tc>
          <w:tcPr>
            <w:tcW w:w="1468"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100.0</w:t>
            </w:r>
          </w:p>
        </w:tc>
        <w:tc>
          <w:tcPr>
            <w:tcW w:w="277" w:type="dxa"/>
            <w:tcBorders/>
            <w:shd w:fill="auto" w:val="clear"/>
            <w:vAlign w:val="bottom"/>
          </w:tcPr>
          <w:p>
            <w:pPr>
              <w:pStyle w:val="TableContents"/>
              <w:spacing w:before="0" w:after="0"/>
              <w:rPr>
                <w:color w:val="000000"/>
              </w:rPr>
            </w:pPr>
            <w:r>
              <w:rPr>
                <w:color w:val="000000"/>
              </w:rPr>
              <w:t>%</w:t>
            </w:r>
          </w:p>
        </w:tc>
        <w:tc>
          <w:tcPr>
            <w:tcW w:w="77" w:type="dxa"/>
            <w:tcBorders/>
            <w:shd w:fill="auto" w:val="clear"/>
            <w:vAlign w:val="bottom"/>
          </w:tcPr>
          <w:p>
            <w:pPr>
              <w:pStyle w:val="TableContents"/>
              <w:spacing w:before="0" w:after="283"/>
              <w:rPr/>
            </w:pPr>
            <w:r>
              <w:rPr/>
              <w:t> </w:t>
            </w:r>
          </w:p>
        </w:tc>
        <w:tc>
          <w:tcPr>
            <w:tcW w:w="107" w:type="dxa"/>
            <w:tcBorders>
              <w:bottom w:val="double" w:sz="8" w:space="0" w:color="000000"/>
            </w:tcBorders>
            <w:shd w:fill="auto" w:val="clear"/>
            <w:tcMar>
              <w:bottom w:w="28" w:type="dxa"/>
            </w:tcMar>
            <w:vAlign w:val="bottom"/>
          </w:tcPr>
          <w:p>
            <w:pPr>
              <w:pStyle w:val="TableContents"/>
              <w:spacing w:before="0" w:after="283"/>
              <w:rPr/>
            </w:pPr>
            <w:r>
              <w:rPr/>
              <w:t> </w:t>
            </w:r>
          </w:p>
        </w:tc>
        <w:tc>
          <w:tcPr>
            <w:tcW w:w="1007"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100.0</w:t>
            </w:r>
          </w:p>
        </w:tc>
        <w:tc>
          <w:tcPr>
            <w:tcW w:w="230" w:type="dxa"/>
            <w:tcBorders/>
            <w:shd w:fill="auto" w:val="clear"/>
            <w:vAlign w:val="bottom"/>
          </w:tcPr>
          <w:p>
            <w:pPr>
              <w:pStyle w:val="TableContents"/>
              <w:spacing w:before="0" w:after="0"/>
              <w:rPr>
                <w:color w:val="000000"/>
              </w:rPr>
            </w:pPr>
            <w:r>
              <w:rPr>
                <w:color w:val="000000"/>
              </w:rPr>
              <w:t>%</w:t>
            </w:r>
          </w:p>
        </w:tc>
      </w:tr>
    </w:tbl>
    <w:p>
      <w:pPr>
        <w:pStyle w:val="TextBody"/>
        <w:spacing w:before="0" w:after="0"/>
        <w:jc w:val="both"/>
        <w:rPr>
          <w:i/>
        </w:rPr>
      </w:pPr>
      <w:r>
        <w:rPr>
          <w:i/>
        </w:rPr>
      </w:r>
    </w:p>
    <w:p>
      <w:pPr>
        <w:pStyle w:val="TextBody"/>
        <w:spacing w:before="0" w:after="0"/>
        <w:jc w:val="both"/>
        <w:rPr>
          <w:rFonts w:ascii="Times New Roman" w:hAnsi="Times New Roman"/>
          <w:i/>
          <w:color w:val="000000"/>
          <w:sz w:val="20"/>
        </w:rPr>
      </w:pPr>
      <w:r>
        <w:rPr>
          <w:rFonts w:ascii="Times New Roman" w:hAnsi="Times New Roman"/>
          <w:i/>
          <w:color w:val="000000"/>
          <w:sz w:val="20"/>
        </w:rPr>
        <w:t>Concentrations of Credit Risk</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Credit risk is the risk of default or non-performance by portfolio companies, equivalent to the investment’s carrying amount. Industry and sector concentrations will vary from period to period based on portfolio activity.</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SILVER SPIKE INVESTMENT CORP.</w:t>
      </w:r>
    </w:p>
    <w:p>
      <w:pPr>
        <w:pStyle w:val="TextBody"/>
        <w:spacing w:before="0" w:after="0"/>
        <w:jc w:val="both"/>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of March 31, 2023 and December 31, 2022, we had two and two portfolio companies that represented 74.5% and 80.9%, respectively, of the fair value of our portfolio. As of March 31, 2023 and December 31, 2022, our largest portfolio company represents 37.6% and 40.6%, respectively, of the total fair value of our investments in portfolio companies.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i/>
          <w:color w:val="000000"/>
          <w:sz w:val="20"/>
        </w:rPr>
      </w:pPr>
      <w:r>
        <w:rPr>
          <w:rFonts w:ascii="Times New Roman" w:hAnsi="Times New Roman"/>
          <w:i/>
          <w:color w:val="000000"/>
          <w:sz w:val="20"/>
        </w:rPr>
        <w:t>Investment Activity</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During the three months ended March 31, 2023, we made an aggregate of approximately $4.2 million of investments in one portfolio company, excluding fees and discounts. During the three months ended March 31, 2023, there were no repayments received or sales of investments.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During the three months ended March 31, 2022, we had made no investments.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provides a summary of the changes in the investment portfolio for the three months ended March 31, 2023:</w:t>
      </w:r>
    </w:p>
    <w:p>
      <w:pPr>
        <w:pStyle w:val="TextBody"/>
        <w:spacing w:before="0" w:after="0"/>
        <w:jc w:val="left"/>
        <w:rPr>
          <w:color w:val="000000"/>
        </w:rPr>
      </w:pPr>
      <w:r>
        <w:rPr>
          <w:color w:val="000000"/>
        </w:rPr>
        <w:t> </w:t>
      </w:r>
    </w:p>
    <w:tbl>
      <w:tblPr>
        <w:tblW w:w="8844" w:type="dxa"/>
        <w:jc w:val="left"/>
        <w:tblInd w:w="0" w:type="dxa"/>
        <w:tblCellMar>
          <w:top w:w="0" w:type="dxa"/>
          <w:left w:w="0" w:type="dxa"/>
          <w:bottom w:w="0" w:type="dxa"/>
          <w:right w:w="0" w:type="dxa"/>
        </w:tblCellMar>
      </w:tblPr>
      <w:tblGrid>
        <w:gridCol w:w="6440"/>
        <w:gridCol w:w="60"/>
        <w:gridCol w:w="256"/>
        <w:gridCol w:w="2013"/>
        <w:gridCol w:w="75"/>
      </w:tblGrid>
      <w:tr>
        <w:trPr/>
        <w:tc>
          <w:tcPr>
            <w:tcW w:w="64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6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xml:space="preserve">Three Months Ended </w:t>
            </w:r>
          </w:p>
          <w:p>
            <w:pPr>
              <w:pStyle w:val="TableContents"/>
              <w:spacing w:before="0" w:after="0"/>
              <w:jc w:val="center"/>
              <w:rPr>
                <w:b/>
                <w:color w:val="000000"/>
              </w:rPr>
            </w:pPr>
            <w:r>
              <w:rPr>
                <w:b/>
                <w:color w:val="000000"/>
              </w:rPr>
              <w:t>March 31, 2023</w:t>
            </w:r>
          </w:p>
        </w:tc>
        <w:tc>
          <w:tcPr>
            <w:tcW w:w="75" w:type="dxa"/>
            <w:tcBorders/>
            <w:shd w:fill="auto" w:val="clear"/>
            <w:vAlign w:val="bottom"/>
          </w:tcPr>
          <w:p>
            <w:pPr>
              <w:pStyle w:val="TableContents"/>
              <w:spacing w:before="0" w:after="283"/>
              <w:rPr/>
            </w:pPr>
            <w:r>
              <w:rPr/>
              <w:t> </w:t>
            </w:r>
          </w:p>
        </w:tc>
      </w:tr>
      <w:tr>
        <w:trPr/>
        <w:tc>
          <w:tcPr>
            <w:tcW w:w="6440" w:type="dxa"/>
            <w:tcBorders/>
            <w:shd w:fill="CCEEFF" w:val="clear"/>
            <w:vAlign w:val="bottom"/>
          </w:tcPr>
          <w:p>
            <w:pPr>
              <w:pStyle w:val="TableContents"/>
              <w:spacing w:before="0" w:after="0"/>
              <w:ind w:left="180" w:right="0" w:hanging="180"/>
              <w:rPr>
                <w:b/>
                <w:color w:val="000000"/>
              </w:rPr>
            </w:pPr>
            <w:r>
              <w:rPr>
                <w:b/>
                <w:color w:val="000000"/>
              </w:rPr>
              <w:t>Beginning Portfolio, at fair value</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0"/>
              <w:rPr>
                <w:color w:val="000000"/>
              </w:rPr>
            </w:pPr>
            <w:r>
              <w:rPr>
                <w:color w:val="000000"/>
              </w:rPr>
              <w:t>$</w:t>
            </w:r>
          </w:p>
        </w:tc>
        <w:tc>
          <w:tcPr>
            <w:tcW w:w="2013" w:type="dxa"/>
            <w:tcBorders/>
            <w:shd w:fill="CCEEFF" w:val="clear"/>
            <w:vAlign w:val="bottom"/>
          </w:tcPr>
          <w:p>
            <w:pPr>
              <w:pStyle w:val="TableContents"/>
              <w:spacing w:before="0" w:after="0"/>
              <w:jc w:val="right"/>
              <w:rPr>
                <w:color w:val="000000"/>
              </w:rPr>
            </w:pPr>
            <w:r>
              <w:rPr>
                <w:color w:val="000000"/>
              </w:rPr>
              <w:t>50,254,550</w:t>
            </w:r>
          </w:p>
        </w:tc>
        <w:tc>
          <w:tcPr>
            <w:tcW w:w="75" w:type="dxa"/>
            <w:tcBorders/>
            <w:shd w:fill="CCEEFF" w:val="clear"/>
            <w:vAlign w:val="bottom"/>
          </w:tcPr>
          <w:p>
            <w:pPr>
              <w:pStyle w:val="TableContents"/>
              <w:spacing w:before="0" w:after="283"/>
              <w:rPr/>
            </w:pPr>
            <w:r>
              <w:rPr/>
              <w:t> </w:t>
            </w:r>
          </w:p>
        </w:tc>
      </w:tr>
      <w:tr>
        <w:trPr/>
        <w:tc>
          <w:tcPr>
            <w:tcW w:w="6440" w:type="dxa"/>
            <w:tcBorders/>
            <w:shd w:fill="auto" w:val="clear"/>
            <w:vAlign w:val="bottom"/>
          </w:tcPr>
          <w:p>
            <w:pPr>
              <w:pStyle w:val="TableContents"/>
              <w:spacing w:before="0" w:after="0"/>
              <w:ind w:left="180" w:right="0" w:hanging="180"/>
              <w:rPr>
                <w:color w:val="000000"/>
              </w:rPr>
            </w:pPr>
            <w:r>
              <w:rPr>
                <w:color w:val="000000"/>
              </w:rPr>
              <w:t>Purchases</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2013" w:type="dxa"/>
            <w:tcBorders/>
            <w:shd w:fill="auto" w:val="clear"/>
            <w:vAlign w:val="bottom"/>
          </w:tcPr>
          <w:p>
            <w:pPr>
              <w:pStyle w:val="TableContents"/>
              <w:spacing w:before="0" w:after="0"/>
              <w:jc w:val="right"/>
              <w:rPr>
                <w:color w:val="000000"/>
              </w:rPr>
            </w:pPr>
            <w:r>
              <w:rPr>
                <w:color w:val="000000"/>
              </w:rPr>
              <w:t>4,230,000</w:t>
            </w:r>
          </w:p>
        </w:tc>
        <w:tc>
          <w:tcPr>
            <w:tcW w:w="75" w:type="dxa"/>
            <w:tcBorders/>
            <w:shd w:fill="auto" w:val="clear"/>
            <w:vAlign w:val="bottom"/>
          </w:tcPr>
          <w:p>
            <w:pPr>
              <w:pStyle w:val="TableContents"/>
              <w:spacing w:before="0" w:after="283"/>
              <w:rPr/>
            </w:pPr>
            <w:r>
              <w:rPr/>
              <w:t> </w:t>
            </w:r>
          </w:p>
        </w:tc>
      </w:tr>
      <w:tr>
        <w:trPr/>
        <w:tc>
          <w:tcPr>
            <w:tcW w:w="6440" w:type="dxa"/>
            <w:tcBorders/>
            <w:shd w:fill="CCEEFF" w:val="clear"/>
            <w:vAlign w:val="bottom"/>
          </w:tcPr>
          <w:p>
            <w:pPr>
              <w:pStyle w:val="TableContents"/>
              <w:spacing w:before="0" w:after="0"/>
              <w:ind w:left="180" w:right="0" w:hanging="180"/>
              <w:rPr>
                <w:color w:val="000000"/>
              </w:rPr>
            </w:pPr>
            <w:r>
              <w:rPr>
                <w:color w:val="000000"/>
              </w:rPr>
              <w:t>Accretion of discount and fees (amortization of premium), net</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2013" w:type="dxa"/>
            <w:tcBorders/>
            <w:shd w:fill="CCEEFF" w:val="clear"/>
            <w:vAlign w:val="bottom"/>
          </w:tcPr>
          <w:p>
            <w:pPr>
              <w:pStyle w:val="TableContents"/>
              <w:spacing w:before="0" w:after="0"/>
              <w:jc w:val="right"/>
              <w:rPr>
                <w:color w:val="000000"/>
              </w:rPr>
            </w:pPr>
            <w:r>
              <w:rPr>
                <w:color w:val="000000"/>
              </w:rPr>
              <w:t>140,819</w:t>
            </w:r>
          </w:p>
        </w:tc>
        <w:tc>
          <w:tcPr>
            <w:tcW w:w="75" w:type="dxa"/>
            <w:tcBorders/>
            <w:shd w:fill="CCEEFF" w:val="clear"/>
            <w:vAlign w:val="bottom"/>
          </w:tcPr>
          <w:p>
            <w:pPr>
              <w:pStyle w:val="TableContents"/>
              <w:spacing w:before="0" w:after="283"/>
              <w:rPr/>
            </w:pPr>
            <w:r>
              <w:rPr/>
              <w:t> </w:t>
            </w:r>
          </w:p>
        </w:tc>
      </w:tr>
      <w:tr>
        <w:trPr/>
        <w:tc>
          <w:tcPr>
            <w:tcW w:w="6440" w:type="dxa"/>
            <w:tcBorders/>
            <w:shd w:fill="auto" w:val="clear"/>
            <w:vAlign w:val="bottom"/>
          </w:tcPr>
          <w:p>
            <w:pPr>
              <w:pStyle w:val="TableContents"/>
              <w:spacing w:before="0" w:after="0"/>
              <w:ind w:left="180" w:right="0" w:hanging="180"/>
              <w:rPr>
                <w:color w:val="000000"/>
              </w:rPr>
            </w:pPr>
            <w:r>
              <w:rPr>
                <w:color w:val="000000"/>
              </w:rPr>
              <w:t>PIK interest</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2013" w:type="dxa"/>
            <w:tcBorders/>
            <w:shd w:fill="auto" w:val="clear"/>
            <w:vAlign w:val="bottom"/>
          </w:tcPr>
          <w:p>
            <w:pPr>
              <w:pStyle w:val="TableContents"/>
              <w:spacing w:before="0" w:after="0"/>
              <w:jc w:val="right"/>
              <w:rPr>
                <w:color w:val="000000"/>
              </w:rPr>
            </w:pPr>
            <w:r>
              <w:rPr>
                <w:color w:val="000000"/>
              </w:rPr>
              <w:t>11,573</w:t>
            </w:r>
          </w:p>
        </w:tc>
        <w:tc>
          <w:tcPr>
            <w:tcW w:w="75" w:type="dxa"/>
            <w:tcBorders/>
            <w:shd w:fill="auto" w:val="clear"/>
            <w:vAlign w:val="bottom"/>
          </w:tcPr>
          <w:p>
            <w:pPr>
              <w:pStyle w:val="TableContents"/>
              <w:spacing w:before="0" w:after="283"/>
              <w:rPr/>
            </w:pPr>
            <w:r>
              <w:rPr/>
              <w:t> </w:t>
            </w:r>
          </w:p>
        </w:tc>
      </w:tr>
      <w:tr>
        <w:trPr/>
        <w:tc>
          <w:tcPr>
            <w:tcW w:w="6440" w:type="dxa"/>
            <w:tcBorders/>
            <w:shd w:fill="CCEEFF" w:val="clear"/>
            <w:vAlign w:val="bottom"/>
          </w:tcPr>
          <w:p>
            <w:pPr>
              <w:pStyle w:val="TableContents"/>
              <w:spacing w:before="0" w:after="0"/>
              <w:ind w:left="180" w:right="0" w:hanging="180"/>
              <w:rPr>
                <w:color w:val="000000"/>
              </w:rPr>
            </w:pPr>
            <w:r>
              <w:rPr>
                <w:color w:val="000000"/>
              </w:rPr>
              <w:t>Principal payments received on investments</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2013"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rPr/>
            </w:pPr>
            <w:r>
              <w:rPr/>
              <w:t> </w:t>
            </w:r>
          </w:p>
        </w:tc>
      </w:tr>
      <w:tr>
        <w:trPr/>
        <w:tc>
          <w:tcPr>
            <w:tcW w:w="6440" w:type="dxa"/>
            <w:tcBorders/>
            <w:shd w:fill="auto" w:val="clear"/>
            <w:vAlign w:val="bottom"/>
          </w:tcPr>
          <w:p>
            <w:pPr>
              <w:pStyle w:val="TableContents"/>
              <w:spacing w:before="0" w:after="0"/>
              <w:ind w:left="180" w:right="0" w:hanging="180"/>
              <w:rPr>
                <w:color w:val="000000"/>
              </w:rPr>
            </w:pPr>
            <w:r>
              <w:rPr>
                <w:color w:val="000000"/>
              </w:rPr>
              <w:t>Proceeds from principal repayments</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2013" w:type="dxa"/>
            <w:tcBorders/>
            <w:shd w:fill="auto" w:val="clear"/>
            <w:vAlign w:val="bottom"/>
          </w:tcPr>
          <w:p>
            <w:pPr>
              <w:pStyle w:val="TableContents"/>
              <w:spacing w:before="0" w:after="0"/>
              <w:jc w:val="right"/>
              <w:rPr>
                <w:color w:val="000000"/>
              </w:rPr>
            </w:pPr>
            <w:r>
              <w:rPr>
                <w:color w:val="000000"/>
              </w:rPr>
              <w:t>-</w:t>
            </w:r>
          </w:p>
        </w:tc>
        <w:tc>
          <w:tcPr>
            <w:tcW w:w="75" w:type="dxa"/>
            <w:tcBorders/>
            <w:shd w:fill="auto" w:val="clear"/>
            <w:vAlign w:val="bottom"/>
          </w:tcPr>
          <w:p>
            <w:pPr>
              <w:pStyle w:val="TableContents"/>
              <w:spacing w:before="0" w:after="283"/>
              <w:rPr/>
            </w:pPr>
            <w:r>
              <w:rPr/>
              <w:t> </w:t>
            </w:r>
          </w:p>
        </w:tc>
      </w:tr>
      <w:tr>
        <w:trPr/>
        <w:tc>
          <w:tcPr>
            <w:tcW w:w="6440" w:type="dxa"/>
            <w:tcBorders/>
            <w:shd w:fill="CCEEFF" w:val="clear"/>
            <w:vAlign w:val="bottom"/>
          </w:tcPr>
          <w:p>
            <w:pPr>
              <w:pStyle w:val="TableContents"/>
              <w:spacing w:before="0" w:after="0"/>
              <w:ind w:left="180" w:right="0" w:hanging="180"/>
              <w:rPr>
                <w:color w:val="000000"/>
              </w:rPr>
            </w:pPr>
            <w:r>
              <w:rPr>
                <w:color w:val="000000"/>
              </w:rPr>
              <w:t>Sale of investments</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2013"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rPr/>
            </w:pPr>
            <w:r>
              <w:rPr/>
              <w:t> </w:t>
            </w:r>
          </w:p>
        </w:tc>
      </w:tr>
      <w:tr>
        <w:trPr/>
        <w:tc>
          <w:tcPr>
            <w:tcW w:w="6440" w:type="dxa"/>
            <w:tcBorders/>
            <w:shd w:fill="auto" w:val="clear"/>
            <w:vAlign w:val="bottom"/>
          </w:tcPr>
          <w:p>
            <w:pPr>
              <w:pStyle w:val="TableContents"/>
              <w:spacing w:before="0" w:after="0"/>
              <w:ind w:left="180" w:right="0" w:hanging="180"/>
              <w:rPr>
                <w:color w:val="000000"/>
              </w:rPr>
            </w:pPr>
            <w:r>
              <w:rPr>
                <w:color w:val="000000"/>
              </w:rPr>
              <w:t>Net realized gain/(loss) on investments</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2013" w:type="dxa"/>
            <w:tcBorders/>
            <w:shd w:fill="auto" w:val="clear"/>
            <w:vAlign w:val="bottom"/>
          </w:tcPr>
          <w:p>
            <w:pPr>
              <w:pStyle w:val="TableContents"/>
              <w:spacing w:before="0" w:after="0"/>
              <w:jc w:val="right"/>
              <w:rPr>
                <w:color w:val="000000"/>
              </w:rPr>
            </w:pPr>
            <w:r>
              <w:rPr>
                <w:color w:val="000000"/>
              </w:rPr>
              <w:t>-</w:t>
            </w:r>
          </w:p>
        </w:tc>
        <w:tc>
          <w:tcPr>
            <w:tcW w:w="75" w:type="dxa"/>
            <w:tcBorders/>
            <w:shd w:fill="auto" w:val="clear"/>
            <w:vAlign w:val="bottom"/>
          </w:tcPr>
          <w:p>
            <w:pPr>
              <w:pStyle w:val="TableContents"/>
              <w:spacing w:before="0" w:after="283"/>
              <w:rPr/>
            </w:pPr>
            <w:r>
              <w:rPr/>
              <w:t> </w:t>
            </w:r>
          </w:p>
        </w:tc>
      </w:tr>
      <w:tr>
        <w:trPr/>
        <w:tc>
          <w:tcPr>
            <w:tcW w:w="6440" w:type="dxa"/>
            <w:tcBorders/>
            <w:shd w:fill="CCEEFF" w:val="clear"/>
            <w:vAlign w:val="bottom"/>
          </w:tcPr>
          <w:p>
            <w:pPr>
              <w:pStyle w:val="TableContents"/>
              <w:spacing w:before="0" w:after="0"/>
              <w:ind w:left="180" w:right="0" w:hanging="180"/>
              <w:rPr>
                <w:color w:val="000000"/>
              </w:rPr>
            </w:pPr>
            <w:r>
              <w:rPr>
                <w:color w:val="000000"/>
              </w:rPr>
              <w:t>Net change in unrealized appreciation/(depreciation) on investments</w:t>
            </w:r>
          </w:p>
        </w:tc>
        <w:tc>
          <w:tcPr>
            <w:tcW w:w="60" w:type="dxa"/>
            <w:tcBorders/>
            <w:shd w:fill="CCEEFF" w:val="clear"/>
            <w:vAlign w:val="bottom"/>
          </w:tcPr>
          <w:p>
            <w:pPr>
              <w:pStyle w:val="TableContents"/>
              <w:spacing w:before="0" w:after="283"/>
              <w:rPr/>
            </w:pPr>
            <w:r>
              <w:rPr/>
              <w:t> </w:t>
            </w:r>
          </w:p>
        </w:tc>
        <w:tc>
          <w:tcPr>
            <w:tcW w:w="25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2013"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986,357</w:t>
            </w:r>
          </w:p>
        </w:tc>
        <w:tc>
          <w:tcPr>
            <w:tcW w:w="75" w:type="dxa"/>
            <w:tcBorders/>
            <w:shd w:fill="CCEEFF" w:val="clear"/>
            <w:vAlign w:val="bottom"/>
          </w:tcPr>
          <w:p>
            <w:pPr>
              <w:pStyle w:val="TableContents"/>
              <w:spacing w:before="0" w:after="283"/>
              <w:rPr/>
            </w:pPr>
            <w:r>
              <w:rPr/>
              <w:t> </w:t>
            </w:r>
          </w:p>
        </w:tc>
      </w:tr>
      <w:tr>
        <w:trPr/>
        <w:tc>
          <w:tcPr>
            <w:tcW w:w="6440" w:type="dxa"/>
            <w:tcBorders/>
            <w:shd w:fill="auto" w:val="clear"/>
            <w:vAlign w:val="bottom"/>
          </w:tcPr>
          <w:p>
            <w:pPr>
              <w:pStyle w:val="TableContents"/>
              <w:spacing w:before="0" w:after="0"/>
              <w:ind w:left="180" w:right="0" w:hanging="180"/>
              <w:rPr>
                <w:b/>
                <w:color w:val="000000"/>
              </w:rPr>
            </w:pPr>
            <w:r>
              <w:rPr>
                <w:b/>
                <w:color w:val="000000"/>
              </w:rPr>
              <w:t>Ending Portfolio, at fair value</w:t>
            </w:r>
          </w:p>
        </w:tc>
        <w:tc>
          <w:tcPr>
            <w:tcW w:w="60" w:type="dxa"/>
            <w:tcBorders/>
            <w:shd w:fill="auto" w:val="clear"/>
            <w:vAlign w:val="bottom"/>
          </w:tcPr>
          <w:p>
            <w:pPr>
              <w:pStyle w:val="TableContents"/>
              <w:spacing w:before="0" w:after="283"/>
              <w:rPr/>
            </w:pPr>
            <w:r>
              <w:rPr/>
              <w:t> </w:t>
            </w:r>
          </w:p>
        </w:tc>
        <w:tc>
          <w:tcPr>
            <w:tcW w:w="256" w:type="dxa"/>
            <w:tcBorders>
              <w:bottom w:val="double" w:sz="8" w:space="0" w:color="000000"/>
            </w:tcBorders>
            <w:shd w:fill="auto" w:val="clear"/>
            <w:tcMar>
              <w:bottom w:w="28" w:type="dxa"/>
            </w:tcMar>
            <w:vAlign w:val="bottom"/>
          </w:tcPr>
          <w:p>
            <w:pPr>
              <w:pStyle w:val="TableContents"/>
              <w:spacing w:before="0" w:after="0"/>
              <w:rPr>
                <w:color w:val="000000"/>
              </w:rPr>
            </w:pPr>
            <w:r>
              <w:rPr>
                <w:color w:val="000000"/>
              </w:rPr>
              <w:t>$</w:t>
            </w:r>
          </w:p>
        </w:tc>
        <w:tc>
          <w:tcPr>
            <w:tcW w:w="2013"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55,623,299</w:t>
            </w:r>
          </w:p>
        </w:tc>
        <w:tc>
          <w:tcPr>
            <w:tcW w:w="75" w:type="dxa"/>
            <w:tcBorders/>
            <w:shd w:fill="auto" w:val="clear"/>
            <w:vAlign w:val="bottom"/>
          </w:tcPr>
          <w:p>
            <w:pPr>
              <w:pStyle w:val="TableContents"/>
              <w:spacing w:before="0" w:after="283"/>
              <w:rPr/>
            </w:pPr>
            <w:r>
              <w:rPr/>
              <w:t> </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During the three months ended March 31, 2022, we had made no investments.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i/>
          <w:color w:val="000000"/>
          <w:sz w:val="20"/>
        </w:rPr>
      </w:pPr>
      <w:r>
        <w:rPr>
          <w:rFonts w:ascii="Times New Roman" w:hAnsi="Times New Roman"/>
          <w:i/>
          <w:color w:val="000000"/>
          <w:sz w:val="20"/>
        </w:rPr>
        <w:t>Portfolio Asset Quality</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portfolio management team uses an ongoing investment risk rating system to characterize and monitor our outstanding loans. Our portfolio management team monitors and, when appropriate, recommends changes to the investment risk ratings. Our Adviser’s Valuation Committee reviews the recommendations and/or changes to the investment risk ratings, which are submitted on a quarterly basis to the Board of Directors and its Audit Committee.</w:t>
      </w:r>
    </w:p>
    <w:p>
      <w:pPr>
        <w:pStyle w:val="TextBody"/>
        <w:spacing w:before="0" w:after="0"/>
        <w:jc w:val="left"/>
        <w:rPr>
          <w:color w:val="000000"/>
        </w:rPr>
      </w:pPr>
      <w:r>
        <w:rPr>
          <w:color w:val="000000"/>
        </w:rPr>
        <w:t> </w:t>
      </w:r>
    </w:p>
    <w:tbl>
      <w:tblPr>
        <w:tblW w:w="10539" w:type="dxa"/>
        <w:jc w:val="left"/>
        <w:tblInd w:w="0" w:type="dxa"/>
        <w:tblCellMar>
          <w:top w:w="0" w:type="dxa"/>
          <w:left w:w="0" w:type="dxa"/>
          <w:bottom w:w="28" w:type="dxa"/>
          <w:right w:w="0" w:type="dxa"/>
        </w:tblCellMar>
      </w:tblPr>
      <w:tblGrid>
        <w:gridCol w:w="1220"/>
        <w:gridCol w:w="60"/>
        <w:gridCol w:w="9259"/>
      </w:tblGrid>
      <w:tr>
        <w:trPr/>
        <w:tc>
          <w:tcPr>
            <w:tcW w:w="1220" w:type="dxa"/>
            <w:tcBorders>
              <w:bottom w:val="single" w:sz="12" w:space="0" w:color="000000"/>
            </w:tcBorders>
            <w:shd w:fill="auto" w:val="clear"/>
            <w:vAlign w:val="center"/>
          </w:tcPr>
          <w:p>
            <w:pPr>
              <w:pStyle w:val="TableContents"/>
              <w:spacing w:before="0" w:after="0"/>
              <w:rPr>
                <w:color w:val="000000"/>
              </w:rPr>
            </w:pPr>
            <w:r>
              <w:rPr>
                <w:color w:val="000000"/>
              </w:rPr>
              <w:t xml:space="preserve">Investment </w:t>
            </w:r>
          </w:p>
          <w:p>
            <w:pPr>
              <w:pStyle w:val="TableContents"/>
              <w:spacing w:before="0" w:after="0"/>
              <w:rPr>
                <w:color w:val="000000"/>
              </w:rPr>
            </w:pPr>
            <w:r>
              <w:rPr>
                <w:color w:val="000000"/>
              </w:rPr>
              <w:t>Performance</w:t>
            </w:r>
          </w:p>
          <w:p>
            <w:pPr>
              <w:pStyle w:val="TableContents"/>
              <w:spacing w:before="0" w:after="0"/>
              <w:rPr>
                <w:color w:val="000000"/>
              </w:rPr>
            </w:pPr>
            <w:r>
              <w:rPr>
                <w:color w:val="000000"/>
              </w:rPr>
              <w:t>Risk Rating</w:t>
            </w:r>
          </w:p>
        </w:tc>
        <w:tc>
          <w:tcPr>
            <w:tcW w:w="60" w:type="dxa"/>
            <w:tcBorders/>
            <w:shd w:fill="auto" w:val="clear"/>
            <w:tcMar>
              <w:bottom w:w="0" w:type="dxa"/>
            </w:tcMar>
            <w:vAlign w:val="center"/>
          </w:tcPr>
          <w:p>
            <w:pPr>
              <w:pStyle w:val="TableContents"/>
              <w:spacing w:before="0" w:after="283"/>
              <w:rPr/>
            </w:pPr>
            <w:r>
              <w:rPr/>
              <w:t> </w:t>
            </w:r>
          </w:p>
        </w:tc>
        <w:tc>
          <w:tcPr>
            <w:tcW w:w="9259" w:type="dxa"/>
            <w:tcBorders>
              <w:bottom w:val="single" w:sz="12" w:space="0" w:color="000000"/>
            </w:tcBorders>
            <w:shd w:fill="auto" w:val="clear"/>
            <w:vAlign w:val="center"/>
          </w:tcPr>
          <w:p>
            <w:pPr>
              <w:pStyle w:val="TableContents"/>
              <w:spacing w:before="0" w:after="0"/>
              <w:rPr>
                <w:color w:val="000000"/>
              </w:rPr>
            </w:pPr>
            <w:r>
              <w:rPr>
                <w:color w:val="000000"/>
              </w:rPr>
              <w:t>Summary Description</w:t>
            </w:r>
          </w:p>
        </w:tc>
      </w:tr>
      <w:tr>
        <w:trPr/>
        <w:tc>
          <w:tcPr>
            <w:tcW w:w="1220" w:type="dxa"/>
            <w:tcBorders/>
            <w:shd w:fill="CCEEFF" w:val="clear"/>
            <w:tcMar>
              <w:bottom w:w="0" w:type="dxa"/>
            </w:tcMar>
            <w:vAlign w:val="center"/>
          </w:tcPr>
          <w:p>
            <w:pPr>
              <w:pStyle w:val="TableContents"/>
              <w:spacing w:before="0" w:after="0"/>
              <w:rPr>
                <w:color w:val="000000"/>
              </w:rPr>
            </w:pPr>
            <w:r>
              <w:rPr>
                <w:color w:val="000000"/>
              </w:rPr>
              <w:t>Grade 1</w:t>
            </w:r>
          </w:p>
        </w:tc>
        <w:tc>
          <w:tcPr>
            <w:tcW w:w="60" w:type="dxa"/>
            <w:tcBorders/>
            <w:shd w:fill="CCEEFF" w:val="clear"/>
            <w:tcMar>
              <w:bottom w:w="0" w:type="dxa"/>
            </w:tcMar>
            <w:vAlign w:val="center"/>
          </w:tcPr>
          <w:p>
            <w:pPr>
              <w:pStyle w:val="TableContents"/>
              <w:spacing w:before="0" w:after="283"/>
              <w:rPr/>
            </w:pPr>
            <w:r>
              <w:rPr/>
              <w:t> </w:t>
            </w:r>
          </w:p>
        </w:tc>
        <w:tc>
          <w:tcPr>
            <w:tcW w:w="9259" w:type="dxa"/>
            <w:tcBorders/>
            <w:shd w:fill="CCEEFF" w:val="clear"/>
            <w:tcMar>
              <w:bottom w:w="0" w:type="dxa"/>
            </w:tcMar>
            <w:vAlign w:val="center"/>
          </w:tcPr>
          <w:p>
            <w:pPr>
              <w:pStyle w:val="TableContents"/>
              <w:spacing w:before="0" w:after="0"/>
              <w:rPr>
                <w:color w:val="000000"/>
              </w:rPr>
            </w:pPr>
            <w:r>
              <w:rPr>
                <w:color w:val="000000"/>
              </w:rPr>
              <w:t>Investments rated 1 involve the least amount of risk to our initial cost basis. The borrower is performing above expectations, and the trends and risk factors for this investment since origination or acquisition are generally favorable.  Full return of principal, interest and dividend income is expected.</w:t>
            </w:r>
          </w:p>
        </w:tc>
      </w:tr>
      <w:tr>
        <w:trPr/>
        <w:tc>
          <w:tcPr>
            <w:tcW w:w="1220" w:type="dxa"/>
            <w:tcBorders/>
            <w:shd w:fill="auto" w:val="clear"/>
            <w:tcMar>
              <w:bottom w:w="0" w:type="dxa"/>
            </w:tcMar>
            <w:vAlign w:val="center"/>
          </w:tcPr>
          <w:p>
            <w:pPr>
              <w:pStyle w:val="TableContents"/>
              <w:spacing w:before="0" w:after="0"/>
              <w:rPr>
                <w:color w:val="000000"/>
              </w:rPr>
            </w:pPr>
            <w:r>
              <w:rPr>
                <w:color w:val="000000"/>
              </w:rPr>
              <w:t>Grade 2</w:t>
            </w:r>
          </w:p>
        </w:tc>
        <w:tc>
          <w:tcPr>
            <w:tcW w:w="60" w:type="dxa"/>
            <w:tcBorders/>
            <w:shd w:fill="auto" w:val="clear"/>
            <w:tcMar>
              <w:bottom w:w="0" w:type="dxa"/>
            </w:tcMar>
            <w:vAlign w:val="center"/>
          </w:tcPr>
          <w:p>
            <w:pPr>
              <w:pStyle w:val="TableContents"/>
              <w:spacing w:before="0" w:after="283"/>
              <w:rPr/>
            </w:pPr>
            <w:r>
              <w:rPr/>
              <w:t> </w:t>
            </w:r>
          </w:p>
        </w:tc>
        <w:tc>
          <w:tcPr>
            <w:tcW w:w="9259" w:type="dxa"/>
            <w:tcBorders/>
            <w:shd w:fill="auto" w:val="clear"/>
            <w:tcMar>
              <w:bottom w:w="0" w:type="dxa"/>
            </w:tcMar>
            <w:vAlign w:val="center"/>
          </w:tcPr>
          <w:p>
            <w:pPr>
              <w:pStyle w:val="TableContents"/>
              <w:spacing w:before="0" w:after="0"/>
              <w:rPr>
                <w:color w:val="000000"/>
              </w:rPr>
            </w:pPr>
            <w:r>
              <w:rPr>
                <w:color w:val="000000"/>
              </w:rPr>
              <w:t>Investment is performing in-line with expectations. Investments rated 2 involve an acceptable level of risk that is similar to the risk at the time of origination or acquisition. Risk factors remain neutral or favorable compared with initial underwriting. All investments or acquired investments in new portfolio companies are initially assessed a rating of 2.</w:t>
            </w:r>
          </w:p>
        </w:tc>
      </w:tr>
      <w:tr>
        <w:trPr/>
        <w:tc>
          <w:tcPr>
            <w:tcW w:w="1220" w:type="dxa"/>
            <w:tcBorders/>
            <w:shd w:fill="CCEEFF" w:val="clear"/>
            <w:tcMar>
              <w:bottom w:w="0" w:type="dxa"/>
            </w:tcMar>
            <w:vAlign w:val="center"/>
          </w:tcPr>
          <w:p>
            <w:pPr>
              <w:pStyle w:val="TableContents"/>
              <w:spacing w:before="0" w:after="0"/>
              <w:rPr>
                <w:color w:val="000000"/>
              </w:rPr>
            </w:pPr>
            <w:r>
              <w:rPr>
                <w:color w:val="000000"/>
              </w:rPr>
              <w:t>Grade 3</w:t>
            </w:r>
          </w:p>
        </w:tc>
        <w:tc>
          <w:tcPr>
            <w:tcW w:w="60" w:type="dxa"/>
            <w:tcBorders/>
            <w:shd w:fill="CCEEFF" w:val="clear"/>
            <w:tcMar>
              <w:bottom w:w="0" w:type="dxa"/>
            </w:tcMar>
            <w:vAlign w:val="center"/>
          </w:tcPr>
          <w:p>
            <w:pPr>
              <w:pStyle w:val="TableContents"/>
              <w:spacing w:before="0" w:after="283"/>
              <w:rPr/>
            </w:pPr>
            <w:r>
              <w:rPr/>
              <w:t> </w:t>
            </w:r>
          </w:p>
        </w:tc>
        <w:tc>
          <w:tcPr>
            <w:tcW w:w="9259" w:type="dxa"/>
            <w:tcBorders/>
            <w:shd w:fill="CCEEFF" w:val="clear"/>
            <w:tcMar>
              <w:bottom w:w="0" w:type="dxa"/>
            </w:tcMar>
            <w:vAlign w:val="center"/>
          </w:tcPr>
          <w:p>
            <w:pPr>
              <w:pStyle w:val="TableContents"/>
              <w:spacing w:before="0" w:after="0"/>
              <w:rPr>
                <w:color w:val="000000"/>
              </w:rPr>
            </w:pPr>
            <w:r>
              <w:rPr>
                <w:color w:val="000000"/>
              </w:rPr>
              <w:t>Investments rated 3 involve a borrower performing below expectations and indicates that the loan’s risk has increased somewhat since origination or acquisition. Capital impairment or payment delinquency is not anticipated. The investment may also be out of compliance with certain financial covenants.</w:t>
            </w:r>
          </w:p>
        </w:tc>
      </w:tr>
      <w:tr>
        <w:trPr/>
        <w:tc>
          <w:tcPr>
            <w:tcW w:w="1220" w:type="dxa"/>
            <w:tcBorders/>
            <w:shd w:fill="auto" w:val="clear"/>
            <w:tcMar>
              <w:bottom w:w="0" w:type="dxa"/>
            </w:tcMar>
            <w:vAlign w:val="center"/>
          </w:tcPr>
          <w:p>
            <w:pPr>
              <w:pStyle w:val="TableContents"/>
              <w:spacing w:before="0" w:after="0"/>
              <w:rPr>
                <w:color w:val="000000"/>
              </w:rPr>
            </w:pPr>
            <w:r>
              <w:rPr>
                <w:color w:val="000000"/>
              </w:rPr>
              <w:t>Grade 4</w:t>
            </w:r>
          </w:p>
        </w:tc>
        <w:tc>
          <w:tcPr>
            <w:tcW w:w="60" w:type="dxa"/>
            <w:tcBorders/>
            <w:shd w:fill="auto" w:val="clear"/>
            <w:tcMar>
              <w:bottom w:w="0" w:type="dxa"/>
            </w:tcMar>
            <w:vAlign w:val="center"/>
          </w:tcPr>
          <w:p>
            <w:pPr>
              <w:pStyle w:val="TableContents"/>
              <w:spacing w:before="0" w:after="283"/>
              <w:rPr/>
            </w:pPr>
            <w:r>
              <w:rPr/>
              <w:t> </w:t>
            </w:r>
          </w:p>
        </w:tc>
        <w:tc>
          <w:tcPr>
            <w:tcW w:w="9259" w:type="dxa"/>
            <w:tcBorders/>
            <w:shd w:fill="auto" w:val="clear"/>
            <w:tcMar>
              <w:bottom w:w="0" w:type="dxa"/>
            </w:tcMar>
            <w:vAlign w:val="center"/>
          </w:tcPr>
          <w:p>
            <w:pPr>
              <w:pStyle w:val="TableContents"/>
              <w:spacing w:before="0" w:after="0"/>
              <w:rPr>
                <w:color w:val="000000"/>
              </w:rPr>
            </w:pPr>
            <w:r>
              <w:rPr>
                <w:color w:val="000000"/>
              </w:rPr>
              <w:t>Investments rated 4 involve a borrower performing materially below expectations and indicates that the loan’s risk has increased materially since origination or acquisition. In addition to the borrower being generally out of compliance with debt covenants, loan payments may be past due (but generally not more than 120 days past due). Delinquency of interest and / or dividend payments in anticipated. No loss of principal is anticipated.</w:t>
            </w:r>
          </w:p>
        </w:tc>
      </w:tr>
      <w:tr>
        <w:trPr/>
        <w:tc>
          <w:tcPr>
            <w:tcW w:w="1220" w:type="dxa"/>
            <w:tcBorders/>
            <w:shd w:fill="CCEEFF" w:val="clear"/>
            <w:tcMar>
              <w:bottom w:w="0" w:type="dxa"/>
            </w:tcMar>
            <w:vAlign w:val="center"/>
          </w:tcPr>
          <w:p>
            <w:pPr>
              <w:pStyle w:val="TableContents"/>
              <w:spacing w:before="0" w:after="0"/>
              <w:rPr>
                <w:color w:val="000000"/>
              </w:rPr>
            </w:pPr>
            <w:r>
              <w:rPr>
                <w:color w:val="000000"/>
              </w:rPr>
              <w:t>Grade 5</w:t>
            </w:r>
          </w:p>
        </w:tc>
        <w:tc>
          <w:tcPr>
            <w:tcW w:w="60" w:type="dxa"/>
            <w:tcBorders/>
            <w:shd w:fill="CCEEFF" w:val="clear"/>
            <w:tcMar>
              <w:bottom w:w="0" w:type="dxa"/>
            </w:tcMar>
            <w:vAlign w:val="center"/>
          </w:tcPr>
          <w:p>
            <w:pPr>
              <w:pStyle w:val="TableContents"/>
              <w:spacing w:before="0" w:after="283"/>
              <w:rPr/>
            </w:pPr>
            <w:r>
              <w:rPr/>
              <w:t> </w:t>
            </w:r>
          </w:p>
        </w:tc>
        <w:tc>
          <w:tcPr>
            <w:tcW w:w="9259" w:type="dxa"/>
            <w:tcBorders/>
            <w:shd w:fill="CCEEFF" w:val="clear"/>
            <w:tcMar>
              <w:bottom w:w="0" w:type="dxa"/>
            </w:tcMar>
            <w:vAlign w:val="center"/>
          </w:tcPr>
          <w:p>
            <w:pPr>
              <w:pStyle w:val="TableContents"/>
              <w:spacing w:before="0" w:after="0"/>
              <w:rPr>
                <w:color w:val="000000"/>
              </w:rPr>
            </w:pPr>
            <w:r>
              <w:rPr>
                <w:color w:val="000000"/>
              </w:rPr>
              <w:t>Investments rated 5 involve a borrower performing substantially below expectations and indicates that the loan’s risk has increased substantially since origination or acquisition. It is anticipated that the Company will not recoup its initial cost and may realize a loss upon exit. Most or all of the debt covenants are out of compliance and payments are substantially delinquent. Loans rated 5 are not anticipated to be repaid in full and we will reduce the fair market value of the loan to the amount we anticipate will be recovered.</w:t>
            </w:r>
          </w:p>
        </w:tc>
      </w:tr>
    </w:tbl>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SILVER SPIKE INVESTMENT CORP.</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tables show the distribution of our loan investments on the 1 to 5 investment risk rating scale at fair value as of March 31, 2023 and December 31, 2022:</w:t>
      </w:r>
    </w:p>
    <w:p>
      <w:pPr>
        <w:pStyle w:val="TextBody"/>
        <w:spacing w:before="0" w:after="0"/>
        <w:jc w:val="left"/>
        <w:rPr>
          <w:color w:val="000000"/>
        </w:rPr>
      </w:pPr>
      <w:r>
        <w:rPr>
          <w:color w:val="000000"/>
        </w:rPr>
        <w:t> </w:t>
      </w:r>
    </w:p>
    <w:tbl>
      <w:tblPr>
        <w:tblW w:w="8358" w:type="dxa"/>
        <w:jc w:val="left"/>
        <w:tblInd w:w="0" w:type="dxa"/>
        <w:tblCellMar>
          <w:top w:w="0" w:type="dxa"/>
          <w:left w:w="0" w:type="dxa"/>
          <w:bottom w:w="0" w:type="dxa"/>
          <w:right w:w="0" w:type="dxa"/>
        </w:tblCellMar>
      </w:tblPr>
      <w:tblGrid>
        <w:gridCol w:w="3800"/>
        <w:gridCol w:w="60"/>
        <w:gridCol w:w="60"/>
        <w:gridCol w:w="230"/>
        <w:gridCol w:w="1814"/>
        <w:gridCol w:w="60"/>
        <w:gridCol w:w="60"/>
        <w:gridCol w:w="166"/>
        <w:gridCol w:w="1893"/>
        <w:gridCol w:w="215"/>
      </w:tblGrid>
      <w:tr>
        <w:trPr/>
        <w:tc>
          <w:tcPr>
            <w:tcW w:w="3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23"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 2023</w:t>
            </w:r>
          </w:p>
        </w:tc>
        <w:tc>
          <w:tcPr>
            <w:tcW w:w="215" w:type="dxa"/>
            <w:tcBorders/>
            <w:shd w:fill="auto" w:val="clear"/>
            <w:vAlign w:val="bottom"/>
          </w:tcPr>
          <w:p>
            <w:pPr>
              <w:pStyle w:val="TableContents"/>
              <w:spacing w:before="0" w:after="283"/>
              <w:rPr/>
            </w:pPr>
            <w:r>
              <w:rPr/>
              <w:t> </w:t>
            </w:r>
          </w:p>
        </w:tc>
      </w:tr>
      <w:tr>
        <w:trPr/>
        <w:tc>
          <w:tcPr>
            <w:tcW w:w="3800" w:type="dxa"/>
            <w:tcBorders>
              <w:bottom w:val="single" w:sz="12" w:space="0" w:color="000000"/>
            </w:tcBorders>
            <w:shd w:fill="auto" w:val="clear"/>
            <w:tcMar>
              <w:bottom w:w="28" w:type="dxa"/>
            </w:tcMar>
            <w:vAlign w:val="bottom"/>
          </w:tcPr>
          <w:p>
            <w:pPr>
              <w:pStyle w:val="TableContents"/>
              <w:spacing w:before="0" w:after="0"/>
              <w:rPr>
                <w:b/>
                <w:color w:val="000000"/>
              </w:rPr>
            </w:pPr>
            <w:r>
              <w:rPr>
                <w:b/>
                <w:color w:val="000000"/>
              </w:rPr>
              <w:t>Investment Performance Risk Rating</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4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xml:space="preserve">Investments at Fair </w:t>
            </w:r>
          </w:p>
          <w:p>
            <w:pPr>
              <w:pStyle w:val="TableContents"/>
              <w:spacing w:before="0" w:after="0"/>
              <w:jc w:val="center"/>
              <w:rPr>
                <w:b/>
                <w:color w:val="000000"/>
              </w:rPr>
            </w:pPr>
            <w:r>
              <w:rPr>
                <w:b/>
                <w:color w:val="000000"/>
              </w:rPr>
              <w:t>Value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5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xml:space="preserve">Percentage of Total </w:t>
            </w:r>
          </w:p>
          <w:p>
            <w:pPr>
              <w:pStyle w:val="TableContents"/>
              <w:spacing w:before="0" w:after="0"/>
              <w:jc w:val="center"/>
              <w:rPr>
                <w:b/>
                <w:color w:val="000000"/>
              </w:rPr>
            </w:pPr>
            <w:r>
              <w:rPr>
                <w:b/>
                <w:color w:val="000000"/>
              </w:rPr>
              <w:t>Investments</w:t>
            </w:r>
          </w:p>
        </w:tc>
        <w:tc>
          <w:tcPr>
            <w:tcW w:w="215" w:type="dxa"/>
            <w:tcBorders/>
            <w:shd w:fill="auto" w:val="clear"/>
            <w:vAlign w:val="bottom"/>
          </w:tcPr>
          <w:p>
            <w:pPr>
              <w:pStyle w:val="TableContents"/>
              <w:spacing w:before="0" w:after="283"/>
              <w:rPr/>
            </w:pPr>
            <w:r>
              <w:rPr/>
              <w:t> </w:t>
            </w:r>
          </w:p>
        </w:tc>
      </w:tr>
      <w:tr>
        <w:trPr/>
        <w:tc>
          <w:tcPr>
            <w:tcW w:w="3800" w:type="dxa"/>
            <w:tcBorders/>
            <w:shd w:fill="CCEEFF" w:val="clear"/>
            <w:vAlign w:val="bottom"/>
          </w:tcPr>
          <w:p>
            <w:pPr>
              <w:pStyle w:val="TableContents"/>
              <w:spacing w:before="0" w:after="0"/>
              <w:ind w:left="180" w:right="0" w:hanging="0"/>
              <w:jc w:val="left"/>
              <w:rPr>
                <w:color w:val="000000"/>
              </w:rPr>
            </w:pPr>
            <w:r>
              <w:rPr>
                <w:color w:val="000000"/>
              </w:rPr>
              <w:t>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30" w:type="dxa"/>
            <w:tcBorders/>
            <w:shd w:fill="CCEEFF" w:val="clear"/>
            <w:vAlign w:val="bottom"/>
          </w:tcPr>
          <w:p>
            <w:pPr>
              <w:pStyle w:val="TableContents"/>
              <w:spacing w:before="0" w:after="0"/>
              <w:rPr>
                <w:color w:val="000000"/>
              </w:rPr>
            </w:pPr>
            <w:r>
              <w:rPr>
                <w:color w:val="000000"/>
              </w:rPr>
              <w:t>$</w:t>
            </w:r>
          </w:p>
        </w:tc>
        <w:tc>
          <w:tcPr>
            <w:tcW w:w="1814"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1893" w:type="dxa"/>
            <w:tcBorders/>
            <w:shd w:fill="CCEEFF" w:val="clear"/>
            <w:vAlign w:val="bottom"/>
          </w:tcPr>
          <w:p>
            <w:pPr>
              <w:pStyle w:val="TableContents"/>
              <w:spacing w:before="0" w:after="0"/>
              <w:jc w:val="right"/>
              <w:rPr>
                <w:color w:val="000000"/>
              </w:rPr>
            </w:pPr>
            <w:r>
              <w:rPr>
                <w:color w:val="000000"/>
              </w:rPr>
              <w:t>-</w:t>
            </w:r>
          </w:p>
        </w:tc>
        <w:tc>
          <w:tcPr>
            <w:tcW w:w="215" w:type="dxa"/>
            <w:tcBorders/>
            <w:shd w:fill="CCEEFF" w:val="clear"/>
            <w:vAlign w:val="bottom"/>
          </w:tcPr>
          <w:p>
            <w:pPr>
              <w:pStyle w:val="TableContents"/>
              <w:spacing w:before="0" w:after="0"/>
              <w:rPr>
                <w:color w:val="000000"/>
              </w:rPr>
            </w:pPr>
            <w:r>
              <w:rPr>
                <w:color w:val="000000"/>
              </w:rPr>
              <w:t>%</w:t>
            </w:r>
          </w:p>
        </w:tc>
      </w:tr>
      <w:tr>
        <w:trPr/>
        <w:tc>
          <w:tcPr>
            <w:tcW w:w="3800" w:type="dxa"/>
            <w:tcBorders/>
            <w:shd w:fill="auto" w:val="clear"/>
            <w:vAlign w:val="bottom"/>
          </w:tcPr>
          <w:p>
            <w:pPr>
              <w:pStyle w:val="TableContents"/>
              <w:spacing w:before="0" w:after="0"/>
              <w:ind w:left="180" w:right="0" w:hanging="0"/>
              <w:jc w:val="left"/>
              <w:rPr>
                <w:color w:val="000000"/>
              </w:rPr>
            </w:pPr>
            <w:r>
              <w:rPr>
                <w:color w:val="000000"/>
              </w:rPr>
              <w:t>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pPr>
            <w:r>
              <w:rPr/>
              <w:t> </w:t>
            </w:r>
          </w:p>
        </w:tc>
        <w:tc>
          <w:tcPr>
            <w:tcW w:w="1814" w:type="dxa"/>
            <w:tcBorders/>
            <w:shd w:fill="auto" w:val="clear"/>
            <w:vAlign w:val="bottom"/>
          </w:tcPr>
          <w:p>
            <w:pPr>
              <w:pStyle w:val="TableContents"/>
              <w:spacing w:before="0" w:after="0"/>
              <w:jc w:val="right"/>
              <w:rPr>
                <w:color w:val="000000"/>
              </w:rPr>
            </w:pPr>
            <w:r>
              <w:rPr>
                <w:color w:val="000000"/>
              </w:rPr>
              <w:t>55,623,299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66" w:type="dxa"/>
            <w:tcBorders/>
            <w:shd w:fill="auto" w:val="clear"/>
            <w:vAlign w:val="bottom"/>
          </w:tcPr>
          <w:p>
            <w:pPr>
              <w:pStyle w:val="TableContents"/>
              <w:spacing w:before="0" w:after="283"/>
              <w:rPr/>
            </w:pPr>
            <w:r>
              <w:rPr/>
              <w:t> </w:t>
            </w:r>
          </w:p>
        </w:tc>
        <w:tc>
          <w:tcPr>
            <w:tcW w:w="1893" w:type="dxa"/>
            <w:tcBorders/>
            <w:shd w:fill="auto" w:val="clear"/>
            <w:vAlign w:val="bottom"/>
          </w:tcPr>
          <w:p>
            <w:pPr>
              <w:pStyle w:val="TableContents"/>
              <w:spacing w:before="0" w:after="0"/>
              <w:jc w:val="right"/>
              <w:rPr>
                <w:color w:val="000000"/>
              </w:rPr>
            </w:pPr>
            <w:r>
              <w:rPr>
                <w:color w:val="000000"/>
              </w:rPr>
              <w:t>100.00</w:t>
            </w:r>
          </w:p>
        </w:tc>
        <w:tc>
          <w:tcPr>
            <w:tcW w:w="215" w:type="dxa"/>
            <w:tcBorders/>
            <w:shd w:fill="auto" w:val="clear"/>
            <w:vAlign w:val="bottom"/>
          </w:tcPr>
          <w:p>
            <w:pPr>
              <w:pStyle w:val="TableContents"/>
              <w:spacing w:before="0" w:after="283"/>
              <w:rPr/>
            </w:pPr>
            <w:r>
              <w:rPr/>
              <w:t> </w:t>
            </w:r>
          </w:p>
        </w:tc>
      </w:tr>
      <w:tr>
        <w:trPr/>
        <w:tc>
          <w:tcPr>
            <w:tcW w:w="3800" w:type="dxa"/>
            <w:tcBorders/>
            <w:shd w:fill="CCEEFF" w:val="clear"/>
            <w:vAlign w:val="bottom"/>
          </w:tcPr>
          <w:p>
            <w:pPr>
              <w:pStyle w:val="TableContents"/>
              <w:spacing w:before="0" w:after="0"/>
              <w:ind w:left="180" w:right="0" w:hanging="0"/>
              <w:jc w:val="left"/>
              <w:rPr>
                <w:color w:val="000000"/>
              </w:rPr>
            </w:pPr>
            <w:r>
              <w:rPr>
                <w:color w:val="000000"/>
              </w:rPr>
              <w:t>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30" w:type="dxa"/>
            <w:tcBorders/>
            <w:shd w:fill="CCEEFF" w:val="clear"/>
            <w:vAlign w:val="bottom"/>
          </w:tcPr>
          <w:p>
            <w:pPr>
              <w:pStyle w:val="TableContents"/>
              <w:spacing w:before="0" w:after="283"/>
              <w:rPr/>
            </w:pPr>
            <w:r>
              <w:rPr/>
              <w:t> </w:t>
            </w:r>
          </w:p>
        </w:tc>
        <w:tc>
          <w:tcPr>
            <w:tcW w:w="1814"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1893" w:type="dxa"/>
            <w:tcBorders/>
            <w:shd w:fill="CCEEFF" w:val="clear"/>
            <w:vAlign w:val="bottom"/>
          </w:tcPr>
          <w:p>
            <w:pPr>
              <w:pStyle w:val="TableContents"/>
              <w:spacing w:before="0" w:after="0"/>
              <w:jc w:val="right"/>
              <w:rPr>
                <w:color w:val="000000"/>
              </w:rPr>
            </w:pPr>
            <w:r>
              <w:rPr>
                <w:color w:val="000000"/>
              </w:rPr>
              <w:t>-</w:t>
            </w:r>
          </w:p>
        </w:tc>
        <w:tc>
          <w:tcPr>
            <w:tcW w:w="215" w:type="dxa"/>
            <w:tcBorders/>
            <w:shd w:fill="CCEEFF" w:val="clear"/>
            <w:vAlign w:val="bottom"/>
          </w:tcPr>
          <w:p>
            <w:pPr>
              <w:pStyle w:val="TableContents"/>
              <w:spacing w:before="0" w:after="283"/>
              <w:rPr/>
            </w:pPr>
            <w:r>
              <w:rPr/>
              <w:t> </w:t>
            </w:r>
          </w:p>
        </w:tc>
      </w:tr>
      <w:tr>
        <w:trPr/>
        <w:tc>
          <w:tcPr>
            <w:tcW w:w="3800" w:type="dxa"/>
            <w:tcBorders/>
            <w:shd w:fill="auto" w:val="clear"/>
            <w:vAlign w:val="bottom"/>
          </w:tcPr>
          <w:p>
            <w:pPr>
              <w:pStyle w:val="TableContents"/>
              <w:spacing w:before="0" w:after="0"/>
              <w:ind w:left="180" w:right="0" w:hanging="0"/>
              <w:jc w:val="left"/>
              <w:rPr>
                <w:color w:val="000000"/>
              </w:rPr>
            </w:pPr>
            <w:r>
              <w:rPr>
                <w:color w:val="000000"/>
              </w:rPr>
              <w:t>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pPr>
            <w:r>
              <w:rPr/>
              <w:t> </w:t>
            </w:r>
          </w:p>
        </w:tc>
        <w:tc>
          <w:tcPr>
            <w:tcW w:w="1814"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66" w:type="dxa"/>
            <w:tcBorders/>
            <w:shd w:fill="auto" w:val="clear"/>
            <w:vAlign w:val="bottom"/>
          </w:tcPr>
          <w:p>
            <w:pPr>
              <w:pStyle w:val="TableContents"/>
              <w:spacing w:before="0" w:after="283"/>
              <w:rPr/>
            </w:pPr>
            <w:r>
              <w:rPr/>
              <w:t> </w:t>
            </w:r>
          </w:p>
        </w:tc>
        <w:tc>
          <w:tcPr>
            <w:tcW w:w="1893" w:type="dxa"/>
            <w:tcBorders/>
            <w:shd w:fill="auto" w:val="clear"/>
            <w:vAlign w:val="bottom"/>
          </w:tcPr>
          <w:p>
            <w:pPr>
              <w:pStyle w:val="TableContents"/>
              <w:spacing w:before="0" w:after="0"/>
              <w:jc w:val="right"/>
              <w:rPr>
                <w:color w:val="000000"/>
              </w:rPr>
            </w:pPr>
            <w:r>
              <w:rPr>
                <w:color w:val="000000"/>
              </w:rPr>
              <w:t>-</w:t>
            </w:r>
          </w:p>
        </w:tc>
        <w:tc>
          <w:tcPr>
            <w:tcW w:w="215" w:type="dxa"/>
            <w:tcBorders/>
            <w:shd w:fill="auto" w:val="clear"/>
            <w:vAlign w:val="bottom"/>
          </w:tcPr>
          <w:p>
            <w:pPr>
              <w:pStyle w:val="TableContents"/>
              <w:spacing w:before="0" w:after="283"/>
              <w:rPr/>
            </w:pPr>
            <w:r>
              <w:rPr/>
              <w:t> </w:t>
            </w:r>
          </w:p>
        </w:tc>
      </w:tr>
      <w:tr>
        <w:trPr/>
        <w:tc>
          <w:tcPr>
            <w:tcW w:w="3800" w:type="dxa"/>
            <w:tcBorders/>
            <w:shd w:fill="CCEEFF" w:val="clear"/>
            <w:vAlign w:val="bottom"/>
          </w:tcPr>
          <w:p>
            <w:pPr>
              <w:pStyle w:val="TableContents"/>
              <w:spacing w:before="0" w:after="0"/>
              <w:ind w:left="180" w:right="0" w:hanging="0"/>
              <w:jc w:val="left"/>
              <w:rPr>
                <w:color w:val="000000"/>
              </w:rPr>
            </w:pPr>
            <w:r>
              <w:rPr>
                <w:color w:val="000000"/>
              </w:rPr>
              <w:t>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3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814"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6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893"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215" w:type="dxa"/>
            <w:tcBorders/>
            <w:shd w:fill="CCEEFF" w:val="clear"/>
            <w:vAlign w:val="bottom"/>
          </w:tcPr>
          <w:p>
            <w:pPr>
              <w:pStyle w:val="TableContents"/>
              <w:spacing w:before="0" w:after="283"/>
              <w:rPr/>
            </w:pPr>
            <w:r>
              <w:rPr/>
              <w:t> </w:t>
            </w:r>
          </w:p>
        </w:tc>
      </w:tr>
      <w:tr>
        <w:trPr/>
        <w:tc>
          <w:tcPr>
            <w:tcW w:w="3800" w:type="dxa"/>
            <w:tcBorders/>
            <w:shd w:fill="auto" w:val="clear"/>
            <w:vAlign w:val="bottom"/>
          </w:tcPr>
          <w:p>
            <w:pPr>
              <w:pStyle w:val="TableContents"/>
              <w:spacing w:before="0" w:after="0"/>
              <w:ind w:left="360" w:right="0" w:hanging="0"/>
              <w:rPr>
                <w:color w:val="000000"/>
              </w:rPr>
            </w:pPr>
            <w:r>
              <w:rPr>
                <w:color w:val="000000"/>
              </w:rPr>
              <w:t>Total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30" w:type="dxa"/>
            <w:tcBorders>
              <w:bottom w:val="double" w:sz="8" w:space="0" w:color="000000"/>
            </w:tcBorders>
            <w:shd w:fill="auto" w:val="clear"/>
            <w:tcMar>
              <w:bottom w:w="28" w:type="dxa"/>
            </w:tcMar>
            <w:vAlign w:val="bottom"/>
          </w:tcPr>
          <w:p>
            <w:pPr>
              <w:pStyle w:val="TableContents"/>
              <w:spacing w:before="0" w:after="0"/>
              <w:rPr>
                <w:color w:val="000000"/>
              </w:rPr>
            </w:pPr>
            <w:r>
              <w:rPr>
                <w:color w:val="000000"/>
              </w:rPr>
              <w:t>$</w:t>
            </w:r>
          </w:p>
        </w:tc>
        <w:tc>
          <w:tcPr>
            <w:tcW w:w="1814"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55,623,299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66" w:type="dxa"/>
            <w:tcBorders>
              <w:bottom w:val="double" w:sz="8" w:space="0" w:color="000000"/>
            </w:tcBorders>
            <w:shd w:fill="auto" w:val="clear"/>
            <w:tcMar>
              <w:bottom w:w="28" w:type="dxa"/>
            </w:tcMar>
            <w:vAlign w:val="bottom"/>
          </w:tcPr>
          <w:p>
            <w:pPr>
              <w:pStyle w:val="TableContents"/>
              <w:spacing w:before="0" w:after="283"/>
              <w:rPr/>
            </w:pPr>
            <w:r>
              <w:rPr/>
              <w:t> </w:t>
            </w:r>
          </w:p>
        </w:tc>
        <w:tc>
          <w:tcPr>
            <w:tcW w:w="1893"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100.00</w:t>
            </w:r>
          </w:p>
        </w:tc>
        <w:tc>
          <w:tcPr>
            <w:tcW w:w="215" w:type="dxa"/>
            <w:tcBorders/>
            <w:shd w:fill="auto" w:val="clear"/>
            <w:vAlign w:val="bottom"/>
          </w:tcPr>
          <w:p>
            <w:pPr>
              <w:pStyle w:val="TableContents"/>
              <w:spacing w:before="0" w:after="0"/>
              <w:rPr>
                <w:color w:val="000000"/>
              </w:rPr>
            </w:pPr>
            <w:r>
              <w:rPr>
                <w:color w:val="000000"/>
              </w:rPr>
              <w:t>%</w:t>
            </w:r>
          </w:p>
        </w:tc>
      </w:tr>
    </w:tbl>
    <w:p>
      <w:pPr>
        <w:pStyle w:val="TextBody"/>
        <w:spacing w:before="0" w:after="0"/>
        <w:jc w:val="left"/>
        <w:rPr>
          <w:color w:val="000000"/>
        </w:rPr>
      </w:pPr>
      <w:r>
        <w:rPr>
          <w:color w:val="000000"/>
        </w:rPr>
        <w:t> </w:t>
      </w:r>
    </w:p>
    <w:tbl>
      <w:tblPr>
        <w:tblW w:w="8328" w:type="dxa"/>
        <w:jc w:val="center"/>
        <w:tblInd w:w="0" w:type="dxa"/>
        <w:tblCellMar>
          <w:top w:w="0" w:type="dxa"/>
          <w:left w:w="0" w:type="dxa"/>
          <w:bottom w:w="0" w:type="dxa"/>
          <w:right w:w="0" w:type="dxa"/>
        </w:tblCellMar>
      </w:tblPr>
      <w:tblGrid>
        <w:gridCol w:w="3815"/>
        <w:gridCol w:w="60"/>
        <w:gridCol w:w="60"/>
        <w:gridCol w:w="224"/>
        <w:gridCol w:w="1760"/>
        <w:gridCol w:w="60"/>
        <w:gridCol w:w="60"/>
        <w:gridCol w:w="166"/>
        <w:gridCol w:w="1893"/>
        <w:gridCol w:w="230"/>
      </w:tblGrid>
      <w:tr>
        <w:trPr/>
        <w:tc>
          <w:tcPr>
            <w:tcW w:w="38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163"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 2022</w:t>
            </w:r>
          </w:p>
        </w:tc>
        <w:tc>
          <w:tcPr>
            <w:tcW w:w="230" w:type="dxa"/>
            <w:tcBorders/>
            <w:shd w:fill="auto" w:val="clear"/>
            <w:vAlign w:val="bottom"/>
          </w:tcPr>
          <w:p>
            <w:pPr>
              <w:pStyle w:val="TableContents"/>
              <w:spacing w:before="0" w:after="283"/>
              <w:rPr/>
            </w:pPr>
            <w:r>
              <w:rPr/>
              <w:t> </w:t>
            </w:r>
          </w:p>
        </w:tc>
      </w:tr>
      <w:tr>
        <w:trPr/>
        <w:tc>
          <w:tcPr>
            <w:tcW w:w="3815" w:type="dxa"/>
            <w:tcBorders>
              <w:bottom w:val="single" w:sz="12" w:space="0" w:color="000000"/>
            </w:tcBorders>
            <w:shd w:fill="auto" w:val="clear"/>
            <w:tcMar>
              <w:bottom w:w="28" w:type="dxa"/>
            </w:tcMar>
            <w:vAlign w:val="bottom"/>
          </w:tcPr>
          <w:p>
            <w:pPr>
              <w:pStyle w:val="TableContents"/>
              <w:spacing w:before="0" w:after="0"/>
              <w:rPr>
                <w:b/>
                <w:color w:val="000000"/>
              </w:rPr>
            </w:pPr>
            <w:r>
              <w:rPr>
                <w:b/>
                <w:color w:val="000000"/>
              </w:rPr>
              <w:t>Investment Performance Risk Rating</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8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Investments at Fair</w:t>
            </w:r>
          </w:p>
          <w:p>
            <w:pPr>
              <w:pStyle w:val="TableContents"/>
              <w:spacing w:before="0" w:after="0"/>
              <w:jc w:val="center"/>
              <w:rPr>
                <w:b/>
                <w:color w:val="000000"/>
              </w:rPr>
            </w:pPr>
            <w:r>
              <w:rPr>
                <w:b/>
                <w:color w:val="000000"/>
              </w:rPr>
              <w:t>Value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5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xml:space="preserve">Percentage of Total </w:t>
            </w:r>
          </w:p>
          <w:p>
            <w:pPr>
              <w:pStyle w:val="TableContents"/>
              <w:spacing w:before="0" w:after="0"/>
              <w:jc w:val="center"/>
              <w:rPr>
                <w:b/>
                <w:color w:val="000000"/>
              </w:rPr>
            </w:pPr>
            <w:r>
              <w:rPr>
                <w:b/>
                <w:color w:val="000000"/>
              </w:rPr>
              <w:t>Investments</w:t>
            </w:r>
          </w:p>
        </w:tc>
        <w:tc>
          <w:tcPr>
            <w:tcW w:w="230" w:type="dxa"/>
            <w:tcBorders/>
            <w:shd w:fill="auto" w:val="clear"/>
            <w:vAlign w:val="bottom"/>
          </w:tcPr>
          <w:p>
            <w:pPr>
              <w:pStyle w:val="TableContents"/>
              <w:spacing w:before="0" w:after="283"/>
              <w:rPr/>
            </w:pPr>
            <w:r>
              <w:rPr/>
              <w:t> </w:t>
            </w:r>
          </w:p>
        </w:tc>
      </w:tr>
      <w:tr>
        <w:trPr/>
        <w:tc>
          <w:tcPr>
            <w:tcW w:w="3815" w:type="dxa"/>
            <w:tcBorders/>
            <w:shd w:fill="CCEEFF" w:val="clear"/>
            <w:vAlign w:val="bottom"/>
          </w:tcPr>
          <w:p>
            <w:pPr>
              <w:pStyle w:val="TableContents"/>
              <w:spacing w:before="0" w:after="0"/>
              <w:ind w:left="180" w:right="0" w:hanging="0"/>
              <w:jc w:val="left"/>
              <w:rPr>
                <w:color w:val="000000"/>
              </w:rPr>
            </w:pPr>
            <w:r>
              <w:rPr>
                <w:color w:val="000000"/>
              </w:rPr>
              <w:t>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24" w:type="dxa"/>
            <w:tcBorders/>
            <w:shd w:fill="CCEEFF" w:val="clear"/>
            <w:vAlign w:val="bottom"/>
          </w:tcPr>
          <w:p>
            <w:pPr>
              <w:pStyle w:val="TableContents"/>
              <w:spacing w:before="0" w:after="0"/>
              <w:rPr>
                <w:color w:val="000000"/>
              </w:rPr>
            </w:pPr>
            <w:r>
              <w:rPr>
                <w:color w:val="000000"/>
              </w:rPr>
              <w:t>$</w:t>
            </w:r>
          </w:p>
        </w:tc>
        <w:tc>
          <w:tcPr>
            <w:tcW w:w="176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1893" w:type="dxa"/>
            <w:tcBorders/>
            <w:shd w:fill="CCEEFF" w:val="clear"/>
            <w:vAlign w:val="bottom"/>
          </w:tcPr>
          <w:p>
            <w:pPr>
              <w:pStyle w:val="TableContents"/>
              <w:spacing w:before="0" w:after="0"/>
              <w:jc w:val="right"/>
              <w:rPr>
                <w:color w:val="000000"/>
              </w:rPr>
            </w:pPr>
            <w:r>
              <w:rPr>
                <w:color w:val="000000"/>
              </w:rPr>
              <w:t>-</w:t>
            </w:r>
          </w:p>
        </w:tc>
        <w:tc>
          <w:tcPr>
            <w:tcW w:w="230" w:type="dxa"/>
            <w:tcBorders/>
            <w:shd w:fill="CCEEFF" w:val="clear"/>
            <w:vAlign w:val="bottom"/>
          </w:tcPr>
          <w:p>
            <w:pPr>
              <w:pStyle w:val="TableContents"/>
              <w:spacing w:before="0" w:after="0"/>
              <w:rPr>
                <w:color w:val="000000"/>
              </w:rPr>
            </w:pPr>
            <w:r>
              <w:rPr>
                <w:color w:val="000000"/>
              </w:rPr>
              <w:t>%</w:t>
            </w:r>
          </w:p>
        </w:tc>
      </w:tr>
      <w:tr>
        <w:trPr/>
        <w:tc>
          <w:tcPr>
            <w:tcW w:w="3815" w:type="dxa"/>
            <w:tcBorders/>
            <w:shd w:fill="auto" w:val="clear"/>
            <w:vAlign w:val="bottom"/>
          </w:tcPr>
          <w:p>
            <w:pPr>
              <w:pStyle w:val="TableContents"/>
              <w:spacing w:before="0" w:after="0"/>
              <w:ind w:left="180" w:right="0" w:hanging="0"/>
              <w:jc w:val="left"/>
              <w:rPr>
                <w:color w:val="000000"/>
              </w:rPr>
            </w:pPr>
            <w:r>
              <w:rPr>
                <w:color w:val="000000"/>
              </w:rPr>
              <w:t>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rPr/>
            </w:pPr>
            <w:r>
              <w:rPr/>
              <w:t> </w:t>
            </w:r>
          </w:p>
        </w:tc>
        <w:tc>
          <w:tcPr>
            <w:tcW w:w="1760" w:type="dxa"/>
            <w:tcBorders/>
            <w:shd w:fill="auto" w:val="clear"/>
            <w:vAlign w:val="bottom"/>
          </w:tcPr>
          <w:p>
            <w:pPr>
              <w:pStyle w:val="TableContents"/>
              <w:spacing w:before="0" w:after="0"/>
              <w:jc w:val="right"/>
              <w:rPr>
                <w:color w:val="000000"/>
              </w:rPr>
            </w:pPr>
            <w:r>
              <w:rPr>
                <w:color w:val="000000"/>
              </w:rPr>
              <w:t>50,254,550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66" w:type="dxa"/>
            <w:tcBorders/>
            <w:shd w:fill="auto" w:val="clear"/>
            <w:vAlign w:val="bottom"/>
          </w:tcPr>
          <w:p>
            <w:pPr>
              <w:pStyle w:val="TableContents"/>
              <w:spacing w:before="0" w:after="283"/>
              <w:rPr/>
            </w:pPr>
            <w:r>
              <w:rPr/>
              <w:t> </w:t>
            </w:r>
          </w:p>
        </w:tc>
        <w:tc>
          <w:tcPr>
            <w:tcW w:w="1893" w:type="dxa"/>
            <w:tcBorders/>
            <w:shd w:fill="auto" w:val="clear"/>
            <w:vAlign w:val="bottom"/>
          </w:tcPr>
          <w:p>
            <w:pPr>
              <w:pStyle w:val="TableContents"/>
              <w:spacing w:before="0" w:after="0"/>
              <w:jc w:val="right"/>
              <w:rPr>
                <w:color w:val="000000"/>
              </w:rPr>
            </w:pPr>
            <w:r>
              <w:rPr>
                <w:color w:val="000000"/>
              </w:rPr>
              <w:t>100.00</w:t>
            </w:r>
          </w:p>
        </w:tc>
        <w:tc>
          <w:tcPr>
            <w:tcW w:w="230" w:type="dxa"/>
            <w:tcBorders/>
            <w:shd w:fill="auto" w:val="clear"/>
            <w:vAlign w:val="bottom"/>
          </w:tcPr>
          <w:p>
            <w:pPr>
              <w:pStyle w:val="TableContents"/>
              <w:spacing w:before="0" w:after="283"/>
              <w:rPr/>
            </w:pPr>
            <w:r>
              <w:rPr/>
              <w:t> </w:t>
            </w:r>
          </w:p>
        </w:tc>
      </w:tr>
      <w:tr>
        <w:trPr/>
        <w:tc>
          <w:tcPr>
            <w:tcW w:w="3815" w:type="dxa"/>
            <w:tcBorders/>
            <w:shd w:fill="CCEEFF" w:val="clear"/>
            <w:vAlign w:val="bottom"/>
          </w:tcPr>
          <w:p>
            <w:pPr>
              <w:pStyle w:val="TableContents"/>
              <w:spacing w:before="0" w:after="0"/>
              <w:ind w:left="180" w:right="0" w:hanging="0"/>
              <w:jc w:val="left"/>
              <w:rPr>
                <w:color w:val="000000"/>
              </w:rPr>
            </w:pPr>
            <w:r>
              <w:rPr>
                <w:color w:val="000000"/>
              </w:rPr>
              <w:t>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24" w:type="dxa"/>
            <w:tcBorders/>
            <w:shd w:fill="CCEEFF" w:val="clear"/>
            <w:vAlign w:val="bottom"/>
          </w:tcPr>
          <w:p>
            <w:pPr>
              <w:pStyle w:val="TableContents"/>
              <w:spacing w:before="0" w:after="283"/>
              <w:rPr/>
            </w:pPr>
            <w:r>
              <w:rPr/>
              <w:t> </w:t>
            </w:r>
          </w:p>
        </w:tc>
        <w:tc>
          <w:tcPr>
            <w:tcW w:w="176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c>
          <w:tcPr>
            <w:tcW w:w="1893" w:type="dxa"/>
            <w:tcBorders/>
            <w:shd w:fill="CCEEFF" w:val="clear"/>
            <w:vAlign w:val="bottom"/>
          </w:tcPr>
          <w:p>
            <w:pPr>
              <w:pStyle w:val="TableContents"/>
              <w:spacing w:before="0" w:after="0"/>
              <w:jc w:val="right"/>
              <w:rPr>
                <w:color w:val="000000"/>
              </w:rPr>
            </w:pPr>
            <w:r>
              <w:rPr>
                <w:color w:val="000000"/>
              </w:rPr>
              <w:t>-</w:t>
            </w:r>
          </w:p>
        </w:tc>
        <w:tc>
          <w:tcPr>
            <w:tcW w:w="230" w:type="dxa"/>
            <w:tcBorders/>
            <w:shd w:fill="CCEEFF" w:val="clear"/>
            <w:vAlign w:val="bottom"/>
          </w:tcPr>
          <w:p>
            <w:pPr>
              <w:pStyle w:val="TableContents"/>
              <w:spacing w:before="0" w:after="283"/>
              <w:rPr/>
            </w:pPr>
            <w:r>
              <w:rPr/>
              <w:t> </w:t>
            </w:r>
          </w:p>
        </w:tc>
      </w:tr>
      <w:tr>
        <w:trPr/>
        <w:tc>
          <w:tcPr>
            <w:tcW w:w="3815" w:type="dxa"/>
            <w:tcBorders/>
            <w:shd w:fill="auto" w:val="clear"/>
            <w:vAlign w:val="bottom"/>
          </w:tcPr>
          <w:p>
            <w:pPr>
              <w:pStyle w:val="TableContents"/>
              <w:spacing w:before="0" w:after="0"/>
              <w:ind w:left="180" w:right="0" w:hanging="0"/>
              <w:jc w:val="left"/>
              <w:rPr>
                <w:color w:val="000000"/>
              </w:rPr>
            </w:pPr>
            <w:r>
              <w:rPr>
                <w:color w:val="000000"/>
              </w:rPr>
              <w:t>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rPr/>
            </w:pPr>
            <w:r>
              <w:rPr/>
              <w:t> </w:t>
            </w:r>
          </w:p>
        </w:tc>
        <w:tc>
          <w:tcPr>
            <w:tcW w:w="176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66" w:type="dxa"/>
            <w:tcBorders/>
            <w:shd w:fill="auto" w:val="clear"/>
            <w:vAlign w:val="bottom"/>
          </w:tcPr>
          <w:p>
            <w:pPr>
              <w:pStyle w:val="TableContents"/>
              <w:spacing w:before="0" w:after="283"/>
              <w:rPr/>
            </w:pPr>
            <w:r>
              <w:rPr/>
              <w:t> </w:t>
            </w:r>
          </w:p>
        </w:tc>
        <w:tc>
          <w:tcPr>
            <w:tcW w:w="1893" w:type="dxa"/>
            <w:tcBorders/>
            <w:shd w:fill="auto" w:val="clear"/>
            <w:vAlign w:val="bottom"/>
          </w:tcPr>
          <w:p>
            <w:pPr>
              <w:pStyle w:val="TableContents"/>
              <w:spacing w:before="0" w:after="0"/>
              <w:jc w:val="right"/>
              <w:rPr>
                <w:color w:val="000000"/>
              </w:rPr>
            </w:pPr>
            <w:r>
              <w:rPr>
                <w:color w:val="000000"/>
              </w:rPr>
              <w:t>-</w:t>
            </w:r>
          </w:p>
        </w:tc>
        <w:tc>
          <w:tcPr>
            <w:tcW w:w="230" w:type="dxa"/>
            <w:tcBorders/>
            <w:shd w:fill="auto" w:val="clear"/>
            <w:vAlign w:val="bottom"/>
          </w:tcPr>
          <w:p>
            <w:pPr>
              <w:pStyle w:val="TableContents"/>
              <w:spacing w:before="0" w:after="283"/>
              <w:rPr/>
            </w:pPr>
            <w:r>
              <w:rPr/>
              <w:t> </w:t>
            </w:r>
          </w:p>
        </w:tc>
      </w:tr>
      <w:tr>
        <w:trPr/>
        <w:tc>
          <w:tcPr>
            <w:tcW w:w="3815" w:type="dxa"/>
            <w:tcBorders/>
            <w:shd w:fill="CCEEFF" w:val="clear"/>
            <w:vAlign w:val="bottom"/>
          </w:tcPr>
          <w:p>
            <w:pPr>
              <w:pStyle w:val="TableContents"/>
              <w:spacing w:before="0" w:after="0"/>
              <w:ind w:left="180" w:right="0" w:hanging="0"/>
              <w:jc w:val="left"/>
              <w:rPr>
                <w:color w:val="000000"/>
              </w:rPr>
            </w:pPr>
            <w:r>
              <w:rPr>
                <w:color w:val="000000"/>
              </w:rPr>
              <w:t>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24"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76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6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893"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230" w:type="dxa"/>
            <w:tcBorders/>
            <w:shd w:fill="CCEEFF" w:val="clear"/>
            <w:vAlign w:val="bottom"/>
          </w:tcPr>
          <w:p>
            <w:pPr>
              <w:pStyle w:val="TableContents"/>
              <w:spacing w:before="0" w:after="283"/>
              <w:rPr/>
            </w:pPr>
            <w:r>
              <w:rPr/>
              <w:t> </w:t>
            </w:r>
          </w:p>
        </w:tc>
      </w:tr>
      <w:tr>
        <w:trPr/>
        <w:tc>
          <w:tcPr>
            <w:tcW w:w="3815" w:type="dxa"/>
            <w:tcBorders/>
            <w:shd w:fill="auto" w:val="clear"/>
            <w:vAlign w:val="bottom"/>
          </w:tcPr>
          <w:p>
            <w:pPr>
              <w:pStyle w:val="TableContents"/>
              <w:spacing w:before="0" w:after="0"/>
              <w:ind w:left="540" w:right="0" w:hanging="140"/>
              <w:rPr>
                <w:color w:val="000000"/>
              </w:rPr>
            </w:pPr>
            <w:r>
              <w:rPr>
                <w:color w:val="000000"/>
              </w:rPr>
              <w:t>Total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24" w:type="dxa"/>
            <w:tcBorders>
              <w:bottom w:val="double" w:sz="8" w:space="0" w:color="000000"/>
            </w:tcBorders>
            <w:shd w:fill="auto" w:val="clear"/>
            <w:tcMar>
              <w:bottom w:w="28" w:type="dxa"/>
            </w:tcMar>
            <w:vAlign w:val="bottom"/>
          </w:tcPr>
          <w:p>
            <w:pPr>
              <w:pStyle w:val="TableContents"/>
              <w:spacing w:before="0" w:after="0"/>
              <w:rPr>
                <w:color w:val="000000"/>
              </w:rPr>
            </w:pPr>
            <w:r>
              <w:rPr>
                <w:color w:val="000000"/>
              </w:rPr>
              <w:t>$</w:t>
            </w:r>
          </w:p>
        </w:tc>
        <w:tc>
          <w:tcPr>
            <w:tcW w:w="176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50,254,550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66" w:type="dxa"/>
            <w:tcBorders>
              <w:bottom w:val="double" w:sz="8" w:space="0" w:color="000000"/>
            </w:tcBorders>
            <w:shd w:fill="auto" w:val="clear"/>
            <w:tcMar>
              <w:bottom w:w="28" w:type="dxa"/>
            </w:tcMar>
            <w:vAlign w:val="bottom"/>
          </w:tcPr>
          <w:p>
            <w:pPr>
              <w:pStyle w:val="TableContents"/>
              <w:spacing w:before="0" w:after="283"/>
              <w:rPr/>
            </w:pPr>
            <w:r>
              <w:rPr/>
              <w:t> </w:t>
            </w:r>
          </w:p>
        </w:tc>
        <w:tc>
          <w:tcPr>
            <w:tcW w:w="1893"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100.00</w:t>
            </w:r>
          </w:p>
        </w:tc>
        <w:tc>
          <w:tcPr>
            <w:tcW w:w="230" w:type="dxa"/>
            <w:tcBorders/>
            <w:shd w:fill="auto" w:val="clear"/>
            <w:vAlign w:val="bottom"/>
          </w:tcPr>
          <w:p>
            <w:pPr>
              <w:pStyle w:val="TableContents"/>
              <w:spacing w:before="0" w:after="0"/>
              <w:rPr>
                <w:color w:val="000000"/>
              </w:rPr>
            </w:pPr>
            <w:r>
              <w:rPr>
                <w:color w:val="000000"/>
              </w:rPr>
              <w:t>%</w:t>
            </w:r>
          </w:p>
        </w:tc>
      </w:tr>
    </w:tbl>
    <w:p>
      <w:pPr>
        <w:pStyle w:val="TextBody"/>
        <w:spacing w:before="0" w:after="0"/>
        <w:jc w:val="both"/>
        <w:rPr>
          <w:i/>
        </w:rPr>
      </w:pPr>
      <w:r>
        <w:rPr>
          <w:i/>
        </w:rPr>
      </w:r>
    </w:p>
    <w:p>
      <w:pPr>
        <w:pStyle w:val="TextBody"/>
        <w:spacing w:before="0" w:after="0"/>
        <w:jc w:val="both"/>
        <w:rPr>
          <w:rFonts w:ascii="Times New Roman" w:hAnsi="Times New Roman"/>
          <w:i/>
          <w:color w:val="000000"/>
          <w:sz w:val="20"/>
        </w:rPr>
      </w:pPr>
      <w:r>
        <w:rPr>
          <w:rFonts w:ascii="Times New Roman" w:hAnsi="Times New Roman"/>
          <w:i/>
          <w:color w:val="000000"/>
          <w:sz w:val="20"/>
        </w:rPr>
        <w:t>Debt Investments on Non-Accrual Status</w:t>
      </w:r>
    </w:p>
    <w:p>
      <w:pPr>
        <w:pStyle w:val="TextBody"/>
        <w:spacing w:before="0" w:after="0"/>
        <w:jc w:val="both"/>
        <w:rPr>
          <w:rFonts w:ascii="Times New Roman" w:hAnsi="Times New Roman"/>
          <w:color w:val="000000"/>
          <w:sz w:val="20"/>
        </w:rPr>
      </w:pPr>
      <w:r>
        <w:rPr>
          <w:rFonts w:ascii="Times New Roman" w:hAnsi="Times New Roman"/>
          <w:color w:val="000000"/>
          <w:sz w:val="20"/>
        </w:rPr>
        <w:t>As of March 31, 2023 and December 31, 2022, there were no loans in our portfolio placed on non-accrual status.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Results of Operations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discussion and analysis of our results of operations encompasses our results for the three months ended March 31, 2023 and 2022.</w:t>
      </w:r>
    </w:p>
    <w:p>
      <w:pPr>
        <w:pStyle w:val="TextBody"/>
        <w:spacing w:before="0" w:after="0"/>
        <w:jc w:val="left"/>
        <w:rPr>
          <w:color w:val="000000"/>
        </w:rPr>
      </w:pPr>
      <w:r>
        <w:rPr>
          <w:color w:val="000000"/>
        </w:rPr>
        <w:t> </w:t>
      </w:r>
    </w:p>
    <w:p>
      <w:pPr>
        <w:pStyle w:val="TextBody"/>
        <w:spacing w:before="0" w:after="0"/>
        <w:jc w:val="both"/>
        <w:rPr>
          <w:rFonts w:ascii="Times New Roman" w:hAnsi="Times New Roman"/>
          <w:i/>
          <w:color w:val="000000"/>
          <w:sz w:val="20"/>
        </w:rPr>
      </w:pPr>
      <w:r>
        <w:rPr>
          <w:rFonts w:ascii="Times New Roman" w:hAnsi="Times New Roman"/>
          <w:i/>
          <w:color w:val="000000"/>
          <w:sz w:val="20"/>
        </w:rPr>
        <w:t>Investment Income</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sets forth the components of investment income for the three months ended March 31, 2023 and 2022:</w:t>
      </w:r>
    </w:p>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5823"/>
        <w:gridCol w:w="60"/>
        <w:gridCol w:w="282"/>
        <w:gridCol w:w="1979"/>
        <w:gridCol w:w="60"/>
        <w:gridCol w:w="60"/>
        <w:gridCol w:w="375"/>
        <w:gridCol w:w="1824"/>
        <w:gridCol w:w="76"/>
      </w:tblGrid>
      <w:tr>
        <w:trPr/>
        <w:tc>
          <w:tcPr>
            <w:tcW w:w="58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61"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xml:space="preserve">Three Months Ended </w:t>
            </w:r>
          </w:p>
          <w:p>
            <w:pPr>
              <w:pStyle w:val="TableContents"/>
              <w:spacing w:before="0" w:after="0"/>
              <w:jc w:val="center"/>
              <w:rPr>
                <w:b/>
                <w:color w:val="000000"/>
              </w:rPr>
            </w:pPr>
            <w:r>
              <w:rPr>
                <w:b/>
                <w:color w:val="000000"/>
              </w:rPr>
              <w:t>March 31, 2023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9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Three Months Ended</w:t>
            </w:r>
          </w:p>
          <w:p>
            <w:pPr>
              <w:pStyle w:val="TableContents"/>
              <w:spacing w:before="0" w:after="0"/>
              <w:jc w:val="center"/>
              <w:rPr>
                <w:b/>
                <w:color w:val="000000"/>
              </w:rPr>
            </w:pPr>
            <w:r>
              <w:rPr>
                <w:b/>
                <w:color w:val="000000"/>
              </w:rPr>
              <w:t>March 31, 2022</w:t>
            </w:r>
          </w:p>
        </w:tc>
        <w:tc>
          <w:tcPr>
            <w:tcW w:w="76" w:type="dxa"/>
            <w:tcBorders/>
            <w:shd w:fill="auto" w:val="clear"/>
            <w:vAlign w:val="bottom"/>
          </w:tcPr>
          <w:p>
            <w:pPr>
              <w:pStyle w:val="TableContents"/>
              <w:spacing w:before="0" w:after="283"/>
              <w:rPr/>
            </w:pPr>
            <w:r>
              <w:rPr/>
              <w:t> </w:t>
            </w:r>
          </w:p>
        </w:tc>
      </w:tr>
      <w:tr>
        <w:trPr/>
        <w:tc>
          <w:tcPr>
            <w:tcW w:w="5823" w:type="dxa"/>
            <w:tcBorders/>
            <w:shd w:fill="CCEEFF" w:val="clear"/>
            <w:vAlign w:val="bottom"/>
          </w:tcPr>
          <w:p>
            <w:pPr>
              <w:pStyle w:val="TableContents"/>
              <w:spacing w:before="0" w:after="0"/>
              <w:ind w:left="180" w:right="0" w:hanging="180"/>
              <w:rPr>
                <w:color w:val="000000"/>
              </w:rPr>
            </w:pPr>
            <w:r>
              <w:rPr>
                <w:color w:val="000000"/>
              </w:rPr>
              <w:t>Interest income</w:t>
            </w:r>
          </w:p>
        </w:tc>
        <w:tc>
          <w:tcPr>
            <w:tcW w:w="60"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0"/>
              <w:rPr>
                <w:color w:val="000000"/>
              </w:rPr>
            </w:pPr>
            <w:r>
              <w:rPr>
                <w:color w:val="000000"/>
              </w:rPr>
              <w:t>$</w:t>
            </w:r>
          </w:p>
        </w:tc>
        <w:tc>
          <w:tcPr>
            <w:tcW w:w="1979" w:type="dxa"/>
            <w:tcBorders/>
            <w:shd w:fill="CCEEFF" w:val="clear"/>
            <w:vAlign w:val="bottom"/>
          </w:tcPr>
          <w:p>
            <w:pPr>
              <w:pStyle w:val="TableContents"/>
              <w:spacing w:before="0" w:after="0"/>
              <w:jc w:val="right"/>
              <w:rPr>
                <w:color w:val="000000"/>
              </w:rPr>
            </w:pPr>
            <w:r>
              <w:rPr>
                <w:color w:val="000000"/>
              </w:rPr>
              <w:t>2,317,020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0"/>
              <w:rPr>
                <w:color w:val="000000"/>
              </w:rPr>
            </w:pPr>
            <w:r>
              <w:rPr>
                <w:color w:val="000000"/>
              </w:rPr>
              <w:t>$</w:t>
            </w:r>
          </w:p>
        </w:tc>
        <w:tc>
          <w:tcPr>
            <w:tcW w:w="1824" w:type="dxa"/>
            <w:tcBorders/>
            <w:shd w:fill="CCEEFF" w:val="clear"/>
            <w:vAlign w:val="bottom"/>
          </w:tcPr>
          <w:p>
            <w:pPr>
              <w:pStyle w:val="TableContents"/>
              <w:spacing w:before="0" w:after="0"/>
              <w:jc w:val="right"/>
              <w:rPr>
                <w:color w:val="000000"/>
              </w:rPr>
            </w:pPr>
            <w:r>
              <w:rPr>
                <w:color w:val="000000"/>
              </w:rPr>
              <w:t>10,073</w:t>
            </w:r>
          </w:p>
        </w:tc>
        <w:tc>
          <w:tcPr>
            <w:tcW w:w="76" w:type="dxa"/>
            <w:tcBorders/>
            <w:shd w:fill="CCEEFF" w:val="clear"/>
            <w:vAlign w:val="bottom"/>
          </w:tcPr>
          <w:p>
            <w:pPr>
              <w:pStyle w:val="TableContents"/>
              <w:spacing w:before="0" w:after="283"/>
              <w:rPr/>
            </w:pPr>
            <w:r>
              <w:rPr/>
              <w:t> </w:t>
            </w:r>
          </w:p>
        </w:tc>
      </w:tr>
      <w:tr>
        <w:trPr/>
        <w:tc>
          <w:tcPr>
            <w:tcW w:w="5823" w:type="dxa"/>
            <w:tcBorders/>
            <w:shd w:fill="auto" w:val="clear"/>
            <w:vAlign w:val="bottom"/>
          </w:tcPr>
          <w:p>
            <w:pPr>
              <w:pStyle w:val="TableContents"/>
              <w:spacing w:before="0" w:after="0"/>
              <w:ind w:left="180" w:right="0" w:hanging="180"/>
              <w:rPr>
                <w:color w:val="000000"/>
              </w:rPr>
            </w:pPr>
            <w:r>
              <w:rPr>
                <w:color w:val="000000"/>
              </w:rPr>
              <w:t>Accretion of discount and fees (amortization of premium), net</w:t>
            </w:r>
          </w:p>
        </w:tc>
        <w:tc>
          <w:tcPr>
            <w:tcW w:w="60"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1979" w:type="dxa"/>
            <w:tcBorders/>
            <w:shd w:fill="auto" w:val="clear"/>
            <w:vAlign w:val="bottom"/>
          </w:tcPr>
          <w:p>
            <w:pPr>
              <w:pStyle w:val="TableContents"/>
              <w:spacing w:before="0" w:after="0"/>
              <w:jc w:val="right"/>
              <w:rPr>
                <w:color w:val="000000"/>
              </w:rPr>
            </w:pPr>
            <w:r>
              <w:rPr>
                <w:color w:val="000000"/>
              </w:rPr>
              <w:t>140,819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824" w:type="dxa"/>
            <w:tcBorders/>
            <w:shd w:fill="auto" w:val="clear"/>
            <w:vAlign w:val="bottom"/>
          </w:tcPr>
          <w:p>
            <w:pPr>
              <w:pStyle w:val="TableContents"/>
              <w:spacing w:before="0" w:after="0"/>
              <w:jc w:val="right"/>
              <w:rPr>
                <w:color w:val="000000"/>
              </w:rPr>
            </w:pPr>
            <w:r>
              <w:rPr>
                <w:color w:val="000000"/>
              </w:rPr>
              <w:t>-</w:t>
            </w:r>
          </w:p>
        </w:tc>
        <w:tc>
          <w:tcPr>
            <w:tcW w:w="76" w:type="dxa"/>
            <w:tcBorders/>
            <w:shd w:fill="auto" w:val="clear"/>
            <w:vAlign w:val="bottom"/>
          </w:tcPr>
          <w:p>
            <w:pPr>
              <w:pStyle w:val="TableContents"/>
              <w:spacing w:before="0" w:after="283"/>
              <w:rPr/>
            </w:pPr>
            <w:r>
              <w:rPr/>
              <w:t> </w:t>
            </w:r>
          </w:p>
        </w:tc>
      </w:tr>
      <w:tr>
        <w:trPr/>
        <w:tc>
          <w:tcPr>
            <w:tcW w:w="5823" w:type="dxa"/>
            <w:tcBorders/>
            <w:shd w:fill="CCEEFF" w:val="clear"/>
            <w:vAlign w:val="bottom"/>
          </w:tcPr>
          <w:p>
            <w:pPr>
              <w:pStyle w:val="TableContents"/>
              <w:spacing w:before="0" w:after="0"/>
              <w:ind w:left="180" w:right="0" w:hanging="180"/>
              <w:rPr>
                <w:color w:val="000000"/>
              </w:rPr>
            </w:pPr>
            <w:r>
              <w:rPr>
                <w:color w:val="000000"/>
              </w:rPr>
              <w:t>Other fee income</w:t>
            </w:r>
          </w:p>
        </w:tc>
        <w:tc>
          <w:tcPr>
            <w:tcW w:w="60" w:type="dxa"/>
            <w:tcBorders/>
            <w:shd w:fill="CCEEFF" w:val="clear"/>
            <w:vAlign w:val="bottom"/>
          </w:tcPr>
          <w:p>
            <w:pPr>
              <w:pStyle w:val="TableContents"/>
              <w:spacing w:before="0" w:after="283"/>
              <w:rPr/>
            </w:pPr>
            <w:r>
              <w:rPr/>
              <w:t> </w:t>
            </w:r>
          </w:p>
        </w:tc>
        <w:tc>
          <w:tcPr>
            <w:tcW w:w="28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979"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5"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824"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76" w:type="dxa"/>
            <w:tcBorders/>
            <w:shd w:fill="CCEEFF" w:val="clear"/>
            <w:vAlign w:val="bottom"/>
          </w:tcPr>
          <w:p>
            <w:pPr>
              <w:pStyle w:val="TableContents"/>
              <w:spacing w:before="0" w:after="283"/>
              <w:rPr/>
            </w:pPr>
            <w:r>
              <w:rPr/>
              <w:t> </w:t>
            </w:r>
          </w:p>
        </w:tc>
      </w:tr>
      <w:tr>
        <w:trPr/>
        <w:tc>
          <w:tcPr>
            <w:tcW w:w="5823" w:type="dxa"/>
            <w:tcBorders/>
            <w:shd w:fill="auto" w:val="clear"/>
            <w:vAlign w:val="bottom"/>
          </w:tcPr>
          <w:p>
            <w:pPr>
              <w:pStyle w:val="TableContents"/>
              <w:spacing w:before="0" w:after="0"/>
              <w:ind w:left="360" w:right="0" w:hanging="180"/>
              <w:rPr>
                <w:color w:val="000000"/>
              </w:rPr>
            </w:pPr>
            <w:r>
              <w:rPr>
                <w:color w:val="000000"/>
              </w:rPr>
              <w:t>Total investment income</w:t>
            </w:r>
          </w:p>
        </w:tc>
        <w:tc>
          <w:tcPr>
            <w:tcW w:w="60" w:type="dxa"/>
            <w:tcBorders/>
            <w:shd w:fill="auto" w:val="clear"/>
            <w:vAlign w:val="bottom"/>
          </w:tcPr>
          <w:p>
            <w:pPr>
              <w:pStyle w:val="TableContents"/>
              <w:spacing w:before="0" w:after="283"/>
              <w:rPr/>
            </w:pPr>
            <w:r>
              <w:rPr/>
              <w:t> </w:t>
            </w:r>
          </w:p>
        </w:tc>
        <w:tc>
          <w:tcPr>
            <w:tcW w:w="282" w:type="dxa"/>
            <w:tcBorders>
              <w:bottom w:val="double" w:sz="8" w:space="0" w:color="000000"/>
            </w:tcBorders>
            <w:shd w:fill="auto" w:val="clear"/>
            <w:tcMar>
              <w:bottom w:w="28" w:type="dxa"/>
            </w:tcMar>
            <w:vAlign w:val="bottom"/>
          </w:tcPr>
          <w:p>
            <w:pPr>
              <w:pStyle w:val="TableContents"/>
              <w:spacing w:before="0" w:after="0"/>
              <w:rPr>
                <w:color w:val="000000"/>
              </w:rPr>
            </w:pPr>
            <w:r>
              <w:rPr>
                <w:color w:val="000000"/>
              </w:rPr>
              <w:t>$</w:t>
            </w:r>
          </w:p>
        </w:tc>
        <w:tc>
          <w:tcPr>
            <w:tcW w:w="1979"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2,457,839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5" w:type="dxa"/>
            <w:tcBorders>
              <w:bottom w:val="double" w:sz="8" w:space="0" w:color="000000"/>
            </w:tcBorders>
            <w:shd w:fill="auto" w:val="clear"/>
            <w:tcMar>
              <w:bottom w:w="28" w:type="dxa"/>
            </w:tcMar>
            <w:vAlign w:val="bottom"/>
          </w:tcPr>
          <w:p>
            <w:pPr>
              <w:pStyle w:val="TableContents"/>
              <w:spacing w:before="0" w:after="0"/>
              <w:rPr>
                <w:color w:val="000000"/>
              </w:rPr>
            </w:pPr>
            <w:r>
              <w:rPr>
                <w:color w:val="000000"/>
              </w:rPr>
              <w:t>$</w:t>
            </w:r>
          </w:p>
        </w:tc>
        <w:tc>
          <w:tcPr>
            <w:tcW w:w="1824"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10,073</w:t>
            </w:r>
          </w:p>
        </w:tc>
        <w:tc>
          <w:tcPr>
            <w:tcW w:w="76" w:type="dxa"/>
            <w:tcBorders/>
            <w:shd w:fill="auto" w:val="clear"/>
            <w:vAlign w:val="bottom"/>
          </w:tcPr>
          <w:p>
            <w:pPr>
              <w:pStyle w:val="TableContents"/>
              <w:spacing w:before="0" w:after="283"/>
              <w:rPr/>
            </w:pPr>
            <w:r>
              <w:rPr/>
              <w:t> </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generate revenues primarily in the form of investment income from the investments we hold, generally in the form of interest income from our debt securities. Stated interest income represents interest income recognized as earned in accordance with the contractual terms of the loan agreement. Stated interest income from original issue discount (“OID”) and market discount represent the accretion into interest income over the term of the loan as a yield enhancement. Interest income from payment-in-kind (“PIK”) represents contractually deferred interest added to the loan balance recorded on an accrual basis to the extent such amounts are expected to be collected.</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 also recognizes certain fees as one-time fee income, including, but not limited to, structuring fees.</w:t>
      </w:r>
    </w:p>
    <w:p>
      <w:pPr>
        <w:pStyle w:val="TextBody"/>
        <w:spacing w:before="0" w:after="0"/>
        <w:jc w:val="both"/>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For the three months ended March 31, 2023 and 2022, total investment income was approximately $2.5 million and less than $0.1 million, which is attributable interest income, respectively.</w:t>
      </w:r>
    </w:p>
    <w:p>
      <w:pPr>
        <w:pStyle w:val="TextBody"/>
        <w:spacing w:before="0" w:after="0"/>
        <w:jc w:val="both"/>
        <w:rPr>
          <w:color w:val="000000"/>
        </w:rPr>
      </w:pPr>
      <w:r>
        <w:rPr>
          <w:color w:val="000000"/>
        </w:rPr>
        <w:t> </w:t>
      </w:r>
    </w:p>
    <w:p>
      <w:pPr>
        <w:pStyle w:val="TextBody"/>
        <w:spacing w:before="0" w:after="0"/>
        <w:jc w:val="both"/>
        <w:rPr>
          <w:rFonts w:ascii="Times New Roman" w:hAnsi="Times New Roman"/>
          <w:i/>
          <w:color w:val="000000"/>
          <w:sz w:val="20"/>
        </w:rPr>
      </w:pPr>
      <w:r>
        <w:rPr>
          <w:rFonts w:ascii="Times New Roman" w:hAnsi="Times New Roman"/>
          <w:i/>
          <w:color w:val="000000"/>
          <w:sz w:val="20"/>
        </w:rPr>
        <w:t>Operating Expenses</w:t>
      </w:r>
    </w:p>
    <w:p>
      <w:pPr>
        <w:pStyle w:val="TextBody"/>
        <w:spacing w:before="0" w:after="0"/>
        <w:jc w:val="both"/>
        <w:rPr>
          <w:rFonts w:ascii="Times New Roman" w:hAnsi="Times New Roman"/>
          <w:color w:val="000000"/>
          <w:sz w:val="20"/>
        </w:rPr>
      </w:pPr>
      <w:r>
        <w:rPr>
          <w:rFonts w:ascii="Times New Roman" w:hAnsi="Times New Roman"/>
          <w:color w:val="000000"/>
          <w:sz w:val="20"/>
        </w:rPr>
        <w:t>Our operating expenses for the three months ended March 31, 2023 and 2022 are comprised primarily of professional fees for legal, administration, audit, valuation and directors, our management fees and incentive fees. Our operating expenses totaled approximately $1.1 million and $0.2 million for the three months ended March 31, 2023 and 2022, respectively.</w:t>
      </w:r>
    </w:p>
    <w:p>
      <w:pPr>
        <w:pStyle w:val="TextBody"/>
        <w:spacing w:before="0" w:after="0"/>
        <w:jc w:val="both"/>
        <w:rPr>
          <w:color w:val="000000"/>
        </w:rPr>
      </w:pPr>
      <w:r>
        <w:rPr>
          <w:color w:val="000000"/>
        </w:rPr>
        <w:t> </w:t>
      </w:r>
    </w:p>
    <w:p>
      <w:pPr>
        <w:pStyle w:val="TextBody"/>
        <w:spacing w:before="0" w:after="0"/>
        <w:jc w:val="both"/>
        <w:rPr>
          <w:rFonts w:ascii="Times New Roman" w:hAnsi="Times New Roman"/>
          <w:i/>
          <w:color w:val="000000"/>
          <w:sz w:val="20"/>
        </w:rPr>
      </w:pPr>
      <w:r>
        <w:rPr>
          <w:rFonts w:ascii="Times New Roman" w:hAnsi="Times New Roman"/>
          <w:i/>
          <w:color w:val="000000"/>
          <w:sz w:val="20"/>
        </w:rPr>
        <w:t>Net Investment Income</w:t>
      </w:r>
    </w:p>
    <w:p>
      <w:pPr>
        <w:pStyle w:val="TextBody"/>
        <w:spacing w:before="0" w:after="0"/>
        <w:jc w:val="both"/>
        <w:rPr>
          <w:rFonts w:ascii="Times New Roman" w:hAnsi="Times New Roman"/>
          <w:color w:val="000000"/>
          <w:sz w:val="20"/>
        </w:rPr>
      </w:pPr>
      <w:r>
        <w:rPr>
          <w:rFonts w:ascii="Times New Roman" w:hAnsi="Times New Roman"/>
          <w:color w:val="000000"/>
          <w:sz w:val="20"/>
        </w:rPr>
        <w:t>As a result of approximately $2.5 million and less than $0.1 million in total investment income as compared to $1.1 million and $0.2 million in total expenses, net investment income (loss) for the three months ended March 31, 2023 and 2022 was approximately $1.4 million and $(0.2) million, respectively.</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SILVER SPIKE INVESTMENT CORP.</w:t>
      </w:r>
    </w:p>
    <w:p>
      <w:pPr>
        <w:pStyle w:val="TextBody"/>
        <w:spacing w:before="0" w:after="0"/>
        <w:jc w:val="both"/>
        <w:rPr>
          <w:i/>
        </w:rPr>
      </w:pPr>
      <w:r>
        <w:rPr>
          <w:i/>
        </w:rPr>
      </w:r>
    </w:p>
    <w:p>
      <w:pPr>
        <w:pStyle w:val="TextBody"/>
        <w:spacing w:before="0" w:after="0"/>
        <w:jc w:val="both"/>
        <w:rPr>
          <w:rFonts w:ascii="Times New Roman" w:hAnsi="Times New Roman"/>
          <w:i/>
          <w:color w:val="000000"/>
          <w:sz w:val="20"/>
        </w:rPr>
      </w:pPr>
      <w:r>
        <w:rPr>
          <w:rFonts w:ascii="Times New Roman" w:hAnsi="Times New Roman"/>
          <w:i/>
          <w:color w:val="000000"/>
          <w:sz w:val="20"/>
        </w:rPr>
        <w:t>Net Realized Gains and Losses</w:t>
      </w:r>
    </w:p>
    <w:p>
      <w:pPr>
        <w:pStyle w:val="TextBody"/>
        <w:spacing w:before="0" w:after="0"/>
        <w:jc w:val="both"/>
        <w:rPr>
          <w:rFonts w:ascii="Times New Roman" w:hAnsi="Times New Roman"/>
          <w:color w:val="000000"/>
          <w:sz w:val="20"/>
        </w:rPr>
      </w:pPr>
      <w:r>
        <w:rPr>
          <w:rFonts w:ascii="Times New Roman" w:hAnsi="Times New Roman"/>
          <w:color w:val="000000"/>
          <w:sz w:val="20"/>
        </w:rPr>
        <w:t>Realized gains or losses are measured by the difference between the net proceeds from the sale or redemption of an investment or a financial instrument and the cost basis of the investment or financial instrument, without regard to unrealized appreciation or depreciation previously recognized, and includes investments written-off during the period. There were no net realized gains (losses) from the sales, repayments, or exits of investments during the three months ended March 31, 2023 and 2022.</w:t>
      </w:r>
    </w:p>
    <w:p>
      <w:pPr>
        <w:pStyle w:val="TextBody"/>
        <w:spacing w:before="0" w:after="0"/>
        <w:jc w:val="left"/>
        <w:rPr>
          <w:color w:val="000000"/>
        </w:rPr>
      </w:pPr>
      <w:r>
        <w:rPr>
          <w:color w:val="000000"/>
        </w:rPr>
        <w:t> </w:t>
      </w:r>
    </w:p>
    <w:p>
      <w:pPr>
        <w:pStyle w:val="TextBody"/>
        <w:spacing w:before="0" w:after="0"/>
        <w:jc w:val="both"/>
        <w:rPr>
          <w:rFonts w:ascii="Times New Roman" w:hAnsi="Times New Roman"/>
          <w:i/>
          <w:color w:val="000000"/>
          <w:sz w:val="20"/>
        </w:rPr>
      </w:pPr>
      <w:r>
        <w:rPr>
          <w:rFonts w:ascii="Times New Roman" w:hAnsi="Times New Roman"/>
          <w:i/>
          <w:color w:val="000000"/>
          <w:sz w:val="20"/>
        </w:rPr>
        <w:t>Net Change in Unrealized Appreciation / (Depreciation) from Investments</w:t>
      </w:r>
    </w:p>
    <w:p>
      <w:pPr>
        <w:pStyle w:val="TextBody"/>
        <w:spacing w:before="0" w:after="0"/>
        <w:jc w:val="both"/>
        <w:rPr>
          <w:rFonts w:ascii="Times New Roman" w:hAnsi="Times New Roman"/>
          <w:color w:val="000000"/>
          <w:sz w:val="20"/>
        </w:rPr>
      </w:pPr>
      <w:r>
        <w:rPr>
          <w:rFonts w:ascii="Times New Roman" w:hAnsi="Times New Roman"/>
          <w:color w:val="000000"/>
          <w:sz w:val="20"/>
        </w:rPr>
        <w:t>Net change in unrealized appreciation/(depreciation) from investments primarily reflects the net change in the fair value  as of the last business day of the reporting period, including the reversal of previously recorded unrealized gains or losses with respect to investments realized during the period. We record current-period changes in fair value of investments that are measured at fair value as a component of the net change in unrealized gains (losses) on investments on the Statements of Operations.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Net unrealized appreciation and depreciation on investments for the three months ended March 31, 2023 and 2022 is comprised of the following:</w:t>
      </w:r>
    </w:p>
    <w:p>
      <w:pPr>
        <w:pStyle w:val="TextBody"/>
        <w:spacing w:before="0" w:after="0"/>
        <w:jc w:val="both"/>
        <w:rPr/>
      </w:pPr>
      <w:r>
        <w:rPr/>
      </w:r>
    </w:p>
    <w:tbl>
      <w:tblPr>
        <w:tblW w:w="10539" w:type="dxa"/>
        <w:jc w:val="left"/>
        <w:tblInd w:w="0" w:type="dxa"/>
        <w:tblCellMar>
          <w:top w:w="0" w:type="dxa"/>
          <w:left w:w="0" w:type="dxa"/>
          <w:bottom w:w="0" w:type="dxa"/>
          <w:right w:w="0" w:type="dxa"/>
        </w:tblCellMar>
      </w:tblPr>
      <w:tblGrid>
        <w:gridCol w:w="5899"/>
        <w:gridCol w:w="60"/>
        <w:gridCol w:w="326"/>
        <w:gridCol w:w="1866"/>
        <w:gridCol w:w="60"/>
        <w:gridCol w:w="60"/>
        <w:gridCol w:w="1303"/>
        <w:gridCol w:w="887"/>
        <w:gridCol w:w="78"/>
      </w:tblGrid>
      <w:tr>
        <w:trPr/>
        <w:tc>
          <w:tcPr>
            <w:tcW w:w="58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92"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Three Months Ended</w:t>
              <w:br/>
              <w:t>March 31, 2023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9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Three Months Ended</w:t>
              <w:br/>
              <w:t>March 31, 2022</w:t>
            </w:r>
          </w:p>
        </w:tc>
        <w:tc>
          <w:tcPr>
            <w:tcW w:w="78" w:type="dxa"/>
            <w:tcBorders/>
            <w:shd w:fill="auto" w:val="clear"/>
            <w:vAlign w:val="bottom"/>
          </w:tcPr>
          <w:p>
            <w:pPr>
              <w:pStyle w:val="TableContents"/>
              <w:spacing w:before="0" w:after="283"/>
              <w:rPr/>
            </w:pPr>
            <w:r>
              <w:rPr/>
              <w:t> </w:t>
            </w:r>
          </w:p>
        </w:tc>
      </w:tr>
      <w:tr>
        <w:trPr/>
        <w:tc>
          <w:tcPr>
            <w:tcW w:w="5899" w:type="dxa"/>
            <w:tcBorders/>
            <w:shd w:fill="CCEEFF" w:val="clear"/>
            <w:vAlign w:val="bottom"/>
          </w:tcPr>
          <w:p>
            <w:pPr>
              <w:pStyle w:val="TableContents"/>
              <w:spacing w:before="0" w:after="0"/>
              <w:ind w:left="180" w:right="0" w:hanging="180"/>
              <w:rPr>
                <w:color w:val="000000"/>
              </w:rPr>
            </w:pPr>
            <w:r>
              <w:rPr>
                <w:color w:val="000000"/>
              </w:rPr>
              <w:t>Gross unrealized appreciation</w:t>
            </w:r>
          </w:p>
        </w:tc>
        <w:tc>
          <w:tcPr>
            <w:tcW w:w="6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0"/>
              <w:rPr>
                <w:color w:val="000000"/>
              </w:rPr>
            </w:pPr>
            <w:r>
              <w:rPr>
                <w:color w:val="000000"/>
              </w:rPr>
              <w:t>$</w:t>
            </w:r>
          </w:p>
        </w:tc>
        <w:tc>
          <w:tcPr>
            <w:tcW w:w="1866" w:type="dxa"/>
            <w:tcBorders/>
            <w:shd w:fill="CCEEFF" w:val="clear"/>
            <w:vAlign w:val="bottom"/>
          </w:tcPr>
          <w:p>
            <w:pPr>
              <w:pStyle w:val="TableContents"/>
              <w:spacing w:before="0" w:after="0"/>
              <w:jc w:val="right"/>
              <w:rPr>
                <w:color w:val="000000"/>
              </w:rPr>
            </w:pPr>
            <w:r>
              <w:rPr>
                <w:color w:val="000000"/>
              </w:rPr>
              <w:t>986,357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0"/>
              <w:rPr>
                <w:color w:val="000000"/>
              </w:rPr>
            </w:pPr>
            <w:r>
              <w:rPr>
                <w:color w:val="000000"/>
              </w:rPr>
              <w:t>$</w:t>
            </w:r>
          </w:p>
        </w:tc>
        <w:tc>
          <w:tcPr>
            <w:tcW w:w="887" w:type="dxa"/>
            <w:tcBorders/>
            <w:shd w:fill="CCEEFF" w:val="clear"/>
            <w:vAlign w:val="bottom"/>
          </w:tcPr>
          <w:p>
            <w:pPr>
              <w:pStyle w:val="TableContents"/>
              <w:spacing w:before="0" w:after="0"/>
              <w:jc w:val="right"/>
              <w:rPr>
                <w:color w:val="000000"/>
              </w:rPr>
            </w:pPr>
            <w:r>
              <w:rPr>
                <w:color w:val="000000"/>
              </w:rPr>
              <w:t>-</w:t>
            </w:r>
          </w:p>
        </w:tc>
        <w:tc>
          <w:tcPr>
            <w:tcW w:w="78" w:type="dxa"/>
            <w:tcBorders/>
            <w:shd w:fill="CCEEFF" w:val="clear"/>
            <w:vAlign w:val="bottom"/>
          </w:tcPr>
          <w:p>
            <w:pPr>
              <w:pStyle w:val="TableContents"/>
              <w:spacing w:before="0" w:after="283"/>
              <w:rPr/>
            </w:pPr>
            <w:r>
              <w:rPr/>
              <w:t> </w:t>
            </w:r>
          </w:p>
        </w:tc>
      </w:tr>
      <w:tr>
        <w:trPr/>
        <w:tc>
          <w:tcPr>
            <w:tcW w:w="5899" w:type="dxa"/>
            <w:tcBorders/>
            <w:shd w:fill="auto" w:val="clear"/>
            <w:vAlign w:val="bottom"/>
          </w:tcPr>
          <w:p>
            <w:pPr>
              <w:pStyle w:val="TableContents"/>
              <w:spacing w:before="0" w:after="0"/>
              <w:ind w:left="180" w:right="0" w:hanging="180"/>
              <w:rPr>
                <w:color w:val="000000"/>
              </w:rPr>
            </w:pPr>
            <w:r>
              <w:rPr>
                <w:color w:val="000000"/>
              </w:rPr>
              <w:t>Gross unrealized depreciation</w:t>
            </w:r>
          </w:p>
        </w:tc>
        <w:tc>
          <w:tcPr>
            <w:tcW w:w="60" w:type="dxa"/>
            <w:tcBorders/>
            <w:shd w:fill="auto" w:val="clear"/>
            <w:vAlign w:val="bottom"/>
          </w:tcPr>
          <w:p>
            <w:pPr>
              <w:pStyle w:val="TableContents"/>
              <w:spacing w:before="0" w:after="283"/>
              <w:rPr/>
            </w:pPr>
            <w:r>
              <w:rPr/>
              <w:t> </w:t>
            </w:r>
          </w:p>
        </w:tc>
        <w:tc>
          <w:tcPr>
            <w:tcW w:w="326" w:type="dxa"/>
            <w:tcBorders>
              <w:bottom w:val="single" w:sz="12" w:space="0" w:color="000000"/>
            </w:tcBorders>
            <w:shd w:fill="auto" w:val="clear"/>
            <w:tcMar>
              <w:bottom w:w="28" w:type="dxa"/>
            </w:tcMar>
            <w:vAlign w:val="bottom"/>
          </w:tcPr>
          <w:p>
            <w:pPr>
              <w:pStyle w:val="TableContents"/>
              <w:spacing w:before="0" w:after="283"/>
              <w:rPr/>
            </w:pPr>
            <w:r>
              <w:rPr/>
              <w:t> </w:t>
            </w:r>
          </w:p>
        </w:tc>
        <w:tc>
          <w:tcPr>
            <w:tcW w:w="186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03" w:type="dxa"/>
            <w:tcBorders>
              <w:bottom w:val="single" w:sz="12" w:space="0" w:color="000000"/>
            </w:tcBorders>
            <w:shd w:fill="auto" w:val="clear"/>
            <w:tcMar>
              <w:bottom w:w="28" w:type="dxa"/>
            </w:tcMar>
            <w:vAlign w:val="bottom"/>
          </w:tcPr>
          <w:p>
            <w:pPr>
              <w:pStyle w:val="TableContents"/>
              <w:spacing w:before="0" w:after="283"/>
              <w:rPr/>
            </w:pPr>
            <w:r>
              <w:rPr/>
              <w:t> </w:t>
            </w:r>
          </w:p>
        </w:tc>
        <w:tc>
          <w:tcPr>
            <w:tcW w:w="88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78" w:type="dxa"/>
            <w:tcBorders/>
            <w:shd w:fill="auto" w:val="clear"/>
            <w:vAlign w:val="bottom"/>
          </w:tcPr>
          <w:p>
            <w:pPr>
              <w:pStyle w:val="TableContents"/>
              <w:spacing w:before="0" w:after="283"/>
              <w:rPr/>
            </w:pPr>
            <w:r>
              <w:rPr/>
              <w:t> </w:t>
            </w:r>
          </w:p>
        </w:tc>
      </w:tr>
      <w:tr>
        <w:trPr/>
        <w:tc>
          <w:tcPr>
            <w:tcW w:w="5899" w:type="dxa"/>
            <w:tcBorders/>
            <w:shd w:fill="CCEEFF" w:val="clear"/>
            <w:vAlign w:val="bottom"/>
          </w:tcPr>
          <w:p>
            <w:pPr>
              <w:pStyle w:val="TableContents"/>
              <w:spacing w:before="0" w:after="0"/>
              <w:ind w:left="360" w:right="0" w:hanging="180"/>
              <w:rPr>
                <w:color w:val="000000"/>
              </w:rPr>
            </w:pPr>
            <w:r>
              <w:rPr>
                <w:color w:val="000000"/>
              </w:rPr>
              <w:t>Total net unrealized appreciation (depreciation) on investments</w:t>
            </w:r>
          </w:p>
        </w:tc>
        <w:tc>
          <w:tcPr>
            <w:tcW w:w="60" w:type="dxa"/>
            <w:tcBorders/>
            <w:shd w:fill="CCEEFF" w:val="clear"/>
            <w:vAlign w:val="bottom"/>
          </w:tcPr>
          <w:p>
            <w:pPr>
              <w:pStyle w:val="TableContents"/>
              <w:spacing w:before="0" w:after="283"/>
              <w:rPr/>
            </w:pPr>
            <w:r>
              <w:rPr/>
              <w:t> </w:t>
            </w:r>
          </w:p>
        </w:tc>
        <w:tc>
          <w:tcPr>
            <w:tcW w:w="326"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1866"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986,357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03"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887"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78" w:type="dxa"/>
            <w:tcBorders/>
            <w:shd w:fill="CCEEFF" w:val="clear"/>
            <w:vAlign w:val="bottom"/>
          </w:tcPr>
          <w:p>
            <w:pPr>
              <w:pStyle w:val="TableContents"/>
              <w:spacing w:before="0" w:after="283"/>
              <w:rPr/>
            </w:pPr>
            <w:r>
              <w:rPr/>
              <w:t> </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details net change in unrealized appreciation (depreciation) for our portfolio for the three months ended March 31, 2023. There were no investments as of March 31, 2022:</w:t>
      </w:r>
    </w:p>
    <w:p>
      <w:pPr>
        <w:pStyle w:val="TextBody"/>
        <w:spacing w:before="0" w:after="0"/>
        <w:jc w:val="left"/>
        <w:rPr/>
      </w:pPr>
      <w:r>
        <w:rPr/>
      </w:r>
    </w:p>
    <w:tbl>
      <w:tblPr>
        <w:tblW w:w="9279" w:type="dxa"/>
        <w:jc w:val="left"/>
        <w:tblInd w:w="0" w:type="dxa"/>
        <w:tblCellMar>
          <w:top w:w="0" w:type="dxa"/>
          <w:left w:w="0" w:type="dxa"/>
          <w:bottom w:w="0" w:type="dxa"/>
          <w:right w:w="0" w:type="dxa"/>
        </w:tblCellMar>
      </w:tblPr>
      <w:tblGrid>
        <w:gridCol w:w="6935"/>
        <w:gridCol w:w="60"/>
        <w:gridCol w:w="329"/>
        <w:gridCol w:w="1880"/>
        <w:gridCol w:w="75"/>
      </w:tblGrid>
      <w:tr>
        <w:trPr/>
        <w:tc>
          <w:tcPr>
            <w:tcW w:w="6935" w:type="dxa"/>
            <w:tcBorders/>
            <w:shd w:fill="auto" w:val="clear"/>
            <w:vAlign w:val="bottom"/>
          </w:tcPr>
          <w:p>
            <w:pPr>
              <w:pStyle w:val="TableContents"/>
              <w:spacing w:before="0" w:after="0"/>
              <w:ind w:left="180" w:right="0" w:hanging="180"/>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220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Three Months Ended</w:t>
              <w:br/>
              <w:t>March 31, 2023</w:t>
            </w:r>
          </w:p>
        </w:tc>
        <w:tc>
          <w:tcPr>
            <w:tcW w:w="75" w:type="dxa"/>
            <w:tcBorders/>
            <w:shd w:fill="auto" w:val="clear"/>
            <w:vAlign w:val="bottom"/>
          </w:tcPr>
          <w:p>
            <w:pPr>
              <w:pStyle w:val="TableContents"/>
              <w:spacing w:before="0" w:after="283"/>
              <w:rPr/>
            </w:pPr>
            <w:r>
              <w:rPr/>
              <w:t> </w:t>
            </w:r>
          </w:p>
        </w:tc>
      </w:tr>
      <w:tr>
        <w:trPr/>
        <w:tc>
          <w:tcPr>
            <w:tcW w:w="6935" w:type="dxa"/>
            <w:tcBorders/>
            <w:shd w:fill="CCEEFF" w:val="clear"/>
            <w:vAlign w:val="bottom"/>
          </w:tcPr>
          <w:p>
            <w:pPr>
              <w:pStyle w:val="TableContents"/>
              <w:spacing w:before="0" w:after="0"/>
              <w:ind w:left="180" w:right="0" w:hanging="180"/>
              <w:rPr>
                <w:color w:val="000000"/>
              </w:rPr>
            </w:pPr>
            <w:r>
              <w:rPr>
                <w:color w:val="000000"/>
              </w:rPr>
              <w:t>Verano Holdings Corp.</w:t>
            </w:r>
          </w:p>
        </w:tc>
        <w:tc>
          <w:tcPr>
            <w:tcW w:w="60"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0"/>
              <w:rPr>
                <w:color w:val="000000"/>
              </w:rPr>
            </w:pPr>
            <w:r>
              <w:rPr>
                <w:color w:val="000000"/>
              </w:rPr>
              <w:t>$</w:t>
            </w:r>
          </w:p>
        </w:tc>
        <w:tc>
          <w:tcPr>
            <w:tcW w:w="1880" w:type="dxa"/>
            <w:tcBorders/>
            <w:shd w:fill="CCEEFF" w:val="clear"/>
            <w:vAlign w:val="bottom"/>
          </w:tcPr>
          <w:p>
            <w:pPr>
              <w:pStyle w:val="TableContents"/>
              <w:spacing w:before="0" w:after="0"/>
              <w:jc w:val="right"/>
              <w:rPr>
                <w:color w:val="000000"/>
              </w:rPr>
            </w:pPr>
            <w:r>
              <w:rPr>
                <w:color w:val="000000"/>
              </w:rPr>
              <w:t>465,148</w:t>
            </w:r>
          </w:p>
        </w:tc>
        <w:tc>
          <w:tcPr>
            <w:tcW w:w="75" w:type="dxa"/>
            <w:tcBorders/>
            <w:shd w:fill="CCEEFF" w:val="clear"/>
            <w:vAlign w:val="bottom"/>
          </w:tcPr>
          <w:p>
            <w:pPr>
              <w:pStyle w:val="TableContents"/>
              <w:spacing w:before="0" w:after="283"/>
              <w:rPr/>
            </w:pPr>
            <w:r>
              <w:rPr/>
              <w:t> </w:t>
            </w:r>
          </w:p>
        </w:tc>
      </w:tr>
      <w:tr>
        <w:trPr/>
        <w:tc>
          <w:tcPr>
            <w:tcW w:w="6935" w:type="dxa"/>
            <w:tcBorders/>
            <w:shd w:fill="auto" w:val="clear"/>
            <w:vAlign w:val="bottom"/>
          </w:tcPr>
          <w:p>
            <w:pPr>
              <w:pStyle w:val="TableContents"/>
              <w:spacing w:before="0" w:after="0"/>
              <w:ind w:left="180" w:right="0" w:hanging="180"/>
              <w:rPr>
                <w:color w:val="000000"/>
              </w:rPr>
            </w:pPr>
            <w:r>
              <w:rPr>
                <w:color w:val="000000"/>
              </w:rPr>
              <w:t>Shryne Group, Inc.</w:t>
            </w:r>
          </w:p>
        </w:tc>
        <w:tc>
          <w:tcPr>
            <w:tcW w:w="60"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880" w:type="dxa"/>
            <w:tcBorders/>
            <w:shd w:fill="auto" w:val="clear"/>
            <w:vAlign w:val="bottom"/>
          </w:tcPr>
          <w:p>
            <w:pPr>
              <w:pStyle w:val="TableContents"/>
              <w:spacing w:before="0" w:after="0"/>
              <w:jc w:val="right"/>
              <w:rPr>
                <w:color w:val="000000"/>
              </w:rPr>
            </w:pPr>
            <w:r>
              <w:rPr>
                <w:color w:val="000000"/>
              </w:rPr>
              <w:t>273,416</w:t>
            </w:r>
          </w:p>
        </w:tc>
        <w:tc>
          <w:tcPr>
            <w:tcW w:w="75" w:type="dxa"/>
            <w:tcBorders/>
            <w:shd w:fill="auto" w:val="clear"/>
            <w:vAlign w:val="bottom"/>
          </w:tcPr>
          <w:p>
            <w:pPr>
              <w:pStyle w:val="TableContents"/>
              <w:spacing w:before="0" w:after="283"/>
              <w:rPr/>
            </w:pPr>
            <w:r>
              <w:rPr/>
              <w:t> </w:t>
            </w:r>
          </w:p>
        </w:tc>
      </w:tr>
      <w:tr>
        <w:trPr/>
        <w:tc>
          <w:tcPr>
            <w:tcW w:w="6935" w:type="dxa"/>
            <w:tcBorders/>
            <w:shd w:fill="CCEEFF" w:val="clear"/>
            <w:vAlign w:val="bottom"/>
          </w:tcPr>
          <w:p>
            <w:pPr>
              <w:pStyle w:val="TableContents"/>
              <w:spacing w:before="0" w:after="0"/>
              <w:ind w:left="180" w:right="0" w:hanging="180"/>
              <w:rPr>
                <w:color w:val="000000"/>
              </w:rPr>
            </w:pPr>
            <w:r>
              <w:rPr>
                <w:color w:val="000000"/>
              </w:rPr>
              <w:t>Curaleaf Holdings, Inc.</w:t>
            </w:r>
          </w:p>
        </w:tc>
        <w:tc>
          <w:tcPr>
            <w:tcW w:w="60"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880" w:type="dxa"/>
            <w:tcBorders/>
            <w:shd w:fill="CCEEFF" w:val="clear"/>
            <w:vAlign w:val="bottom"/>
          </w:tcPr>
          <w:p>
            <w:pPr>
              <w:pStyle w:val="TableContents"/>
              <w:spacing w:before="0" w:after="0"/>
              <w:jc w:val="right"/>
              <w:rPr>
                <w:color w:val="000000"/>
              </w:rPr>
            </w:pPr>
            <w:r>
              <w:rPr>
                <w:color w:val="000000"/>
              </w:rPr>
              <w:t>156,992</w:t>
            </w:r>
          </w:p>
        </w:tc>
        <w:tc>
          <w:tcPr>
            <w:tcW w:w="75" w:type="dxa"/>
            <w:tcBorders/>
            <w:shd w:fill="CCEEFF" w:val="clear"/>
            <w:vAlign w:val="bottom"/>
          </w:tcPr>
          <w:p>
            <w:pPr>
              <w:pStyle w:val="TableContents"/>
              <w:spacing w:before="0" w:after="283"/>
              <w:rPr/>
            </w:pPr>
            <w:r>
              <w:rPr/>
              <w:t> </w:t>
            </w:r>
          </w:p>
        </w:tc>
      </w:tr>
      <w:tr>
        <w:trPr/>
        <w:tc>
          <w:tcPr>
            <w:tcW w:w="6935" w:type="dxa"/>
            <w:tcBorders/>
            <w:shd w:fill="auto" w:val="clear"/>
            <w:vAlign w:val="bottom"/>
          </w:tcPr>
          <w:p>
            <w:pPr>
              <w:pStyle w:val="TableContents"/>
              <w:spacing w:before="0" w:after="0"/>
              <w:ind w:left="180" w:right="0" w:hanging="180"/>
              <w:rPr>
                <w:color w:val="000000"/>
              </w:rPr>
            </w:pPr>
            <w:r>
              <w:rPr>
                <w:color w:val="000000"/>
              </w:rPr>
              <w:t>PharmaCann, Inc.</w:t>
            </w:r>
          </w:p>
        </w:tc>
        <w:tc>
          <w:tcPr>
            <w:tcW w:w="60"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880" w:type="dxa"/>
            <w:tcBorders/>
            <w:shd w:fill="auto" w:val="clear"/>
            <w:vAlign w:val="bottom"/>
          </w:tcPr>
          <w:p>
            <w:pPr>
              <w:pStyle w:val="TableContents"/>
              <w:spacing w:before="0" w:after="0"/>
              <w:jc w:val="right"/>
              <w:rPr>
                <w:color w:val="000000"/>
              </w:rPr>
            </w:pPr>
            <w:r>
              <w:rPr>
                <w:color w:val="000000"/>
              </w:rPr>
              <w:t>84,214</w:t>
            </w:r>
          </w:p>
        </w:tc>
        <w:tc>
          <w:tcPr>
            <w:tcW w:w="75" w:type="dxa"/>
            <w:tcBorders/>
            <w:shd w:fill="auto" w:val="clear"/>
            <w:vAlign w:val="bottom"/>
          </w:tcPr>
          <w:p>
            <w:pPr>
              <w:pStyle w:val="TableContents"/>
              <w:spacing w:before="0" w:after="283"/>
              <w:rPr/>
            </w:pPr>
            <w:r>
              <w:rPr/>
              <w:t> </w:t>
            </w:r>
          </w:p>
        </w:tc>
      </w:tr>
      <w:tr>
        <w:trPr/>
        <w:tc>
          <w:tcPr>
            <w:tcW w:w="6935" w:type="dxa"/>
            <w:tcBorders/>
            <w:shd w:fill="CCEEFF" w:val="clear"/>
            <w:vAlign w:val="bottom"/>
          </w:tcPr>
          <w:p>
            <w:pPr>
              <w:pStyle w:val="TableContents"/>
              <w:spacing w:before="0" w:after="0"/>
              <w:ind w:left="180" w:right="0" w:hanging="180"/>
              <w:rPr>
                <w:color w:val="000000"/>
              </w:rPr>
            </w:pPr>
            <w:r>
              <w:rPr>
                <w:color w:val="000000"/>
              </w:rPr>
              <w:t>AYR Wellness, Inc.</w:t>
            </w:r>
          </w:p>
        </w:tc>
        <w:tc>
          <w:tcPr>
            <w:tcW w:w="60" w:type="dxa"/>
            <w:tcBorders/>
            <w:shd w:fill="CCEEFF" w:val="clear"/>
            <w:vAlign w:val="bottom"/>
          </w:tcPr>
          <w:p>
            <w:pPr>
              <w:pStyle w:val="TableContents"/>
              <w:spacing w:before="0" w:after="283"/>
              <w:rPr/>
            </w:pPr>
            <w:r>
              <w:rPr/>
              <w:t> </w:t>
            </w:r>
          </w:p>
        </w:tc>
        <w:tc>
          <w:tcPr>
            <w:tcW w:w="32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88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6,587</w:t>
            </w:r>
          </w:p>
        </w:tc>
        <w:tc>
          <w:tcPr>
            <w:tcW w:w="75" w:type="dxa"/>
            <w:tcBorders/>
            <w:shd w:fill="CCEEFF" w:val="clear"/>
            <w:vAlign w:val="bottom"/>
          </w:tcPr>
          <w:p>
            <w:pPr>
              <w:pStyle w:val="TableContents"/>
              <w:spacing w:before="0" w:after="283"/>
              <w:rPr/>
            </w:pPr>
            <w:r>
              <w:rPr/>
              <w:t> </w:t>
            </w:r>
          </w:p>
        </w:tc>
      </w:tr>
      <w:tr>
        <w:trPr/>
        <w:tc>
          <w:tcPr>
            <w:tcW w:w="6935" w:type="dxa"/>
            <w:tcBorders/>
            <w:shd w:fill="auto" w:val="clear"/>
            <w:vAlign w:val="bottom"/>
          </w:tcPr>
          <w:p>
            <w:pPr>
              <w:pStyle w:val="TableContents"/>
              <w:spacing w:before="0" w:after="0"/>
              <w:ind w:left="180" w:right="0" w:hanging="180"/>
              <w:rPr>
                <w:color w:val="000000"/>
              </w:rPr>
            </w:pPr>
            <w:r>
              <w:rPr>
                <w:color w:val="000000"/>
              </w:rPr>
              <w:t>Total net change in unrealized appreciation (depreciation) on investments</w:t>
            </w:r>
          </w:p>
        </w:tc>
        <w:tc>
          <w:tcPr>
            <w:tcW w:w="60" w:type="dxa"/>
            <w:tcBorders/>
            <w:shd w:fill="auto" w:val="clear"/>
            <w:vAlign w:val="bottom"/>
          </w:tcPr>
          <w:p>
            <w:pPr>
              <w:pStyle w:val="TableContents"/>
              <w:spacing w:before="0" w:after="283"/>
              <w:rPr/>
            </w:pPr>
            <w:r>
              <w:rPr/>
              <w:t> </w:t>
            </w:r>
          </w:p>
        </w:tc>
        <w:tc>
          <w:tcPr>
            <w:tcW w:w="329" w:type="dxa"/>
            <w:tcBorders>
              <w:bottom w:val="double" w:sz="8" w:space="0" w:color="000000"/>
            </w:tcBorders>
            <w:shd w:fill="auto" w:val="clear"/>
            <w:tcMar>
              <w:bottom w:w="28" w:type="dxa"/>
            </w:tcMar>
            <w:vAlign w:val="bottom"/>
          </w:tcPr>
          <w:p>
            <w:pPr>
              <w:pStyle w:val="TableContents"/>
              <w:spacing w:before="0" w:after="0"/>
              <w:rPr>
                <w:color w:val="000000"/>
              </w:rPr>
            </w:pPr>
            <w:r>
              <w:rPr>
                <w:color w:val="000000"/>
              </w:rPr>
              <w:t>$</w:t>
            </w:r>
          </w:p>
        </w:tc>
        <w:tc>
          <w:tcPr>
            <w:tcW w:w="188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986,357</w:t>
            </w:r>
          </w:p>
        </w:tc>
        <w:tc>
          <w:tcPr>
            <w:tcW w:w="75" w:type="dxa"/>
            <w:tcBorders/>
            <w:shd w:fill="auto" w:val="clear"/>
            <w:vAlign w:val="bottom"/>
          </w:tcPr>
          <w:p>
            <w:pPr>
              <w:pStyle w:val="TableContents"/>
              <w:spacing w:before="0" w:after="283"/>
              <w:rPr/>
            </w:pPr>
            <w:r>
              <w:rPr/>
              <w:t> </w:t>
            </w:r>
          </w:p>
        </w:tc>
      </w:tr>
    </w:tbl>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Financial Condition, Liquidity and Capital Resources</w:t>
      </w:r>
    </w:p>
    <w:p>
      <w:pPr>
        <w:pStyle w:val="TextBody"/>
        <w:spacing w:before="0" w:after="0"/>
        <w:jc w:val="both"/>
        <w:rPr>
          <w:rFonts w:ascii="Times New Roman" w:hAnsi="Times New Roman"/>
          <w:color w:val="000000"/>
          <w:sz w:val="20"/>
        </w:rPr>
      </w:pPr>
      <w:r>
        <w:rPr>
          <w:rFonts w:ascii="Times New Roman" w:hAnsi="Times New Roman"/>
          <w:color w:val="000000"/>
          <w:sz w:val="20"/>
        </w:rPr>
        <w:t>We generate cash primarily from the net proceeds of offerings of securities and cash flows from operations, including interest earned from the temporary investment of cash in U.S. government securities.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In addition, we expect to enter into a credit facility in the future. The amount of leverage that we employ will depend on our assessment of market conditions and other factors at the time of any proposed borrowing, such as the maturity, covenant package and rate structure of the proposed borrowings, our ability to raise funds through the issuance of shares of our common stock and the risks of such borrowings within the context of our investment outlook. Ultimately, we only intend to use leverage if the expected returns from borrowing to make investments will exceed the cost of such borrowing. We are currently targeting a debt-to-equity ratio of 0.50x (i.e., we aim to have one dollar of equity for each $0.50 of debt outstanding).</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primary use of funds will be investments in portfolio companies, cash distributions to holders of our common stock, and the payment of operating expenses. As of March 31, 2023 and December 31, 2022, we had cash resources of approximately $32.5 million and $35.1 million and no indebtedness, respectively.</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Another use of funds will be dividend payments. To maintain its tax treatment as a RIC, the Company must meet specified source-of-income requirements and timely distribute to its stockholders for each taxable year at least 90% of its investment company taxable income. Additionally, in order for the Company not to be subject to U.S. federal excise taxes, it must distribute annually an amount at least equal to the sum of (i) 98% of its net ordinary income for the calendar year, (ii) 98.2% of its capital gains in excess of capital losses for the one-year period ending on October 31 of the calendar year and (iii) any net ordinary income and capital gains in excess of capital losses for preceding years that were not distributed during such years.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Dividends may also be distributed in accordance with the Company’s distribution reinvestment plan (“DRIP”), which provides for the reinvestment of distributions in the form of common stock on behalf of its stockholders, unless a stockholder has elected to receive distributions in cash. As a result, if the Company declares a cash distribution, its stockholders who have not “opted out” of the DRIP by the opt out date will have their cash distribution automatically reinvested into additional shares of the Company’s common stock. The share requirements of the DRIP may be satisfied through the issuance of common shares or through open market purchases of common shares by the DRIP plan administrator.</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SILVER SPIKE INVESTMENT CORP.</w:t>
      </w:r>
    </w:p>
    <w:p>
      <w:pPr>
        <w:pStyle w:val="TextBody"/>
        <w:spacing w:before="0" w:after="0"/>
        <w:jc w:val="both"/>
        <w:rPr>
          <w:b/>
          <w:i/>
        </w:rPr>
      </w:pPr>
      <w:r>
        <w:rPr>
          <w:b/>
          <w:i/>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U.S. Federal Income Taxes</w:t>
      </w:r>
    </w:p>
    <w:p>
      <w:pPr>
        <w:pStyle w:val="TextBody"/>
        <w:spacing w:before="0" w:after="0"/>
        <w:jc w:val="both"/>
        <w:rPr>
          <w:b/>
          <w:i/>
        </w:rPr>
      </w:pPr>
      <w:r>
        <w:rPr>
          <w:b/>
          <w:i/>
        </w:rPr>
      </w:r>
    </w:p>
    <w:p>
      <w:pPr>
        <w:pStyle w:val="TextBody"/>
        <w:spacing w:before="0" w:after="0"/>
        <w:jc w:val="both"/>
        <w:rPr>
          <w:rFonts w:ascii="Times New Roman" w:hAnsi="Times New Roman"/>
          <w:color w:val="000000"/>
          <w:sz w:val="20"/>
        </w:rPr>
      </w:pPr>
      <w:r>
        <w:rPr>
          <w:rFonts w:ascii="Times New Roman" w:hAnsi="Times New Roman"/>
          <w:color w:val="000000"/>
          <w:sz w:val="20"/>
        </w:rPr>
        <w:t>We elected to be treated, and intend to qualify annually to be treated, as a RIC under Subchapter M of the Code for federal income tax purposes. As a RIC, we generally will not have to pay corporate-level federal income taxes on any ordinary income or capital gains that we distribute to our stockholders from our tax earnings and profits. To obtain and maintain our RIC tax treatment, we must, among other things, meet specified source-of-income and asset diversification requirements and distribute annually at least 90% of our ordinary income and realized net short-term capital gains in excess of realized net long-term capital losses, if any.</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Basis of Presentation</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Company’s financial statements are prepared in accordance with generally accepted accounting principles in the United States of America (“U.S. GAAP”) and pursuant to Regulation S-X under the Securities Act of 1933, as amended (the “Securities Act”). The Company follows accounting and reporting guidance as determined by the Financial Accounting Standards Board (“FASB”).</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preparation of financial statements in accordance with U.S. GAAP requires management to make certain estimates and assumptions affecting amounts reported in our financial statements. We will continuously evaluate our estimates, including those related to the matters described below. These estimates will be based on the information that is currently available to us and on various other assumptions that we believe to be reasonable under the circumstances. Actual results could differ materially from those estimates under different assumptions or conditions. For additional information, please refer to “Note 2 – Significant Accounting Policies” in the notes to the financial statements included with this quarterly report on Form 10-Q. Valuation of investments and income recognition are considered to be our critical accounting policies and estimates. A discussion of our critical accounting policies follows.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Investment Valuation</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Investments for which market quotations are readily available will typically be valued at the bid price of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are valued at fair value as determined in good faith by the Adviser, as the Company’s valuation designee (the “Valuation Designee”), based on inputs that may include valuations, or ranges of valuations, provided by independent third-party valuation firm(s) engaged by the Adviser. Effective September 8, 2022, pursuant to Rule 2a-5 under the 1940 Act, the Board designated the Adviser as the Valuation Designee to perform the fair value determinations for the Company, subject to the oversight of the Board and certain Board reporting and other requirements.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part of the valuation process, the Adviser takes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Adviser considers whether the pricing indicated by the external event corroborates its valuation.</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Adviser undertakes a multi-step valuation process, which includes, among other procedures, the following:</w:t>
      </w:r>
    </w:p>
    <w:p>
      <w:pPr>
        <w:pStyle w:val="TextBody"/>
        <w:spacing w:before="0" w:after="0"/>
        <w:jc w:val="left"/>
        <w:rPr/>
      </w:pPr>
      <w:r>
        <w:rPr/>
      </w:r>
    </w:p>
    <w:tbl>
      <w:tblPr>
        <w:tblW w:w="10539" w:type="dxa"/>
        <w:jc w:val="left"/>
        <w:tblInd w:w="0" w:type="dxa"/>
        <w:tblCellMar>
          <w:top w:w="0" w:type="dxa"/>
          <w:left w:w="0" w:type="dxa"/>
          <w:bottom w:w="0" w:type="dxa"/>
          <w:right w:w="0" w:type="dxa"/>
        </w:tblCellMar>
      </w:tblPr>
      <w:tblGrid>
        <w:gridCol w:w="125"/>
        <w:gridCol w:w="10414"/>
      </w:tblGrid>
      <w:tr>
        <w:trPr/>
        <w:tc>
          <w:tcPr>
            <w:tcW w:w="125" w:type="dxa"/>
            <w:tcBorders/>
            <w:shd w:fill="auto" w:val="clear"/>
            <w:vAlign w:val="center"/>
          </w:tcPr>
          <w:p>
            <w:pPr>
              <w:pStyle w:val="TableContents"/>
              <w:spacing w:before="0" w:after="283"/>
              <w:rPr/>
            </w:pPr>
            <w:r>
              <w:rPr/>
              <w:t>•</w:t>
            </w:r>
          </w:p>
        </w:tc>
        <w:tc>
          <w:tcPr>
            <w:tcW w:w="10414" w:type="dxa"/>
            <w:tcBorders/>
            <w:shd w:fill="auto" w:val="clear"/>
            <w:vAlign w:val="center"/>
          </w:tcPr>
          <w:p>
            <w:pPr>
              <w:pStyle w:val="TableContents"/>
              <w:spacing w:before="0" w:after="0"/>
              <w:jc w:val="both"/>
              <w:rPr/>
            </w:pPr>
            <w:r>
              <w:rPr/>
              <w:t>With respect to investments for which market quotations are readily available, those investments will typically be valued at the bid price of those market quotations;</w:t>
            </w:r>
          </w:p>
        </w:tc>
      </w:tr>
    </w:tbl>
    <w:p>
      <w:pPr>
        <w:pStyle w:val="TextBody"/>
        <w:spacing w:before="0" w:after="0"/>
        <w:rPr/>
      </w:pPr>
      <w:r>
        <w:rPr/>
      </w:r>
    </w:p>
    <w:tbl>
      <w:tblPr>
        <w:tblW w:w="10539" w:type="dxa"/>
        <w:jc w:val="left"/>
        <w:tblInd w:w="0" w:type="dxa"/>
        <w:tblCellMar>
          <w:top w:w="0" w:type="dxa"/>
          <w:left w:w="0" w:type="dxa"/>
          <w:bottom w:w="0" w:type="dxa"/>
          <w:right w:w="0" w:type="dxa"/>
        </w:tblCellMar>
      </w:tblPr>
      <w:tblGrid>
        <w:gridCol w:w="125"/>
        <w:gridCol w:w="10414"/>
      </w:tblGrid>
      <w:tr>
        <w:trPr/>
        <w:tc>
          <w:tcPr>
            <w:tcW w:w="125" w:type="dxa"/>
            <w:tcBorders/>
            <w:shd w:fill="auto" w:val="clear"/>
            <w:vAlign w:val="center"/>
          </w:tcPr>
          <w:p>
            <w:pPr>
              <w:pStyle w:val="TableContents"/>
              <w:spacing w:before="0" w:after="283"/>
              <w:rPr/>
            </w:pPr>
            <w:r>
              <w:rPr/>
              <w:t>•</w:t>
            </w:r>
          </w:p>
        </w:tc>
        <w:tc>
          <w:tcPr>
            <w:tcW w:w="10414" w:type="dxa"/>
            <w:tcBorders/>
            <w:shd w:fill="auto" w:val="clear"/>
            <w:vAlign w:val="center"/>
          </w:tcPr>
          <w:p>
            <w:pPr>
              <w:pStyle w:val="TableContents"/>
              <w:spacing w:before="0" w:after="0"/>
              <w:jc w:val="both"/>
              <w:rPr/>
            </w:pPr>
            <w:r>
              <w:rPr/>
              <w:t>With respect to investments for which market quotations are not readily available, the valuation process begins with the Adviser’s valuation committee establishing a preliminary valuation of each investment, which may be based on valuations, or ranges of valuations, provided by independent valuation firm(s);</w:t>
            </w:r>
          </w:p>
        </w:tc>
      </w:tr>
    </w:tbl>
    <w:p>
      <w:pPr>
        <w:pStyle w:val="TextBody"/>
        <w:spacing w:before="0" w:after="0"/>
        <w:rPr/>
      </w:pPr>
      <w:r>
        <w:rPr/>
      </w:r>
    </w:p>
    <w:tbl>
      <w:tblPr>
        <w:tblW w:w="10539" w:type="dxa"/>
        <w:jc w:val="left"/>
        <w:tblInd w:w="0" w:type="dxa"/>
        <w:tblCellMar>
          <w:top w:w="0" w:type="dxa"/>
          <w:left w:w="0" w:type="dxa"/>
          <w:bottom w:w="0" w:type="dxa"/>
          <w:right w:w="0" w:type="dxa"/>
        </w:tblCellMar>
      </w:tblPr>
      <w:tblGrid>
        <w:gridCol w:w="125"/>
        <w:gridCol w:w="10414"/>
      </w:tblGrid>
      <w:tr>
        <w:trPr/>
        <w:tc>
          <w:tcPr>
            <w:tcW w:w="125" w:type="dxa"/>
            <w:tcBorders/>
            <w:shd w:fill="auto" w:val="clear"/>
            <w:vAlign w:val="center"/>
          </w:tcPr>
          <w:p>
            <w:pPr>
              <w:pStyle w:val="TableContents"/>
              <w:spacing w:before="0" w:after="283"/>
              <w:rPr/>
            </w:pPr>
            <w:r>
              <w:rPr/>
              <w:t>•</w:t>
            </w:r>
          </w:p>
        </w:tc>
        <w:tc>
          <w:tcPr>
            <w:tcW w:w="10414" w:type="dxa"/>
            <w:tcBorders/>
            <w:shd w:fill="auto" w:val="clear"/>
            <w:vAlign w:val="center"/>
          </w:tcPr>
          <w:p>
            <w:pPr>
              <w:pStyle w:val="TableContents"/>
              <w:spacing w:before="0" w:after="0"/>
              <w:jc w:val="both"/>
              <w:rPr/>
            </w:pPr>
            <w:r>
              <w:rPr/>
              <w:t>Preliminary valuations  are documented and discussed by the Adviser’s valuation committee and, where appropriate, the independent valuation firm(s); and</w:t>
            </w:r>
          </w:p>
        </w:tc>
      </w:tr>
    </w:tbl>
    <w:p>
      <w:pPr>
        <w:pStyle w:val="TextBody"/>
        <w:spacing w:before="0" w:after="0"/>
        <w:rPr/>
      </w:pPr>
      <w:r>
        <w:rPr/>
      </w:r>
    </w:p>
    <w:tbl>
      <w:tblPr>
        <w:tblW w:w="5605" w:type="dxa"/>
        <w:jc w:val="left"/>
        <w:tblInd w:w="0" w:type="dxa"/>
        <w:tblCellMar>
          <w:top w:w="0" w:type="dxa"/>
          <w:left w:w="0" w:type="dxa"/>
          <w:bottom w:w="0" w:type="dxa"/>
          <w:right w:w="0" w:type="dxa"/>
        </w:tblCellMar>
      </w:tblPr>
      <w:tblGrid>
        <w:gridCol w:w="125"/>
        <w:gridCol w:w="5480"/>
      </w:tblGrid>
      <w:tr>
        <w:trPr/>
        <w:tc>
          <w:tcPr>
            <w:tcW w:w="125" w:type="dxa"/>
            <w:tcBorders/>
            <w:shd w:fill="auto" w:val="clear"/>
            <w:vAlign w:val="center"/>
          </w:tcPr>
          <w:p>
            <w:pPr>
              <w:pStyle w:val="TableContents"/>
              <w:spacing w:before="0" w:after="283"/>
              <w:rPr/>
            </w:pPr>
            <w:r>
              <w:rPr/>
              <w:t>•</w:t>
            </w:r>
          </w:p>
        </w:tc>
        <w:tc>
          <w:tcPr>
            <w:tcW w:w="5480" w:type="dxa"/>
            <w:tcBorders/>
            <w:shd w:fill="auto" w:val="clear"/>
            <w:vAlign w:val="center"/>
          </w:tcPr>
          <w:p>
            <w:pPr>
              <w:pStyle w:val="TableContents"/>
              <w:spacing w:before="0" w:after="0"/>
              <w:jc w:val="both"/>
              <w:rPr/>
            </w:pPr>
            <w:r>
              <w:rPr/>
              <w:t>The Adviser determines the fair value of each investment.</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conduct this valuation process on a quarterly basis.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apply Financial Accounting Standards Board Accounting Standards Codification 820, Fair Value Measurement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the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SILVER SPIKE INVESTMENT CORP.</w:t>
      </w:r>
    </w:p>
    <w:p>
      <w:pPr>
        <w:pStyle w:val="TextBody"/>
        <w:spacing w:before="0" w:after="0"/>
        <w:jc w:val="left"/>
        <w:rPr/>
      </w:pPr>
      <w:r>
        <w:rPr/>
      </w:r>
    </w:p>
    <w:tbl>
      <w:tblPr>
        <w:tblW w:w="10539" w:type="dxa"/>
        <w:jc w:val="left"/>
        <w:tblInd w:w="0" w:type="dxa"/>
        <w:tblCellMar>
          <w:top w:w="0" w:type="dxa"/>
          <w:left w:w="0" w:type="dxa"/>
          <w:bottom w:w="0" w:type="dxa"/>
          <w:right w:w="0" w:type="dxa"/>
        </w:tblCellMar>
      </w:tblPr>
      <w:tblGrid>
        <w:gridCol w:w="125"/>
        <w:gridCol w:w="10414"/>
      </w:tblGrid>
      <w:tr>
        <w:trPr/>
        <w:tc>
          <w:tcPr>
            <w:tcW w:w="125" w:type="dxa"/>
            <w:tcBorders/>
            <w:shd w:fill="auto" w:val="clear"/>
            <w:vAlign w:val="center"/>
          </w:tcPr>
          <w:p>
            <w:pPr>
              <w:pStyle w:val="TableContents"/>
              <w:spacing w:before="0" w:after="283"/>
              <w:rPr/>
            </w:pPr>
            <w:r>
              <w:rPr/>
              <w:t>•</w:t>
            </w:r>
          </w:p>
        </w:tc>
        <w:tc>
          <w:tcPr>
            <w:tcW w:w="10414" w:type="dxa"/>
            <w:tcBorders/>
            <w:shd w:fill="auto" w:val="clear"/>
            <w:vAlign w:val="center"/>
          </w:tcPr>
          <w:p>
            <w:pPr>
              <w:pStyle w:val="TableContents"/>
              <w:spacing w:before="0" w:after="0"/>
              <w:jc w:val="both"/>
              <w:rPr/>
            </w:pPr>
            <w:r>
              <w:rPr/>
              <w:t>Level 1 – Valuations based on quoted prices in active markets for identical assets or liabilities that we have the ability to access at the measurement date;</w:t>
            </w:r>
          </w:p>
        </w:tc>
      </w:tr>
    </w:tbl>
    <w:p>
      <w:pPr>
        <w:pStyle w:val="TextBody"/>
        <w:spacing w:before="0" w:after="0"/>
        <w:rPr/>
      </w:pPr>
      <w:r>
        <w:rPr/>
      </w:r>
    </w:p>
    <w:tbl>
      <w:tblPr>
        <w:tblW w:w="10539" w:type="dxa"/>
        <w:jc w:val="left"/>
        <w:tblInd w:w="0" w:type="dxa"/>
        <w:tblCellMar>
          <w:top w:w="0" w:type="dxa"/>
          <w:left w:w="0" w:type="dxa"/>
          <w:bottom w:w="0" w:type="dxa"/>
          <w:right w:w="0" w:type="dxa"/>
        </w:tblCellMar>
      </w:tblPr>
      <w:tblGrid>
        <w:gridCol w:w="125"/>
        <w:gridCol w:w="10414"/>
      </w:tblGrid>
      <w:tr>
        <w:trPr/>
        <w:tc>
          <w:tcPr>
            <w:tcW w:w="125" w:type="dxa"/>
            <w:tcBorders/>
            <w:shd w:fill="auto" w:val="clear"/>
            <w:vAlign w:val="center"/>
          </w:tcPr>
          <w:p>
            <w:pPr>
              <w:pStyle w:val="TableContents"/>
              <w:spacing w:before="0" w:after="283"/>
              <w:rPr/>
            </w:pPr>
            <w:r>
              <w:rPr/>
              <w:t>•</w:t>
            </w:r>
          </w:p>
        </w:tc>
        <w:tc>
          <w:tcPr>
            <w:tcW w:w="10414" w:type="dxa"/>
            <w:tcBorders/>
            <w:shd w:fill="auto" w:val="clear"/>
            <w:vAlign w:val="center"/>
          </w:tcPr>
          <w:p>
            <w:pPr>
              <w:pStyle w:val="TableContents"/>
              <w:spacing w:before="0" w:after="0"/>
              <w:jc w:val="both"/>
              <w:rPr/>
            </w:pPr>
            <w:r>
              <w:rPr/>
              <w:t xml:space="preserve">Level 2 – Valuations based on quoted prices </w:t>
            </w:r>
            <w:r>
              <w:rPr>
                <w:color w:val="000000"/>
              </w:rPr>
              <w:t xml:space="preserve">for similar assets or liabilities in active markets, or quoted prices for identical or similar assets or liabilities </w:t>
            </w:r>
            <w:r>
              <w:rPr/>
              <w:t>in markets that are not active, or for which all significant inputs are observable, either directly or indirectly; and</w:t>
            </w:r>
          </w:p>
        </w:tc>
      </w:tr>
    </w:tbl>
    <w:p>
      <w:pPr>
        <w:pStyle w:val="TextBody"/>
        <w:spacing w:before="0" w:after="0"/>
        <w:rPr/>
      </w:pPr>
      <w:r>
        <w:rPr/>
      </w:r>
    </w:p>
    <w:tbl>
      <w:tblPr>
        <w:tblW w:w="10539" w:type="dxa"/>
        <w:jc w:val="left"/>
        <w:tblInd w:w="0" w:type="dxa"/>
        <w:tblCellMar>
          <w:top w:w="0" w:type="dxa"/>
          <w:left w:w="0" w:type="dxa"/>
          <w:bottom w:w="0" w:type="dxa"/>
          <w:right w:w="0" w:type="dxa"/>
        </w:tblCellMar>
      </w:tblPr>
      <w:tblGrid>
        <w:gridCol w:w="125"/>
        <w:gridCol w:w="10414"/>
      </w:tblGrid>
      <w:tr>
        <w:trPr/>
        <w:tc>
          <w:tcPr>
            <w:tcW w:w="125" w:type="dxa"/>
            <w:tcBorders/>
            <w:shd w:fill="auto" w:val="clear"/>
            <w:vAlign w:val="center"/>
          </w:tcPr>
          <w:p>
            <w:pPr>
              <w:pStyle w:val="TableContents"/>
              <w:spacing w:before="0" w:after="283"/>
              <w:rPr/>
            </w:pPr>
            <w:r>
              <w:rPr/>
              <w:t>•</w:t>
            </w:r>
          </w:p>
        </w:tc>
        <w:tc>
          <w:tcPr>
            <w:tcW w:w="10414" w:type="dxa"/>
            <w:tcBorders/>
            <w:shd w:fill="auto" w:val="clear"/>
            <w:vAlign w:val="center"/>
          </w:tcPr>
          <w:p>
            <w:pPr>
              <w:pStyle w:val="TableContents"/>
              <w:spacing w:before="0" w:after="0"/>
              <w:jc w:val="both"/>
              <w:rPr/>
            </w:pPr>
            <w:r>
              <w:rPr/>
              <w:t>Level 3 – Valuations based on inputs that are unobservable and significant to the overall fair value measurement.</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All of our investments as of March 31, 2023 and December 31, 2022 are categorized at level 3, and therefore, 100% of our portfolio requires significant estimates. Our investments may not have readily available market quotations (as such term is defined in Rule 2a-5 under the 1940 Act), and those investments which do not have readily available market quotations are valued at fair value as determined in good faith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Significant unobservable inputs create uncertainty in the measurement of fair value as of the reporting date. The significant unobservable inputs used in the fair value measurement of the Company’s investments may vary and may include debt investments’ yield and volatility fluctuations. Significant increases (decreases) in discount rate in isolation would result in a significantly higher (lower) fair value assessment. Significant increases (decreases) in volatility in isolation would result in a significantly lower (higher) fair value assessment.</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we were required to liquidate a portfolio investment in a forced or liquidation sale, it could realize amounts that are different from the amounts presented and such differences could be material.</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addition, changes in the market environment and other events that may occur over the life of the investments may cause the gains or losses ultimately realized on these investments to be different than the unrealized gains or losses reflected previously.</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Other Contractual Obligations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will have certain commitments pursuant to our Investment Advisory Agreement that we have entered into with SSC. We have agreed to pay a fee for investment advisory services consisting of two components: a base management fee and an incentive fee. Payments under the Investment Advisory Agreement will be equal to (1) a percentage of the value of our average gross assets and (2) a two-part incentive fee. See “Item 1. Business—Investment Advisory Agreement.” We have also entered into a contract with SSC to serve as our administrator. Payments under the Administration Agreement will be reimbursements to SSC for the costs and expenses incurred by SSC in performing its obligations, including but not limited to maintaining and keeping all books and records and providing personnel and facilities. This includes costs and expenses incurred by SSC in connection with the delegation of its obligations to a sub-administrator. The Company is not responsible for the compensation of SSC’s employees and overhead expenses. See “Item 1. Business—Administration Agreement.”</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Common Stock</w:t>
      </w:r>
    </w:p>
    <w:p>
      <w:pPr>
        <w:pStyle w:val="TextBody"/>
        <w:spacing w:before="0" w:after="0"/>
        <w:jc w:val="both"/>
        <w:rPr>
          <w:rFonts w:ascii="Times New Roman" w:hAnsi="Times New Roman"/>
          <w:color w:val="000000"/>
          <w:sz w:val="20"/>
        </w:rPr>
      </w:pPr>
      <w:r>
        <w:rPr>
          <w:rFonts w:ascii="Times New Roman" w:hAnsi="Times New Roman"/>
          <w:color w:val="000000"/>
          <w:sz w:val="20"/>
        </w:rPr>
        <w:t>Our common stock began trading on the Nasdaq Global Market on February 4, 2022 under the symbol “SSIC” in connection with our IPO of shares of our common stock.</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lists the net asset value per share of our common stock, the range of high and low closing sales prices of our common stock reported on the Nasdaq Global Market, the closing sale prices as a premium (or discount) to our net asset value per share and dividends per share for each fiscal quarter since our common stock began trading on the Nasdaq Global Market. On May 9, 2023, the last reported closing sales price of our common stock on the Nasdaq Global Market was $8.62 per share, which represented a discount of approximately 39.7% to our net asset value per share of $14.29 as of March 31, 2023.</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SILVER SPIKE INVESTMENT CORP.</w:t>
      </w:r>
    </w:p>
    <w:p>
      <w:pPr>
        <w:pStyle w:val="TextBody"/>
        <w:spacing w:before="0" w:after="0"/>
        <w:jc w:val="left"/>
        <w:rPr/>
      </w:pPr>
      <w:r>
        <w:rPr/>
      </w:r>
    </w:p>
    <w:tbl>
      <w:tblPr>
        <w:tblW w:w="10539" w:type="dxa"/>
        <w:jc w:val="left"/>
        <w:tblInd w:w="0" w:type="dxa"/>
        <w:tblCellMar>
          <w:top w:w="0" w:type="dxa"/>
          <w:left w:w="0" w:type="dxa"/>
          <w:bottom w:w="0" w:type="dxa"/>
          <w:right w:w="0" w:type="dxa"/>
        </w:tblCellMar>
      </w:tblPr>
      <w:tblGrid>
        <w:gridCol w:w="2282"/>
        <w:gridCol w:w="60"/>
        <w:gridCol w:w="254"/>
        <w:gridCol w:w="1018"/>
        <w:gridCol w:w="60"/>
        <w:gridCol w:w="60"/>
        <w:gridCol w:w="140"/>
        <w:gridCol w:w="560"/>
        <w:gridCol w:w="60"/>
        <w:gridCol w:w="60"/>
        <w:gridCol w:w="140"/>
        <w:gridCol w:w="560"/>
        <w:gridCol w:w="60"/>
        <w:gridCol w:w="60"/>
        <w:gridCol w:w="175"/>
        <w:gridCol w:w="1519"/>
        <w:gridCol w:w="215"/>
        <w:gridCol w:w="60"/>
        <w:gridCol w:w="172"/>
        <w:gridCol w:w="1493"/>
        <w:gridCol w:w="215"/>
        <w:gridCol w:w="60"/>
        <w:gridCol w:w="353"/>
        <w:gridCol w:w="824"/>
        <w:gridCol w:w="79"/>
      </w:tblGrid>
      <w:tr>
        <w:trPr/>
        <w:tc>
          <w:tcPr>
            <w:tcW w:w="22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72"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Price Range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94"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65"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7" w:type="dxa"/>
            <w:gridSpan w:val="2"/>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r>
      <w:tr>
        <w:trPr/>
        <w:tc>
          <w:tcPr>
            <w:tcW w:w="2282" w:type="dxa"/>
            <w:tcBorders>
              <w:bottom w:val="single" w:sz="12" w:space="0" w:color="000000"/>
            </w:tcBorders>
            <w:shd w:fill="auto" w:val="clear"/>
            <w:tcMar>
              <w:bottom w:w="28" w:type="dxa"/>
            </w:tcMar>
            <w:vAlign w:val="bottom"/>
          </w:tcPr>
          <w:p>
            <w:pPr>
              <w:pStyle w:val="TableContents"/>
              <w:spacing w:before="0" w:after="0"/>
              <w:rPr>
                <w:b/>
                <w:color w:val="000000"/>
              </w:rPr>
            </w:pPr>
            <w:r>
              <w:rPr>
                <w:b/>
                <w:color w:val="000000"/>
              </w:rPr>
              <w:t>Class and Period</w:t>
            </w:r>
          </w:p>
        </w:tc>
        <w:tc>
          <w:tcPr>
            <w:tcW w:w="60" w:type="dxa"/>
            <w:tcBorders/>
            <w:shd w:fill="auto" w:val="clear"/>
            <w:vAlign w:val="bottom"/>
          </w:tcPr>
          <w:p>
            <w:pPr>
              <w:pStyle w:val="TableContents"/>
              <w:spacing w:before="0" w:after="283"/>
              <w:rPr/>
            </w:pPr>
            <w:r>
              <w:rPr/>
              <w:t> </w:t>
            </w:r>
          </w:p>
        </w:tc>
        <w:tc>
          <w:tcPr>
            <w:tcW w:w="1272" w:type="dxa"/>
            <w:gridSpan w:val="2"/>
            <w:tcBorders>
              <w:bottom w:val="single" w:sz="12" w:space="0" w:color="000000"/>
            </w:tcBorders>
            <w:shd w:fill="auto" w:val="clear"/>
            <w:tcMar>
              <w:bottom w:w="28" w:type="dxa"/>
            </w:tcMar>
            <w:vAlign w:val="bottom"/>
          </w:tcPr>
          <w:p>
            <w:pPr>
              <w:pStyle w:val="TableContents"/>
              <w:spacing w:lineRule="auto" w:line="240" w:before="0" w:after="0"/>
              <w:jc w:val="center"/>
              <w:rPr>
                <w:b/>
                <w:color w:val="000000"/>
              </w:rPr>
            </w:pPr>
            <w:r>
              <w:rPr>
                <w:b/>
                <w:color w:val="000000"/>
              </w:rPr>
              <w:t>Net Asset Value(1)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High</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Low</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9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xml:space="preserve">High Sales </w:t>
            </w:r>
          </w:p>
          <w:p>
            <w:pPr>
              <w:pStyle w:val="TableContents"/>
              <w:spacing w:before="0" w:after="0"/>
              <w:jc w:val="center"/>
              <w:rPr>
                <w:b/>
                <w:color w:val="000000"/>
              </w:rPr>
            </w:pPr>
            <w:r>
              <w:rPr>
                <w:b/>
                <w:color w:val="000000"/>
              </w:rPr>
              <w:t xml:space="preserve">Price </w:t>
            </w:r>
          </w:p>
          <w:p>
            <w:pPr>
              <w:pStyle w:val="TableContents"/>
              <w:spacing w:before="0" w:after="0"/>
              <w:jc w:val="center"/>
              <w:rPr>
                <w:b/>
                <w:color w:val="000000"/>
              </w:rPr>
            </w:pPr>
            <w:r>
              <w:rPr>
                <w:b/>
                <w:color w:val="000000"/>
              </w:rPr>
              <w:t xml:space="preserve">Premium (Discount) to </w:t>
            </w:r>
          </w:p>
          <w:p>
            <w:pPr>
              <w:pStyle w:val="TableContents"/>
              <w:spacing w:before="0" w:after="0"/>
              <w:jc w:val="center"/>
              <w:rPr>
                <w:b/>
                <w:color w:val="000000"/>
              </w:rPr>
            </w:pPr>
            <w:r>
              <w:rPr>
                <w:b/>
                <w:color w:val="000000"/>
              </w:rPr>
              <w:t xml:space="preserve">Net Asset </w:t>
            </w:r>
          </w:p>
          <w:p>
            <w:pPr>
              <w:pStyle w:val="TableContents"/>
              <w:spacing w:lineRule="auto" w:line="240" w:before="0" w:after="0"/>
              <w:jc w:val="center"/>
              <w:rPr>
                <w:b/>
                <w:color w:val="000000"/>
              </w:rPr>
            </w:pPr>
            <w:r>
              <w:rPr>
                <w:b/>
                <w:color w:val="000000"/>
              </w:rPr>
              <w:t>Value(2)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6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xml:space="preserve">Low Sales </w:t>
            </w:r>
          </w:p>
          <w:p>
            <w:pPr>
              <w:pStyle w:val="TableContents"/>
              <w:spacing w:before="0" w:after="0"/>
              <w:jc w:val="center"/>
              <w:rPr>
                <w:b/>
                <w:color w:val="000000"/>
              </w:rPr>
            </w:pPr>
            <w:r>
              <w:rPr>
                <w:b/>
                <w:color w:val="000000"/>
              </w:rPr>
              <w:t xml:space="preserve">Price </w:t>
            </w:r>
          </w:p>
          <w:p>
            <w:pPr>
              <w:pStyle w:val="TableContents"/>
              <w:spacing w:before="0" w:after="0"/>
              <w:jc w:val="center"/>
              <w:rPr>
                <w:b/>
                <w:color w:val="000000"/>
              </w:rPr>
            </w:pPr>
            <w:r>
              <w:rPr>
                <w:b/>
                <w:color w:val="000000"/>
              </w:rPr>
              <w:t>Premium (Discount) to</w:t>
            </w:r>
          </w:p>
          <w:p>
            <w:pPr>
              <w:pStyle w:val="TableContents"/>
              <w:spacing w:before="0" w:after="0"/>
              <w:jc w:val="center"/>
              <w:rPr>
                <w:b/>
                <w:color w:val="000000"/>
              </w:rPr>
            </w:pPr>
            <w:r>
              <w:rPr>
                <w:b/>
                <w:color w:val="000000"/>
              </w:rPr>
              <w:t xml:space="preserve">Net Asset </w:t>
            </w:r>
          </w:p>
          <w:p>
            <w:pPr>
              <w:pStyle w:val="TableContents"/>
              <w:spacing w:lineRule="auto" w:line="240" w:before="0" w:after="0"/>
              <w:jc w:val="center"/>
              <w:rPr>
                <w:b/>
                <w:color w:val="000000"/>
              </w:rPr>
            </w:pPr>
            <w:r>
              <w:rPr>
                <w:b/>
                <w:color w:val="000000"/>
              </w:rPr>
              <w:t>Value(2)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7"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Cash</w:t>
            </w:r>
          </w:p>
          <w:p>
            <w:pPr>
              <w:pStyle w:val="TableContents"/>
              <w:spacing w:before="0" w:after="0"/>
              <w:jc w:val="center"/>
              <w:rPr>
                <w:b/>
                <w:color w:val="000000"/>
              </w:rPr>
            </w:pPr>
            <w:r>
              <w:rPr>
                <w:b/>
                <w:color w:val="000000"/>
              </w:rPr>
              <w:t xml:space="preserve">Dividend Per </w:t>
            </w:r>
          </w:p>
          <w:p>
            <w:pPr>
              <w:pStyle w:val="TableContents"/>
              <w:spacing w:lineRule="auto" w:line="240" w:before="0" w:after="0"/>
              <w:jc w:val="center"/>
              <w:rPr>
                <w:b/>
                <w:color w:val="000000"/>
              </w:rPr>
            </w:pPr>
            <w:r>
              <w:rPr>
                <w:b/>
                <w:color w:val="000000"/>
              </w:rPr>
              <w:t>Share(3)</w:t>
            </w:r>
          </w:p>
        </w:tc>
        <w:tc>
          <w:tcPr>
            <w:tcW w:w="79" w:type="dxa"/>
            <w:tcBorders/>
            <w:shd w:fill="auto" w:val="clear"/>
            <w:vAlign w:val="bottom"/>
          </w:tcPr>
          <w:p>
            <w:pPr>
              <w:pStyle w:val="TableContents"/>
              <w:spacing w:before="0" w:after="283"/>
              <w:rPr/>
            </w:pPr>
            <w:r>
              <w:rPr/>
              <w:t> </w:t>
            </w:r>
          </w:p>
        </w:tc>
      </w:tr>
      <w:tr>
        <w:trPr/>
        <w:tc>
          <w:tcPr>
            <w:tcW w:w="2282" w:type="dxa"/>
            <w:tcBorders/>
            <w:shd w:fill="auto" w:val="clear"/>
            <w:vAlign w:val="bottom"/>
          </w:tcPr>
          <w:p>
            <w:pPr>
              <w:pStyle w:val="TableContents"/>
              <w:spacing w:before="0" w:after="0"/>
              <w:ind w:left="180" w:right="0" w:hanging="180"/>
              <w:rPr>
                <w:b/>
                <w:color w:val="000000"/>
              </w:rPr>
            </w:pPr>
            <w:r>
              <w:rPr>
                <w:b/>
                <w:color w:val="000000"/>
              </w:rPr>
              <w:t>Year Ended December 31, 2023</w:t>
            </w:r>
          </w:p>
        </w:tc>
        <w:tc>
          <w:tcPr>
            <w:tcW w:w="60" w:type="dxa"/>
            <w:tcBorders/>
            <w:shd w:fill="auto" w:val="clear"/>
            <w:vAlign w:val="bottom"/>
          </w:tcPr>
          <w:p>
            <w:pPr>
              <w:pStyle w:val="TableContents"/>
              <w:spacing w:before="0" w:after="283"/>
              <w:rPr/>
            </w:pPr>
            <w:r>
              <w:rPr/>
              <w:t> </w:t>
            </w:r>
          </w:p>
        </w:tc>
        <w:tc>
          <w:tcPr>
            <w:tcW w:w="1272"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94"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65"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7" w:type="dxa"/>
            <w:gridSpan w:val="2"/>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r>
      <w:tr>
        <w:trPr/>
        <w:tc>
          <w:tcPr>
            <w:tcW w:w="2282" w:type="dxa"/>
            <w:tcBorders/>
            <w:shd w:fill="CCEEFF" w:val="clear"/>
            <w:vAlign w:val="bottom"/>
          </w:tcPr>
          <w:p>
            <w:pPr>
              <w:pStyle w:val="TableContents"/>
              <w:spacing w:before="0" w:after="0"/>
              <w:ind w:left="180" w:right="0" w:hanging="180"/>
              <w:rPr>
                <w:color w:val="000000"/>
              </w:rPr>
            </w:pPr>
            <w:r>
              <w:rPr>
                <w:color w:val="000000"/>
              </w:rPr>
              <w:t>Second Quarter (Through May 9, 2023)</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0"/>
              <w:rPr>
                <w:color w:val="000000"/>
              </w:rPr>
            </w:pPr>
            <w:r>
              <w:rPr>
                <w:color w:val="000000"/>
              </w:rPr>
              <w:t>$</w:t>
            </w:r>
          </w:p>
        </w:tc>
        <w:tc>
          <w:tcPr>
            <w:tcW w:w="1018" w:type="dxa"/>
            <w:tcBorders/>
            <w:shd w:fill="CCEEFF" w:val="clear"/>
            <w:vAlign w:val="bottom"/>
          </w:tcPr>
          <w:p>
            <w:pPr>
              <w:pStyle w:val="TableContents"/>
              <w:spacing w:before="0" w:after="0"/>
              <w:jc w:val="center"/>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560" w:type="dxa"/>
            <w:tcBorders/>
            <w:shd w:fill="CCEEFF" w:val="clear"/>
            <w:vAlign w:val="bottom"/>
          </w:tcPr>
          <w:p>
            <w:pPr>
              <w:pStyle w:val="TableContents"/>
              <w:spacing w:before="0" w:after="0"/>
              <w:jc w:val="right"/>
              <w:rPr>
                <w:color w:val="000000"/>
              </w:rPr>
            </w:pPr>
            <w:r>
              <w:rPr>
                <w:color w:val="000000"/>
              </w:rPr>
              <w:t>9.19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560" w:type="dxa"/>
            <w:tcBorders/>
            <w:shd w:fill="CCEEFF" w:val="clear"/>
            <w:vAlign w:val="bottom"/>
          </w:tcPr>
          <w:p>
            <w:pPr>
              <w:pStyle w:val="TableContents"/>
              <w:spacing w:before="0" w:after="0"/>
              <w:jc w:val="right"/>
              <w:rPr>
                <w:color w:val="000000"/>
              </w:rPr>
            </w:pPr>
            <w:r>
              <w:rPr>
                <w:color w:val="000000"/>
              </w:rPr>
              <w:t>7.82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519" w:type="dxa"/>
            <w:tcBorders/>
            <w:shd w:fill="CCEEFF" w:val="clear"/>
            <w:vAlign w:val="bottom"/>
          </w:tcPr>
          <w:p>
            <w:pPr>
              <w:pStyle w:val="TableContents"/>
              <w:spacing w:before="0" w:after="0"/>
              <w:jc w:val="center"/>
              <w:rPr>
                <w:color w:val="000000"/>
              </w:rPr>
            </w:pPr>
            <w:r>
              <w:rPr>
                <w:color w:val="000000"/>
              </w:rPr>
              <w:t>*</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493" w:type="dxa"/>
            <w:tcBorders/>
            <w:shd w:fill="CCEEFF" w:val="clear"/>
            <w:vAlign w:val="bottom"/>
          </w:tcPr>
          <w:p>
            <w:pPr>
              <w:pStyle w:val="TableContents"/>
              <w:spacing w:before="0" w:after="0"/>
              <w:jc w:val="center"/>
              <w:rPr>
                <w:color w:val="000000"/>
              </w:rPr>
            </w:pPr>
            <w:r>
              <w:rPr>
                <w:color w:val="000000"/>
              </w:rPr>
              <w:t>*</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0"/>
              <w:jc w:val="center"/>
              <w:rPr>
                <w:color w:val="000000"/>
              </w:rPr>
            </w:pPr>
            <w:r>
              <w:rPr>
                <w:color w:val="000000"/>
              </w:rPr>
              <w:t>*</w:t>
            </w:r>
          </w:p>
        </w:tc>
        <w:tc>
          <w:tcPr>
            <w:tcW w:w="79" w:type="dxa"/>
            <w:tcBorders/>
            <w:shd w:fill="CCEEFF" w:val="clear"/>
            <w:vAlign w:val="bottom"/>
          </w:tcPr>
          <w:p>
            <w:pPr>
              <w:pStyle w:val="TableContents"/>
              <w:spacing w:before="0" w:after="283"/>
              <w:rPr/>
            </w:pPr>
            <w:r>
              <w:rPr/>
              <w:t> </w:t>
            </w:r>
          </w:p>
        </w:tc>
      </w:tr>
      <w:tr>
        <w:trPr/>
        <w:tc>
          <w:tcPr>
            <w:tcW w:w="2282" w:type="dxa"/>
            <w:tcBorders/>
            <w:shd w:fill="auto" w:val="clear"/>
            <w:vAlign w:val="bottom"/>
          </w:tcPr>
          <w:p>
            <w:pPr>
              <w:pStyle w:val="TableContents"/>
              <w:spacing w:before="0" w:after="0"/>
              <w:ind w:left="180" w:right="0" w:hanging="180"/>
              <w:rPr>
                <w:color w:val="000000"/>
              </w:rPr>
            </w:pPr>
            <w:r>
              <w:rPr>
                <w:color w:val="000000"/>
              </w:rPr>
              <w:t>First Quarter</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0"/>
              <w:rPr>
                <w:color w:val="000000"/>
              </w:rPr>
            </w:pPr>
            <w:r>
              <w:rPr>
                <w:color w:val="000000"/>
              </w:rPr>
              <w:t>$</w:t>
            </w:r>
          </w:p>
        </w:tc>
        <w:tc>
          <w:tcPr>
            <w:tcW w:w="1018" w:type="dxa"/>
            <w:tcBorders/>
            <w:shd w:fill="auto" w:val="clear"/>
            <w:vAlign w:val="bottom"/>
          </w:tcPr>
          <w:p>
            <w:pPr>
              <w:pStyle w:val="TableContents"/>
              <w:spacing w:before="0" w:after="0"/>
              <w:jc w:val="right"/>
              <w:rPr>
                <w:color w:val="000000"/>
              </w:rPr>
            </w:pPr>
            <w:r>
              <w:rPr>
                <w:color w:val="000000"/>
              </w:rPr>
              <w:t>14.29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color w:val="000000"/>
              </w:rPr>
            </w:pPr>
            <w:r>
              <w:rPr>
                <w:color w:val="000000"/>
              </w:rPr>
              <w:t>$</w:t>
            </w:r>
          </w:p>
        </w:tc>
        <w:tc>
          <w:tcPr>
            <w:tcW w:w="560" w:type="dxa"/>
            <w:tcBorders/>
            <w:shd w:fill="auto" w:val="clear"/>
            <w:vAlign w:val="bottom"/>
          </w:tcPr>
          <w:p>
            <w:pPr>
              <w:pStyle w:val="TableContents"/>
              <w:spacing w:before="0" w:after="0"/>
              <w:jc w:val="right"/>
              <w:rPr>
                <w:color w:val="000000"/>
              </w:rPr>
            </w:pPr>
            <w:r>
              <w:rPr>
                <w:color w:val="000000"/>
              </w:rPr>
              <w:t>9.98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color w:val="000000"/>
              </w:rPr>
            </w:pPr>
            <w:r>
              <w:rPr>
                <w:color w:val="000000"/>
              </w:rPr>
              <w:t>$</w:t>
            </w:r>
          </w:p>
        </w:tc>
        <w:tc>
          <w:tcPr>
            <w:tcW w:w="560" w:type="dxa"/>
            <w:tcBorders/>
            <w:shd w:fill="auto" w:val="clear"/>
            <w:vAlign w:val="bottom"/>
          </w:tcPr>
          <w:p>
            <w:pPr>
              <w:pStyle w:val="TableContents"/>
              <w:spacing w:before="0" w:after="0"/>
              <w:jc w:val="right"/>
              <w:rPr>
                <w:color w:val="000000"/>
              </w:rPr>
            </w:pPr>
            <w:r>
              <w:rPr>
                <w:color w:val="000000"/>
              </w:rPr>
              <w:t>8.25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519" w:type="dxa"/>
            <w:tcBorders/>
            <w:shd w:fill="auto" w:val="clear"/>
            <w:vAlign w:val="bottom"/>
          </w:tcPr>
          <w:p>
            <w:pPr>
              <w:pStyle w:val="TableContents"/>
              <w:spacing w:before="0" w:after="0"/>
              <w:jc w:val="right"/>
              <w:rPr>
                <w:color w:val="000000"/>
              </w:rPr>
            </w:pPr>
            <w:r>
              <w:rPr>
                <w:color w:val="000000"/>
              </w:rPr>
              <w:t>-30.2</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93" w:type="dxa"/>
            <w:tcBorders/>
            <w:shd w:fill="auto" w:val="clear"/>
            <w:vAlign w:val="bottom"/>
          </w:tcPr>
          <w:p>
            <w:pPr>
              <w:pStyle w:val="TableContents"/>
              <w:spacing w:before="0" w:after="0"/>
              <w:jc w:val="right"/>
              <w:rPr>
                <w:color w:val="000000"/>
              </w:rPr>
            </w:pPr>
            <w:r>
              <w:rPr>
                <w:color w:val="000000"/>
              </w:rPr>
              <w:t>-42.3</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0"/>
              <w:jc w:val="right"/>
              <w:rPr>
                <w:color w:val="000000"/>
              </w:rPr>
            </w:pPr>
            <w:r>
              <w:rPr>
                <w:color w:val="000000"/>
              </w:rPr>
              <w:t>-</w:t>
            </w:r>
          </w:p>
        </w:tc>
        <w:tc>
          <w:tcPr>
            <w:tcW w:w="79" w:type="dxa"/>
            <w:tcBorders/>
            <w:shd w:fill="auto" w:val="clear"/>
            <w:vAlign w:val="bottom"/>
          </w:tcPr>
          <w:p>
            <w:pPr>
              <w:pStyle w:val="TableContents"/>
              <w:spacing w:before="0" w:after="283"/>
              <w:rPr/>
            </w:pPr>
            <w:r>
              <w:rPr/>
              <w:t> </w:t>
            </w:r>
          </w:p>
        </w:tc>
      </w:tr>
      <w:tr>
        <w:trPr/>
        <w:tc>
          <w:tcPr>
            <w:tcW w:w="2282" w:type="dxa"/>
            <w:tcBorders/>
            <w:shd w:fill="CCEEFF" w:val="clear"/>
            <w:vAlign w:val="bottom"/>
          </w:tcPr>
          <w:p>
            <w:pPr>
              <w:pStyle w:val="TableContents"/>
              <w:spacing w:lineRule="auto" w:line="240" w:before="0" w:after="0"/>
              <w:ind w:left="180" w:right="0" w:hanging="180"/>
              <w:rPr>
                <w:b/>
                <w:color w:val="000000"/>
              </w:rPr>
            </w:pPr>
            <w:r>
              <w:rPr>
                <w:b/>
                <w:color w:val="000000"/>
              </w:rPr>
              <w:t>Year Ended December 31, 2022(4)</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01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519"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493"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79" w:type="dxa"/>
            <w:tcBorders/>
            <w:shd w:fill="CCEEFF" w:val="clear"/>
            <w:vAlign w:val="bottom"/>
          </w:tcPr>
          <w:p>
            <w:pPr>
              <w:pStyle w:val="TableContents"/>
              <w:spacing w:before="0" w:after="283"/>
              <w:rPr/>
            </w:pPr>
            <w:r>
              <w:rPr/>
              <w:t> </w:t>
            </w:r>
          </w:p>
        </w:tc>
      </w:tr>
      <w:tr>
        <w:trPr/>
        <w:tc>
          <w:tcPr>
            <w:tcW w:w="2282" w:type="dxa"/>
            <w:tcBorders/>
            <w:shd w:fill="auto" w:val="clear"/>
            <w:vAlign w:val="bottom"/>
          </w:tcPr>
          <w:p>
            <w:pPr>
              <w:pStyle w:val="TableContents"/>
              <w:spacing w:before="0" w:after="0"/>
              <w:ind w:left="180" w:right="0" w:hanging="180"/>
              <w:rPr>
                <w:color w:val="000000"/>
              </w:rPr>
            </w:pPr>
            <w:r>
              <w:rPr>
                <w:color w:val="000000"/>
              </w:rPr>
              <w:t>Fourth Quarter</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0"/>
              <w:rPr>
                <w:color w:val="000000"/>
              </w:rPr>
            </w:pPr>
            <w:r>
              <w:rPr>
                <w:color w:val="000000"/>
              </w:rPr>
              <w:t>$</w:t>
            </w:r>
          </w:p>
        </w:tc>
        <w:tc>
          <w:tcPr>
            <w:tcW w:w="1018" w:type="dxa"/>
            <w:tcBorders/>
            <w:shd w:fill="auto" w:val="clear"/>
            <w:vAlign w:val="bottom"/>
          </w:tcPr>
          <w:p>
            <w:pPr>
              <w:pStyle w:val="TableContents"/>
              <w:spacing w:before="0" w:after="0"/>
              <w:jc w:val="right"/>
              <w:rPr>
                <w:color w:val="000000"/>
              </w:rPr>
            </w:pPr>
            <w:r>
              <w:rPr>
                <w:color w:val="000000"/>
              </w:rPr>
              <w:t>13.91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color w:val="000000"/>
              </w:rPr>
            </w:pPr>
            <w:r>
              <w:rPr>
                <w:color w:val="000000"/>
              </w:rPr>
              <w:t>$</w:t>
            </w:r>
          </w:p>
        </w:tc>
        <w:tc>
          <w:tcPr>
            <w:tcW w:w="560" w:type="dxa"/>
            <w:tcBorders/>
            <w:shd w:fill="auto" w:val="clear"/>
            <w:vAlign w:val="bottom"/>
          </w:tcPr>
          <w:p>
            <w:pPr>
              <w:pStyle w:val="TableContents"/>
              <w:spacing w:before="0" w:after="0"/>
              <w:jc w:val="right"/>
              <w:rPr>
                <w:color w:val="000000"/>
              </w:rPr>
            </w:pPr>
            <w:r>
              <w:rPr>
                <w:color w:val="000000"/>
              </w:rPr>
              <w:t>10.55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color w:val="000000"/>
              </w:rPr>
            </w:pPr>
            <w:r>
              <w:rPr>
                <w:color w:val="000000"/>
              </w:rPr>
              <w:t>$</w:t>
            </w:r>
          </w:p>
        </w:tc>
        <w:tc>
          <w:tcPr>
            <w:tcW w:w="560" w:type="dxa"/>
            <w:tcBorders/>
            <w:shd w:fill="auto" w:val="clear"/>
            <w:vAlign w:val="bottom"/>
          </w:tcPr>
          <w:p>
            <w:pPr>
              <w:pStyle w:val="TableContents"/>
              <w:spacing w:before="0" w:after="0"/>
              <w:jc w:val="right"/>
              <w:rPr>
                <w:color w:val="000000"/>
              </w:rPr>
            </w:pPr>
            <w:r>
              <w:rPr>
                <w:color w:val="000000"/>
              </w:rPr>
              <w:t>9.57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519" w:type="dxa"/>
            <w:tcBorders/>
            <w:shd w:fill="auto" w:val="clear"/>
            <w:vAlign w:val="bottom"/>
          </w:tcPr>
          <w:p>
            <w:pPr>
              <w:pStyle w:val="TableContents"/>
              <w:spacing w:before="0" w:after="0"/>
              <w:jc w:val="right"/>
              <w:rPr>
                <w:color w:val="000000"/>
              </w:rPr>
            </w:pPr>
            <w:r>
              <w:rPr>
                <w:color w:val="000000"/>
              </w:rPr>
              <w:t>-24.2</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93" w:type="dxa"/>
            <w:tcBorders/>
            <w:shd w:fill="auto" w:val="clear"/>
            <w:vAlign w:val="bottom"/>
          </w:tcPr>
          <w:p>
            <w:pPr>
              <w:pStyle w:val="TableContents"/>
              <w:spacing w:before="0" w:after="0"/>
              <w:jc w:val="right"/>
              <w:rPr>
                <w:color w:val="000000"/>
              </w:rPr>
            </w:pPr>
            <w:r>
              <w:rPr>
                <w:color w:val="000000"/>
              </w:rPr>
              <w:t>-31.2</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0"/>
              <w:jc w:val="right"/>
              <w:rPr>
                <w:color w:val="000000"/>
              </w:rPr>
            </w:pPr>
            <w:r>
              <w:rPr>
                <w:color w:val="000000"/>
              </w:rPr>
              <w:t>-</w:t>
            </w:r>
          </w:p>
        </w:tc>
        <w:tc>
          <w:tcPr>
            <w:tcW w:w="79" w:type="dxa"/>
            <w:tcBorders/>
            <w:shd w:fill="auto" w:val="clear"/>
            <w:vAlign w:val="bottom"/>
          </w:tcPr>
          <w:p>
            <w:pPr>
              <w:pStyle w:val="TableContents"/>
              <w:spacing w:before="0" w:after="283"/>
              <w:rPr/>
            </w:pPr>
            <w:r>
              <w:rPr/>
              <w:t> </w:t>
            </w:r>
          </w:p>
        </w:tc>
      </w:tr>
      <w:tr>
        <w:trPr/>
        <w:tc>
          <w:tcPr>
            <w:tcW w:w="2282" w:type="dxa"/>
            <w:tcBorders/>
            <w:shd w:fill="CCEEFF" w:val="clear"/>
            <w:vAlign w:val="bottom"/>
          </w:tcPr>
          <w:p>
            <w:pPr>
              <w:pStyle w:val="TableContents"/>
              <w:spacing w:before="0" w:after="0"/>
              <w:ind w:left="180" w:right="0" w:hanging="180"/>
              <w:rPr>
                <w:color w:val="000000"/>
              </w:rPr>
            </w:pPr>
            <w:r>
              <w:rPr>
                <w:color w:val="000000"/>
              </w:rPr>
              <w:t>Third Quarter</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0"/>
              <w:rPr>
                <w:color w:val="000000"/>
              </w:rPr>
            </w:pPr>
            <w:r>
              <w:rPr>
                <w:color w:val="000000"/>
              </w:rPr>
              <w:t>$</w:t>
            </w:r>
          </w:p>
        </w:tc>
        <w:tc>
          <w:tcPr>
            <w:tcW w:w="1018" w:type="dxa"/>
            <w:tcBorders/>
            <w:shd w:fill="CCEEFF" w:val="clear"/>
            <w:vAlign w:val="bottom"/>
          </w:tcPr>
          <w:p>
            <w:pPr>
              <w:pStyle w:val="TableContents"/>
              <w:spacing w:before="0" w:after="0"/>
              <w:jc w:val="right"/>
              <w:rPr>
                <w:color w:val="000000"/>
              </w:rPr>
            </w:pPr>
            <w:r>
              <w:rPr>
                <w:color w:val="000000"/>
              </w:rPr>
              <w:t>13.73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560" w:type="dxa"/>
            <w:tcBorders/>
            <w:shd w:fill="CCEEFF" w:val="clear"/>
            <w:vAlign w:val="bottom"/>
          </w:tcPr>
          <w:p>
            <w:pPr>
              <w:pStyle w:val="TableContents"/>
              <w:spacing w:before="0" w:after="0"/>
              <w:jc w:val="right"/>
              <w:rPr>
                <w:color w:val="000000"/>
              </w:rPr>
            </w:pPr>
            <w:r>
              <w:rPr>
                <w:color w:val="000000"/>
              </w:rPr>
              <w:t>10.74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560" w:type="dxa"/>
            <w:tcBorders/>
            <w:shd w:fill="CCEEFF" w:val="clear"/>
            <w:vAlign w:val="bottom"/>
          </w:tcPr>
          <w:p>
            <w:pPr>
              <w:pStyle w:val="TableContents"/>
              <w:spacing w:before="0" w:after="0"/>
              <w:jc w:val="right"/>
              <w:rPr>
                <w:color w:val="000000"/>
              </w:rPr>
            </w:pPr>
            <w:r>
              <w:rPr>
                <w:color w:val="000000"/>
              </w:rPr>
              <w:t>9.00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519" w:type="dxa"/>
            <w:tcBorders/>
            <w:shd w:fill="CCEEFF" w:val="clear"/>
            <w:vAlign w:val="bottom"/>
          </w:tcPr>
          <w:p>
            <w:pPr>
              <w:pStyle w:val="TableContents"/>
              <w:spacing w:before="0" w:after="0"/>
              <w:jc w:val="right"/>
              <w:rPr>
                <w:color w:val="000000"/>
              </w:rPr>
            </w:pPr>
            <w:r>
              <w:rPr>
                <w:color w:val="000000"/>
              </w:rPr>
              <w:t>-21.8</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493" w:type="dxa"/>
            <w:tcBorders/>
            <w:shd w:fill="CCEEFF" w:val="clear"/>
            <w:vAlign w:val="bottom"/>
          </w:tcPr>
          <w:p>
            <w:pPr>
              <w:pStyle w:val="TableContents"/>
              <w:spacing w:before="0" w:after="0"/>
              <w:jc w:val="right"/>
              <w:rPr>
                <w:color w:val="000000"/>
              </w:rPr>
            </w:pPr>
            <w:r>
              <w:rPr>
                <w:color w:val="000000"/>
              </w:rPr>
              <w:t>-34.5</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0"/>
              <w:jc w:val="right"/>
              <w:rPr>
                <w:color w:val="000000"/>
              </w:rPr>
            </w:pPr>
            <w:r>
              <w:rPr>
                <w:color w:val="000000"/>
              </w:rPr>
              <w:t>-</w:t>
            </w:r>
          </w:p>
        </w:tc>
        <w:tc>
          <w:tcPr>
            <w:tcW w:w="79" w:type="dxa"/>
            <w:tcBorders/>
            <w:shd w:fill="CCEEFF" w:val="clear"/>
            <w:vAlign w:val="bottom"/>
          </w:tcPr>
          <w:p>
            <w:pPr>
              <w:pStyle w:val="TableContents"/>
              <w:spacing w:before="0" w:after="283"/>
              <w:rPr/>
            </w:pPr>
            <w:r>
              <w:rPr/>
              <w:t> </w:t>
            </w:r>
          </w:p>
        </w:tc>
      </w:tr>
      <w:tr>
        <w:trPr/>
        <w:tc>
          <w:tcPr>
            <w:tcW w:w="2282" w:type="dxa"/>
            <w:tcBorders/>
            <w:shd w:fill="auto" w:val="clear"/>
            <w:vAlign w:val="bottom"/>
          </w:tcPr>
          <w:p>
            <w:pPr>
              <w:pStyle w:val="TableContents"/>
              <w:spacing w:before="0" w:after="0"/>
              <w:ind w:left="180" w:right="0" w:hanging="180"/>
              <w:rPr>
                <w:color w:val="000000"/>
              </w:rPr>
            </w:pPr>
            <w:r>
              <w:rPr>
                <w:color w:val="000000"/>
              </w:rPr>
              <w:t>Second Quarter</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0"/>
              <w:rPr>
                <w:color w:val="000000"/>
              </w:rPr>
            </w:pPr>
            <w:r>
              <w:rPr>
                <w:color w:val="000000"/>
              </w:rPr>
              <w:t>$</w:t>
            </w:r>
          </w:p>
        </w:tc>
        <w:tc>
          <w:tcPr>
            <w:tcW w:w="1018" w:type="dxa"/>
            <w:tcBorders/>
            <w:shd w:fill="auto" w:val="clear"/>
            <w:vAlign w:val="bottom"/>
          </w:tcPr>
          <w:p>
            <w:pPr>
              <w:pStyle w:val="TableContents"/>
              <w:spacing w:before="0" w:after="0"/>
              <w:jc w:val="right"/>
              <w:rPr>
                <w:color w:val="000000"/>
              </w:rPr>
            </w:pPr>
            <w:r>
              <w:rPr>
                <w:color w:val="000000"/>
              </w:rPr>
              <w:t>13.64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color w:val="000000"/>
              </w:rPr>
            </w:pPr>
            <w:r>
              <w:rPr>
                <w:color w:val="000000"/>
              </w:rPr>
              <w:t>$</w:t>
            </w:r>
          </w:p>
        </w:tc>
        <w:tc>
          <w:tcPr>
            <w:tcW w:w="560" w:type="dxa"/>
            <w:tcBorders/>
            <w:shd w:fill="auto" w:val="clear"/>
            <w:vAlign w:val="bottom"/>
          </w:tcPr>
          <w:p>
            <w:pPr>
              <w:pStyle w:val="TableContents"/>
              <w:spacing w:before="0" w:after="0"/>
              <w:jc w:val="right"/>
              <w:rPr>
                <w:color w:val="000000"/>
              </w:rPr>
            </w:pPr>
            <w:r>
              <w:rPr>
                <w:color w:val="000000"/>
              </w:rPr>
              <w:t>13.50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color w:val="000000"/>
              </w:rPr>
            </w:pPr>
            <w:r>
              <w:rPr>
                <w:color w:val="000000"/>
              </w:rPr>
              <w:t>$</w:t>
            </w:r>
          </w:p>
        </w:tc>
        <w:tc>
          <w:tcPr>
            <w:tcW w:w="560" w:type="dxa"/>
            <w:tcBorders/>
            <w:shd w:fill="auto" w:val="clear"/>
            <w:vAlign w:val="bottom"/>
          </w:tcPr>
          <w:p>
            <w:pPr>
              <w:pStyle w:val="TableContents"/>
              <w:spacing w:before="0" w:after="0"/>
              <w:jc w:val="right"/>
              <w:rPr>
                <w:color w:val="000000"/>
              </w:rPr>
            </w:pPr>
            <w:r>
              <w:rPr>
                <w:color w:val="000000"/>
              </w:rPr>
              <w:t>7.80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519" w:type="dxa"/>
            <w:tcBorders/>
            <w:shd w:fill="auto" w:val="clear"/>
            <w:vAlign w:val="bottom"/>
          </w:tcPr>
          <w:p>
            <w:pPr>
              <w:pStyle w:val="TableContents"/>
              <w:spacing w:before="0" w:after="0"/>
              <w:jc w:val="right"/>
              <w:rPr>
                <w:color w:val="000000"/>
              </w:rPr>
            </w:pPr>
            <w:r>
              <w:rPr>
                <w:color w:val="000000"/>
              </w:rPr>
              <w:t>-1.0</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93" w:type="dxa"/>
            <w:tcBorders/>
            <w:shd w:fill="auto" w:val="clear"/>
            <w:vAlign w:val="bottom"/>
          </w:tcPr>
          <w:p>
            <w:pPr>
              <w:pStyle w:val="TableContents"/>
              <w:spacing w:before="0" w:after="0"/>
              <w:jc w:val="right"/>
              <w:rPr>
                <w:color w:val="000000"/>
              </w:rPr>
            </w:pPr>
            <w:r>
              <w:rPr>
                <w:color w:val="000000"/>
              </w:rPr>
              <w:t>-42.8</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0"/>
              <w:jc w:val="right"/>
              <w:rPr>
                <w:color w:val="000000"/>
              </w:rPr>
            </w:pPr>
            <w:r>
              <w:rPr>
                <w:color w:val="000000"/>
              </w:rPr>
              <w:t>-</w:t>
            </w:r>
          </w:p>
        </w:tc>
        <w:tc>
          <w:tcPr>
            <w:tcW w:w="79" w:type="dxa"/>
            <w:tcBorders/>
            <w:shd w:fill="auto" w:val="clear"/>
            <w:vAlign w:val="bottom"/>
          </w:tcPr>
          <w:p>
            <w:pPr>
              <w:pStyle w:val="TableContents"/>
              <w:spacing w:before="0" w:after="283"/>
              <w:rPr/>
            </w:pPr>
            <w:r>
              <w:rPr/>
              <w:t> </w:t>
            </w:r>
          </w:p>
        </w:tc>
      </w:tr>
      <w:tr>
        <w:trPr/>
        <w:tc>
          <w:tcPr>
            <w:tcW w:w="2282" w:type="dxa"/>
            <w:tcBorders/>
            <w:shd w:fill="CCEEFF" w:val="clear"/>
            <w:vAlign w:val="bottom"/>
          </w:tcPr>
          <w:p>
            <w:pPr>
              <w:pStyle w:val="TableContents"/>
              <w:spacing w:lineRule="auto" w:line="240" w:before="0" w:after="0"/>
              <w:ind w:left="180" w:right="0" w:hanging="180"/>
              <w:rPr>
                <w:color w:val="000000"/>
              </w:rPr>
            </w:pPr>
            <w:r>
              <w:rPr>
                <w:color w:val="000000"/>
              </w:rPr>
              <w:t>First Quarter(5)</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0"/>
              <w:rPr>
                <w:color w:val="000000"/>
              </w:rPr>
            </w:pPr>
            <w:r>
              <w:rPr>
                <w:color w:val="000000"/>
              </w:rPr>
              <w:t>$</w:t>
            </w:r>
          </w:p>
        </w:tc>
        <w:tc>
          <w:tcPr>
            <w:tcW w:w="1018" w:type="dxa"/>
            <w:tcBorders/>
            <w:shd w:fill="CCEEFF" w:val="clear"/>
            <w:vAlign w:val="bottom"/>
          </w:tcPr>
          <w:p>
            <w:pPr>
              <w:pStyle w:val="TableContents"/>
              <w:spacing w:before="0" w:after="0"/>
              <w:jc w:val="right"/>
              <w:rPr>
                <w:color w:val="000000"/>
              </w:rPr>
            </w:pPr>
            <w:r>
              <w:rPr>
                <w:color w:val="000000"/>
              </w:rPr>
              <w:t>13.61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560" w:type="dxa"/>
            <w:tcBorders/>
            <w:shd w:fill="CCEEFF" w:val="clear"/>
            <w:vAlign w:val="bottom"/>
          </w:tcPr>
          <w:p>
            <w:pPr>
              <w:pStyle w:val="TableContents"/>
              <w:spacing w:before="0" w:after="0"/>
              <w:jc w:val="right"/>
              <w:rPr>
                <w:color w:val="000000"/>
              </w:rPr>
            </w:pPr>
            <w:r>
              <w:rPr>
                <w:color w:val="000000"/>
              </w:rPr>
              <w:t>14.41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560" w:type="dxa"/>
            <w:tcBorders/>
            <w:shd w:fill="CCEEFF" w:val="clear"/>
            <w:vAlign w:val="bottom"/>
          </w:tcPr>
          <w:p>
            <w:pPr>
              <w:pStyle w:val="TableContents"/>
              <w:spacing w:before="0" w:after="0"/>
              <w:jc w:val="right"/>
              <w:rPr>
                <w:color w:val="000000"/>
              </w:rPr>
            </w:pPr>
            <w:r>
              <w:rPr>
                <w:color w:val="000000"/>
              </w:rPr>
              <w:t>12.57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519" w:type="dxa"/>
            <w:tcBorders/>
            <w:shd w:fill="CCEEFF" w:val="clear"/>
            <w:vAlign w:val="bottom"/>
          </w:tcPr>
          <w:p>
            <w:pPr>
              <w:pStyle w:val="TableContents"/>
              <w:spacing w:before="0" w:after="0"/>
              <w:jc w:val="right"/>
              <w:rPr>
                <w:color w:val="000000"/>
              </w:rPr>
            </w:pPr>
            <w:r>
              <w:rPr>
                <w:color w:val="000000"/>
              </w:rPr>
              <w:t>5.9</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493" w:type="dxa"/>
            <w:tcBorders/>
            <w:shd w:fill="CCEEFF" w:val="clear"/>
            <w:vAlign w:val="bottom"/>
          </w:tcPr>
          <w:p>
            <w:pPr>
              <w:pStyle w:val="TableContents"/>
              <w:spacing w:before="0" w:after="0"/>
              <w:jc w:val="right"/>
              <w:rPr>
                <w:color w:val="000000"/>
              </w:rPr>
            </w:pPr>
            <w:r>
              <w:rPr>
                <w:color w:val="000000"/>
              </w:rPr>
              <w:t>-7.6</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0"/>
              <w:jc w:val="right"/>
              <w:rPr>
                <w:color w:val="000000"/>
              </w:rPr>
            </w:pPr>
            <w:r>
              <w:rPr>
                <w:color w:val="000000"/>
              </w:rPr>
              <w:t>-</w:t>
            </w:r>
          </w:p>
        </w:tc>
        <w:tc>
          <w:tcPr>
            <w:tcW w:w="79" w:type="dxa"/>
            <w:tcBorders/>
            <w:shd w:fill="CCEEFF" w:val="clear"/>
            <w:vAlign w:val="bottom"/>
          </w:tcPr>
          <w:p>
            <w:pPr>
              <w:pStyle w:val="TableContents"/>
              <w:spacing w:before="0" w:after="283"/>
              <w:rPr/>
            </w:pPr>
            <w:r>
              <w:rPr/>
              <w:t> </w:t>
            </w:r>
          </w:p>
        </w:tc>
      </w:tr>
    </w:tbl>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(1) 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pStyle w:val="TextBody"/>
        <w:spacing w:before="0" w:after="0"/>
        <w:jc w:val="left"/>
        <w:rPr>
          <w:rFonts w:ascii="Times New Roman" w:hAnsi="Times New Roman"/>
          <w:color w:val="000000"/>
          <w:sz w:val="20"/>
        </w:rPr>
      </w:pPr>
      <w:r>
        <w:rPr>
          <w:rFonts w:ascii="Times New Roman" w:hAnsi="Times New Roman"/>
          <w:color w:val="000000"/>
          <w:sz w:val="20"/>
        </w:rPr>
        <w:t>(2) Calculated as the respective high or low closing sales price less net asset value, divided by net asset value (in each case, as of the end of the applicable quarter).</w:t>
      </w:r>
    </w:p>
    <w:p>
      <w:pPr>
        <w:pStyle w:val="TextBody"/>
        <w:spacing w:before="0" w:after="0"/>
        <w:jc w:val="left"/>
        <w:rPr>
          <w:rFonts w:ascii="Times New Roman" w:hAnsi="Times New Roman"/>
          <w:color w:val="000000"/>
          <w:sz w:val="20"/>
        </w:rPr>
      </w:pPr>
      <w:r>
        <w:rPr>
          <w:rFonts w:ascii="Times New Roman" w:hAnsi="Times New Roman"/>
          <w:color w:val="000000"/>
          <w:sz w:val="20"/>
        </w:rPr>
        <w:t>(3) Represents the dividend or distribution declared in the relevant quarter.</w:t>
      </w:r>
    </w:p>
    <w:p>
      <w:pPr>
        <w:pStyle w:val="TextBody"/>
        <w:spacing w:before="0" w:after="0"/>
        <w:jc w:val="left"/>
        <w:rPr>
          <w:rFonts w:ascii="Times New Roman" w:hAnsi="Times New Roman"/>
          <w:color w:val="000000"/>
          <w:sz w:val="20"/>
        </w:rPr>
      </w:pPr>
      <w:r>
        <w:rPr>
          <w:rFonts w:ascii="Times New Roman" w:hAnsi="Times New Roman"/>
          <w:color w:val="000000"/>
          <w:sz w:val="20"/>
        </w:rPr>
        <w:t>(4) On November 8, 2022, our Board of Directors approved a change to our fiscal year end from March 31 to December 31.</w:t>
      </w:r>
    </w:p>
    <w:p>
      <w:pPr>
        <w:pStyle w:val="TextBody"/>
        <w:spacing w:before="0" w:after="0"/>
        <w:jc w:val="left"/>
        <w:rPr>
          <w:rFonts w:ascii="Times New Roman" w:hAnsi="Times New Roman"/>
          <w:color w:val="000000"/>
          <w:sz w:val="20"/>
        </w:rPr>
      </w:pPr>
      <w:r>
        <w:rPr>
          <w:rFonts w:ascii="Times New Roman" w:hAnsi="Times New Roman"/>
          <w:color w:val="000000"/>
          <w:sz w:val="20"/>
        </w:rPr>
        <w:t>(5) Shares of our common stock began trading on the Nasdaq Global Market on February 4, 2022 under the trading symbol “SSIC.”</w:t>
      </w:r>
    </w:p>
    <w:p>
      <w:pPr>
        <w:pStyle w:val="TextBody"/>
        <w:spacing w:before="0" w:after="0"/>
        <w:jc w:val="left"/>
        <w:rPr>
          <w:rFonts w:ascii="Times New Roman" w:hAnsi="Times New Roman"/>
          <w:color w:val="000000"/>
          <w:sz w:val="20"/>
        </w:rPr>
      </w:pPr>
      <w:r>
        <w:rPr>
          <w:rFonts w:ascii="Times New Roman" w:hAnsi="Times New Roman"/>
          <w:color w:val="000000"/>
          <w:sz w:val="20"/>
        </w:rPr>
        <w:t>* Not determined at time of filing.</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Shares of BDCs may trade at a market price that is less than the value of the net assets attributable to those shares. At times, our shares of common stock have traded at prices both above and below our net asset value per share. The possibility that our shares of common stock will trade at a discount from net asset value per share or at premiums that are unsustainable over the long term are separate and distinct from the risk that our net asset value per share will decrease. It is not possible to predict whether our common stock will trade at, above, or below net asset value per share.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Holders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As of May 9, 2023, there were approximately 2 holders of record of our common stock, which does not include stockholders for whom shares are held in “nominee” or “street name.”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Distributions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To the extent that we have income available, we intend to make quarterly distributions to our stockholders beginning after our first full year of operations. The amount of our distributions, if any, will be determined by our Board of Directors.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have elected to be treated, and intend to qualify annually to be treated, as a RIC under Subchapter M of the Code, for U.S. federal income tax purposes, commencing with our taxable year ended March 31, 2022. As long as we qualify as a RIC, we will not be taxed on our investment company taxable income or realized net capital gains, to the extent that such taxable income or gains are distributed, or deemed to be distributed, to stockholders on a timely basis.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To obtain and maintain RIC tax treatment, we must distribute (or be deemed to distribute) at least 90% of the sum of our: investment company taxable income (which is generally our ordinary income plus the excess of realized short-term capital gains over realized net long-term capital losses), determined without regard to the deduction for dividends paid, for such taxable year; and net tax-exempt interest income (which is the excess of our gross tax-exempt interest income over certain disallowed deductions) for such taxable year.</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As a RIC, we (but not our stockholders) generally will not be subject to U.S. federal tax on investment company taxable income and net capital gains that we distribute to our stockholders. The discussion below assumes that we will qualify to be treated as a RIC for U.S. federal tax purposes each year.</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intend to distribute annually all or substantially all of such income. To the extent that we retain our net capital gains or any investment company taxable income, we generally will be subject to corporate-level U.S. federal income tax. We can be expected to carry forward our net capital gains or any investment company taxable income in excess of current-year dividend distributions, and pay the U.S. federal excise tax as described below.</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Depending on the level of taxable income earned in a tax year, we may choose to carry forward taxable income in excess of current-year distributions into the next tax year. We will be subject to a 4% excise tax on a certain portion of these undistributed amounts. Please refer to “Item 1. Business — Material U.S. Federal Income Tax Considerations” for further information regarding the consequences of our retention of net capital gains. We may, in the future, make actual distributions to our stockholders of our net capital gains. We can offer no assurance that we will achieve results that will permit the payment of any cash distributions and, if we issue senior securities, we may be prohibited from making distributions if doing so causes us to fail to maintain the asset coverage ratios stipulated by the 1940 Act or if distributions are limited by the terms of any of our borrowings. See “Item 1. Business — Business Development Company Regulations” and “Item 1. Business —Material U.S. Federal Income Tax Considerations.”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SILVER SPIKE INVESTMENT CORP.</w:t>
      </w:r>
    </w:p>
    <w:p>
      <w:pPr>
        <w:pStyle w:val="TextBody"/>
        <w:spacing w:before="0" w:after="0"/>
        <w:jc w:val="both"/>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While we intend to distribute any income and capital gains in the manner necessary to minimize imposition of the 4% U.S. federal excise tax, sufficient amounts of our taxable income and capital gains may not be distributed and as a result, in such cases, the excise tax will be imposed. In such an event, we will be liable for this tax only on the amount by which we do not meet the foregoing distribution requirement.</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intend to pay quarterly distributions to our stockholders out of assets legally available for distribution. All distributions will be paid at the discretion of our Board of Directors and will depend on our earnings, financial condition, maintenance of our tax treatment as a RIC, compliance with applicable BDC regulations and such other factors as our Board of Directors may deem relevant from time to time.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written disclosure carefully and should not assume that the source of any distribution is our ordinary income or gains.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A return of capital is a return of a portion of your original investment in shares of our common stock. As a result, a return of capital will (i) lower your tax basis in your shares and thereby increase the amount of capital gain (or decrease the amount of capital loss) realized upon a subsequent sale or redemption of such shares and (ii) reduce the amount of funds we have for investment in portfolio companies. We have not established any limit on the extent to which we may use offering proceeds to fund distributions. However, our Board of Directors, including a majority of our independent directors, will be required to determine that making return of capital distributions from our offering proceeds is in the best interests of our stockholders based upon our then-current financial condition and our expected future growth prospects.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made no distributions during the three months ended March 31, 2023 or the fiscal year ended December 31, 2022.</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Dividend Reinvestment Plan</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have adopted an “opt out” dividend reinvestment plan for our stockholders. As a result, if we declare a dividend, then stockholders’ cash distributions will be automatically reinvested in additional shares of our common stock, unless they specifically “opt out” of the dividend reinvestment plan so as to receive cash distributions. Stockholders who receive distributions in the form of shares of our common stock generally are subject to the same U.S. federal income tax consequences as are stockholders who elect to receive their distributions in cash.</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Issuer Purchases of Equity Securities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did not repurchase any of our equity securities during the three months ended March 31, 2023 or the fiscal year ended December 31, 2022.</w:t>
      </w:r>
    </w:p>
    <w:p>
      <w:pPr>
        <w:pStyle w:val="TextBody"/>
        <w:spacing w:before="0" w:after="0"/>
        <w:jc w:val="left"/>
        <w:rPr>
          <w:color w:val="000000"/>
        </w:rPr>
      </w:pPr>
      <w:r>
        <w:rPr>
          <w:color w:val="000000"/>
        </w:rPr>
        <w:t> </w:t>
      </w:r>
    </w:p>
    <w:p>
      <w:pPr>
        <w:pStyle w:val="Normal"/>
        <w:spacing w:before="0" w:after="0"/>
        <w:jc w:val="left"/>
        <w:rPr>
          <w:sz w:val="4"/>
          <w:szCs w:val="4"/>
        </w:rPr>
      </w:pPr>
      <w:r>
        <w:rPr>
          <w:sz w:val="4"/>
          <w:szCs w:val="4"/>
        </w:rPr>
      </w:r>
      <w:bookmarkStart w:id="12" w:name="Item3."/>
      <w:bookmarkStart w:id="13" w:name="Item3."/>
      <w:bookmarkEnd w:id="13"/>
    </w:p>
    <w:tbl>
      <w:tblPr>
        <w:tblW w:w="6910" w:type="dxa"/>
        <w:jc w:val="left"/>
        <w:tblInd w:w="0" w:type="dxa"/>
        <w:tblCellMar>
          <w:top w:w="0" w:type="dxa"/>
          <w:left w:w="0" w:type="dxa"/>
          <w:bottom w:w="0" w:type="dxa"/>
          <w:right w:w="0" w:type="dxa"/>
        </w:tblCellMar>
      </w:tblPr>
      <w:tblGrid>
        <w:gridCol w:w="740"/>
        <w:gridCol w:w="6170"/>
      </w:tblGrid>
      <w:tr>
        <w:trPr/>
        <w:tc>
          <w:tcPr>
            <w:tcW w:w="740" w:type="dxa"/>
            <w:tcBorders/>
            <w:shd w:fill="auto" w:val="clear"/>
            <w:vAlign w:val="center"/>
          </w:tcPr>
          <w:p>
            <w:pPr>
              <w:pStyle w:val="TableContents"/>
              <w:spacing w:before="0" w:after="0"/>
              <w:jc w:val="both"/>
              <w:rPr>
                <w:b/>
              </w:rPr>
            </w:pPr>
            <w:r>
              <w:rPr>
                <w:b/>
              </w:rPr>
              <w:t>Item 3.</w:t>
            </w:r>
          </w:p>
        </w:tc>
        <w:tc>
          <w:tcPr>
            <w:tcW w:w="6170" w:type="dxa"/>
            <w:tcBorders/>
            <w:shd w:fill="auto" w:val="clear"/>
            <w:vAlign w:val="center"/>
          </w:tcPr>
          <w:p>
            <w:pPr>
              <w:pStyle w:val="TableContents"/>
              <w:spacing w:before="0" w:after="0"/>
              <w:jc w:val="both"/>
              <w:rPr>
                <w:b/>
              </w:rPr>
            </w:pPr>
            <w:r>
              <w:rPr>
                <w:b/>
              </w:rPr>
              <w:t>Quantitative and Qualitative Disclosures About Market Risk</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Uncertainty with respect to the economic effects of the COVID-19 pandemic and political tensions in the United States and around the world (including the current conflict in Ukraine) have introduced significant volatility in the financial markets, and the effect of the volatility could materially impact our market risks, including those listed below. We are subject to financial market risks, including valuation risk and interest rate risk.</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Valuation Risk</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investments may not have readily available market quotations (as such term is defined in Rule 2a-5 under the 1940 Act), and those investments which do not have readily available market quotations are valued at fair value as determined in good faith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including as a result of the impact of the COVID</w:t>
        <w:noBreakHyphen/>
        <w:t>19 pandemic on the economy and financial and capital markets. Because of the inherent uncertainty of valuation, these estimated values may differ significantly from the values that would have been used had a ready market for the investments existed, and it is possible that the difference could be material.</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SILVER SPIKE INVESTMENT CORP.</w:t>
      </w:r>
    </w:p>
    <w:p>
      <w:pPr>
        <w:pStyle w:val="TextBody"/>
        <w:spacing w:before="0" w:after="0"/>
        <w:jc w:val="both"/>
        <w:rPr>
          <w:b/>
          <w:i/>
        </w:rPr>
      </w:pPr>
      <w:r>
        <w:rPr>
          <w:b/>
          <w:i/>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Interest Rate Risk</w:t>
      </w:r>
    </w:p>
    <w:p>
      <w:pPr>
        <w:pStyle w:val="TextBody"/>
        <w:spacing w:before="0" w:after="0"/>
        <w:jc w:val="both"/>
        <w:rPr>
          <w:rFonts w:ascii="Times New Roman" w:hAnsi="Times New Roman"/>
          <w:color w:val="000000"/>
          <w:sz w:val="20"/>
        </w:rPr>
      </w:pPr>
      <w:r>
        <w:rPr>
          <w:rFonts w:ascii="Times New Roman" w:hAnsi="Times New Roman"/>
          <w:color w:val="000000"/>
          <w:sz w:val="20"/>
        </w:rPr>
        <w:t>Interest rate sensitivity and risk refer to the change in earnings that may result from changes in the level of interest rates. To the extent that we borrow money to make investments, including under any credit facility, our net investment income will be affected by the difference between the rate at which we borrow funds and the rate at which we invest these funds. In periods of rising interest rates, our cost of borrowing funds would increase, which may reduce our net investment income. As a result, there can be no assurance that a significant change in market interest rates will not have a material adverse effect on our net investment income.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of March 31, 2023, 81.2% of our debt investments based on outstanding principal balance represented floating-rate investments based on PRIME and approximately 18.8% of our debt investments based on outstanding principal balance represented fixed rate investments.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Based on our Statements of Operations as of March 31, 2023, the following table shows the annualized impact on net income of hypothetical base rate changes in the PRIME rate on our debt investments (considering interest rate floors for floating rate instruments):</w:t>
      </w:r>
    </w:p>
    <w:p>
      <w:pPr>
        <w:pStyle w:val="TextBody"/>
        <w:spacing w:before="0" w:after="0"/>
        <w:jc w:val="left"/>
        <w:rPr>
          <w:color w:val="000000"/>
        </w:rPr>
      </w:pPr>
      <w:r>
        <w:rPr>
          <w:color w:val="000000"/>
        </w:rPr>
        <w:t> </w:t>
      </w:r>
    </w:p>
    <w:tbl>
      <w:tblPr>
        <w:tblW w:w="8127" w:type="dxa"/>
        <w:jc w:val="left"/>
        <w:tblInd w:w="0" w:type="dxa"/>
        <w:tblCellMar>
          <w:top w:w="0" w:type="dxa"/>
          <w:left w:w="0" w:type="dxa"/>
          <w:bottom w:w="28" w:type="dxa"/>
          <w:right w:w="0" w:type="dxa"/>
        </w:tblCellMar>
      </w:tblPr>
      <w:tblGrid>
        <w:gridCol w:w="2555"/>
        <w:gridCol w:w="60"/>
        <w:gridCol w:w="289"/>
        <w:gridCol w:w="1320"/>
        <w:gridCol w:w="95"/>
        <w:gridCol w:w="60"/>
        <w:gridCol w:w="984"/>
        <w:gridCol w:w="670"/>
        <w:gridCol w:w="60"/>
        <w:gridCol w:w="60"/>
        <w:gridCol w:w="334"/>
        <w:gridCol w:w="1530"/>
        <w:gridCol w:w="110"/>
      </w:tblGrid>
      <w:tr>
        <w:trPr/>
        <w:tc>
          <w:tcPr>
            <w:tcW w:w="2555" w:type="dxa"/>
            <w:tcBorders>
              <w:bottom w:val="single" w:sz="12" w:space="0" w:color="000000"/>
            </w:tcBorders>
            <w:shd w:fill="auto" w:val="clear"/>
            <w:vAlign w:val="bottom"/>
          </w:tcPr>
          <w:p>
            <w:pPr>
              <w:pStyle w:val="TableContents"/>
              <w:spacing w:before="0" w:after="0"/>
              <w:rPr>
                <w:b/>
                <w:color w:val="000000"/>
              </w:rPr>
            </w:pPr>
            <w:r>
              <w:rPr>
                <w:b/>
                <w:color w:val="000000"/>
              </w:rPr>
              <w:t>Change in Interest Rates</w:t>
            </w:r>
          </w:p>
        </w:tc>
        <w:tc>
          <w:tcPr>
            <w:tcW w:w="60" w:type="dxa"/>
            <w:tcBorders/>
            <w:shd w:fill="auto" w:val="clear"/>
            <w:tcMar>
              <w:bottom w:w="0" w:type="dxa"/>
            </w:tcMar>
            <w:vAlign w:val="bottom"/>
          </w:tcPr>
          <w:p>
            <w:pPr>
              <w:pStyle w:val="TableContents"/>
              <w:spacing w:before="0" w:after="283"/>
              <w:rPr/>
            </w:pPr>
            <w:r>
              <w:rPr/>
              <w:t> </w:t>
            </w:r>
          </w:p>
        </w:tc>
        <w:tc>
          <w:tcPr>
            <w:tcW w:w="1609"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Interest Income</w:t>
            </w:r>
          </w:p>
        </w:tc>
        <w:tc>
          <w:tcPr>
            <w:tcW w:w="9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654"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Interest expense</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864"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Net Income/(Loss)</w:t>
            </w:r>
          </w:p>
        </w:tc>
        <w:tc>
          <w:tcPr>
            <w:tcW w:w="110" w:type="dxa"/>
            <w:tcBorders/>
            <w:shd w:fill="auto" w:val="clear"/>
            <w:tcMar>
              <w:bottom w:w="0" w:type="dxa"/>
            </w:tcMar>
            <w:vAlign w:val="bottom"/>
          </w:tcPr>
          <w:p>
            <w:pPr>
              <w:pStyle w:val="TableContents"/>
              <w:spacing w:before="0" w:after="283"/>
              <w:rPr/>
            </w:pPr>
            <w:r>
              <w:rPr/>
              <w:t> </w:t>
            </w:r>
          </w:p>
        </w:tc>
      </w:tr>
      <w:tr>
        <w:trPr/>
        <w:tc>
          <w:tcPr>
            <w:tcW w:w="2555" w:type="dxa"/>
            <w:tcBorders/>
            <w:shd w:fill="CCEEFF" w:val="clear"/>
            <w:tcMar>
              <w:bottom w:w="0" w:type="dxa"/>
            </w:tcMar>
            <w:vAlign w:val="bottom"/>
          </w:tcPr>
          <w:p>
            <w:pPr>
              <w:pStyle w:val="TableContents"/>
              <w:spacing w:before="0" w:after="0"/>
              <w:rPr>
                <w:color w:val="000000"/>
              </w:rPr>
            </w:pPr>
            <w:r>
              <w:rPr>
                <w:color w:val="000000"/>
              </w:rPr>
              <w:t>Up 300 basis points</w:t>
            </w:r>
          </w:p>
        </w:tc>
        <w:tc>
          <w:tcPr>
            <w:tcW w:w="60" w:type="dxa"/>
            <w:tcBorders/>
            <w:shd w:fill="CCEEFF" w:val="clear"/>
            <w:tcMar>
              <w:bottom w:w="0" w:type="dxa"/>
            </w:tcMar>
            <w:vAlign w:val="bottom"/>
          </w:tcPr>
          <w:p>
            <w:pPr>
              <w:pStyle w:val="TableContents"/>
              <w:spacing w:before="0" w:after="283"/>
              <w:jc w:val="right"/>
              <w:rPr/>
            </w:pPr>
            <w:r>
              <w:rPr/>
              <w:t> </w:t>
            </w:r>
          </w:p>
        </w:tc>
        <w:tc>
          <w:tcPr>
            <w:tcW w:w="289" w:type="dxa"/>
            <w:tcBorders/>
            <w:shd w:fill="CCEEFF" w:val="clear"/>
            <w:tcMar>
              <w:bottom w:w="0" w:type="dxa"/>
            </w:tcMar>
            <w:vAlign w:val="bottom"/>
          </w:tcPr>
          <w:p>
            <w:pPr>
              <w:pStyle w:val="TableContents"/>
              <w:spacing w:before="0" w:after="0"/>
              <w:rPr>
                <w:color w:val="000000"/>
              </w:rPr>
            </w:pPr>
            <w:r>
              <w:rPr>
                <w:color w:val="000000"/>
              </w:rPr>
              <w:t>$</w:t>
            </w:r>
          </w:p>
        </w:tc>
        <w:tc>
          <w:tcPr>
            <w:tcW w:w="1320" w:type="dxa"/>
            <w:tcBorders/>
            <w:shd w:fill="CCEEFF" w:val="clear"/>
            <w:tcMar>
              <w:bottom w:w="0" w:type="dxa"/>
            </w:tcMar>
            <w:vAlign w:val="bottom"/>
          </w:tcPr>
          <w:p>
            <w:pPr>
              <w:pStyle w:val="TableContents"/>
              <w:spacing w:before="0" w:after="0"/>
              <w:jc w:val="right"/>
              <w:rPr>
                <w:color w:val="000000"/>
              </w:rPr>
            </w:pPr>
            <w:r>
              <w:rPr>
                <w:color w:val="000000"/>
              </w:rPr>
              <w:t>1,395</w:t>
            </w:r>
          </w:p>
        </w:tc>
        <w:tc>
          <w:tcPr>
            <w:tcW w:w="9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984" w:type="dxa"/>
            <w:tcBorders/>
            <w:shd w:fill="CCEEFF" w:val="clear"/>
            <w:tcMar>
              <w:bottom w:w="0" w:type="dxa"/>
            </w:tcMar>
            <w:vAlign w:val="bottom"/>
          </w:tcPr>
          <w:p>
            <w:pPr>
              <w:pStyle w:val="TableContents"/>
              <w:spacing w:before="0" w:after="0"/>
              <w:rPr>
                <w:color w:val="000000"/>
              </w:rPr>
            </w:pPr>
            <w:r>
              <w:rPr>
                <w:color w:val="000000"/>
              </w:rPr>
              <w:t>$</w:t>
            </w:r>
          </w:p>
        </w:tc>
        <w:tc>
          <w:tcPr>
            <w:tcW w:w="670" w:type="dxa"/>
            <w:tcBorders/>
            <w:shd w:fill="CCEEFF" w:val="clear"/>
            <w:tcMar>
              <w:bottom w:w="0" w:type="dxa"/>
            </w:tcMar>
            <w:vAlign w:val="bottom"/>
          </w:tcPr>
          <w:p>
            <w:pPr>
              <w:pStyle w:val="TableContents"/>
              <w:spacing w:before="0" w:after="0"/>
              <w:jc w:val="right"/>
              <w:rPr>
                <w:color w:val="000000"/>
              </w:rPr>
            </w:pPr>
            <w:r>
              <w:rPr>
                <w:color w:val="000000"/>
              </w:rPr>
              <w:t>-</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334" w:type="dxa"/>
            <w:tcBorders/>
            <w:shd w:fill="CCEEFF" w:val="clear"/>
            <w:tcMar>
              <w:bottom w:w="0" w:type="dxa"/>
            </w:tcMar>
            <w:vAlign w:val="bottom"/>
          </w:tcPr>
          <w:p>
            <w:pPr>
              <w:pStyle w:val="TableContents"/>
              <w:spacing w:before="0" w:after="0"/>
              <w:rPr>
                <w:color w:val="000000"/>
              </w:rPr>
            </w:pPr>
            <w:r>
              <w:rPr>
                <w:color w:val="000000"/>
              </w:rPr>
              <w:t>$</w:t>
            </w:r>
          </w:p>
        </w:tc>
        <w:tc>
          <w:tcPr>
            <w:tcW w:w="1530" w:type="dxa"/>
            <w:tcBorders/>
            <w:shd w:fill="CCEEFF" w:val="clear"/>
            <w:tcMar>
              <w:bottom w:w="0" w:type="dxa"/>
            </w:tcMar>
            <w:vAlign w:val="bottom"/>
          </w:tcPr>
          <w:p>
            <w:pPr>
              <w:pStyle w:val="TableContents"/>
              <w:spacing w:before="0" w:after="0"/>
              <w:jc w:val="right"/>
              <w:rPr>
                <w:color w:val="000000"/>
              </w:rPr>
            </w:pPr>
            <w:r>
              <w:rPr>
                <w:color w:val="000000"/>
              </w:rPr>
              <w:t>1,395</w:t>
            </w:r>
          </w:p>
        </w:tc>
        <w:tc>
          <w:tcPr>
            <w:tcW w:w="110" w:type="dxa"/>
            <w:tcBorders/>
            <w:shd w:fill="CCEEFF" w:val="clear"/>
            <w:tcMar>
              <w:bottom w:w="0" w:type="dxa"/>
            </w:tcMar>
            <w:vAlign w:val="bottom"/>
          </w:tcPr>
          <w:p>
            <w:pPr>
              <w:pStyle w:val="TableContents"/>
              <w:spacing w:before="0" w:after="283"/>
              <w:rPr/>
            </w:pPr>
            <w:r>
              <w:rPr/>
              <w:t> </w:t>
            </w:r>
          </w:p>
        </w:tc>
      </w:tr>
      <w:tr>
        <w:trPr/>
        <w:tc>
          <w:tcPr>
            <w:tcW w:w="2555" w:type="dxa"/>
            <w:tcBorders/>
            <w:shd w:fill="auto" w:val="clear"/>
            <w:tcMar>
              <w:bottom w:w="0" w:type="dxa"/>
            </w:tcMar>
            <w:vAlign w:val="bottom"/>
          </w:tcPr>
          <w:p>
            <w:pPr>
              <w:pStyle w:val="TableContents"/>
              <w:spacing w:before="0" w:after="0"/>
              <w:rPr>
                <w:color w:val="000000"/>
              </w:rPr>
            </w:pPr>
            <w:r>
              <w:rPr>
                <w:color w:val="000000"/>
              </w:rPr>
              <w:t>Up 200 basis points</w:t>
            </w:r>
          </w:p>
        </w:tc>
        <w:tc>
          <w:tcPr>
            <w:tcW w:w="60" w:type="dxa"/>
            <w:tcBorders/>
            <w:shd w:fill="auto" w:val="clear"/>
            <w:tcMar>
              <w:bottom w:w="0" w:type="dxa"/>
            </w:tcMar>
            <w:vAlign w:val="bottom"/>
          </w:tcPr>
          <w:p>
            <w:pPr>
              <w:pStyle w:val="TableContents"/>
              <w:spacing w:before="0" w:after="283"/>
              <w:jc w:val="right"/>
              <w:rPr/>
            </w:pPr>
            <w:r>
              <w:rPr/>
              <w:t> </w:t>
            </w:r>
          </w:p>
        </w:tc>
        <w:tc>
          <w:tcPr>
            <w:tcW w:w="289" w:type="dxa"/>
            <w:tcBorders/>
            <w:shd w:fill="auto" w:val="clear"/>
            <w:tcMar>
              <w:bottom w:w="0" w:type="dxa"/>
            </w:tcMar>
            <w:vAlign w:val="bottom"/>
          </w:tcPr>
          <w:p>
            <w:pPr>
              <w:pStyle w:val="TableContents"/>
              <w:spacing w:before="0" w:after="283"/>
              <w:rPr/>
            </w:pPr>
            <w:r>
              <w:rPr/>
              <w:t> </w:t>
            </w:r>
          </w:p>
        </w:tc>
        <w:tc>
          <w:tcPr>
            <w:tcW w:w="1320" w:type="dxa"/>
            <w:tcBorders/>
            <w:shd w:fill="auto" w:val="clear"/>
            <w:tcMar>
              <w:bottom w:w="0" w:type="dxa"/>
            </w:tcMar>
            <w:vAlign w:val="bottom"/>
          </w:tcPr>
          <w:p>
            <w:pPr>
              <w:pStyle w:val="TableContents"/>
              <w:spacing w:before="0" w:after="0"/>
              <w:jc w:val="right"/>
              <w:rPr>
                <w:color w:val="000000"/>
              </w:rPr>
            </w:pPr>
            <w:r>
              <w:rPr>
                <w:color w:val="000000"/>
              </w:rPr>
              <w:t>930</w:t>
            </w:r>
          </w:p>
        </w:tc>
        <w:tc>
          <w:tcPr>
            <w:tcW w:w="9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984" w:type="dxa"/>
            <w:tcBorders/>
            <w:shd w:fill="auto" w:val="clear"/>
            <w:tcMar>
              <w:bottom w:w="0" w:type="dxa"/>
            </w:tcMar>
            <w:vAlign w:val="bottom"/>
          </w:tcPr>
          <w:p>
            <w:pPr>
              <w:pStyle w:val="TableContents"/>
              <w:spacing w:before="0" w:after="283"/>
              <w:rPr/>
            </w:pPr>
            <w:r>
              <w:rPr/>
              <w:t> </w:t>
            </w:r>
          </w:p>
        </w:tc>
        <w:tc>
          <w:tcPr>
            <w:tcW w:w="670" w:type="dxa"/>
            <w:tcBorders/>
            <w:shd w:fill="auto" w:val="clear"/>
            <w:tcMar>
              <w:bottom w:w="0" w:type="dxa"/>
            </w:tcMar>
            <w:vAlign w:val="bottom"/>
          </w:tcPr>
          <w:p>
            <w:pPr>
              <w:pStyle w:val="TableContents"/>
              <w:spacing w:before="0" w:after="0"/>
              <w:jc w:val="right"/>
              <w:rPr>
                <w:color w:val="000000"/>
              </w:rPr>
            </w:pPr>
            <w:r>
              <w:rPr>
                <w:color w:val="000000"/>
              </w:rPr>
              <w:t>-</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334" w:type="dxa"/>
            <w:tcBorders/>
            <w:shd w:fill="auto" w:val="clear"/>
            <w:tcMar>
              <w:bottom w:w="0" w:type="dxa"/>
            </w:tcMar>
            <w:vAlign w:val="bottom"/>
          </w:tcPr>
          <w:p>
            <w:pPr>
              <w:pStyle w:val="TableContents"/>
              <w:spacing w:before="0" w:after="283"/>
              <w:rPr/>
            </w:pPr>
            <w:r>
              <w:rPr/>
              <w:t> </w:t>
            </w:r>
          </w:p>
        </w:tc>
        <w:tc>
          <w:tcPr>
            <w:tcW w:w="1530" w:type="dxa"/>
            <w:tcBorders/>
            <w:shd w:fill="auto" w:val="clear"/>
            <w:tcMar>
              <w:bottom w:w="0" w:type="dxa"/>
            </w:tcMar>
            <w:vAlign w:val="bottom"/>
          </w:tcPr>
          <w:p>
            <w:pPr>
              <w:pStyle w:val="TableContents"/>
              <w:spacing w:before="0" w:after="0"/>
              <w:jc w:val="right"/>
              <w:rPr>
                <w:color w:val="000000"/>
              </w:rPr>
            </w:pPr>
            <w:r>
              <w:rPr>
                <w:color w:val="000000"/>
              </w:rPr>
              <w:t>930</w:t>
            </w:r>
          </w:p>
        </w:tc>
        <w:tc>
          <w:tcPr>
            <w:tcW w:w="110" w:type="dxa"/>
            <w:tcBorders/>
            <w:shd w:fill="auto" w:val="clear"/>
            <w:tcMar>
              <w:bottom w:w="0" w:type="dxa"/>
            </w:tcMar>
            <w:vAlign w:val="bottom"/>
          </w:tcPr>
          <w:p>
            <w:pPr>
              <w:pStyle w:val="TableContents"/>
              <w:spacing w:before="0" w:after="283"/>
              <w:rPr/>
            </w:pPr>
            <w:r>
              <w:rPr/>
              <w:t> </w:t>
            </w:r>
          </w:p>
        </w:tc>
      </w:tr>
      <w:tr>
        <w:trPr/>
        <w:tc>
          <w:tcPr>
            <w:tcW w:w="2555" w:type="dxa"/>
            <w:tcBorders/>
            <w:shd w:fill="CCEEFF" w:val="clear"/>
            <w:tcMar>
              <w:bottom w:w="0" w:type="dxa"/>
            </w:tcMar>
            <w:vAlign w:val="bottom"/>
          </w:tcPr>
          <w:p>
            <w:pPr>
              <w:pStyle w:val="TableContents"/>
              <w:spacing w:before="0" w:after="0"/>
              <w:rPr>
                <w:color w:val="000000"/>
              </w:rPr>
            </w:pPr>
            <w:r>
              <w:rPr>
                <w:color w:val="000000"/>
              </w:rPr>
              <w:t>Up 100 basis points</w:t>
            </w:r>
          </w:p>
        </w:tc>
        <w:tc>
          <w:tcPr>
            <w:tcW w:w="60" w:type="dxa"/>
            <w:tcBorders/>
            <w:shd w:fill="CCEEFF" w:val="clear"/>
            <w:tcMar>
              <w:bottom w:w="0" w:type="dxa"/>
            </w:tcMar>
            <w:vAlign w:val="bottom"/>
          </w:tcPr>
          <w:p>
            <w:pPr>
              <w:pStyle w:val="TableContents"/>
              <w:spacing w:before="0" w:after="283"/>
              <w:jc w:val="right"/>
              <w:rPr/>
            </w:pPr>
            <w:r>
              <w:rPr/>
              <w:t> </w:t>
            </w:r>
          </w:p>
        </w:tc>
        <w:tc>
          <w:tcPr>
            <w:tcW w:w="289" w:type="dxa"/>
            <w:tcBorders/>
            <w:shd w:fill="CCEEFF" w:val="clear"/>
            <w:tcMar>
              <w:bottom w:w="0" w:type="dxa"/>
            </w:tcMar>
            <w:vAlign w:val="bottom"/>
          </w:tcPr>
          <w:p>
            <w:pPr>
              <w:pStyle w:val="TableContents"/>
              <w:spacing w:before="0" w:after="283"/>
              <w:rPr/>
            </w:pPr>
            <w:r>
              <w:rPr/>
              <w:t> </w:t>
            </w:r>
          </w:p>
        </w:tc>
        <w:tc>
          <w:tcPr>
            <w:tcW w:w="1320" w:type="dxa"/>
            <w:tcBorders/>
            <w:shd w:fill="CCEEFF" w:val="clear"/>
            <w:tcMar>
              <w:bottom w:w="0" w:type="dxa"/>
            </w:tcMar>
            <w:vAlign w:val="bottom"/>
          </w:tcPr>
          <w:p>
            <w:pPr>
              <w:pStyle w:val="TableContents"/>
              <w:spacing w:before="0" w:after="0"/>
              <w:jc w:val="right"/>
              <w:rPr>
                <w:color w:val="000000"/>
              </w:rPr>
            </w:pPr>
            <w:r>
              <w:rPr>
                <w:color w:val="000000"/>
              </w:rPr>
              <w:t>465</w:t>
            </w:r>
          </w:p>
        </w:tc>
        <w:tc>
          <w:tcPr>
            <w:tcW w:w="9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984" w:type="dxa"/>
            <w:tcBorders/>
            <w:shd w:fill="CCEEFF" w:val="clear"/>
            <w:tcMar>
              <w:bottom w:w="0" w:type="dxa"/>
            </w:tcMar>
            <w:vAlign w:val="bottom"/>
          </w:tcPr>
          <w:p>
            <w:pPr>
              <w:pStyle w:val="TableContents"/>
              <w:spacing w:before="0" w:after="283"/>
              <w:rPr/>
            </w:pPr>
            <w:r>
              <w:rPr/>
              <w:t> </w:t>
            </w:r>
          </w:p>
        </w:tc>
        <w:tc>
          <w:tcPr>
            <w:tcW w:w="670" w:type="dxa"/>
            <w:tcBorders/>
            <w:shd w:fill="CCEEFF" w:val="clear"/>
            <w:tcMar>
              <w:bottom w:w="0" w:type="dxa"/>
            </w:tcMar>
            <w:vAlign w:val="bottom"/>
          </w:tcPr>
          <w:p>
            <w:pPr>
              <w:pStyle w:val="TableContents"/>
              <w:spacing w:before="0" w:after="0"/>
              <w:jc w:val="right"/>
              <w:rPr>
                <w:color w:val="000000"/>
              </w:rPr>
            </w:pPr>
            <w:r>
              <w:rPr>
                <w:color w:val="000000"/>
              </w:rPr>
              <w:t>-</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334" w:type="dxa"/>
            <w:tcBorders/>
            <w:shd w:fill="CCEEFF" w:val="clear"/>
            <w:tcMar>
              <w:bottom w:w="0" w:type="dxa"/>
            </w:tcMar>
            <w:vAlign w:val="bottom"/>
          </w:tcPr>
          <w:p>
            <w:pPr>
              <w:pStyle w:val="TableContents"/>
              <w:spacing w:before="0" w:after="283"/>
              <w:rPr/>
            </w:pPr>
            <w:r>
              <w:rPr/>
              <w:t> </w:t>
            </w:r>
          </w:p>
        </w:tc>
        <w:tc>
          <w:tcPr>
            <w:tcW w:w="1530" w:type="dxa"/>
            <w:tcBorders/>
            <w:shd w:fill="CCEEFF" w:val="clear"/>
            <w:tcMar>
              <w:bottom w:w="0" w:type="dxa"/>
            </w:tcMar>
            <w:vAlign w:val="bottom"/>
          </w:tcPr>
          <w:p>
            <w:pPr>
              <w:pStyle w:val="TableContents"/>
              <w:spacing w:before="0" w:after="0"/>
              <w:jc w:val="right"/>
              <w:rPr>
                <w:color w:val="000000"/>
              </w:rPr>
            </w:pPr>
            <w:r>
              <w:rPr>
                <w:color w:val="000000"/>
              </w:rPr>
              <w:t>465</w:t>
            </w:r>
          </w:p>
        </w:tc>
        <w:tc>
          <w:tcPr>
            <w:tcW w:w="110" w:type="dxa"/>
            <w:tcBorders/>
            <w:shd w:fill="CCEEFF" w:val="clear"/>
            <w:tcMar>
              <w:bottom w:w="0" w:type="dxa"/>
            </w:tcMar>
            <w:vAlign w:val="bottom"/>
          </w:tcPr>
          <w:p>
            <w:pPr>
              <w:pStyle w:val="TableContents"/>
              <w:spacing w:before="0" w:after="283"/>
              <w:rPr/>
            </w:pPr>
            <w:r>
              <w:rPr/>
              <w:t> </w:t>
            </w:r>
          </w:p>
        </w:tc>
      </w:tr>
      <w:tr>
        <w:trPr/>
        <w:tc>
          <w:tcPr>
            <w:tcW w:w="2555" w:type="dxa"/>
            <w:tcBorders/>
            <w:shd w:fill="auto" w:val="clear"/>
            <w:tcMar>
              <w:bottom w:w="0" w:type="dxa"/>
            </w:tcMar>
            <w:vAlign w:val="bottom"/>
          </w:tcPr>
          <w:p>
            <w:pPr>
              <w:pStyle w:val="TableContents"/>
              <w:spacing w:before="0" w:after="0"/>
              <w:rPr>
                <w:color w:val="000000"/>
              </w:rPr>
            </w:pPr>
            <w:r>
              <w:rPr>
                <w:color w:val="000000"/>
              </w:rPr>
              <w:t>Down 100 basis points</w:t>
            </w:r>
          </w:p>
        </w:tc>
        <w:tc>
          <w:tcPr>
            <w:tcW w:w="60" w:type="dxa"/>
            <w:tcBorders/>
            <w:shd w:fill="auto" w:val="clear"/>
            <w:tcMar>
              <w:bottom w:w="0" w:type="dxa"/>
            </w:tcMar>
            <w:vAlign w:val="bottom"/>
          </w:tcPr>
          <w:p>
            <w:pPr>
              <w:pStyle w:val="TableContents"/>
              <w:spacing w:before="0" w:after="283"/>
              <w:jc w:val="right"/>
              <w:rPr/>
            </w:pPr>
            <w:r>
              <w:rPr/>
              <w:t> </w:t>
            </w:r>
          </w:p>
        </w:tc>
        <w:tc>
          <w:tcPr>
            <w:tcW w:w="289" w:type="dxa"/>
            <w:tcBorders/>
            <w:shd w:fill="auto" w:val="clear"/>
            <w:tcMar>
              <w:bottom w:w="0" w:type="dxa"/>
            </w:tcMar>
            <w:vAlign w:val="bottom"/>
          </w:tcPr>
          <w:p>
            <w:pPr>
              <w:pStyle w:val="TableContents"/>
              <w:spacing w:before="0" w:after="283"/>
              <w:rPr/>
            </w:pPr>
            <w:r>
              <w:rPr/>
              <w:t> </w:t>
            </w:r>
          </w:p>
        </w:tc>
        <w:tc>
          <w:tcPr>
            <w:tcW w:w="1320" w:type="dxa"/>
            <w:tcBorders/>
            <w:shd w:fill="auto" w:val="clear"/>
            <w:tcMar>
              <w:bottom w:w="0" w:type="dxa"/>
            </w:tcMar>
            <w:vAlign w:val="bottom"/>
          </w:tcPr>
          <w:p>
            <w:pPr>
              <w:pStyle w:val="TableContents"/>
              <w:spacing w:before="0" w:after="0"/>
              <w:jc w:val="right"/>
              <w:rPr>
                <w:color w:val="000000"/>
              </w:rPr>
            </w:pPr>
            <w:r>
              <w:rPr>
                <w:color w:val="000000"/>
              </w:rPr>
              <w:t>(465</w:t>
            </w:r>
          </w:p>
        </w:tc>
        <w:tc>
          <w:tcPr>
            <w:tcW w:w="95" w:type="dxa"/>
            <w:tcBorders/>
            <w:shd w:fill="auto" w:val="clear"/>
            <w:tcMar>
              <w:bottom w:w="0" w:type="dxa"/>
            </w:tcMar>
            <w:vAlign w:val="bottom"/>
          </w:tcPr>
          <w:p>
            <w:pPr>
              <w:pStyle w:val="TableContents"/>
              <w:spacing w:before="0" w:after="0"/>
              <w:rPr>
                <w:color w:val="000000"/>
              </w:rPr>
            </w:pPr>
            <w:r>
              <w:rPr>
                <w:color w:val="000000"/>
              </w:rPr>
              <w:t>)</w:t>
            </w:r>
          </w:p>
        </w:tc>
        <w:tc>
          <w:tcPr>
            <w:tcW w:w="60" w:type="dxa"/>
            <w:tcBorders/>
            <w:shd w:fill="auto" w:val="clear"/>
            <w:tcMar>
              <w:bottom w:w="0" w:type="dxa"/>
            </w:tcMar>
            <w:vAlign w:val="bottom"/>
          </w:tcPr>
          <w:p>
            <w:pPr>
              <w:pStyle w:val="TableContents"/>
              <w:spacing w:before="0" w:after="283"/>
              <w:jc w:val="right"/>
              <w:rPr/>
            </w:pPr>
            <w:r>
              <w:rPr/>
              <w:t> </w:t>
            </w:r>
          </w:p>
        </w:tc>
        <w:tc>
          <w:tcPr>
            <w:tcW w:w="984" w:type="dxa"/>
            <w:tcBorders/>
            <w:shd w:fill="auto" w:val="clear"/>
            <w:tcMar>
              <w:bottom w:w="0" w:type="dxa"/>
            </w:tcMar>
            <w:vAlign w:val="bottom"/>
          </w:tcPr>
          <w:p>
            <w:pPr>
              <w:pStyle w:val="TableContents"/>
              <w:spacing w:before="0" w:after="283"/>
              <w:rPr/>
            </w:pPr>
            <w:r>
              <w:rPr/>
              <w:t> </w:t>
            </w:r>
          </w:p>
        </w:tc>
        <w:tc>
          <w:tcPr>
            <w:tcW w:w="670" w:type="dxa"/>
            <w:tcBorders/>
            <w:shd w:fill="auto" w:val="clear"/>
            <w:tcMar>
              <w:bottom w:w="0" w:type="dxa"/>
            </w:tcMar>
            <w:vAlign w:val="bottom"/>
          </w:tcPr>
          <w:p>
            <w:pPr>
              <w:pStyle w:val="TableContents"/>
              <w:spacing w:before="0" w:after="0"/>
              <w:jc w:val="right"/>
              <w:rPr>
                <w:color w:val="000000"/>
              </w:rPr>
            </w:pPr>
            <w:r>
              <w:rPr>
                <w:color w:val="000000"/>
              </w:rPr>
              <w:t>-</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334" w:type="dxa"/>
            <w:tcBorders/>
            <w:shd w:fill="auto" w:val="clear"/>
            <w:tcMar>
              <w:bottom w:w="0" w:type="dxa"/>
            </w:tcMar>
            <w:vAlign w:val="bottom"/>
          </w:tcPr>
          <w:p>
            <w:pPr>
              <w:pStyle w:val="TableContents"/>
              <w:spacing w:before="0" w:after="283"/>
              <w:rPr/>
            </w:pPr>
            <w:r>
              <w:rPr/>
              <w:t> </w:t>
            </w:r>
          </w:p>
        </w:tc>
        <w:tc>
          <w:tcPr>
            <w:tcW w:w="1530" w:type="dxa"/>
            <w:tcBorders/>
            <w:shd w:fill="auto" w:val="clear"/>
            <w:tcMar>
              <w:bottom w:w="0" w:type="dxa"/>
            </w:tcMar>
            <w:vAlign w:val="bottom"/>
          </w:tcPr>
          <w:p>
            <w:pPr>
              <w:pStyle w:val="TableContents"/>
              <w:spacing w:before="0" w:after="0"/>
              <w:jc w:val="right"/>
              <w:rPr>
                <w:color w:val="000000"/>
              </w:rPr>
            </w:pPr>
            <w:r>
              <w:rPr>
                <w:color w:val="000000"/>
              </w:rPr>
              <w:t>(465</w:t>
            </w:r>
          </w:p>
        </w:tc>
        <w:tc>
          <w:tcPr>
            <w:tcW w:w="110" w:type="dxa"/>
            <w:tcBorders/>
            <w:shd w:fill="auto" w:val="clear"/>
            <w:tcMar>
              <w:bottom w:w="0" w:type="dxa"/>
            </w:tcMar>
            <w:vAlign w:val="bottom"/>
          </w:tcPr>
          <w:p>
            <w:pPr>
              <w:pStyle w:val="TableContents"/>
              <w:spacing w:before="0" w:after="0"/>
              <w:rPr>
                <w:color w:val="000000"/>
              </w:rPr>
            </w:pPr>
            <w:r>
              <w:rPr>
                <w:color w:val="000000"/>
              </w:rPr>
              <w:t>)</w:t>
            </w:r>
          </w:p>
        </w:tc>
      </w:tr>
      <w:tr>
        <w:trPr/>
        <w:tc>
          <w:tcPr>
            <w:tcW w:w="2555" w:type="dxa"/>
            <w:tcBorders/>
            <w:shd w:fill="CCEEFF" w:val="clear"/>
            <w:tcMar>
              <w:bottom w:w="0" w:type="dxa"/>
            </w:tcMar>
            <w:vAlign w:val="bottom"/>
          </w:tcPr>
          <w:p>
            <w:pPr>
              <w:pStyle w:val="TableContents"/>
              <w:spacing w:before="0" w:after="0"/>
              <w:rPr>
                <w:color w:val="000000"/>
              </w:rPr>
            </w:pPr>
            <w:r>
              <w:rPr>
                <w:color w:val="000000"/>
              </w:rPr>
              <w:t>Down 200 basis points</w:t>
            </w:r>
          </w:p>
        </w:tc>
        <w:tc>
          <w:tcPr>
            <w:tcW w:w="60" w:type="dxa"/>
            <w:tcBorders/>
            <w:shd w:fill="CCEEFF" w:val="clear"/>
            <w:tcMar>
              <w:bottom w:w="0" w:type="dxa"/>
            </w:tcMar>
            <w:vAlign w:val="bottom"/>
          </w:tcPr>
          <w:p>
            <w:pPr>
              <w:pStyle w:val="TableContents"/>
              <w:spacing w:before="0" w:after="283"/>
              <w:jc w:val="right"/>
              <w:rPr/>
            </w:pPr>
            <w:r>
              <w:rPr/>
              <w:t> </w:t>
            </w:r>
          </w:p>
        </w:tc>
        <w:tc>
          <w:tcPr>
            <w:tcW w:w="289" w:type="dxa"/>
            <w:tcBorders/>
            <w:shd w:fill="CCEEFF" w:val="clear"/>
            <w:tcMar>
              <w:bottom w:w="0" w:type="dxa"/>
            </w:tcMar>
            <w:vAlign w:val="bottom"/>
          </w:tcPr>
          <w:p>
            <w:pPr>
              <w:pStyle w:val="TableContents"/>
              <w:spacing w:before="0" w:after="283"/>
              <w:rPr/>
            </w:pPr>
            <w:r>
              <w:rPr/>
              <w:t> </w:t>
            </w:r>
          </w:p>
        </w:tc>
        <w:tc>
          <w:tcPr>
            <w:tcW w:w="1320" w:type="dxa"/>
            <w:tcBorders/>
            <w:shd w:fill="CCEEFF" w:val="clear"/>
            <w:tcMar>
              <w:bottom w:w="0" w:type="dxa"/>
            </w:tcMar>
            <w:vAlign w:val="bottom"/>
          </w:tcPr>
          <w:p>
            <w:pPr>
              <w:pStyle w:val="TableContents"/>
              <w:spacing w:before="0" w:after="0"/>
              <w:jc w:val="right"/>
              <w:rPr>
                <w:color w:val="000000"/>
              </w:rPr>
            </w:pPr>
            <w:r>
              <w:rPr>
                <w:color w:val="000000"/>
              </w:rPr>
              <w:t>(866</w:t>
            </w:r>
          </w:p>
        </w:tc>
        <w:tc>
          <w:tcPr>
            <w:tcW w:w="95" w:type="dxa"/>
            <w:tcBorders/>
            <w:shd w:fill="CCEEFF" w:val="clear"/>
            <w:tcMar>
              <w:bottom w:w="0" w:type="dxa"/>
            </w:tcMar>
            <w:vAlign w:val="bottom"/>
          </w:tcPr>
          <w:p>
            <w:pPr>
              <w:pStyle w:val="TableContents"/>
              <w:spacing w:before="0" w:after="0"/>
              <w:rPr>
                <w:color w:val="000000"/>
              </w:rPr>
            </w:pPr>
            <w:r>
              <w:rPr>
                <w:color w:val="000000"/>
              </w:rPr>
              <w:t>)</w:t>
            </w:r>
          </w:p>
        </w:tc>
        <w:tc>
          <w:tcPr>
            <w:tcW w:w="60" w:type="dxa"/>
            <w:tcBorders/>
            <w:shd w:fill="CCEEFF" w:val="clear"/>
            <w:tcMar>
              <w:bottom w:w="0" w:type="dxa"/>
            </w:tcMar>
            <w:vAlign w:val="bottom"/>
          </w:tcPr>
          <w:p>
            <w:pPr>
              <w:pStyle w:val="TableContents"/>
              <w:spacing w:before="0" w:after="283"/>
              <w:jc w:val="right"/>
              <w:rPr/>
            </w:pPr>
            <w:r>
              <w:rPr/>
              <w:t> </w:t>
            </w:r>
          </w:p>
        </w:tc>
        <w:tc>
          <w:tcPr>
            <w:tcW w:w="984" w:type="dxa"/>
            <w:tcBorders/>
            <w:shd w:fill="CCEEFF" w:val="clear"/>
            <w:tcMar>
              <w:bottom w:w="0" w:type="dxa"/>
            </w:tcMar>
            <w:vAlign w:val="bottom"/>
          </w:tcPr>
          <w:p>
            <w:pPr>
              <w:pStyle w:val="TableContents"/>
              <w:spacing w:before="0" w:after="283"/>
              <w:rPr/>
            </w:pPr>
            <w:r>
              <w:rPr/>
              <w:t> </w:t>
            </w:r>
          </w:p>
        </w:tc>
        <w:tc>
          <w:tcPr>
            <w:tcW w:w="670" w:type="dxa"/>
            <w:tcBorders/>
            <w:shd w:fill="CCEEFF" w:val="clear"/>
            <w:tcMar>
              <w:bottom w:w="0" w:type="dxa"/>
            </w:tcMar>
            <w:vAlign w:val="bottom"/>
          </w:tcPr>
          <w:p>
            <w:pPr>
              <w:pStyle w:val="TableContents"/>
              <w:spacing w:before="0" w:after="0"/>
              <w:jc w:val="right"/>
              <w:rPr>
                <w:color w:val="000000"/>
              </w:rPr>
            </w:pPr>
            <w:r>
              <w:rPr>
                <w:color w:val="000000"/>
              </w:rPr>
              <w:t>-</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334" w:type="dxa"/>
            <w:tcBorders/>
            <w:shd w:fill="CCEEFF" w:val="clear"/>
            <w:tcMar>
              <w:bottom w:w="0" w:type="dxa"/>
            </w:tcMar>
            <w:vAlign w:val="bottom"/>
          </w:tcPr>
          <w:p>
            <w:pPr>
              <w:pStyle w:val="TableContents"/>
              <w:spacing w:before="0" w:after="283"/>
              <w:rPr/>
            </w:pPr>
            <w:r>
              <w:rPr/>
              <w:t> </w:t>
            </w:r>
          </w:p>
        </w:tc>
        <w:tc>
          <w:tcPr>
            <w:tcW w:w="1530" w:type="dxa"/>
            <w:tcBorders/>
            <w:shd w:fill="CCEEFF" w:val="clear"/>
            <w:tcMar>
              <w:bottom w:w="0" w:type="dxa"/>
            </w:tcMar>
            <w:vAlign w:val="bottom"/>
          </w:tcPr>
          <w:p>
            <w:pPr>
              <w:pStyle w:val="TableContents"/>
              <w:spacing w:before="0" w:after="0"/>
              <w:jc w:val="right"/>
              <w:rPr>
                <w:color w:val="000000"/>
              </w:rPr>
            </w:pPr>
            <w:r>
              <w:rPr>
                <w:color w:val="000000"/>
              </w:rPr>
              <w:t>(866</w:t>
            </w:r>
          </w:p>
        </w:tc>
        <w:tc>
          <w:tcPr>
            <w:tcW w:w="110" w:type="dxa"/>
            <w:tcBorders/>
            <w:shd w:fill="CCEEFF" w:val="clear"/>
            <w:tcMar>
              <w:bottom w:w="0" w:type="dxa"/>
            </w:tcMar>
            <w:vAlign w:val="bottom"/>
          </w:tcPr>
          <w:p>
            <w:pPr>
              <w:pStyle w:val="TableContents"/>
              <w:spacing w:before="0" w:after="0"/>
              <w:rPr>
                <w:color w:val="000000"/>
              </w:rPr>
            </w:pPr>
            <w:r>
              <w:rPr>
                <w:color w:val="000000"/>
              </w:rPr>
              <w:t>)</w:t>
            </w:r>
          </w:p>
        </w:tc>
      </w:tr>
      <w:tr>
        <w:trPr/>
        <w:tc>
          <w:tcPr>
            <w:tcW w:w="2555" w:type="dxa"/>
            <w:tcBorders/>
            <w:shd w:fill="auto" w:val="clear"/>
            <w:tcMar>
              <w:bottom w:w="0" w:type="dxa"/>
            </w:tcMar>
            <w:vAlign w:val="bottom"/>
          </w:tcPr>
          <w:p>
            <w:pPr>
              <w:pStyle w:val="TableContents"/>
              <w:spacing w:before="0" w:after="0"/>
              <w:rPr>
                <w:color w:val="000000"/>
              </w:rPr>
            </w:pPr>
            <w:r>
              <w:rPr>
                <w:color w:val="000000"/>
              </w:rPr>
              <w:t>Down 300 basis points</w:t>
            </w:r>
          </w:p>
        </w:tc>
        <w:tc>
          <w:tcPr>
            <w:tcW w:w="60" w:type="dxa"/>
            <w:tcBorders/>
            <w:shd w:fill="auto" w:val="clear"/>
            <w:tcMar>
              <w:bottom w:w="0" w:type="dxa"/>
            </w:tcMar>
            <w:vAlign w:val="bottom"/>
          </w:tcPr>
          <w:p>
            <w:pPr>
              <w:pStyle w:val="TableContents"/>
              <w:spacing w:before="0" w:after="283"/>
              <w:jc w:val="right"/>
              <w:rPr/>
            </w:pPr>
            <w:r>
              <w:rPr/>
              <w:t> </w:t>
            </w:r>
          </w:p>
        </w:tc>
        <w:tc>
          <w:tcPr>
            <w:tcW w:w="289" w:type="dxa"/>
            <w:tcBorders/>
            <w:shd w:fill="auto" w:val="clear"/>
            <w:tcMar>
              <w:bottom w:w="0" w:type="dxa"/>
            </w:tcMar>
            <w:vAlign w:val="bottom"/>
          </w:tcPr>
          <w:p>
            <w:pPr>
              <w:pStyle w:val="TableContents"/>
              <w:spacing w:before="0" w:after="283"/>
              <w:rPr/>
            </w:pPr>
            <w:r>
              <w:rPr/>
              <w:t> </w:t>
            </w:r>
          </w:p>
        </w:tc>
        <w:tc>
          <w:tcPr>
            <w:tcW w:w="1320" w:type="dxa"/>
            <w:tcBorders/>
            <w:shd w:fill="auto" w:val="clear"/>
            <w:tcMar>
              <w:bottom w:w="0" w:type="dxa"/>
            </w:tcMar>
            <w:vAlign w:val="bottom"/>
          </w:tcPr>
          <w:p>
            <w:pPr>
              <w:pStyle w:val="TableContents"/>
              <w:spacing w:before="0" w:after="0"/>
              <w:jc w:val="right"/>
              <w:rPr>
                <w:color w:val="000000"/>
              </w:rPr>
            </w:pPr>
            <w:r>
              <w:rPr>
                <w:color w:val="000000"/>
              </w:rPr>
              <w:t>(1,076</w:t>
            </w:r>
          </w:p>
        </w:tc>
        <w:tc>
          <w:tcPr>
            <w:tcW w:w="95" w:type="dxa"/>
            <w:tcBorders/>
            <w:shd w:fill="auto" w:val="clear"/>
            <w:tcMar>
              <w:bottom w:w="0" w:type="dxa"/>
            </w:tcMar>
            <w:vAlign w:val="bottom"/>
          </w:tcPr>
          <w:p>
            <w:pPr>
              <w:pStyle w:val="TableContents"/>
              <w:spacing w:before="0" w:after="0"/>
              <w:rPr>
                <w:color w:val="000000"/>
              </w:rPr>
            </w:pPr>
            <w:r>
              <w:rPr>
                <w:color w:val="000000"/>
              </w:rPr>
              <w:t>)</w:t>
            </w:r>
          </w:p>
        </w:tc>
        <w:tc>
          <w:tcPr>
            <w:tcW w:w="60" w:type="dxa"/>
            <w:tcBorders/>
            <w:shd w:fill="auto" w:val="clear"/>
            <w:tcMar>
              <w:bottom w:w="0" w:type="dxa"/>
            </w:tcMar>
            <w:vAlign w:val="bottom"/>
          </w:tcPr>
          <w:p>
            <w:pPr>
              <w:pStyle w:val="TableContents"/>
              <w:spacing w:before="0" w:after="283"/>
              <w:jc w:val="right"/>
              <w:rPr/>
            </w:pPr>
            <w:r>
              <w:rPr/>
              <w:t> </w:t>
            </w:r>
          </w:p>
        </w:tc>
        <w:tc>
          <w:tcPr>
            <w:tcW w:w="984" w:type="dxa"/>
            <w:tcBorders/>
            <w:shd w:fill="auto" w:val="clear"/>
            <w:tcMar>
              <w:bottom w:w="0" w:type="dxa"/>
            </w:tcMar>
            <w:vAlign w:val="bottom"/>
          </w:tcPr>
          <w:p>
            <w:pPr>
              <w:pStyle w:val="TableContents"/>
              <w:spacing w:before="0" w:after="283"/>
              <w:rPr/>
            </w:pPr>
            <w:r>
              <w:rPr/>
              <w:t> </w:t>
            </w:r>
          </w:p>
        </w:tc>
        <w:tc>
          <w:tcPr>
            <w:tcW w:w="670" w:type="dxa"/>
            <w:tcBorders/>
            <w:shd w:fill="auto" w:val="clear"/>
            <w:tcMar>
              <w:bottom w:w="0" w:type="dxa"/>
            </w:tcMar>
            <w:vAlign w:val="bottom"/>
          </w:tcPr>
          <w:p>
            <w:pPr>
              <w:pStyle w:val="TableContents"/>
              <w:spacing w:before="0" w:after="0"/>
              <w:jc w:val="right"/>
              <w:rPr>
                <w:color w:val="000000"/>
              </w:rPr>
            </w:pPr>
            <w:r>
              <w:rPr>
                <w:color w:val="000000"/>
              </w:rPr>
              <w:t>-</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334" w:type="dxa"/>
            <w:tcBorders/>
            <w:shd w:fill="auto" w:val="clear"/>
            <w:tcMar>
              <w:bottom w:w="0" w:type="dxa"/>
            </w:tcMar>
            <w:vAlign w:val="bottom"/>
          </w:tcPr>
          <w:p>
            <w:pPr>
              <w:pStyle w:val="TableContents"/>
              <w:spacing w:before="0" w:after="283"/>
              <w:rPr/>
            </w:pPr>
            <w:r>
              <w:rPr/>
              <w:t> </w:t>
            </w:r>
          </w:p>
        </w:tc>
        <w:tc>
          <w:tcPr>
            <w:tcW w:w="1530" w:type="dxa"/>
            <w:tcBorders/>
            <w:shd w:fill="auto" w:val="clear"/>
            <w:tcMar>
              <w:bottom w:w="0" w:type="dxa"/>
            </w:tcMar>
            <w:vAlign w:val="bottom"/>
          </w:tcPr>
          <w:p>
            <w:pPr>
              <w:pStyle w:val="TableContents"/>
              <w:spacing w:before="0" w:after="0"/>
              <w:jc w:val="right"/>
              <w:rPr>
                <w:color w:val="000000"/>
              </w:rPr>
            </w:pPr>
            <w:r>
              <w:rPr>
                <w:color w:val="000000"/>
              </w:rPr>
              <w:t>(1,076</w:t>
            </w:r>
          </w:p>
        </w:tc>
        <w:tc>
          <w:tcPr>
            <w:tcW w:w="110" w:type="dxa"/>
            <w:tcBorders/>
            <w:shd w:fill="auto" w:val="clear"/>
            <w:tcMar>
              <w:bottom w:w="0" w:type="dxa"/>
            </w:tcMar>
            <w:vAlign w:val="bottom"/>
          </w:tcPr>
          <w:p>
            <w:pPr>
              <w:pStyle w:val="TableContents"/>
              <w:spacing w:before="0" w:after="0"/>
              <w:rPr>
                <w:color w:val="000000"/>
              </w:rPr>
            </w:pPr>
            <w:r>
              <w:rPr>
                <w:color w:val="000000"/>
              </w:rPr>
              <w:t>)</w:t>
            </w:r>
          </w:p>
        </w:tc>
      </w:tr>
    </w:tbl>
    <w:p>
      <w:pPr>
        <w:pStyle w:val="TextBody"/>
        <w:spacing w:before="0" w:after="0"/>
        <w:jc w:val="left"/>
        <w:rPr>
          <w:color w:val="000000"/>
        </w:rPr>
      </w:pPr>
      <w:r>
        <w:rPr>
          <w:color w:val="000000"/>
        </w:rPr>
        <w:t> </w:t>
      </w:r>
    </w:p>
    <w:p>
      <w:pPr>
        <w:pStyle w:val="Normal"/>
        <w:spacing w:before="0" w:after="0"/>
        <w:jc w:val="left"/>
        <w:rPr>
          <w:sz w:val="4"/>
          <w:szCs w:val="4"/>
        </w:rPr>
      </w:pPr>
      <w:r>
        <w:rPr>
          <w:sz w:val="4"/>
          <w:szCs w:val="4"/>
        </w:rPr>
      </w:r>
      <w:bookmarkStart w:id="14" w:name="Item4."/>
      <w:bookmarkStart w:id="15" w:name="Item4."/>
      <w:bookmarkEnd w:id="15"/>
    </w:p>
    <w:tbl>
      <w:tblPr>
        <w:tblW w:w="3325" w:type="dxa"/>
        <w:jc w:val="left"/>
        <w:tblInd w:w="0" w:type="dxa"/>
        <w:tblCellMar>
          <w:top w:w="0" w:type="dxa"/>
          <w:left w:w="0" w:type="dxa"/>
          <w:bottom w:w="0" w:type="dxa"/>
          <w:right w:w="0" w:type="dxa"/>
        </w:tblCellMar>
      </w:tblPr>
      <w:tblGrid>
        <w:gridCol w:w="740"/>
        <w:gridCol w:w="2585"/>
      </w:tblGrid>
      <w:tr>
        <w:trPr/>
        <w:tc>
          <w:tcPr>
            <w:tcW w:w="740" w:type="dxa"/>
            <w:tcBorders/>
            <w:shd w:fill="auto" w:val="clear"/>
            <w:vAlign w:val="center"/>
          </w:tcPr>
          <w:p>
            <w:pPr>
              <w:pStyle w:val="TableContents"/>
              <w:spacing w:before="0" w:after="0"/>
              <w:jc w:val="both"/>
              <w:rPr>
                <w:b/>
              </w:rPr>
            </w:pPr>
            <w:r>
              <w:rPr>
                <w:b/>
              </w:rPr>
              <w:t>Item 4.</w:t>
            </w:r>
          </w:p>
        </w:tc>
        <w:tc>
          <w:tcPr>
            <w:tcW w:w="2585" w:type="dxa"/>
            <w:tcBorders/>
            <w:shd w:fill="auto" w:val="clear"/>
            <w:vAlign w:val="center"/>
          </w:tcPr>
          <w:p>
            <w:pPr>
              <w:pStyle w:val="TableContents"/>
              <w:spacing w:before="0" w:after="0"/>
              <w:jc w:val="both"/>
              <w:rPr>
                <w:b/>
              </w:rPr>
            </w:pPr>
            <w:r>
              <w:rPr>
                <w:b/>
              </w:rPr>
              <w:t>Controls and Procedures</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In accordance with Rules 13a-15(b) and 15d-15(b) under the Exchange Act, we, under the supervision and with the participation of our Chief Executive Officer and Chief Financial Officer, carried out an evaluation of the effectiveness of our disclosure controls and procedures (as defined in Rule 13a-15(e) and Rule 15d-15(e) under the Exchange Act) as of the end of the period covered by this quarterly report on Form 10-Q and determined that our disclosure controls and procedures are effective as of the end of the period covered by this quarterly report on Form 10-Q.</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and 15d-15(f) under the Exchange Act) that occurred during the three months ended March 31, 2023 that have materially affected, or are reasonably likely to materially affect, our internal control over financial reporting.</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PART II: OTHER INFORMATION</w:t>
      </w:r>
    </w:p>
    <w:p>
      <w:pPr>
        <w:pStyle w:val="TextBody"/>
        <w:spacing w:before="0" w:after="0"/>
        <w:jc w:val="left"/>
        <w:rPr/>
      </w:pPr>
      <w:r>
        <w:rPr/>
      </w:r>
    </w:p>
    <w:p>
      <w:pPr>
        <w:pStyle w:val="Normal"/>
        <w:spacing w:before="0" w:after="0"/>
        <w:jc w:val="left"/>
        <w:rPr>
          <w:sz w:val="4"/>
          <w:szCs w:val="4"/>
        </w:rPr>
      </w:pPr>
      <w:r>
        <w:rPr>
          <w:sz w:val="4"/>
          <w:szCs w:val="4"/>
        </w:rPr>
      </w:r>
      <w:bookmarkStart w:id="16" w:name="LegalProceedings"/>
      <w:bookmarkStart w:id="17" w:name="LegalProceedings"/>
      <w:bookmarkEnd w:id="17"/>
    </w:p>
    <w:tbl>
      <w:tblPr>
        <w:tblW w:w="2635" w:type="dxa"/>
        <w:jc w:val="left"/>
        <w:tblInd w:w="0" w:type="dxa"/>
        <w:tblCellMar>
          <w:top w:w="0" w:type="dxa"/>
          <w:left w:w="0" w:type="dxa"/>
          <w:bottom w:w="0" w:type="dxa"/>
          <w:right w:w="0" w:type="dxa"/>
        </w:tblCellMar>
      </w:tblPr>
      <w:tblGrid>
        <w:gridCol w:w="740"/>
        <w:gridCol w:w="1895"/>
      </w:tblGrid>
      <w:tr>
        <w:trPr/>
        <w:tc>
          <w:tcPr>
            <w:tcW w:w="740" w:type="dxa"/>
            <w:tcBorders/>
            <w:shd w:fill="auto" w:val="clear"/>
            <w:vAlign w:val="center"/>
          </w:tcPr>
          <w:p>
            <w:pPr>
              <w:pStyle w:val="TableContents"/>
              <w:spacing w:before="0" w:after="0"/>
              <w:jc w:val="left"/>
              <w:rPr>
                <w:b/>
                <w:color w:val="000000"/>
              </w:rPr>
            </w:pPr>
            <w:r>
              <w:rPr>
                <w:b/>
                <w:color w:val="000000"/>
              </w:rPr>
              <w:t>Item 1.</w:t>
            </w:r>
          </w:p>
        </w:tc>
        <w:tc>
          <w:tcPr>
            <w:tcW w:w="1895" w:type="dxa"/>
            <w:tcBorders/>
            <w:shd w:fill="auto" w:val="clear"/>
            <w:vAlign w:val="center"/>
          </w:tcPr>
          <w:p>
            <w:pPr>
              <w:pStyle w:val="TableContents"/>
              <w:spacing w:before="0" w:after="0"/>
              <w:jc w:val="left"/>
              <w:rPr>
                <w:b/>
                <w:color w:val="000000"/>
              </w:rPr>
            </w:pPr>
            <w:r>
              <w:rPr>
                <w:b/>
                <w:color w:val="000000"/>
              </w:rPr>
              <w:t>Legal Proceedings</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pStyle w:val="TextBody"/>
        <w:spacing w:before="0" w:after="0"/>
        <w:jc w:val="left"/>
        <w:rPr/>
      </w:pPr>
      <w:r>
        <w:rPr/>
      </w:r>
    </w:p>
    <w:p>
      <w:pPr>
        <w:pStyle w:val="Normal"/>
        <w:spacing w:before="0" w:after="0"/>
        <w:jc w:val="left"/>
        <w:rPr>
          <w:sz w:val="4"/>
          <w:szCs w:val="4"/>
        </w:rPr>
      </w:pPr>
      <w:r>
        <w:rPr>
          <w:sz w:val="4"/>
          <w:szCs w:val="4"/>
        </w:rPr>
      </w:r>
      <w:bookmarkStart w:id="18" w:name="RiskFactors"/>
      <w:bookmarkStart w:id="19" w:name="RiskFactors"/>
      <w:bookmarkEnd w:id="19"/>
    </w:p>
    <w:tbl>
      <w:tblPr>
        <w:tblW w:w="2245" w:type="dxa"/>
        <w:jc w:val="left"/>
        <w:tblInd w:w="0" w:type="dxa"/>
        <w:tblCellMar>
          <w:top w:w="0" w:type="dxa"/>
          <w:left w:w="0" w:type="dxa"/>
          <w:bottom w:w="0" w:type="dxa"/>
          <w:right w:w="0" w:type="dxa"/>
        </w:tblCellMar>
      </w:tblPr>
      <w:tblGrid>
        <w:gridCol w:w="920"/>
        <w:gridCol w:w="1325"/>
      </w:tblGrid>
      <w:tr>
        <w:trPr/>
        <w:tc>
          <w:tcPr>
            <w:tcW w:w="920" w:type="dxa"/>
            <w:tcBorders/>
            <w:shd w:fill="auto" w:val="clear"/>
            <w:vAlign w:val="center"/>
          </w:tcPr>
          <w:p>
            <w:pPr>
              <w:pStyle w:val="TableContents"/>
              <w:spacing w:before="0" w:after="0"/>
              <w:jc w:val="both"/>
              <w:rPr>
                <w:b/>
              </w:rPr>
            </w:pPr>
            <w:r>
              <w:rPr>
                <w:b/>
              </w:rPr>
              <w:t>Item 1A.</w:t>
            </w:r>
          </w:p>
        </w:tc>
        <w:tc>
          <w:tcPr>
            <w:tcW w:w="1325" w:type="dxa"/>
            <w:tcBorders/>
            <w:shd w:fill="auto" w:val="clear"/>
            <w:vAlign w:val="center"/>
          </w:tcPr>
          <w:p>
            <w:pPr>
              <w:pStyle w:val="TableContents"/>
              <w:spacing w:before="0" w:after="0"/>
              <w:jc w:val="both"/>
              <w:rPr>
                <w:b/>
              </w:rPr>
            </w:pPr>
            <w:r>
              <w:rPr>
                <w:b/>
              </w:rPr>
              <w:t>Risk Factors</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There have been no material changes during the three months ended March 31, 2023 to the risk factors discussed in “Item 1A. Risk Factors” in our transition report on Form 10-K for the transition period from April 1, 2022 to December 31, 2022.</w:t>
      </w:r>
    </w:p>
    <w:p>
      <w:pPr>
        <w:pStyle w:val="TextBody"/>
        <w:spacing w:before="0" w:after="0"/>
        <w:jc w:val="left"/>
        <w:rPr>
          <w:color w:val="000000"/>
        </w:rPr>
      </w:pPr>
      <w:r>
        <w:rPr>
          <w:color w:val="000000"/>
        </w:rPr>
        <w:t> </w:t>
      </w:r>
    </w:p>
    <w:p>
      <w:pPr>
        <w:pStyle w:val="Normal"/>
        <w:spacing w:before="0" w:after="0"/>
        <w:jc w:val="left"/>
        <w:rPr>
          <w:sz w:val="4"/>
          <w:szCs w:val="4"/>
        </w:rPr>
      </w:pPr>
      <w:r>
        <w:rPr>
          <w:sz w:val="4"/>
          <w:szCs w:val="4"/>
        </w:rPr>
      </w:r>
      <w:bookmarkStart w:id="20" w:name="UnregisteredSalesofEquity"/>
      <w:bookmarkStart w:id="21" w:name="UnregisteredSalesofEquity"/>
      <w:bookmarkEnd w:id="21"/>
    </w:p>
    <w:tbl>
      <w:tblPr>
        <w:tblW w:w="6820" w:type="dxa"/>
        <w:jc w:val="left"/>
        <w:tblInd w:w="0" w:type="dxa"/>
        <w:tblCellMar>
          <w:top w:w="0" w:type="dxa"/>
          <w:left w:w="0" w:type="dxa"/>
          <w:bottom w:w="0" w:type="dxa"/>
          <w:right w:w="0" w:type="dxa"/>
        </w:tblCellMar>
      </w:tblPr>
      <w:tblGrid>
        <w:gridCol w:w="740"/>
        <w:gridCol w:w="6080"/>
      </w:tblGrid>
      <w:tr>
        <w:trPr/>
        <w:tc>
          <w:tcPr>
            <w:tcW w:w="740" w:type="dxa"/>
            <w:tcBorders/>
            <w:shd w:fill="auto" w:val="clear"/>
            <w:vAlign w:val="center"/>
          </w:tcPr>
          <w:p>
            <w:pPr>
              <w:pStyle w:val="TableContents"/>
              <w:spacing w:before="0" w:after="0"/>
              <w:jc w:val="left"/>
              <w:rPr>
                <w:b/>
                <w:color w:val="000000"/>
              </w:rPr>
            </w:pPr>
            <w:r>
              <w:rPr>
                <w:b/>
                <w:color w:val="000000"/>
              </w:rPr>
              <w:t>Item 2.</w:t>
            </w:r>
          </w:p>
        </w:tc>
        <w:tc>
          <w:tcPr>
            <w:tcW w:w="6080" w:type="dxa"/>
            <w:tcBorders/>
            <w:shd w:fill="auto" w:val="clear"/>
            <w:vAlign w:val="center"/>
          </w:tcPr>
          <w:p>
            <w:pPr>
              <w:pStyle w:val="TableContents"/>
              <w:spacing w:before="0" w:after="0"/>
              <w:jc w:val="left"/>
              <w:rPr>
                <w:b/>
                <w:color w:val="000000"/>
              </w:rPr>
            </w:pPr>
            <w:r>
              <w:rPr>
                <w:b/>
                <w:color w:val="000000"/>
              </w:rPr>
              <w:t>Unregistered Sales of Equity Securities and Use of Proceeds</w:t>
            </w:r>
          </w:p>
        </w:tc>
      </w:tr>
    </w:tbl>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None.</w:t>
      </w:r>
    </w:p>
    <w:p>
      <w:pPr>
        <w:pStyle w:val="TextBody"/>
        <w:spacing w:before="0" w:after="0"/>
        <w:jc w:val="left"/>
        <w:rPr/>
      </w:pPr>
      <w:r>
        <w:rPr/>
      </w:r>
    </w:p>
    <w:p>
      <w:pPr>
        <w:pStyle w:val="Normal"/>
        <w:spacing w:before="0" w:after="0"/>
        <w:jc w:val="left"/>
        <w:rPr>
          <w:sz w:val="4"/>
          <w:szCs w:val="4"/>
        </w:rPr>
      </w:pPr>
      <w:r>
        <w:rPr>
          <w:sz w:val="4"/>
          <w:szCs w:val="4"/>
        </w:rPr>
      </w:r>
      <w:bookmarkStart w:id="22" w:name="DefaultsUponSeniorSecurit"/>
      <w:bookmarkStart w:id="23" w:name="DefaultsUponSeniorSecurit"/>
      <w:bookmarkEnd w:id="23"/>
    </w:p>
    <w:tbl>
      <w:tblPr>
        <w:tblW w:w="4000" w:type="dxa"/>
        <w:jc w:val="left"/>
        <w:tblInd w:w="0" w:type="dxa"/>
        <w:tblCellMar>
          <w:top w:w="0" w:type="dxa"/>
          <w:left w:w="0" w:type="dxa"/>
          <w:bottom w:w="0" w:type="dxa"/>
          <w:right w:w="0" w:type="dxa"/>
        </w:tblCellMar>
      </w:tblPr>
      <w:tblGrid>
        <w:gridCol w:w="740"/>
        <w:gridCol w:w="3260"/>
      </w:tblGrid>
      <w:tr>
        <w:trPr/>
        <w:tc>
          <w:tcPr>
            <w:tcW w:w="740" w:type="dxa"/>
            <w:tcBorders/>
            <w:shd w:fill="auto" w:val="clear"/>
            <w:vAlign w:val="center"/>
          </w:tcPr>
          <w:p>
            <w:pPr>
              <w:pStyle w:val="TableContents"/>
              <w:spacing w:before="0" w:after="0"/>
              <w:jc w:val="left"/>
              <w:rPr>
                <w:b/>
                <w:color w:val="000000"/>
              </w:rPr>
            </w:pPr>
            <w:r>
              <w:rPr>
                <w:b/>
                <w:color w:val="000000"/>
              </w:rPr>
              <w:t>Item 3.</w:t>
            </w:r>
          </w:p>
        </w:tc>
        <w:tc>
          <w:tcPr>
            <w:tcW w:w="3260" w:type="dxa"/>
            <w:tcBorders/>
            <w:shd w:fill="auto" w:val="clear"/>
            <w:vAlign w:val="center"/>
          </w:tcPr>
          <w:p>
            <w:pPr>
              <w:pStyle w:val="TableContents"/>
              <w:spacing w:before="0" w:after="0"/>
              <w:jc w:val="left"/>
              <w:rPr>
                <w:b/>
                <w:color w:val="000000"/>
              </w:rPr>
            </w:pPr>
            <w:r>
              <w:rPr>
                <w:b/>
                <w:color w:val="000000"/>
              </w:rPr>
              <w:t>Defaults Upon Senior Securities</w:t>
            </w:r>
          </w:p>
        </w:tc>
      </w:tr>
    </w:tbl>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None.</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SILVER SPIKE INVESTMENT CORP.</w:t>
      </w:r>
    </w:p>
    <w:p>
      <w:pPr>
        <w:pStyle w:val="TextBody"/>
        <w:spacing w:before="0" w:after="0"/>
        <w:jc w:val="left"/>
        <w:rPr/>
      </w:pPr>
      <w:r>
        <w:rPr/>
      </w:r>
    </w:p>
    <w:p>
      <w:pPr>
        <w:pStyle w:val="Normal"/>
        <w:spacing w:before="0" w:after="0"/>
        <w:jc w:val="left"/>
        <w:rPr>
          <w:sz w:val="4"/>
          <w:szCs w:val="4"/>
        </w:rPr>
      </w:pPr>
      <w:r>
        <w:rPr>
          <w:sz w:val="4"/>
          <w:szCs w:val="4"/>
        </w:rPr>
      </w:r>
      <w:bookmarkStart w:id="24" w:name="MineSafetyDisclosures"/>
      <w:bookmarkStart w:id="25" w:name="MineSafetyDisclosures"/>
      <w:bookmarkEnd w:id="25"/>
    </w:p>
    <w:tbl>
      <w:tblPr>
        <w:tblW w:w="3190" w:type="dxa"/>
        <w:jc w:val="left"/>
        <w:tblInd w:w="0" w:type="dxa"/>
        <w:tblCellMar>
          <w:top w:w="0" w:type="dxa"/>
          <w:left w:w="0" w:type="dxa"/>
          <w:bottom w:w="0" w:type="dxa"/>
          <w:right w:w="0" w:type="dxa"/>
        </w:tblCellMar>
      </w:tblPr>
      <w:tblGrid>
        <w:gridCol w:w="740"/>
        <w:gridCol w:w="2450"/>
      </w:tblGrid>
      <w:tr>
        <w:trPr/>
        <w:tc>
          <w:tcPr>
            <w:tcW w:w="740" w:type="dxa"/>
            <w:tcBorders/>
            <w:shd w:fill="auto" w:val="clear"/>
            <w:vAlign w:val="center"/>
          </w:tcPr>
          <w:p>
            <w:pPr>
              <w:pStyle w:val="TableContents"/>
              <w:spacing w:before="0" w:after="0"/>
              <w:jc w:val="left"/>
              <w:rPr>
                <w:b/>
                <w:color w:val="000000"/>
              </w:rPr>
            </w:pPr>
            <w:r>
              <w:rPr>
                <w:b/>
                <w:color w:val="000000"/>
              </w:rPr>
              <w:t>Item 4.</w:t>
            </w:r>
          </w:p>
        </w:tc>
        <w:tc>
          <w:tcPr>
            <w:tcW w:w="2450" w:type="dxa"/>
            <w:tcBorders/>
            <w:shd w:fill="auto" w:val="clear"/>
            <w:vAlign w:val="center"/>
          </w:tcPr>
          <w:p>
            <w:pPr>
              <w:pStyle w:val="TableContents"/>
              <w:spacing w:before="0" w:after="0"/>
              <w:jc w:val="left"/>
              <w:rPr>
                <w:b/>
                <w:color w:val="000000"/>
              </w:rPr>
            </w:pPr>
            <w:r>
              <w:rPr>
                <w:b/>
                <w:color w:val="000000"/>
              </w:rPr>
              <w:t>Mine Safety Disclosures</w:t>
            </w:r>
          </w:p>
        </w:tc>
      </w:tr>
    </w:tbl>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Not Applicable.</w:t>
      </w:r>
    </w:p>
    <w:p>
      <w:pPr>
        <w:pStyle w:val="TextBody"/>
        <w:spacing w:before="0" w:after="0"/>
        <w:jc w:val="left"/>
        <w:rPr/>
      </w:pPr>
      <w:r>
        <w:rPr/>
      </w:r>
    </w:p>
    <w:p>
      <w:pPr>
        <w:pStyle w:val="Normal"/>
        <w:spacing w:before="0" w:after="0"/>
        <w:jc w:val="left"/>
        <w:rPr>
          <w:sz w:val="4"/>
          <w:szCs w:val="4"/>
        </w:rPr>
      </w:pPr>
      <w:r>
        <w:rPr>
          <w:sz w:val="4"/>
          <w:szCs w:val="4"/>
        </w:rPr>
      </w:r>
      <w:bookmarkStart w:id="26" w:name="OtherInformation"/>
      <w:bookmarkStart w:id="27" w:name="OtherInformation"/>
      <w:bookmarkEnd w:id="27"/>
    </w:p>
    <w:tbl>
      <w:tblPr>
        <w:tblW w:w="2665" w:type="dxa"/>
        <w:jc w:val="left"/>
        <w:tblInd w:w="0" w:type="dxa"/>
        <w:tblCellMar>
          <w:top w:w="0" w:type="dxa"/>
          <w:left w:w="0" w:type="dxa"/>
          <w:bottom w:w="0" w:type="dxa"/>
          <w:right w:w="0" w:type="dxa"/>
        </w:tblCellMar>
      </w:tblPr>
      <w:tblGrid>
        <w:gridCol w:w="740"/>
        <w:gridCol w:w="1925"/>
      </w:tblGrid>
      <w:tr>
        <w:trPr/>
        <w:tc>
          <w:tcPr>
            <w:tcW w:w="740" w:type="dxa"/>
            <w:tcBorders/>
            <w:shd w:fill="auto" w:val="clear"/>
            <w:vAlign w:val="center"/>
          </w:tcPr>
          <w:p>
            <w:pPr>
              <w:pStyle w:val="TableContents"/>
              <w:spacing w:before="0" w:after="0"/>
              <w:jc w:val="left"/>
              <w:rPr>
                <w:b/>
                <w:color w:val="000000"/>
              </w:rPr>
            </w:pPr>
            <w:r>
              <w:rPr>
                <w:b/>
                <w:color w:val="000000"/>
              </w:rPr>
              <w:t>Item 5.</w:t>
            </w:r>
          </w:p>
        </w:tc>
        <w:tc>
          <w:tcPr>
            <w:tcW w:w="1925" w:type="dxa"/>
            <w:tcBorders/>
            <w:shd w:fill="auto" w:val="clear"/>
            <w:vAlign w:val="center"/>
          </w:tcPr>
          <w:p>
            <w:pPr>
              <w:pStyle w:val="TableContents"/>
              <w:spacing w:before="0" w:after="0"/>
              <w:jc w:val="left"/>
              <w:rPr>
                <w:b/>
                <w:color w:val="000000"/>
              </w:rPr>
            </w:pPr>
            <w:r>
              <w:rPr>
                <w:b/>
                <w:color w:val="000000"/>
              </w:rPr>
              <w:t>Other Information</w:t>
            </w:r>
          </w:p>
        </w:tc>
      </w:tr>
    </w:tbl>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None.</w:t>
      </w:r>
    </w:p>
    <w:p>
      <w:pPr>
        <w:pStyle w:val="TextBody"/>
        <w:spacing w:before="0" w:after="0"/>
        <w:jc w:val="left"/>
        <w:rPr/>
      </w:pPr>
      <w:r>
        <w:rPr/>
      </w:r>
    </w:p>
    <w:p>
      <w:pPr>
        <w:pStyle w:val="Normal"/>
        <w:spacing w:before="0" w:after="0"/>
        <w:jc w:val="left"/>
        <w:rPr>
          <w:sz w:val="4"/>
          <w:szCs w:val="4"/>
        </w:rPr>
      </w:pPr>
      <w:r>
        <w:rPr>
          <w:sz w:val="4"/>
          <w:szCs w:val="4"/>
        </w:rPr>
      </w:r>
      <w:bookmarkStart w:id="28" w:name="Exhibits"/>
      <w:bookmarkStart w:id="29" w:name="Exhibits"/>
      <w:bookmarkEnd w:id="29"/>
    </w:p>
    <w:tbl>
      <w:tblPr>
        <w:tblW w:w="1615" w:type="dxa"/>
        <w:jc w:val="left"/>
        <w:tblInd w:w="0" w:type="dxa"/>
        <w:tblCellMar>
          <w:top w:w="0" w:type="dxa"/>
          <w:left w:w="0" w:type="dxa"/>
          <w:bottom w:w="0" w:type="dxa"/>
          <w:right w:w="0" w:type="dxa"/>
        </w:tblCellMar>
      </w:tblPr>
      <w:tblGrid>
        <w:gridCol w:w="740"/>
        <w:gridCol w:w="875"/>
      </w:tblGrid>
      <w:tr>
        <w:trPr/>
        <w:tc>
          <w:tcPr>
            <w:tcW w:w="740" w:type="dxa"/>
            <w:tcBorders/>
            <w:shd w:fill="auto" w:val="clear"/>
            <w:vAlign w:val="center"/>
          </w:tcPr>
          <w:p>
            <w:pPr>
              <w:pStyle w:val="TableContents"/>
              <w:spacing w:before="0" w:after="0"/>
              <w:jc w:val="both"/>
              <w:rPr>
                <w:b/>
              </w:rPr>
            </w:pPr>
            <w:r>
              <w:rPr>
                <w:b/>
              </w:rPr>
              <w:t>Item 6.</w:t>
            </w:r>
          </w:p>
        </w:tc>
        <w:tc>
          <w:tcPr>
            <w:tcW w:w="875" w:type="dxa"/>
            <w:tcBorders/>
            <w:shd w:fill="auto" w:val="clear"/>
            <w:vAlign w:val="center"/>
          </w:tcPr>
          <w:p>
            <w:pPr>
              <w:pStyle w:val="TableContents"/>
              <w:spacing w:before="0" w:after="0"/>
              <w:jc w:val="both"/>
              <w:rPr>
                <w:b/>
              </w:rPr>
            </w:pPr>
            <w:r>
              <w:rPr>
                <w:b/>
              </w:rPr>
              <w:t>Exhibits</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exhibits are filed as part of this quarterly report on Form 10-Q or hereby incorporated by reference to exhibits previously filed with the SEC:</w:t>
      </w:r>
    </w:p>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875"/>
        <w:gridCol w:w="9664"/>
      </w:tblGrid>
      <w:tr>
        <w:trPr/>
        <w:tc>
          <w:tcPr>
            <w:tcW w:w="875" w:type="dxa"/>
            <w:tcBorders/>
            <w:shd w:fill="auto" w:val="clear"/>
            <w:vAlign w:val="center"/>
          </w:tcPr>
          <w:p>
            <w:pPr>
              <w:pStyle w:val="TableContents"/>
              <w:spacing w:before="0" w:after="0"/>
              <w:jc w:val="both"/>
              <w:rPr>
                <w:b/>
              </w:rPr>
            </w:pPr>
            <w:r>
              <w:rPr>
                <w:b/>
              </w:rPr>
              <w:t xml:space="preserve">Exhibit </w:t>
            </w:r>
          </w:p>
          <w:p>
            <w:pPr>
              <w:pStyle w:val="TableContents"/>
              <w:spacing w:before="0" w:after="0"/>
              <w:jc w:val="both"/>
              <w:rPr>
                <w:b/>
              </w:rPr>
            </w:pPr>
            <w:r>
              <w:rPr>
                <w:b/>
              </w:rPr>
              <w:t>Number</w:t>
            </w:r>
          </w:p>
        </w:tc>
        <w:tc>
          <w:tcPr>
            <w:tcW w:w="9664" w:type="dxa"/>
            <w:tcBorders/>
            <w:shd w:fill="auto" w:val="clear"/>
            <w:vAlign w:val="center"/>
          </w:tcPr>
          <w:p>
            <w:pPr>
              <w:pStyle w:val="TableContents"/>
              <w:spacing w:before="0" w:after="0"/>
              <w:jc w:val="both"/>
              <w:rPr>
                <w:b/>
              </w:rPr>
            </w:pPr>
            <w:r>
              <w:rPr>
                <w:b/>
              </w:rPr>
              <w:t>Description of Exhibit</w:t>
            </w:r>
          </w:p>
        </w:tc>
      </w:tr>
      <w:tr>
        <w:trPr/>
        <w:tc>
          <w:tcPr>
            <w:tcW w:w="875" w:type="dxa"/>
            <w:tcBorders/>
            <w:shd w:fill="CCEEFF" w:val="clear"/>
            <w:vAlign w:val="center"/>
          </w:tcPr>
          <w:p>
            <w:pPr>
              <w:pStyle w:val="TableContents"/>
              <w:spacing w:before="0" w:after="0"/>
              <w:jc w:val="both"/>
              <w:rPr/>
            </w:pPr>
            <w:hyperlink r:id="rId2">
              <w:r>
                <w:rPr>
                  <w:rStyle w:val="InternetLink"/>
                </w:rPr>
                <w:t>3.1</w:t>
              </w:r>
            </w:hyperlink>
          </w:p>
        </w:tc>
        <w:tc>
          <w:tcPr>
            <w:tcW w:w="9664" w:type="dxa"/>
            <w:tcBorders/>
            <w:shd w:fill="CCEEFF" w:val="clear"/>
            <w:vAlign w:val="center"/>
          </w:tcPr>
          <w:p>
            <w:pPr>
              <w:pStyle w:val="TableContents"/>
              <w:spacing w:lineRule="auto" w:line="240" w:before="0" w:after="0"/>
              <w:jc w:val="both"/>
              <w:rPr/>
            </w:pPr>
            <w:r>
              <w:rPr/>
              <w:t>Articles of Amendment and Restatement of the Company(1)</w:t>
            </w:r>
          </w:p>
        </w:tc>
      </w:tr>
      <w:tr>
        <w:trPr/>
        <w:tc>
          <w:tcPr>
            <w:tcW w:w="875" w:type="dxa"/>
            <w:tcBorders/>
            <w:shd w:fill="auto" w:val="clear"/>
            <w:vAlign w:val="center"/>
          </w:tcPr>
          <w:p>
            <w:pPr>
              <w:pStyle w:val="TableContents"/>
              <w:spacing w:before="0" w:after="0"/>
              <w:jc w:val="both"/>
              <w:rPr/>
            </w:pPr>
            <w:hyperlink r:id="rId3">
              <w:r>
                <w:rPr>
                  <w:rStyle w:val="InternetLink"/>
                </w:rPr>
                <w:t>3.2</w:t>
              </w:r>
            </w:hyperlink>
          </w:p>
        </w:tc>
        <w:tc>
          <w:tcPr>
            <w:tcW w:w="9664" w:type="dxa"/>
            <w:tcBorders/>
            <w:shd w:fill="auto" w:val="clear"/>
            <w:vAlign w:val="center"/>
          </w:tcPr>
          <w:p>
            <w:pPr>
              <w:pStyle w:val="TableContents"/>
              <w:spacing w:lineRule="auto" w:line="240" w:before="0" w:after="0"/>
              <w:jc w:val="both"/>
              <w:rPr/>
            </w:pPr>
            <w:r>
              <w:rPr/>
              <w:t>Amended and Restated Bylaws of the Company(1)</w:t>
            </w:r>
          </w:p>
        </w:tc>
      </w:tr>
      <w:tr>
        <w:trPr/>
        <w:tc>
          <w:tcPr>
            <w:tcW w:w="875" w:type="dxa"/>
            <w:tcBorders/>
            <w:shd w:fill="CCEEFF" w:val="clear"/>
            <w:vAlign w:val="center"/>
          </w:tcPr>
          <w:p>
            <w:pPr>
              <w:pStyle w:val="TableContents"/>
              <w:spacing w:before="0" w:after="0"/>
              <w:jc w:val="both"/>
              <w:rPr/>
            </w:pPr>
            <w:hyperlink w:anchor="brhc20052248_ex31-1.htm">
              <w:r>
                <w:rPr>
                  <w:rStyle w:val="InternetLink"/>
                </w:rPr>
                <w:t>31.1</w:t>
              </w:r>
            </w:hyperlink>
          </w:p>
        </w:tc>
        <w:tc>
          <w:tcPr>
            <w:tcW w:w="9664" w:type="dxa"/>
            <w:tcBorders/>
            <w:shd w:fill="CCEEFF" w:val="clear"/>
            <w:vAlign w:val="center"/>
          </w:tcPr>
          <w:p>
            <w:pPr>
              <w:pStyle w:val="TableContents"/>
              <w:spacing w:before="0" w:after="0"/>
              <w:jc w:val="both"/>
              <w:rPr/>
            </w:pPr>
            <w:r>
              <w:rPr/>
              <w:t>Certification of Principal Executive Officer Pursuant to Rules 13a-14(a) and 15d-14(a) under the Securities Exchange Act of 1934, as Adopted Pursuant to Section 302 of the Sarbanes-Oxley Act of 2002*</w:t>
            </w:r>
          </w:p>
        </w:tc>
      </w:tr>
      <w:tr>
        <w:trPr/>
        <w:tc>
          <w:tcPr>
            <w:tcW w:w="875" w:type="dxa"/>
            <w:tcBorders/>
            <w:shd w:fill="auto" w:val="clear"/>
            <w:vAlign w:val="center"/>
          </w:tcPr>
          <w:p>
            <w:pPr>
              <w:pStyle w:val="TableContents"/>
              <w:spacing w:before="0" w:after="0"/>
              <w:jc w:val="both"/>
              <w:rPr/>
            </w:pPr>
            <w:hyperlink w:anchor="brhc20052248_ex31-2.htm">
              <w:r>
                <w:rPr>
                  <w:rStyle w:val="InternetLink"/>
                </w:rPr>
                <w:t>31.2</w:t>
              </w:r>
            </w:hyperlink>
          </w:p>
        </w:tc>
        <w:tc>
          <w:tcPr>
            <w:tcW w:w="9664" w:type="dxa"/>
            <w:tcBorders/>
            <w:shd w:fill="auto" w:val="clear"/>
            <w:vAlign w:val="center"/>
          </w:tcPr>
          <w:p>
            <w:pPr>
              <w:pStyle w:val="TableContents"/>
              <w:spacing w:before="0" w:after="0"/>
              <w:jc w:val="both"/>
              <w:rPr/>
            </w:pPr>
            <w:r>
              <w:rPr/>
              <w:t>Certification of Principal Financial Officer Pursuant to Rules 13a-14(a) and 15d-14(a) under the Securities Exchange Act of 1934, as Adopted Pursuant to Section 302 of the Sarbanes-Oxley Act of 2002*</w:t>
            </w:r>
          </w:p>
        </w:tc>
      </w:tr>
      <w:tr>
        <w:trPr/>
        <w:tc>
          <w:tcPr>
            <w:tcW w:w="875" w:type="dxa"/>
            <w:tcBorders/>
            <w:shd w:fill="CCEEFF" w:val="clear"/>
            <w:vAlign w:val="center"/>
          </w:tcPr>
          <w:p>
            <w:pPr>
              <w:pStyle w:val="TableContents"/>
              <w:spacing w:before="0" w:after="0"/>
              <w:jc w:val="both"/>
              <w:rPr/>
            </w:pPr>
            <w:hyperlink w:anchor="brhc20052248_ex32-1.htm">
              <w:r>
                <w:rPr>
                  <w:rStyle w:val="InternetLink"/>
                </w:rPr>
                <w:t>32.1</w:t>
              </w:r>
            </w:hyperlink>
          </w:p>
        </w:tc>
        <w:tc>
          <w:tcPr>
            <w:tcW w:w="9664" w:type="dxa"/>
            <w:tcBorders/>
            <w:shd w:fill="CCEEFF" w:val="clear"/>
            <w:vAlign w:val="center"/>
          </w:tcPr>
          <w:p>
            <w:pPr>
              <w:pStyle w:val="TableContents"/>
              <w:spacing w:before="0" w:after="0"/>
              <w:jc w:val="both"/>
              <w:rPr/>
            </w:pPr>
            <w:r>
              <w:rPr/>
              <w:t>Certification of Principal Executive Officer Pursuant to 18 U.S.C. Section 1350, as Adopted Pursuant to Section 906 of the Sarbanes-Oxley Act of 2002*</w:t>
            </w:r>
          </w:p>
        </w:tc>
      </w:tr>
      <w:tr>
        <w:trPr/>
        <w:tc>
          <w:tcPr>
            <w:tcW w:w="875" w:type="dxa"/>
            <w:tcBorders/>
            <w:shd w:fill="auto" w:val="clear"/>
            <w:vAlign w:val="center"/>
          </w:tcPr>
          <w:p>
            <w:pPr>
              <w:pStyle w:val="TableContents"/>
              <w:spacing w:before="0" w:after="0"/>
              <w:jc w:val="both"/>
              <w:rPr/>
            </w:pPr>
            <w:hyperlink w:anchor="brhc20052248_ex32-2.htm">
              <w:r>
                <w:rPr>
                  <w:rStyle w:val="InternetLink"/>
                </w:rPr>
                <w:t>32.2</w:t>
              </w:r>
            </w:hyperlink>
          </w:p>
        </w:tc>
        <w:tc>
          <w:tcPr>
            <w:tcW w:w="9664" w:type="dxa"/>
            <w:tcBorders/>
            <w:shd w:fill="auto" w:val="clear"/>
            <w:vAlign w:val="center"/>
          </w:tcPr>
          <w:p>
            <w:pPr>
              <w:pStyle w:val="TableContents"/>
              <w:spacing w:before="0" w:after="0"/>
              <w:jc w:val="both"/>
              <w:rPr/>
            </w:pPr>
            <w:r>
              <w:rPr/>
              <w:t>Certification of Principal Financial Officer Pursuant to 18 U.S.C. Section 1350, as Adopted Pursuant to Section 906 of the Sarbanes-Oxley Act of 2002*</w:t>
            </w:r>
          </w:p>
        </w:tc>
      </w:tr>
    </w:tbl>
    <w:p>
      <w:pPr>
        <w:pStyle w:val="TextBody"/>
        <w:spacing w:before="0" w:after="0"/>
        <w:rPr/>
      </w:pPr>
      <w:r>
        <w:rPr/>
      </w:r>
    </w:p>
    <w:tbl>
      <w:tblPr>
        <w:tblW w:w="1675" w:type="dxa"/>
        <w:jc w:val="left"/>
        <w:tblInd w:w="0" w:type="dxa"/>
        <w:tblCellMar>
          <w:top w:w="0" w:type="dxa"/>
          <w:left w:w="0" w:type="dxa"/>
          <w:bottom w:w="0" w:type="dxa"/>
          <w:right w:w="0" w:type="dxa"/>
        </w:tblCellMar>
      </w:tblPr>
      <w:tblGrid>
        <w:gridCol w:w="75"/>
        <w:gridCol w:w="140"/>
        <w:gridCol w:w="146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jc w:val="left"/>
              <w:rPr/>
            </w:pPr>
            <w:r>
              <w:rPr/>
              <w:t>*</w:t>
            </w:r>
          </w:p>
        </w:tc>
        <w:tc>
          <w:tcPr>
            <w:tcW w:w="1460" w:type="dxa"/>
            <w:tcBorders/>
            <w:shd w:fill="auto" w:val="clear"/>
            <w:vAlign w:val="center"/>
          </w:tcPr>
          <w:p>
            <w:pPr>
              <w:pStyle w:val="TableContents"/>
              <w:spacing w:before="0" w:after="0"/>
              <w:jc w:val="left"/>
              <w:rPr/>
            </w:pPr>
            <w:r>
              <w:rPr/>
              <w:t>Filed herewith.</w:t>
            </w:r>
          </w:p>
        </w:tc>
      </w:tr>
    </w:tbl>
    <w:p>
      <w:pPr>
        <w:pStyle w:val="TextBody"/>
        <w:spacing w:before="0" w:after="0"/>
        <w:rPr/>
      </w:pPr>
      <w:r>
        <w:rPr/>
      </w:r>
    </w:p>
    <w:tbl>
      <w:tblPr>
        <w:tblW w:w="9835" w:type="dxa"/>
        <w:jc w:val="left"/>
        <w:tblInd w:w="0" w:type="dxa"/>
        <w:tblCellMar>
          <w:top w:w="0" w:type="dxa"/>
          <w:left w:w="0" w:type="dxa"/>
          <w:bottom w:w="0" w:type="dxa"/>
          <w:right w:w="0" w:type="dxa"/>
        </w:tblCellMar>
      </w:tblPr>
      <w:tblGrid>
        <w:gridCol w:w="75"/>
        <w:gridCol w:w="290"/>
        <w:gridCol w:w="9470"/>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(1)</w:t>
            </w:r>
          </w:p>
        </w:tc>
        <w:tc>
          <w:tcPr>
            <w:tcW w:w="9470" w:type="dxa"/>
            <w:tcBorders/>
            <w:shd w:fill="auto" w:val="clear"/>
            <w:vAlign w:val="center"/>
          </w:tcPr>
          <w:p>
            <w:pPr>
              <w:pStyle w:val="TableContents"/>
              <w:spacing w:before="0" w:after="0"/>
              <w:rPr/>
            </w:pPr>
            <w:r>
              <w:rPr/>
              <w:t>I</w:t>
            </w:r>
            <w:r>
              <w:rPr>
                <w:color w:val="000000"/>
              </w:rPr>
              <w:t>ncorporated by reference to the Company’s annual report on Form 10-K/A, filed on June 30, 2022.</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SILVER SPIKE INVESTMENT CORP.</w:t>
      </w:r>
    </w:p>
    <w:p>
      <w:pPr>
        <w:pStyle w:val="TextBody"/>
        <w:spacing w:before="0" w:after="0"/>
        <w:jc w:val="left"/>
        <w:rPr>
          <w:b/>
          <w:color w:val="000000"/>
        </w:rPr>
      </w:pPr>
      <w:r>
        <w:rPr>
          <w:b/>
          <w:color w:val="000000"/>
        </w:rPr>
      </w:r>
    </w:p>
    <w:p>
      <w:pPr>
        <w:pStyle w:val="TextBody"/>
        <w:spacing w:before="0" w:after="0"/>
        <w:jc w:val="left"/>
        <w:rPr>
          <w:rFonts w:ascii="Times New Roman" w:hAnsi="Times New Roman"/>
          <w:b/>
          <w:color w:val="000000"/>
          <w:sz w:val="20"/>
        </w:rPr>
      </w:pPr>
      <w:bookmarkStart w:id="30" w:name="SIGNATURES"/>
      <w:bookmarkEnd w:id="30"/>
      <w:r>
        <w:rPr>
          <w:rFonts w:ascii="Times New Roman" w:hAnsi="Times New Roman"/>
          <w:b/>
          <w:color w:val="000000"/>
          <w:sz w:val="20"/>
        </w:rPr>
        <w:t>SIGNATURES</w:t>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 on May 12, 2023.</w:t>
      </w:r>
    </w:p>
    <w:p>
      <w:pPr>
        <w:pStyle w:val="TextBody"/>
        <w:spacing w:before="0" w:after="0"/>
        <w:jc w:val="left"/>
        <w:rPr>
          <w:color w:val="000000"/>
        </w:rPr>
      </w:pPr>
      <w:r>
        <w:rPr>
          <w:color w:val="000000"/>
        </w:rPr>
        <w:t> </w:t>
      </w:r>
    </w:p>
    <w:tbl>
      <w:tblPr>
        <w:tblW w:w="6948" w:type="dxa"/>
        <w:jc w:val="left"/>
        <w:tblInd w:w="0" w:type="dxa"/>
        <w:tblCellMar>
          <w:top w:w="0" w:type="dxa"/>
          <w:left w:w="0" w:type="dxa"/>
          <w:bottom w:w="0" w:type="dxa"/>
          <w:right w:w="0" w:type="dxa"/>
        </w:tblCellMar>
      </w:tblPr>
      <w:tblGrid>
        <w:gridCol w:w="60"/>
        <w:gridCol w:w="365"/>
        <w:gridCol w:w="23"/>
        <w:gridCol w:w="6500"/>
      </w:tblGrid>
      <w:tr>
        <w:trPr/>
        <w:tc>
          <w:tcPr>
            <w:tcW w:w="60" w:type="dxa"/>
            <w:tcBorders/>
            <w:shd w:fill="auto" w:val="clear"/>
            <w:vAlign w:val="center"/>
          </w:tcPr>
          <w:p>
            <w:pPr>
              <w:pStyle w:val="TableContents"/>
              <w:spacing w:before="0" w:after="283"/>
              <w:rPr/>
            </w:pPr>
            <w:r>
              <w:rPr/>
              <w:t> </w:t>
            </w:r>
          </w:p>
        </w:tc>
        <w:tc>
          <w:tcPr>
            <w:tcW w:w="6888" w:type="dxa"/>
            <w:gridSpan w:val="3"/>
            <w:tcBorders/>
            <w:shd w:fill="auto" w:val="clear"/>
            <w:vAlign w:val="center"/>
          </w:tcPr>
          <w:p>
            <w:pPr>
              <w:pStyle w:val="TableContents"/>
              <w:spacing w:before="0" w:after="0"/>
              <w:rPr>
                <w:b/>
              </w:rPr>
            </w:pPr>
            <w:r>
              <w:rPr>
                <w:b/>
              </w:rPr>
              <w:t>SILVER SPIKE INVESTMENT CORP.</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0"/>
              <w:rPr/>
            </w:pPr>
            <w:r>
              <w:rPr/>
              <w:t>By:</w:t>
            </w:r>
          </w:p>
        </w:tc>
        <w:tc>
          <w:tcPr>
            <w:tcW w:w="23" w:type="dxa"/>
            <w:tcBorders>
              <w:bottom w:val="single" w:sz="12" w:space="0" w:color="000000"/>
            </w:tcBorders>
            <w:shd w:fill="auto" w:val="clear"/>
            <w:tcMar>
              <w:bottom w:w="28" w:type="dxa"/>
            </w:tcMar>
            <w:vAlign w:val="center"/>
          </w:tcPr>
          <w:p>
            <w:pPr>
              <w:pStyle w:val="TableContents"/>
              <w:spacing w:before="0" w:after="283"/>
              <w:rPr/>
            </w:pPr>
            <w:r>
              <w:rPr/>
            </w:r>
          </w:p>
        </w:tc>
        <w:tc>
          <w:tcPr>
            <w:tcW w:w="6500" w:type="dxa"/>
            <w:tcBorders>
              <w:bottom w:val="single" w:sz="12" w:space="0" w:color="000000"/>
            </w:tcBorders>
            <w:shd w:fill="auto" w:val="clear"/>
            <w:tcMar>
              <w:bottom w:w="28" w:type="dxa"/>
            </w:tcMar>
            <w:vAlign w:val="center"/>
          </w:tcPr>
          <w:p>
            <w:pPr>
              <w:pStyle w:val="TableContents"/>
              <w:spacing w:before="0" w:after="0"/>
              <w:rPr/>
            </w:pPr>
            <w:r>
              <w:rPr/>
              <w:t>/s/ Scott Gordon</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pPr>
            <w:r>
              <w:rPr/>
            </w:r>
          </w:p>
        </w:tc>
        <w:tc>
          <w:tcPr>
            <w:tcW w:w="6500" w:type="dxa"/>
            <w:tcBorders/>
            <w:shd w:fill="auto" w:val="clear"/>
            <w:vAlign w:val="center"/>
          </w:tcPr>
          <w:p>
            <w:pPr>
              <w:pStyle w:val="TableContents"/>
              <w:spacing w:before="0" w:after="0"/>
              <w:rPr/>
            </w:pPr>
            <w:r>
              <w:rPr/>
              <w:t>Scott Gordon</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pPr>
            <w:r>
              <w:rPr/>
            </w:r>
          </w:p>
        </w:tc>
        <w:tc>
          <w:tcPr>
            <w:tcW w:w="6500" w:type="dxa"/>
            <w:tcBorders/>
            <w:shd w:fill="auto" w:val="clear"/>
            <w:vAlign w:val="center"/>
          </w:tcPr>
          <w:p>
            <w:pPr>
              <w:pStyle w:val="TableContents"/>
              <w:spacing w:before="0" w:after="0"/>
              <w:rPr/>
            </w:pPr>
            <w:r>
              <w:rPr/>
              <w:t>Chief Executive Officer (Principal Executive Officer)</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0"/>
              <w:rPr/>
            </w:pPr>
            <w:r>
              <w:rPr/>
              <w:t>By:</w:t>
            </w:r>
          </w:p>
        </w:tc>
        <w:tc>
          <w:tcPr>
            <w:tcW w:w="23" w:type="dxa"/>
            <w:tcBorders>
              <w:bottom w:val="single" w:sz="12" w:space="0" w:color="000000"/>
            </w:tcBorders>
            <w:shd w:fill="auto" w:val="clear"/>
            <w:tcMar>
              <w:bottom w:w="28" w:type="dxa"/>
            </w:tcMar>
            <w:vAlign w:val="center"/>
          </w:tcPr>
          <w:p>
            <w:pPr>
              <w:pStyle w:val="TableContents"/>
              <w:spacing w:before="0" w:after="283"/>
              <w:rPr/>
            </w:pPr>
            <w:r>
              <w:rPr/>
            </w:r>
          </w:p>
        </w:tc>
        <w:tc>
          <w:tcPr>
            <w:tcW w:w="6500" w:type="dxa"/>
            <w:tcBorders>
              <w:bottom w:val="single" w:sz="12" w:space="0" w:color="000000"/>
            </w:tcBorders>
            <w:shd w:fill="auto" w:val="clear"/>
            <w:tcMar>
              <w:bottom w:w="28" w:type="dxa"/>
            </w:tcMar>
            <w:vAlign w:val="center"/>
          </w:tcPr>
          <w:p>
            <w:pPr>
              <w:pStyle w:val="TableContents"/>
              <w:spacing w:before="0" w:after="0"/>
              <w:rPr/>
            </w:pPr>
            <w:r>
              <w:rPr/>
              <w:t>/s/ Umesh Mahajan</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pPr>
            <w:r>
              <w:rPr/>
            </w:r>
          </w:p>
        </w:tc>
        <w:tc>
          <w:tcPr>
            <w:tcW w:w="6500" w:type="dxa"/>
            <w:tcBorders/>
            <w:shd w:fill="auto" w:val="clear"/>
            <w:vAlign w:val="center"/>
          </w:tcPr>
          <w:p>
            <w:pPr>
              <w:pStyle w:val="TableContents"/>
              <w:spacing w:before="0" w:after="0"/>
              <w:rPr/>
            </w:pPr>
            <w:r>
              <w:rPr/>
              <w:t>Umesh Mahajan</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pPr>
            <w:r>
              <w:rPr/>
            </w:r>
          </w:p>
        </w:tc>
        <w:tc>
          <w:tcPr>
            <w:tcW w:w="6500" w:type="dxa"/>
            <w:tcBorders/>
            <w:shd w:fill="auto" w:val="clear"/>
            <w:vAlign w:val="center"/>
          </w:tcPr>
          <w:p>
            <w:pPr>
              <w:pStyle w:val="TableContents"/>
              <w:spacing w:before="0" w:after="0"/>
              <w:rPr>
                <w:color w:val="000000"/>
              </w:rPr>
            </w:pPr>
            <w:r>
              <w:rPr>
                <w:color w:val="000000"/>
              </w:rPr>
              <w:t>Chief Financial Officer (Principal Financial and Accounting Officer)</w:t>
            </w:r>
          </w:p>
        </w:tc>
      </w:tr>
    </w:tbl>
    <w:p>
      <w:pPr>
        <w:pStyle w:val="TextBody"/>
        <w:spacing w:before="0" w:after="0"/>
        <w:jc w:val="left"/>
        <w:rPr/>
      </w:pPr>
      <w:r>
        <w:rPr/>
      </w:r>
    </w:p>
    <w:p>
      <w:pPr>
        <w:pStyle w:val="TextBody"/>
        <w:spacing w:before="0" w:after="0"/>
        <w:jc w:val="left"/>
        <w:rPr/>
      </w:pPr>
      <w:r>
        <w:rPr/>
      </w:r>
    </w:p>
    <w:p>
      <w:pPr>
        <w:pStyle w:val="TextBody"/>
        <w:spacing w:before="0" w:after="0"/>
        <w:jc w:val="center"/>
        <w:rPr>
          <w:rFonts w:ascii="Times New Roman" w:hAnsi="Times New Roman"/>
          <w:color w:val="000000"/>
          <w:sz w:val="20"/>
        </w:rPr>
      </w:pPr>
      <w:r>
        <w:rPr>
          <w:rFonts w:ascii="Times New Roman" w:hAnsi="Times New Roman"/>
          <w:b w:val="false"/>
          <w:i w:val="false"/>
          <w:caps w:val="false"/>
          <w:smallCaps w:val="false"/>
          <w:color w:val="000000"/>
          <w:sz w:val="16"/>
        </w:rPr>
        <w:t>34</w:t>
      </w:r>
      <w:r>
        <w:rPr>
          <w:rFonts w:ascii="Times New Roman" w:hAnsi="Times New Roman"/>
          <w:color w:val="000000"/>
          <w:sz w:val="20"/>
        </w:rPr>
        <w:t xml:space="preserve"> </w:t>
      </w:r>
    </w:p>
    <w:p>
      <w:pPr>
        <w:pStyle w:val="HorizontalLine"/>
        <w:jc w:val="center"/>
        <w:rPr/>
      </w:pPr>
      <w:r>
        <w:rPr/>
      </w:r>
      <w:r>
        <w:br w:type="page"/>
      </w:r>
    </w:p>
    <w:p>
      <w:pPr>
        <w:pStyle w:val="HorizontalLine"/>
        <w:pBdr>
          <w:bottom w:val="single" w:sz="20" w:space="0" w:color="808080"/>
        </w:pBdr>
        <w:rPr/>
      </w:pPr>
      <w:r>
        <w:rPr/>
      </w:r>
      <w:bookmarkStart w:id="31" w:name="brhc20052248_ex31-1.htm"/>
      <w:bookmarkStart w:id="32" w:name="ksbrhc20052248_ex311"/>
      <w:bookmarkStart w:id="33" w:name="brhc20052248_ex31-1.htm"/>
      <w:bookmarkStart w:id="34" w:name="ksbrhc20052248_ex311"/>
      <w:bookmarkEnd w:id="33"/>
      <w:bookmarkEnd w:id="34"/>
    </w:p>
    <w:p>
      <w:pPr>
        <w:pStyle w:val="TextBody"/>
        <w:spacing w:before="0" w:after="0"/>
        <w:jc w:val="right"/>
        <w:rPr>
          <w:b/>
        </w:rPr>
      </w:pPr>
      <w:r>
        <w:rPr>
          <w:b/>
        </w:rPr>
        <w:t>Exhibit 31.1</w:t>
      </w:r>
    </w:p>
    <w:p>
      <w:pPr>
        <w:pStyle w:val="TextBody"/>
        <w:spacing w:before="0" w:after="0"/>
        <w:rPr/>
      </w:pPr>
      <w:r>
        <w:rPr/>
        <w:t> </w:t>
      </w:r>
    </w:p>
    <w:p>
      <w:pPr>
        <w:pStyle w:val="TextBody"/>
        <w:spacing w:before="0" w:after="0"/>
        <w:jc w:val="center"/>
        <w:rPr>
          <w:b/>
        </w:rPr>
      </w:pPr>
      <w:r>
        <w:rPr>
          <w:b/>
        </w:rPr>
        <w:t>CERTIFICATION PURSUANT TO</w:t>
      </w:r>
    </w:p>
    <w:p>
      <w:pPr>
        <w:pStyle w:val="TextBody"/>
        <w:spacing w:before="0" w:after="0"/>
        <w:jc w:val="center"/>
        <w:rPr>
          <w:b/>
        </w:rPr>
      </w:pPr>
      <w:r>
        <w:rPr>
          <w:b/>
        </w:rPr>
        <w:t>RULES 13a-14(a) AND 15d-14(a) UNDER THE SECURITIES EXCHANGE ACT OF 1934,</w:t>
      </w:r>
    </w:p>
    <w:p>
      <w:pPr>
        <w:pStyle w:val="TextBody"/>
        <w:spacing w:before="0" w:after="0"/>
        <w:jc w:val="center"/>
        <w:rPr>
          <w:b/>
        </w:rPr>
      </w:pPr>
      <w:r>
        <w:rPr>
          <w:b/>
        </w:rPr>
        <w:t>AS ADOPTED PURSUANT TO SECTION 302 OF THE SARBANES-OXLEY ACT OF 2002</w:t>
      </w:r>
    </w:p>
    <w:p>
      <w:pPr>
        <w:pStyle w:val="TextBody"/>
        <w:spacing w:before="0" w:after="0"/>
        <w:jc w:val="center"/>
        <w:rPr/>
      </w:pPr>
      <w:r>
        <w:rPr/>
      </w:r>
    </w:p>
    <w:p>
      <w:pPr>
        <w:pStyle w:val="TextBody"/>
        <w:spacing w:before="0" w:after="0"/>
        <w:rPr/>
      </w:pPr>
      <w:r>
        <w:rPr/>
        <w:t>I, Scott Gordon, Chief Executive Officer of Silver Spike Investment Corp., certify that:</w:t>
      </w:r>
    </w:p>
    <w:p>
      <w:pPr>
        <w:pStyle w:val="TextBody"/>
        <w:spacing w:before="0" w:after="0"/>
        <w:rPr/>
      </w:pPr>
      <w:r>
        <w:rPr/>
      </w:r>
    </w:p>
    <w:p>
      <w:pPr>
        <w:pStyle w:val="TextBody"/>
        <w:spacing w:before="0" w:after="0"/>
        <w:rPr/>
      </w:pPr>
      <w:r>
        <w:rPr/>
        <w:t>1. I have reviewed this Quarterly Report on Form 10-Q of Silver Spike Investment Corp. (the “registrant”) for the quarter ended March 31, 2023;</w:t>
      </w:r>
    </w:p>
    <w:p>
      <w:pPr>
        <w:pStyle w:val="TextBody"/>
        <w:spacing w:before="0" w:after="0"/>
        <w:rPr/>
      </w:pPr>
      <w:r>
        <w:rPr/>
      </w:r>
    </w:p>
    <w:p>
      <w:pPr>
        <w:pStyle w:val="TextBody"/>
        <w:spacing w:before="0" w:after="0"/>
        <w:rPr/>
      </w:pPr>
      <w:r>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spacing w:before="0" w:after="0"/>
        <w:rPr/>
      </w:pPr>
      <w:r>
        <w:rPr/>
      </w:r>
    </w:p>
    <w:p>
      <w:pPr>
        <w:pStyle w:val="TextBody"/>
        <w:spacing w:before="0" w:after="0"/>
        <w:rPr/>
      </w:pPr>
      <w:r>
        <w:rPr/>
        <w:t>3. 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pStyle w:val="TextBody"/>
        <w:spacing w:before="0" w:after="0"/>
        <w:rPr/>
      </w:pPr>
      <w:r>
        <w:rPr/>
      </w:r>
    </w:p>
    <w:p>
      <w:pPr>
        <w:pStyle w:val="TextBody"/>
        <w:spacing w:before="0" w:after="0"/>
        <w:rPr/>
      </w:pPr>
      <w:r>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before="0" w:after="0"/>
        <w:rPr/>
      </w:pPr>
      <w:r>
        <w:rPr>
          <w:i/>
        </w:rPr>
        <w:t xml:space="preserve">a) </w:t>
      </w:r>
      <w:r>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pStyle w:val="TextBody"/>
        <w:spacing w:before="0" w:after="0"/>
        <w:rPr/>
      </w:pPr>
      <w:r>
        <w:rPr/>
      </w:r>
    </w:p>
    <w:p>
      <w:pPr>
        <w:pStyle w:val="TextBody"/>
        <w:spacing w:before="0" w:after="0"/>
        <w:rPr/>
      </w:pPr>
      <w:r>
        <w:rPr>
          <w:i/>
        </w:rPr>
        <w:t>b)</w:t>
      </w:r>
      <w:r>
        <w:rPr/>
        <w:t xml:space="preserve">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before="0" w:after="0"/>
        <w:rPr/>
      </w:pPr>
      <w:r>
        <w:rPr>
          <w:i/>
        </w:rPr>
        <w:t>c)</w:t>
      </w:r>
      <w:r>
        <w:rPr/>
        <w:t xml:space="preserve">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before="0" w:after="0"/>
        <w:rPr/>
      </w:pPr>
      <w:r>
        <w:rPr>
          <w:i/>
        </w:rPr>
        <w:t>d)</w:t>
      </w:r>
      <w:r>
        <w:rPr/>
        <w:t xml:space="preserve">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before="0" w:after="0"/>
        <w:rPr/>
      </w:pPr>
      <w:r>
        <w:rPr/>
        <w:t>5. 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pStyle w:val="TextBody"/>
        <w:spacing w:before="0" w:after="0"/>
        <w:rPr/>
      </w:pPr>
      <w:r>
        <w:rPr/>
      </w:r>
    </w:p>
    <w:p>
      <w:pPr>
        <w:pStyle w:val="TextBody"/>
        <w:spacing w:before="0" w:after="0"/>
        <w:rPr/>
      </w:pPr>
      <w:r>
        <w:rPr>
          <w:i/>
        </w:rPr>
        <w:t xml:space="preserve">a) </w:t>
      </w: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t> </w:t>
      </w:r>
    </w:p>
    <w:p>
      <w:pPr>
        <w:pStyle w:val="TextBody"/>
        <w:spacing w:before="0" w:after="0"/>
        <w:rPr/>
      </w:pPr>
      <w:r>
        <w:rPr>
          <w:i/>
        </w:rPr>
        <w:t xml:space="preserve">b) </w:t>
      </w:r>
      <w:r>
        <w:rPr/>
        <w:t>Any fraud, whether or not material, that involves management or other employees who have a significant role in the registrant’s internal control over financial reporting.</w:t>
      </w:r>
    </w:p>
    <w:p>
      <w:pPr>
        <w:pStyle w:val="TextBody"/>
        <w:spacing w:before="0" w:after="0"/>
        <w:rPr/>
      </w:pPr>
      <w:r>
        <w:rPr/>
      </w:r>
    </w:p>
    <w:p>
      <w:pPr>
        <w:pStyle w:val="Normal"/>
        <w:spacing w:before="0" w:after="0"/>
        <w:rPr>
          <w:sz w:val="4"/>
          <w:szCs w:val="4"/>
        </w:rPr>
      </w:pPr>
      <w:r>
        <w:rPr>
          <w:sz w:val="4"/>
          <w:szCs w:val="4"/>
        </w:rPr>
      </w:r>
      <w:bookmarkStart w:id="35" w:name="z5638c3fa474348468e428c1b9105800e"/>
      <w:bookmarkStart w:id="36" w:name="z5638c3fa474348468e428c1b9105800e"/>
      <w:bookmarkEnd w:id="36"/>
    </w:p>
    <w:tbl>
      <w:tblPr>
        <w:tblW w:w="5205" w:type="dxa"/>
        <w:jc w:val="left"/>
        <w:tblInd w:w="0" w:type="dxa"/>
        <w:tblCellMar>
          <w:top w:w="0" w:type="dxa"/>
          <w:left w:w="0" w:type="dxa"/>
          <w:bottom w:w="0" w:type="dxa"/>
          <w:right w:w="0" w:type="dxa"/>
        </w:tblCellMar>
      </w:tblPr>
      <w:tblGrid>
        <w:gridCol w:w="1925"/>
        <w:gridCol w:w="365"/>
        <w:gridCol w:w="2915"/>
      </w:tblGrid>
      <w:tr>
        <w:trPr/>
        <w:tc>
          <w:tcPr>
            <w:tcW w:w="1925" w:type="dxa"/>
            <w:tcBorders/>
            <w:shd w:fill="auto" w:val="clear"/>
            <w:vAlign w:val="center"/>
          </w:tcPr>
          <w:p>
            <w:pPr>
              <w:pStyle w:val="TableContents"/>
              <w:spacing w:before="0" w:after="0"/>
              <w:rPr>
                <w:color w:val="000000"/>
              </w:rPr>
            </w:pPr>
            <w:r>
              <w:rPr>
                <w:color w:val="000000"/>
              </w:rPr>
              <w:t>Date: May 12, 2023</w:t>
            </w:r>
          </w:p>
        </w:tc>
        <w:tc>
          <w:tcPr>
            <w:tcW w:w="365" w:type="dxa"/>
            <w:tcBorders/>
            <w:shd w:fill="auto" w:val="clear"/>
            <w:vAlign w:val="center"/>
          </w:tcPr>
          <w:p>
            <w:pPr>
              <w:pStyle w:val="TableContents"/>
              <w:spacing w:before="0" w:after="0"/>
              <w:rPr>
                <w:color w:val="000000"/>
              </w:rPr>
            </w:pPr>
            <w:r>
              <w:rPr>
                <w:color w:val="000000"/>
              </w:rPr>
              <w:t>By:</w:t>
            </w:r>
          </w:p>
        </w:tc>
        <w:tc>
          <w:tcPr>
            <w:tcW w:w="2915" w:type="dxa"/>
            <w:tcBorders>
              <w:bottom w:val="single" w:sz="12" w:space="0" w:color="000000"/>
            </w:tcBorders>
            <w:shd w:fill="auto" w:val="clear"/>
            <w:tcMar>
              <w:bottom w:w="28" w:type="dxa"/>
            </w:tcMar>
            <w:vAlign w:val="center"/>
          </w:tcPr>
          <w:p>
            <w:pPr>
              <w:pStyle w:val="TableContents"/>
              <w:spacing w:before="0" w:after="0"/>
              <w:jc w:val="center"/>
              <w:rPr>
                <w:color w:val="000000"/>
              </w:rPr>
            </w:pPr>
            <w:r>
              <w:rPr>
                <w:color w:val="000000"/>
              </w:rPr>
              <w:t>/s/ Scott Gordon</w:t>
            </w:r>
          </w:p>
        </w:tc>
      </w:tr>
      <w:tr>
        <w:trPr/>
        <w:tc>
          <w:tcPr>
            <w:tcW w:w="192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0"/>
              <w:jc w:val="center"/>
              <w:rPr>
                <w:b/>
                <w:color w:val="000000"/>
              </w:rPr>
            </w:pPr>
            <w:r>
              <w:rPr>
                <w:b/>
                <w:color w:val="000000"/>
              </w:rPr>
              <w:t>Scott Gordon</w:t>
            </w:r>
          </w:p>
        </w:tc>
      </w:tr>
      <w:tr>
        <w:trPr/>
        <w:tc>
          <w:tcPr>
            <w:tcW w:w="192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0"/>
              <w:jc w:val="center"/>
              <w:rPr>
                <w:b/>
                <w:color w:val="000000"/>
              </w:rPr>
            </w:pPr>
            <w:r>
              <w:rPr>
                <w:b/>
                <w:color w:val="000000"/>
              </w:rPr>
              <w:t>Chief Executive Officer</w:t>
            </w:r>
          </w:p>
        </w:tc>
      </w:tr>
      <w:tr>
        <w:trPr/>
        <w:tc>
          <w:tcPr>
            <w:tcW w:w="192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0"/>
              <w:jc w:val="center"/>
              <w:rPr>
                <w:b/>
                <w:color w:val="000000"/>
              </w:rPr>
            </w:pPr>
            <w:r>
              <w:rPr>
                <w:b/>
                <w:color w:val="000000"/>
              </w:rPr>
              <w:t>(Principal Executive Officer)</w:t>
            </w:r>
          </w:p>
        </w:tc>
      </w:tr>
    </w:tbl>
    <w:p>
      <w:pPr>
        <w:pStyle w:val="TextBody"/>
        <w:spacing w:before="0" w:after="0"/>
        <w:rPr/>
      </w:pPr>
      <w:r>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37" w:name="brhc20052248_ex31-2.htm"/>
      <w:bookmarkStart w:id="38" w:name="ksbrhc20052248_ex312"/>
      <w:bookmarkStart w:id="39" w:name="brhc20052248_ex31-2.htm"/>
      <w:bookmarkStart w:id="40" w:name="ksbrhc20052248_ex312"/>
      <w:bookmarkEnd w:id="39"/>
      <w:bookmarkEnd w:id="40"/>
    </w:p>
    <w:p>
      <w:pPr>
        <w:pStyle w:val="TextBody"/>
        <w:spacing w:before="0" w:after="0"/>
        <w:jc w:val="right"/>
        <w:rPr>
          <w:b/>
        </w:rPr>
      </w:pPr>
      <w:r>
        <w:rPr>
          <w:b/>
        </w:rPr>
        <w:t>Exhibit 31.2</w:t>
      </w:r>
    </w:p>
    <w:p>
      <w:pPr>
        <w:pStyle w:val="TextBody"/>
        <w:spacing w:before="0" w:after="0"/>
        <w:rPr/>
      </w:pPr>
      <w:r>
        <w:rPr/>
        <w:t> </w:t>
      </w:r>
    </w:p>
    <w:p>
      <w:pPr>
        <w:pStyle w:val="TextBody"/>
        <w:spacing w:before="0" w:after="0"/>
        <w:jc w:val="center"/>
        <w:rPr>
          <w:b/>
        </w:rPr>
      </w:pPr>
      <w:r>
        <w:rPr>
          <w:b/>
        </w:rPr>
        <w:t>CERTIFICATION PURSUANT TO</w:t>
      </w:r>
    </w:p>
    <w:p>
      <w:pPr>
        <w:pStyle w:val="TextBody"/>
        <w:spacing w:before="0" w:after="0"/>
        <w:jc w:val="center"/>
        <w:rPr>
          <w:b/>
        </w:rPr>
      </w:pPr>
      <w:r>
        <w:rPr>
          <w:b/>
        </w:rPr>
        <w:t>RULES 13a-14(a) AND 15d-14(a) UNDER THE SECURITIES EXCHANGE ACT OF 1934,</w:t>
      </w:r>
    </w:p>
    <w:p>
      <w:pPr>
        <w:pStyle w:val="TextBody"/>
        <w:spacing w:before="0" w:after="0"/>
        <w:jc w:val="center"/>
        <w:rPr>
          <w:b/>
        </w:rPr>
      </w:pPr>
      <w:r>
        <w:rPr>
          <w:b/>
        </w:rPr>
        <w:t>AS ADOPTED PURSUANT TO SECTION 302 OF THE SARBANES-OXLEY ACT OF 2002</w:t>
      </w:r>
    </w:p>
    <w:p>
      <w:pPr>
        <w:pStyle w:val="TextBody"/>
        <w:spacing w:before="0" w:after="0"/>
        <w:jc w:val="center"/>
        <w:rPr/>
      </w:pPr>
      <w:r>
        <w:rPr/>
      </w:r>
    </w:p>
    <w:p>
      <w:pPr>
        <w:pStyle w:val="TextBody"/>
        <w:spacing w:before="0" w:after="0"/>
        <w:rPr/>
      </w:pPr>
      <w:r>
        <w:rPr/>
        <w:t xml:space="preserve">I, </w:t>
      </w:r>
      <w:r>
        <w:rPr>
          <w:color w:val="000000"/>
        </w:rPr>
        <w:t>Umesh Mahajan</w:t>
      </w:r>
      <w:r>
        <w:rPr/>
        <w:t>, Chief Financial Officer of Silver Spike Investment Corp., certify that:</w:t>
      </w:r>
    </w:p>
    <w:p>
      <w:pPr>
        <w:pStyle w:val="TextBody"/>
        <w:spacing w:before="0" w:after="0"/>
        <w:rPr/>
      </w:pPr>
      <w:r>
        <w:rPr/>
      </w:r>
    </w:p>
    <w:p>
      <w:pPr>
        <w:pStyle w:val="TextBody"/>
        <w:spacing w:before="0" w:after="0"/>
        <w:rPr/>
      </w:pPr>
      <w:r>
        <w:rPr/>
        <w:t>1. I have reviewed this Quarterly Report on Form 10-Q of Silver Spike Investment Corp. (the “registrant”) for the quarter ended March 31, 2023;</w:t>
      </w:r>
    </w:p>
    <w:p>
      <w:pPr>
        <w:pStyle w:val="TextBody"/>
        <w:spacing w:before="0" w:after="0"/>
        <w:rPr/>
      </w:pPr>
      <w:r>
        <w:rPr/>
      </w:r>
    </w:p>
    <w:p>
      <w:pPr>
        <w:pStyle w:val="TextBody"/>
        <w:spacing w:before="0" w:after="0"/>
        <w:rPr/>
      </w:pPr>
      <w:r>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spacing w:before="0" w:after="0"/>
        <w:rPr/>
      </w:pPr>
      <w:r>
        <w:rPr/>
      </w:r>
    </w:p>
    <w:p>
      <w:pPr>
        <w:pStyle w:val="TextBody"/>
        <w:spacing w:before="0" w:after="0"/>
        <w:rPr/>
      </w:pPr>
      <w:r>
        <w:rPr/>
        <w:t>3. 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pStyle w:val="TextBody"/>
        <w:spacing w:before="0" w:after="0"/>
        <w:rPr/>
      </w:pPr>
      <w:r>
        <w:rPr/>
      </w:r>
    </w:p>
    <w:p>
      <w:pPr>
        <w:pStyle w:val="TextBody"/>
        <w:spacing w:before="0" w:after="0"/>
        <w:rPr/>
      </w:pPr>
      <w:r>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before="0" w:after="0"/>
        <w:rPr/>
      </w:pPr>
      <w:r>
        <w:rPr>
          <w:i/>
        </w:rPr>
        <w:t xml:space="preserve">a) </w:t>
      </w:r>
      <w:r>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pStyle w:val="TextBody"/>
        <w:spacing w:before="0" w:after="0"/>
        <w:rPr/>
      </w:pPr>
      <w:r>
        <w:rPr/>
      </w:r>
    </w:p>
    <w:p>
      <w:pPr>
        <w:pStyle w:val="TextBody"/>
        <w:spacing w:before="0" w:after="0"/>
        <w:rPr/>
      </w:pPr>
      <w:r>
        <w:rPr>
          <w:i/>
        </w:rPr>
        <w:t>b)</w:t>
      </w:r>
      <w:r>
        <w:rPr/>
        <w:t xml:space="preserve">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before="0" w:after="0"/>
        <w:rPr/>
      </w:pPr>
      <w:r>
        <w:rPr>
          <w:i/>
        </w:rPr>
        <w:t>c)</w:t>
      </w:r>
      <w:r>
        <w:rPr/>
        <w:t xml:space="preserve">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before="0" w:after="0"/>
        <w:rPr/>
      </w:pPr>
      <w:r>
        <w:rPr>
          <w:i/>
        </w:rPr>
        <w:t>d)</w:t>
      </w:r>
      <w:r>
        <w:rPr/>
        <w:t xml:space="preserve">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before="0" w:after="0"/>
        <w:rPr/>
      </w:pPr>
      <w:r>
        <w:rPr/>
        <w:t>5. 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pStyle w:val="TextBody"/>
        <w:spacing w:before="0" w:after="0"/>
        <w:rPr/>
      </w:pPr>
      <w:r>
        <w:rPr/>
      </w:r>
    </w:p>
    <w:p>
      <w:pPr>
        <w:pStyle w:val="TextBody"/>
        <w:spacing w:before="0" w:after="0"/>
        <w:rPr/>
      </w:pPr>
      <w:r>
        <w:rPr>
          <w:i/>
        </w:rPr>
        <w:t xml:space="preserve">a) </w:t>
      </w: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before="0" w:after="0"/>
        <w:rPr/>
      </w:pPr>
      <w:r>
        <w:rPr>
          <w:i/>
        </w:rPr>
        <w:t xml:space="preserve">b) </w:t>
      </w:r>
      <w:r>
        <w:rPr/>
        <w:t>Any fraud, whether or not material, that involves management or other employees who have a significant role in the registrant’s internal control over financial reporting.</w:t>
      </w:r>
    </w:p>
    <w:p>
      <w:pPr>
        <w:pStyle w:val="TextBody"/>
        <w:spacing w:before="0" w:after="0"/>
        <w:rPr/>
      </w:pPr>
      <w:r>
        <w:rPr/>
      </w:r>
    </w:p>
    <w:p>
      <w:pPr>
        <w:pStyle w:val="Normal"/>
        <w:spacing w:before="0" w:after="0"/>
        <w:rPr>
          <w:sz w:val="4"/>
          <w:szCs w:val="4"/>
        </w:rPr>
      </w:pPr>
      <w:r>
        <w:rPr>
          <w:sz w:val="4"/>
          <w:szCs w:val="4"/>
        </w:rPr>
      </w:r>
      <w:bookmarkStart w:id="41" w:name="z2a6e0d9211544539a41758288bd3fba9"/>
      <w:bookmarkStart w:id="42" w:name="z2a6e0d9211544539a41758288bd3fba9"/>
      <w:bookmarkEnd w:id="42"/>
    </w:p>
    <w:tbl>
      <w:tblPr>
        <w:tblW w:w="5160" w:type="dxa"/>
        <w:jc w:val="left"/>
        <w:tblInd w:w="0" w:type="dxa"/>
        <w:tblCellMar>
          <w:top w:w="0" w:type="dxa"/>
          <w:left w:w="0" w:type="dxa"/>
          <w:bottom w:w="0" w:type="dxa"/>
          <w:right w:w="0" w:type="dxa"/>
        </w:tblCellMar>
      </w:tblPr>
      <w:tblGrid>
        <w:gridCol w:w="1925"/>
        <w:gridCol w:w="365"/>
        <w:gridCol w:w="2870"/>
      </w:tblGrid>
      <w:tr>
        <w:trPr/>
        <w:tc>
          <w:tcPr>
            <w:tcW w:w="1925" w:type="dxa"/>
            <w:tcBorders/>
            <w:shd w:fill="auto" w:val="clear"/>
            <w:vAlign w:val="center"/>
          </w:tcPr>
          <w:p>
            <w:pPr>
              <w:pStyle w:val="TableContents"/>
              <w:spacing w:before="0" w:after="0"/>
              <w:rPr>
                <w:color w:val="000000"/>
              </w:rPr>
            </w:pPr>
            <w:r>
              <w:rPr>
                <w:color w:val="000000"/>
              </w:rPr>
              <w:t>Date: May 12, 2023</w:t>
            </w:r>
          </w:p>
        </w:tc>
        <w:tc>
          <w:tcPr>
            <w:tcW w:w="365" w:type="dxa"/>
            <w:tcBorders/>
            <w:shd w:fill="auto" w:val="clear"/>
            <w:vAlign w:val="center"/>
          </w:tcPr>
          <w:p>
            <w:pPr>
              <w:pStyle w:val="TableContents"/>
              <w:spacing w:before="0" w:after="0"/>
              <w:rPr>
                <w:color w:val="000000"/>
              </w:rPr>
            </w:pPr>
            <w:r>
              <w:rPr>
                <w:color w:val="000000"/>
              </w:rPr>
              <w:t>By:</w:t>
            </w:r>
          </w:p>
        </w:tc>
        <w:tc>
          <w:tcPr>
            <w:tcW w:w="2870" w:type="dxa"/>
            <w:tcBorders>
              <w:bottom w:val="single" w:sz="12" w:space="0" w:color="000000"/>
            </w:tcBorders>
            <w:shd w:fill="auto" w:val="clear"/>
            <w:tcMar>
              <w:bottom w:w="28" w:type="dxa"/>
            </w:tcMar>
            <w:vAlign w:val="center"/>
          </w:tcPr>
          <w:p>
            <w:pPr>
              <w:pStyle w:val="TableContents"/>
              <w:spacing w:before="0" w:after="0"/>
              <w:jc w:val="center"/>
              <w:rPr>
                <w:color w:val="000000"/>
              </w:rPr>
            </w:pPr>
            <w:r>
              <w:rPr>
                <w:color w:val="000000"/>
              </w:rPr>
              <w:t>/s/ Umesh Mahajan</w:t>
            </w:r>
          </w:p>
        </w:tc>
      </w:tr>
      <w:tr>
        <w:trPr/>
        <w:tc>
          <w:tcPr>
            <w:tcW w:w="192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870" w:type="dxa"/>
            <w:tcBorders/>
            <w:shd w:fill="auto" w:val="clear"/>
            <w:vAlign w:val="center"/>
          </w:tcPr>
          <w:p>
            <w:pPr>
              <w:pStyle w:val="TableContents"/>
              <w:spacing w:before="0" w:after="0"/>
              <w:jc w:val="center"/>
              <w:rPr>
                <w:b/>
                <w:color w:val="000000"/>
              </w:rPr>
            </w:pPr>
            <w:r>
              <w:rPr>
                <w:b/>
                <w:color w:val="000000"/>
              </w:rPr>
              <w:t>Umesh Mahajan</w:t>
            </w:r>
          </w:p>
        </w:tc>
      </w:tr>
      <w:tr>
        <w:trPr/>
        <w:tc>
          <w:tcPr>
            <w:tcW w:w="192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870" w:type="dxa"/>
            <w:tcBorders/>
            <w:shd w:fill="auto" w:val="clear"/>
            <w:vAlign w:val="center"/>
          </w:tcPr>
          <w:p>
            <w:pPr>
              <w:pStyle w:val="TableContents"/>
              <w:spacing w:before="0" w:after="0"/>
              <w:jc w:val="center"/>
              <w:rPr>
                <w:b/>
                <w:color w:val="000000"/>
              </w:rPr>
            </w:pPr>
            <w:r>
              <w:rPr>
                <w:b/>
                <w:color w:val="000000"/>
              </w:rPr>
              <w:t>Chief Financial Officer</w:t>
            </w:r>
          </w:p>
        </w:tc>
      </w:tr>
      <w:tr>
        <w:trPr/>
        <w:tc>
          <w:tcPr>
            <w:tcW w:w="1925" w:type="dxa"/>
            <w:tcBorders/>
            <w:shd w:fill="auto" w:val="clear"/>
            <w:vAlign w:val="center"/>
          </w:tcPr>
          <w:p>
            <w:pPr>
              <w:pStyle w:val="TableContents"/>
              <w:spacing w:before="0" w:after="0"/>
              <w:rPr>
                <w:b/>
                <w:color w:val="000000"/>
              </w:rPr>
            </w:pPr>
            <w:r>
              <w:rPr>
                <w:b/>
                <w:color w:val="000000"/>
              </w:rPr>
            </w:r>
          </w:p>
        </w:tc>
        <w:tc>
          <w:tcPr>
            <w:tcW w:w="365" w:type="dxa"/>
            <w:tcBorders/>
            <w:shd w:fill="auto" w:val="clear"/>
            <w:vAlign w:val="center"/>
          </w:tcPr>
          <w:p>
            <w:pPr>
              <w:pStyle w:val="TableContents"/>
              <w:spacing w:before="0" w:after="283"/>
              <w:rPr/>
            </w:pPr>
            <w:r>
              <w:rPr/>
              <w:t> </w:t>
            </w:r>
          </w:p>
        </w:tc>
        <w:tc>
          <w:tcPr>
            <w:tcW w:w="2870" w:type="dxa"/>
            <w:tcBorders/>
            <w:shd w:fill="auto" w:val="clear"/>
            <w:vAlign w:val="center"/>
          </w:tcPr>
          <w:p>
            <w:pPr>
              <w:pStyle w:val="TableContents"/>
              <w:spacing w:before="0" w:after="0"/>
              <w:jc w:val="center"/>
              <w:rPr>
                <w:b/>
                <w:color w:val="000000"/>
              </w:rPr>
            </w:pPr>
            <w:r>
              <w:rPr>
                <w:b/>
                <w:color w:val="000000"/>
              </w:rPr>
              <w:t>(Principal Financial Officer)</w:t>
            </w:r>
          </w:p>
        </w:tc>
      </w:tr>
    </w:tbl>
    <w:p>
      <w:pPr>
        <w:pStyle w:val="TextBody"/>
        <w:spacing w:before="0" w:after="0"/>
        <w:rPr/>
      </w:pPr>
      <w:r>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43" w:name="brhc20052248_ex32-1.htm"/>
      <w:bookmarkStart w:id="44" w:name="ksbrhc20052248_ex321"/>
      <w:bookmarkStart w:id="45" w:name="brhc20052248_ex32-1.htm"/>
      <w:bookmarkStart w:id="46" w:name="ksbrhc20052248_ex321"/>
      <w:bookmarkEnd w:id="45"/>
      <w:bookmarkEnd w:id="46"/>
    </w:p>
    <w:p>
      <w:pPr>
        <w:pStyle w:val="TextBody"/>
        <w:spacing w:before="0" w:after="0"/>
        <w:jc w:val="right"/>
        <w:rPr>
          <w:b/>
        </w:rPr>
      </w:pPr>
      <w:r>
        <w:rPr>
          <w:b/>
        </w:rPr>
        <w:t>Exhibit 32.1</w:t>
      </w:r>
    </w:p>
    <w:p>
      <w:pPr>
        <w:pStyle w:val="TextBody"/>
        <w:spacing w:before="0" w:after="0"/>
        <w:jc w:val="center"/>
        <w:rPr>
          <w:b/>
        </w:rPr>
      </w:pPr>
      <w:r>
        <w:rPr>
          <w:b/>
        </w:rPr>
        <w:t>CERTIFICATION PURSUANT TO</w:t>
      </w:r>
    </w:p>
    <w:p>
      <w:pPr>
        <w:pStyle w:val="TextBody"/>
        <w:spacing w:before="0" w:after="0"/>
        <w:jc w:val="center"/>
        <w:rPr>
          <w:b/>
        </w:rPr>
      </w:pPr>
      <w:r>
        <w:rPr>
          <w:b/>
        </w:rPr>
        <w:t>SECTION 1350, CHAPTER 63 OF TITLE 18, UNITED STATES CODE,</w:t>
      </w:r>
    </w:p>
    <w:p>
      <w:pPr>
        <w:pStyle w:val="TextBody"/>
        <w:spacing w:before="0" w:after="0"/>
        <w:jc w:val="center"/>
        <w:rPr>
          <w:b/>
        </w:rPr>
      </w:pPr>
      <w:r>
        <w:rPr>
          <w:b/>
        </w:rPr>
        <w:t>AS ADOPTED PURSUANT TO</w:t>
      </w:r>
    </w:p>
    <w:p>
      <w:pPr>
        <w:pStyle w:val="TextBody"/>
        <w:spacing w:before="0" w:after="0"/>
        <w:jc w:val="center"/>
        <w:rPr>
          <w:b/>
        </w:rPr>
      </w:pPr>
      <w:r>
        <w:rPr>
          <w:b/>
        </w:rPr>
        <w:t>SECTION 906 OF THE SARBANES-OXLEY ACT OF 2002</w:t>
      </w:r>
    </w:p>
    <w:p>
      <w:pPr>
        <w:pStyle w:val="TextBody"/>
        <w:spacing w:before="0" w:after="0"/>
        <w:jc w:val="center"/>
        <w:rPr/>
      </w:pPr>
      <w:r>
        <w:rPr/>
      </w:r>
    </w:p>
    <w:p>
      <w:pPr>
        <w:pStyle w:val="TextBody"/>
        <w:spacing w:before="0" w:after="0"/>
        <w:rPr/>
      </w:pPr>
      <w:r>
        <w:rPr/>
        <w:t>Pursuant to Section 1350, Chapter 63 of Title 18, United States Code, as adopted pursuant to Section 906 of the Sarbanes-Oxley Act of 2002, the undersigned, as Chief Executive Officer of Silver Spike Investment Corp. (the “Company”), does hereby certify that to the undersigned’s knowledge:</w:t>
      </w:r>
    </w:p>
    <w:p>
      <w:pPr>
        <w:pStyle w:val="TextBody"/>
        <w:spacing w:before="0" w:after="0"/>
        <w:rPr/>
      </w:pPr>
      <w:r>
        <w:rPr/>
      </w:r>
    </w:p>
    <w:p>
      <w:pPr>
        <w:pStyle w:val="TextBody"/>
        <w:spacing w:before="0" w:after="0"/>
        <w:rPr/>
      </w:pPr>
      <w:r>
        <w:rPr/>
        <w:t>1) the Company’s Form 10-Q for the quarter ended March 31, 2023 fully complies with the requirements of Section 13(a) or 15(d) as applicable of the Securities Exchange Act of 1934, as amended; and</w:t>
      </w:r>
    </w:p>
    <w:p>
      <w:pPr>
        <w:pStyle w:val="TextBody"/>
        <w:spacing w:before="0" w:after="0"/>
        <w:rPr/>
      </w:pPr>
      <w:r>
        <w:rPr/>
      </w:r>
    </w:p>
    <w:p>
      <w:pPr>
        <w:pStyle w:val="TextBody"/>
        <w:spacing w:before="0" w:after="0"/>
        <w:rPr/>
      </w:pPr>
      <w:r>
        <w:rPr/>
        <w:t>2) the information contained in the Company’s Form 10-Q for the quarter ended March 31, 2023 fairly presents, in all material respects, the financial condition and results of operations of the Company.</w:t>
      </w:r>
    </w:p>
    <w:p>
      <w:pPr>
        <w:pStyle w:val="TextBody"/>
        <w:spacing w:before="0" w:after="0"/>
        <w:rPr/>
      </w:pPr>
      <w:r>
        <w:rPr/>
      </w:r>
    </w:p>
    <w:p>
      <w:pPr>
        <w:pStyle w:val="Normal"/>
        <w:spacing w:before="0" w:after="0"/>
        <w:rPr>
          <w:sz w:val="4"/>
          <w:szCs w:val="4"/>
        </w:rPr>
      </w:pPr>
      <w:r>
        <w:rPr>
          <w:sz w:val="4"/>
          <w:szCs w:val="4"/>
        </w:rPr>
      </w:r>
      <w:bookmarkStart w:id="47" w:name="zd390f8fdb3c54bbaa34ea74d73e0ed43"/>
      <w:bookmarkStart w:id="48" w:name="zd390f8fdb3c54bbaa34ea74d73e0ed43"/>
      <w:bookmarkEnd w:id="48"/>
    </w:p>
    <w:tbl>
      <w:tblPr>
        <w:tblW w:w="5205" w:type="dxa"/>
        <w:jc w:val="left"/>
        <w:tblInd w:w="0" w:type="dxa"/>
        <w:tblCellMar>
          <w:top w:w="0" w:type="dxa"/>
          <w:left w:w="0" w:type="dxa"/>
          <w:bottom w:w="0" w:type="dxa"/>
          <w:right w:w="0" w:type="dxa"/>
        </w:tblCellMar>
      </w:tblPr>
      <w:tblGrid>
        <w:gridCol w:w="1925"/>
        <w:gridCol w:w="365"/>
        <w:gridCol w:w="2915"/>
      </w:tblGrid>
      <w:tr>
        <w:trPr/>
        <w:tc>
          <w:tcPr>
            <w:tcW w:w="1925" w:type="dxa"/>
            <w:tcBorders/>
            <w:shd w:fill="auto" w:val="clear"/>
            <w:vAlign w:val="center"/>
          </w:tcPr>
          <w:p>
            <w:pPr>
              <w:pStyle w:val="TableContents"/>
              <w:spacing w:before="0" w:after="0"/>
              <w:rPr>
                <w:color w:val="000000"/>
              </w:rPr>
            </w:pPr>
            <w:r>
              <w:rPr>
                <w:color w:val="000000"/>
              </w:rPr>
              <w:t>Date: May 12, 2023</w:t>
            </w:r>
          </w:p>
        </w:tc>
        <w:tc>
          <w:tcPr>
            <w:tcW w:w="365" w:type="dxa"/>
            <w:tcBorders/>
            <w:shd w:fill="auto" w:val="clear"/>
            <w:vAlign w:val="center"/>
          </w:tcPr>
          <w:p>
            <w:pPr>
              <w:pStyle w:val="TableContents"/>
              <w:spacing w:before="0" w:after="0"/>
              <w:rPr>
                <w:color w:val="000000"/>
              </w:rPr>
            </w:pPr>
            <w:r>
              <w:rPr>
                <w:color w:val="000000"/>
              </w:rPr>
              <w:t>By:</w:t>
            </w:r>
          </w:p>
        </w:tc>
        <w:tc>
          <w:tcPr>
            <w:tcW w:w="2915" w:type="dxa"/>
            <w:tcBorders>
              <w:bottom w:val="single" w:sz="12" w:space="0" w:color="000000"/>
            </w:tcBorders>
            <w:shd w:fill="auto" w:val="clear"/>
            <w:tcMar>
              <w:bottom w:w="28" w:type="dxa"/>
            </w:tcMar>
            <w:vAlign w:val="center"/>
          </w:tcPr>
          <w:p>
            <w:pPr>
              <w:pStyle w:val="TableContents"/>
              <w:spacing w:before="0" w:after="0"/>
              <w:jc w:val="center"/>
              <w:rPr>
                <w:color w:val="000000"/>
              </w:rPr>
            </w:pPr>
            <w:r>
              <w:rPr>
                <w:color w:val="000000"/>
              </w:rPr>
              <w:t>/s/ Scott Gordon</w:t>
            </w:r>
          </w:p>
        </w:tc>
      </w:tr>
      <w:tr>
        <w:trPr/>
        <w:tc>
          <w:tcPr>
            <w:tcW w:w="192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0"/>
              <w:jc w:val="center"/>
              <w:rPr>
                <w:b/>
                <w:color w:val="000000"/>
              </w:rPr>
            </w:pPr>
            <w:r>
              <w:rPr>
                <w:b/>
                <w:color w:val="000000"/>
              </w:rPr>
              <w:t>Scott Gordon</w:t>
            </w:r>
          </w:p>
        </w:tc>
      </w:tr>
      <w:tr>
        <w:trPr/>
        <w:tc>
          <w:tcPr>
            <w:tcW w:w="192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0"/>
              <w:jc w:val="center"/>
              <w:rPr>
                <w:b/>
                <w:color w:val="000000"/>
              </w:rPr>
            </w:pPr>
            <w:r>
              <w:rPr>
                <w:b/>
                <w:color w:val="000000"/>
              </w:rPr>
              <w:t>Chief Executive Officer</w:t>
            </w:r>
          </w:p>
        </w:tc>
      </w:tr>
      <w:tr>
        <w:trPr/>
        <w:tc>
          <w:tcPr>
            <w:tcW w:w="192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0"/>
              <w:jc w:val="center"/>
              <w:rPr>
                <w:b/>
                <w:color w:val="000000"/>
              </w:rPr>
            </w:pPr>
            <w:r>
              <w:rPr>
                <w:b/>
                <w:color w:val="000000"/>
              </w:rPr>
              <w:t>(Principal Executive Officer)</w:t>
            </w:r>
          </w:p>
        </w:tc>
      </w:tr>
    </w:tbl>
    <w:p>
      <w:pPr>
        <w:pStyle w:val="TextBody"/>
        <w:spacing w:before="0" w:after="0"/>
        <w:rPr/>
      </w:pPr>
      <w:r>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49" w:name="brhc20052248_ex32-2.htm"/>
      <w:bookmarkStart w:id="50" w:name="ksbrhc20052248_ex322"/>
      <w:bookmarkStart w:id="51" w:name="brhc20052248_ex32-2.htm"/>
      <w:bookmarkStart w:id="52" w:name="ksbrhc20052248_ex322"/>
      <w:bookmarkEnd w:id="51"/>
      <w:bookmarkEnd w:id="52"/>
    </w:p>
    <w:p>
      <w:pPr>
        <w:pStyle w:val="TextBody"/>
        <w:spacing w:before="0" w:after="0"/>
        <w:jc w:val="right"/>
        <w:rPr>
          <w:b/>
        </w:rPr>
      </w:pPr>
      <w:r>
        <w:rPr>
          <w:b/>
        </w:rPr>
        <w:t>Exhibit 32.2</w:t>
      </w:r>
    </w:p>
    <w:p>
      <w:pPr>
        <w:pStyle w:val="TextBody"/>
        <w:spacing w:before="0" w:after="0"/>
        <w:jc w:val="center"/>
        <w:rPr>
          <w:b/>
        </w:rPr>
      </w:pPr>
      <w:r>
        <w:rPr>
          <w:b/>
        </w:rPr>
        <w:t>CERTIFICATION PURSUANT TO</w:t>
      </w:r>
    </w:p>
    <w:p>
      <w:pPr>
        <w:pStyle w:val="TextBody"/>
        <w:spacing w:before="0" w:after="0"/>
        <w:jc w:val="center"/>
        <w:rPr>
          <w:b/>
        </w:rPr>
      </w:pPr>
      <w:r>
        <w:rPr>
          <w:b/>
        </w:rPr>
        <w:t>SECTION 1350, CHAPTER 63 OF TITLE 18, UNITED STATES CODE,</w:t>
      </w:r>
    </w:p>
    <w:p>
      <w:pPr>
        <w:pStyle w:val="TextBody"/>
        <w:spacing w:before="0" w:after="0"/>
        <w:jc w:val="center"/>
        <w:rPr>
          <w:b/>
        </w:rPr>
      </w:pPr>
      <w:r>
        <w:rPr>
          <w:b/>
        </w:rPr>
        <w:t>AS ADOPTED PURSUANT TO</w:t>
      </w:r>
    </w:p>
    <w:p>
      <w:pPr>
        <w:pStyle w:val="TextBody"/>
        <w:spacing w:before="0" w:after="0"/>
        <w:jc w:val="center"/>
        <w:rPr>
          <w:b/>
        </w:rPr>
      </w:pPr>
      <w:r>
        <w:rPr>
          <w:b/>
        </w:rPr>
        <w:t>SECTION 906 OF THE SARBANES-OXLEY ACT OF 2002</w:t>
      </w:r>
    </w:p>
    <w:p>
      <w:pPr>
        <w:pStyle w:val="TextBody"/>
        <w:spacing w:before="0" w:after="0"/>
        <w:rPr/>
      </w:pPr>
      <w:r>
        <w:rPr/>
      </w:r>
    </w:p>
    <w:p>
      <w:pPr>
        <w:pStyle w:val="TextBody"/>
        <w:spacing w:before="0" w:after="0"/>
        <w:rPr/>
      </w:pPr>
      <w:r>
        <w:rPr/>
        <w:t>Pursuant to Section 1350, Chapter 63 of Title 18, United States Code, as adopted pursuant to Section 906 of the Sarbanes-Oxley Act of 2002, the undersigned, as Chief Financial Officer of Silver Spike Investment Corp. (the “Company”), does hereby certify that to the undersigned’s knowledge:</w:t>
      </w:r>
    </w:p>
    <w:p>
      <w:pPr>
        <w:pStyle w:val="TextBody"/>
        <w:spacing w:before="0" w:after="0"/>
        <w:rPr/>
      </w:pPr>
      <w:r>
        <w:rPr/>
      </w:r>
    </w:p>
    <w:p>
      <w:pPr>
        <w:pStyle w:val="TextBody"/>
        <w:spacing w:before="0" w:after="0"/>
        <w:rPr/>
      </w:pPr>
      <w:r>
        <w:rPr/>
        <w:t>1) the Company’s Form 10-Q for the quarter ended March 31, 2023 fully complies with the requirements of Section 13(a) or 15(d) as applicable of the Securities Exchange Act of 1934, as amended; and</w:t>
      </w:r>
    </w:p>
    <w:p>
      <w:pPr>
        <w:pStyle w:val="TextBody"/>
        <w:spacing w:before="0" w:after="0"/>
        <w:rPr/>
      </w:pPr>
      <w:r>
        <w:rPr/>
      </w:r>
    </w:p>
    <w:p>
      <w:pPr>
        <w:pStyle w:val="TextBody"/>
        <w:spacing w:before="0" w:after="0"/>
        <w:rPr/>
      </w:pPr>
      <w:r>
        <w:rPr/>
        <w:t>2) the information contained in the Company’s Form 10-Q for the quarter ended March 31, 2023 fairly presents, in all material respects, the financial condition and results of operations of the Company.</w:t>
      </w:r>
    </w:p>
    <w:p>
      <w:pPr>
        <w:pStyle w:val="TextBody"/>
        <w:spacing w:before="0" w:after="0"/>
        <w:rPr/>
      </w:pPr>
      <w:r>
        <w:rPr/>
      </w:r>
    </w:p>
    <w:p>
      <w:pPr>
        <w:pStyle w:val="Normal"/>
        <w:spacing w:before="0" w:after="0"/>
        <w:rPr>
          <w:sz w:val="4"/>
          <w:szCs w:val="4"/>
        </w:rPr>
      </w:pPr>
      <w:r>
        <w:rPr>
          <w:sz w:val="4"/>
          <w:szCs w:val="4"/>
        </w:rPr>
      </w:r>
      <w:bookmarkStart w:id="53" w:name="z048245a629904ba188a6bb22864b0315"/>
      <w:bookmarkStart w:id="54" w:name="z048245a629904ba188a6bb22864b0315"/>
      <w:bookmarkEnd w:id="54"/>
    </w:p>
    <w:tbl>
      <w:tblPr>
        <w:tblW w:w="5160" w:type="dxa"/>
        <w:jc w:val="left"/>
        <w:tblInd w:w="0" w:type="dxa"/>
        <w:tblCellMar>
          <w:top w:w="0" w:type="dxa"/>
          <w:left w:w="0" w:type="dxa"/>
          <w:bottom w:w="0" w:type="dxa"/>
          <w:right w:w="0" w:type="dxa"/>
        </w:tblCellMar>
      </w:tblPr>
      <w:tblGrid>
        <w:gridCol w:w="1925"/>
        <w:gridCol w:w="365"/>
        <w:gridCol w:w="2870"/>
      </w:tblGrid>
      <w:tr>
        <w:trPr/>
        <w:tc>
          <w:tcPr>
            <w:tcW w:w="1925" w:type="dxa"/>
            <w:tcBorders/>
            <w:shd w:fill="auto" w:val="clear"/>
            <w:vAlign w:val="center"/>
          </w:tcPr>
          <w:p>
            <w:pPr>
              <w:pStyle w:val="TableContents"/>
              <w:spacing w:before="0" w:after="0"/>
              <w:rPr>
                <w:color w:val="000000"/>
              </w:rPr>
            </w:pPr>
            <w:r>
              <w:rPr>
                <w:color w:val="000000"/>
              </w:rPr>
              <w:t>Date: May 12, 2023</w:t>
            </w:r>
          </w:p>
        </w:tc>
        <w:tc>
          <w:tcPr>
            <w:tcW w:w="365" w:type="dxa"/>
            <w:tcBorders/>
            <w:shd w:fill="auto" w:val="clear"/>
            <w:vAlign w:val="center"/>
          </w:tcPr>
          <w:p>
            <w:pPr>
              <w:pStyle w:val="TableContents"/>
              <w:spacing w:before="0" w:after="0"/>
              <w:rPr>
                <w:color w:val="000000"/>
              </w:rPr>
            </w:pPr>
            <w:r>
              <w:rPr>
                <w:color w:val="000000"/>
              </w:rPr>
              <w:t>By:</w:t>
            </w:r>
          </w:p>
        </w:tc>
        <w:tc>
          <w:tcPr>
            <w:tcW w:w="2870" w:type="dxa"/>
            <w:tcBorders>
              <w:bottom w:val="single" w:sz="12" w:space="0" w:color="000000"/>
            </w:tcBorders>
            <w:shd w:fill="auto" w:val="clear"/>
            <w:tcMar>
              <w:bottom w:w="28" w:type="dxa"/>
            </w:tcMar>
            <w:vAlign w:val="center"/>
          </w:tcPr>
          <w:p>
            <w:pPr>
              <w:pStyle w:val="TableContents"/>
              <w:spacing w:before="0" w:after="0"/>
              <w:jc w:val="center"/>
              <w:rPr>
                <w:color w:val="000000"/>
              </w:rPr>
            </w:pPr>
            <w:r>
              <w:rPr>
                <w:color w:val="000000"/>
              </w:rPr>
              <w:t>/s/ Umesh Mahajan</w:t>
            </w:r>
          </w:p>
        </w:tc>
      </w:tr>
      <w:tr>
        <w:trPr/>
        <w:tc>
          <w:tcPr>
            <w:tcW w:w="192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870" w:type="dxa"/>
            <w:tcBorders/>
            <w:shd w:fill="auto" w:val="clear"/>
            <w:vAlign w:val="center"/>
          </w:tcPr>
          <w:p>
            <w:pPr>
              <w:pStyle w:val="TableContents"/>
              <w:spacing w:before="0" w:after="0"/>
              <w:jc w:val="center"/>
              <w:rPr>
                <w:b/>
                <w:color w:val="000000"/>
              </w:rPr>
            </w:pPr>
            <w:r>
              <w:rPr>
                <w:b/>
                <w:color w:val="000000"/>
              </w:rPr>
              <w:t>Umesh Mahajan</w:t>
            </w:r>
          </w:p>
        </w:tc>
      </w:tr>
      <w:tr>
        <w:trPr/>
        <w:tc>
          <w:tcPr>
            <w:tcW w:w="192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870" w:type="dxa"/>
            <w:tcBorders/>
            <w:shd w:fill="auto" w:val="clear"/>
            <w:vAlign w:val="center"/>
          </w:tcPr>
          <w:p>
            <w:pPr>
              <w:pStyle w:val="TableContents"/>
              <w:spacing w:before="0" w:after="0"/>
              <w:jc w:val="center"/>
              <w:rPr>
                <w:b/>
                <w:color w:val="000000"/>
              </w:rPr>
            </w:pPr>
            <w:r>
              <w:rPr>
                <w:b/>
                <w:color w:val="000000"/>
              </w:rPr>
              <w:t>Chief Financial Officer</w:t>
            </w:r>
          </w:p>
        </w:tc>
      </w:tr>
      <w:tr>
        <w:trPr/>
        <w:tc>
          <w:tcPr>
            <w:tcW w:w="192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870" w:type="dxa"/>
            <w:tcBorders/>
            <w:shd w:fill="auto" w:val="clear"/>
            <w:vAlign w:val="center"/>
          </w:tcPr>
          <w:p>
            <w:pPr>
              <w:pStyle w:val="TableContents"/>
              <w:spacing w:before="0" w:after="0"/>
              <w:jc w:val="center"/>
              <w:rPr>
                <w:b/>
                <w:color w:val="000000"/>
              </w:rPr>
            </w:pPr>
            <w:r>
              <w:rPr>
                <w:b/>
                <w:color w:val="000000"/>
              </w:rPr>
              <w:t>(Principal Financial Officer)</w:t>
            </w:r>
          </w:p>
        </w:tc>
      </w:tr>
    </w:tbl>
    <w:p>
      <w:pPr>
        <w:pStyle w:val="TextBody"/>
        <w:spacing w:before="0" w:after="0"/>
        <w:rPr/>
      </w:pPr>
      <w:r>
        <w:rPr/>
      </w:r>
    </w:p>
    <w:p>
      <w:pPr>
        <w:pStyle w:val="TextBody"/>
        <w:spacing w:before="0" w:after="0"/>
        <w:rPr/>
      </w:pPr>
      <w:r>
        <w:rPr/>
      </w:r>
    </w:p>
    <w:p>
      <w:pPr>
        <w:pStyle w:val="HorizontalLine"/>
        <w:pBdr>
          <w:bottom w:val="single" w:sz="20" w:space="0" w:color="808080"/>
        </w:pBdr>
        <w:spacing w:before="0" w:after="283"/>
        <w:rPr/>
      </w:pPr>
      <w:r>
        <w:rPr/>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serif"/>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3162/000095010322011767/dp176400_ex0301.htm" TargetMode="External"/><Relationship Id="rId3" Type="http://schemas.openxmlformats.org/officeDocument/2006/relationships/hyperlink" Target="https://www.sec.gov/Archives/edgar/data/1843162/000095010322011767/dp176400_ex030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22006</Words>
  <CharactersWithSpaces>141605</CharactersWithSpaces>
  <Paragraphs>5829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