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BDC,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MADISON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BDC, Inc.</w:t>
              </w:r>
            </w:hyperlink>
            <w:r>
              <w:rPr/>
              <w:t xml:space="preserve"> [ </w:t>
            </w:r>
            <w:r>
              <w:rPr>
                <w:rFonts w:ascii="Times;serif" w:hAnsi="Times;serif"/>
                <w:color w:val="0000FF"/>
                <w:sz w:val="24"/>
                <w:shd w:fill="FFFFFF" w:val="clear"/>
              </w:rPr>
              <w:t>LIEN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790"/>
        <w:gridCol w:w="445"/>
        <w:gridCol w:w="748"/>
        <w:gridCol w:w="1266"/>
        <w:gridCol w:w="985"/>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96,190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2,887,204</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Chicago Atlantic BDC Advisers,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Scott Gordon directly (whether through ownership or position) or indirectly through one or more intermediaries, may be deemed for purposes of Section 16 of the Securities Exchange Act of 1934, as amended, to be the indirect beneficial owner of the shares of Common Stock owned by Chicago Atlantic BDC Advisers, LLC. Mr. Gordon disclaims beneficial ownership of the shares of Common Stock owned by Chicago Atlantic BDC Advisers, LLC except to the extent of his pecuniary interest therein and this report shall not be deemed an admission that he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452" TargetMode="External"/><Relationship Id="rId5" Type="http://schemas.openxmlformats.org/officeDocument/2006/relationships/hyperlink" Target="http://www.sec.gov/cgi-bin/browse-edgar?action=getcompany&amp;CIK=00018431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3679</Characters>
  <CharactersWithSpaces>4292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