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8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File No. 812-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2654300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EXPEDITED REVIEW REQUESTED UNDER 17 CFR 270.0-5(d)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2654300</wp:posOffset>
            </wp:positionH>
            <wp:positionV relativeFrom="paragraph">
              <wp:posOffset>154305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the Matter of the Application of:</w:t>
      </w:r>
    </w:p>
    <w:p>
      <w:pPr>
        <w:spacing w:after="0" w:line="22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CHICAGO ATLANTIC BDC, INC., CHICAGO ATLANTIC BDC ADVISERS, LLC,</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CHICAGO ATLANTIC ADVISERS, LLC, CHICAGO ATLANTIC EQUITY</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ADVISERS, LLC, CHICAGO ATLANTIC CO3 ADVISERS, LLC, CHICAGO</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ATLANTIC INVESTMENT MANAGEMENT, LLC, CHICAGO ATLANTIC REIT</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MANAGER, LLC, CHICAGO ATLANTIC PORTFOLIO, LP, CHICAGO</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ATLANTIC EQUITY FUND, LLC,</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CHICAGO ATLANTIC OPPORTUNITY PORTFOLIO, LP, CHICAGO ATLANTIC</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OPPORTUNITY FINANCE, LLC,</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CHICAGO ATLANTIC CREDIT OPPORTUNITIES III, LP, CHICAGO</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ATLANTIC CO3 (OFFSHORE), LP, CHICAGO ATLANTIC CO3 FEEDER, LP,</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CHICAGO ATLANTIC CREDIT OPPORTUNITIES, LLC, CHICAGO ATLANTIC</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REAL ESTATE FINANCE, INC., CHICAGO ATLANTIC CREDIT COMPANY,</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 CO SPV, LLC, AND CA CREDIT SPV, LLC</w:t>
      </w:r>
    </w:p>
    <w:p>
      <w:pPr>
        <w:spacing w:after="0" w:line="20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600 Madison Avenue, Suite 1800</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(212) 905-4923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2654300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APPLICATION FOR AN ORDER PURSUANT TO SECTIONS 17(d) AND 57(i) OF THE INVESTMENT COMPANY ACT OF 1940 AND RULE 17d-1 UNDER THE INVESTMENT COMPANY ACT OF 1940 PERMITTING CERTAIN JOINT TRANSACTIONS OTHERWISE PROHIBITED BY SECTIONS 17(d) AND 57(a)(4) OF AND RULE 17d-1 UNDER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2654300</wp:posOffset>
            </wp:positionH>
            <wp:positionV relativeFrom="paragraph">
              <wp:posOffset>123190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All Communications, Notices and Orders to:</w:t>
      </w:r>
    </w:p>
    <w:p>
      <w:pPr>
        <w:spacing w:after="0" w:line="22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Scott Gordon</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Umesh Mahajan</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Peter Sack</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600 Madison Avenue, Suite 1800</w:t>
      </w:r>
    </w:p>
    <w:p>
      <w:pPr>
        <w:spacing w:after="0" w:line="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(212) 905-4923</w:t>
      </w:r>
    </w:p>
    <w:p>
      <w:pPr>
        <w:spacing w:after="0" w:line="20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50"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Anne G. Oberndorf, Esq.</w:t>
      </w:r>
    </w:p>
    <w:p>
      <w:pPr>
        <w:spacing w:after="0" w:line="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Owen J. Pinkerton, Esq.</w:t>
      </w:r>
    </w:p>
    <w:p>
      <w:pPr>
        <w:spacing w:after="0" w:line="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Eversheds Sutherland (US) LLP</w:t>
      </w:r>
    </w:p>
    <w:p>
      <w:pPr>
        <w:spacing w:after="0" w:line="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700 Sixth Street, N.W., Suite 700</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4"/>
          <w:szCs w:val="24"/>
          <w:color w:val="auto"/>
        </w:rPr>
      </w:pPr>
    </w:p>
    <w:p>
      <w:pPr>
        <w:ind w:left="5460" w:hanging="438"/>
        <w:spacing w:after="0"/>
        <w:tabs>
          <w:tab w:leader="none" w:pos="54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383-0100</w:t>
      </w:r>
    </w:p>
    <w:p>
      <w:pPr>
        <w:spacing w:after="0" w:line="9" w:lineRule="exact"/>
        <w:rPr>
          <w:rFonts w:ascii="Times New Roman" w:cs="Times New Roman" w:eastAsia="Times New Roman" w:hAnsi="Times New Roman"/>
          <w:sz w:val="18"/>
          <w:szCs w:val="18"/>
          <w:b w:val="1"/>
          <w:bCs w:val="1"/>
          <w:color w:val="auto"/>
        </w:rPr>
      </w:pPr>
    </w:p>
    <w:p>
      <w:pPr>
        <w:jc w:val="both"/>
        <w:ind w:left="3920" w:right="3920" w:firstLine="5"/>
        <w:spacing w:after="0" w:line="29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anneoberndorf@eversheds-sutherland.com owenpinkerton@eversheds-sutherland.com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2654300</wp:posOffset>
            </wp:positionH>
            <wp:positionV relativeFrom="paragraph">
              <wp:posOffset>111760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180340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626110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513" w:right="379" w:bottom="1440" w:gutter="0" w:footer="0" w:header="0"/>
        </w:sectPr>
      </w:pPr>
    </w:p>
    <w:bookmarkStart w:id="1" w:name="page2"/>
    <w:bookmarkEnd w:id="1"/>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BEFORE THE</w:t>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151765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40"/>
          </w:cols>
          <w:pgMar w:left="440" w:top="900" w:right="81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MATTER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-125095</wp:posOffset>
            </wp:positionV>
            <wp:extent cx="7132320" cy="4817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817745"/>
                    </a:xfrm>
                    <a:prstGeom prst="rect">
                      <a:avLst/>
                    </a:prstGeom>
                    <a:noFill/>
                  </pic:spPr>
                </pic:pic>
              </a:graphicData>
            </a:graphic>
          </wp:anchor>
        </w:drawing>
      </w:r>
    </w:p>
    <w:p>
      <w:pPr>
        <w:spacing w:after="0" w:line="20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b w:val="1"/>
          <w:bCs w:val="1"/>
          <w:color w:val="auto"/>
        </w:rPr>
        <w:t>CHICAGO ATLANTIC BDC, INC., AND CHICAGO ATLANTIC BDC ADVISERS, LLC, AND CHICAGO ATLANTIC ADVISERS, LLC, AND CHICAGO ATLANTIC EQUITY ADVISERS, LLC, AND CHICAGO ATLANTIC CO3 ADVISERS, LLC, AND CHICAGO ATLANTIC INVESTMENT MANAGEMENT, LLC, AND CHICAGO ATLANTIC REIT MANAGER, LLC, AND CHICAGO ATLANTIC PORTFOLIO, LP, AND CHICAGO ATLANTIC EQUITY FUND, LLC, AND CHICAGO ATLANTIC OPPORTUNITY PORTFOLIO, LP, AND CHICAGO ATLANTIC OPPORTUNITY FINANCE, LLC, AND CHICAGO ATLANTIC CREDIT OPPORTUNITIES III, LP, AND CHICAGO ATLANTIC CO3 (OFFSHORE), LP, AND CHICAGO ATLANTIC CO3 FEEDER, LP, AND CHICAGO ATLANTIC CREDIT OPPORTUNITIES, LLC, AND CHICAGO ATLANTIC REAL ESTATE FINANCE, INC., AND CHICAGO ATLANTIC CREDIT COMPANY, LLC, AND CA CO SPV, LLC, AND CA CREDIT SPV, LLC</w:t>
      </w:r>
    </w:p>
    <w:p>
      <w:pPr>
        <w:spacing w:after="0" w:line="182" w:lineRule="exact"/>
        <w:rPr>
          <w:sz w:val="20"/>
          <w:szCs w:val="20"/>
          <w:color w:val="auto"/>
        </w:rPr>
      </w:pPr>
    </w:p>
    <w:p>
      <w:pPr>
        <w:ind w:right="2600"/>
        <w:spacing w:after="0" w:line="286" w:lineRule="auto"/>
        <w:rPr>
          <w:sz w:val="20"/>
          <w:szCs w:val="20"/>
          <w:color w:val="auto"/>
        </w:rPr>
      </w:pPr>
      <w:r>
        <w:rPr>
          <w:rFonts w:ascii="Times New Roman" w:cs="Times New Roman" w:eastAsia="Times New Roman" w:hAnsi="Times New Roman"/>
          <w:sz w:val="18"/>
          <w:szCs w:val="18"/>
          <w:b w:val="1"/>
          <w:bCs w:val="1"/>
          <w:color w:val="auto"/>
        </w:rPr>
        <w:t>600 MADISON AVENUE, SUITE 1800 NEW YORK, NY 10022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812-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301" w:hanging="301"/>
        <w:spacing w:after="0"/>
        <w:tabs>
          <w:tab w:leader="none" w:pos="301"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 FOR AN ORDER</w:t>
      </w:r>
    </w:p>
    <w:p>
      <w:pPr>
        <w:spacing w:after="0" w:line="31" w:lineRule="exact"/>
        <w:rPr>
          <w:rFonts w:ascii="Times New Roman" w:cs="Times New Roman" w:eastAsia="Times New Roman" w:hAnsi="Times New Roman"/>
          <w:sz w:val="18"/>
          <w:szCs w:val="18"/>
          <w:b w:val="1"/>
          <w:bCs w:val="1"/>
          <w:color w:val="auto"/>
        </w:rPr>
      </w:pPr>
    </w:p>
    <w:p>
      <w:pPr>
        <w:ind w:left="301" w:hanging="301"/>
        <w:spacing w:after="0"/>
        <w:tabs>
          <w:tab w:leader="none" w:pos="301"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PURSUANT TO SECTIONS 17(d) AND 57(i)</w:t>
      </w:r>
    </w:p>
    <w:p>
      <w:pPr>
        <w:spacing w:after="0" w:line="9" w:lineRule="exact"/>
        <w:rPr>
          <w:rFonts w:ascii="Times New Roman" w:cs="Times New Roman" w:eastAsia="Times New Roman" w:hAnsi="Times New Roman"/>
          <w:sz w:val="18"/>
          <w:szCs w:val="18"/>
          <w:b w:val="1"/>
          <w:bCs w:val="1"/>
          <w:color w:val="auto"/>
        </w:rPr>
      </w:pPr>
    </w:p>
    <w:p>
      <w:pPr>
        <w:ind w:left="301" w:hanging="301"/>
        <w:spacing w:after="0"/>
        <w:tabs>
          <w:tab w:leader="none" w:pos="301"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OF THE INVESTMENT COMPANY ACT OF 1940 AND</w:t>
      </w:r>
    </w:p>
    <w:p>
      <w:pPr>
        <w:spacing w:after="0" w:line="20" w:lineRule="exact"/>
        <w:rPr>
          <w:rFonts w:ascii="Times New Roman" w:cs="Times New Roman" w:eastAsia="Times New Roman" w:hAnsi="Times New Roman"/>
          <w:sz w:val="17"/>
          <w:szCs w:val="17"/>
          <w:b w:val="1"/>
          <w:bCs w:val="1"/>
          <w:color w:val="auto"/>
        </w:rPr>
      </w:pPr>
    </w:p>
    <w:p>
      <w:pPr>
        <w:ind w:left="301" w:hanging="301"/>
        <w:spacing w:after="0"/>
        <w:tabs>
          <w:tab w:leader="none" w:pos="301"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 17d-1 UNDER THE</w:t>
      </w:r>
    </w:p>
    <w:p>
      <w:pPr>
        <w:spacing w:after="0" w:line="9" w:lineRule="exact"/>
        <w:rPr>
          <w:rFonts w:ascii="Times New Roman" w:cs="Times New Roman" w:eastAsia="Times New Roman" w:hAnsi="Times New Roman"/>
          <w:sz w:val="18"/>
          <w:szCs w:val="18"/>
          <w:b w:val="1"/>
          <w:bCs w:val="1"/>
          <w:color w:val="auto"/>
        </w:rPr>
      </w:pPr>
    </w:p>
    <w:p>
      <w:pPr>
        <w:ind w:left="301" w:hanging="301"/>
        <w:spacing w:after="0"/>
        <w:tabs>
          <w:tab w:leader="none" w:pos="301"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COMPANY ACT OF 1940</w:t>
      </w:r>
    </w:p>
    <w:p>
      <w:pPr>
        <w:spacing w:after="0" w:line="9" w:lineRule="exact"/>
        <w:rPr>
          <w:rFonts w:ascii="Times New Roman" w:cs="Times New Roman" w:eastAsia="Times New Roman" w:hAnsi="Times New Roman"/>
          <w:sz w:val="18"/>
          <w:szCs w:val="18"/>
          <w:b w:val="1"/>
          <w:bCs w:val="1"/>
          <w:color w:val="auto"/>
        </w:rPr>
      </w:pPr>
    </w:p>
    <w:p>
      <w:pPr>
        <w:ind w:left="301" w:hanging="301"/>
        <w:spacing w:after="0"/>
        <w:tabs>
          <w:tab w:leader="none" w:pos="301"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PERMITTING CERTAIN JOINT</w:t>
      </w:r>
    </w:p>
    <w:p>
      <w:pPr>
        <w:spacing w:after="0" w:line="9" w:lineRule="exact"/>
        <w:rPr>
          <w:rFonts w:ascii="Times New Roman" w:cs="Times New Roman" w:eastAsia="Times New Roman" w:hAnsi="Times New Roman"/>
          <w:sz w:val="18"/>
          <w:szCs w:val="18"/>
          <w:b w:val="1"/>
          <w:bCs w:val="1"/>
          <w:color w:val="auto"/>
        </w:rPr>
      </w:pPr>
    </w:p>
    <w:p>
      <w:pPr>
        <w:ind w:left="301" w:hanging="301"/>
        <w:spacing w:after="0"/>
        <w:tabs>
          <w:tab w:leader="none" w:pos="301"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OTHERWISE</w:t>
      </w:r>
    </w:p>
    <w:p>
      <w:pPr>
        <w:spacing w:after="0" w:line="9" w:lineRule="exact"/>
        <w:rPr>
          <w:rFonts w:ascii="Times New Roman" w:cs="Times New Roman" w:eastAsia="Times New Roman" w:hAnsi="Times New Roman"/>
          <w:sz w:val="18"/>
          <w:szCs w:val="18"/>
          <w:b w:val="1"/>
          <w:bCs w:val="1"/>
          <w:color w:val="auto"/>
        </w:rPr>
      </w:pPr>
    </w:p>
    <w:p>
      <w:pPr>
        <w:ind w:left="301" w:hanging="301"/>
        <w:spacing w:after="0"/>
        <w:tabs>
          <w:tab w:leader="none" w:pos="301"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PROHIBITED BY SECTIONS 17(d) AND</w:t>
      </w:r>
    </w:p>
    <w:p>
      <w:pPr>
        <w:spacing w:after="0" w:line="9" w:lineRule="exact"/>
        <w:rPr>
          <w:rFonts w:ascii="Times New Roman" w:cs="Times New Roman" w:eastAsia="Times New Roman" w:hAnsi="Times New Roman"/>
          <w:sz w:val="18"/>
          <w:szCs w:val="18"/>
          <w:b w:val="1"/>
          <w:bCs w:val="1"/>
          <w:color w:val="auto"/>
        </w:rPr>
      </w:pPr>
    </w:p>
    <w:p>
      <w:pPr>
        <w:ind w:left="301" w:hanging="301"/>
        <w:spacing w:after="0"/>
        <w:tabs>
          <w:tab w:leader="none" w:pos="301"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57(a)(4) OF AND RULE 17d-1 UNDER THE</w:t>
      </w:r>
    </w:p>
    <w:p>
      <w:pPr>
        <w:spacing w:after="0" w:line="9" w:lineRule="exact"/>
        <w:rPr>
          <w:rFonts w:ascii="Times New Roman" w:cs="Times New Roman" w:eastAsia="Times New Roman" w:hAnsi="Times New Roman"/>
          <w:sz w:val="18"/>
          <w:szCs w:val="18"/>
          <w:b w:val="1"/>
          <w:bCs w:val="1"/>
          <w:color w:val="auto"/>
        </w:rPr>
      </w:pPr>
    </w:p>
    <w:p>
      <w:pPr>
        <w:ind w:left="301" w:hanging="301"/>
        <w:spacing w:after="0"/>
        <w:tabs>
          <w:tab w:leader="none" w:pos="301"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COMPANY ACT OF 1940</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ectPr>
          <w:pgSz w:w="11900" w:h="16838" w:orient="portrait"/>
          <w:cols w:equalWidth="0" w:num="2">
            <w:col w:w="5600" w:space="279"/>
            <w:col w:w="4761"/>
          </w:cols>
          <w:pgMar w:left="440" w:top="900" w:right="819" w:bottom="1440" w:gutter="0" w:footer="0" w:header="0"/>
          <w:type w:val="continuous"/>
        </w:sectPr>
      </w:pPr>
    </w:p>
    <w:p>
      <w:pPr>
        <w:spacing w:after="0" w:line="2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31750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440" w:top="900" w:right="8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 SUMMARY OF APPLICATION</w:t>
      </w:r>
    </w:p>
    <w:p>
      <w:pPr>
        <w:spacing w:after="0" w:line="225" w:lineRule="exact"/>
        <w:rPr>
          <w:sz w:val="20"/>
          <w:szCs w:val="20"/>
          <w:color w:val="auto"/>
        </w:rPr>
      </w:pPr>
    </w:p>
    <w:p>
      <w:pPr>
        <w:jc w:val="both"/>
        <w:ind w:firstLine="324"/>
        <w:spacing w:after="0" w:line="228" w:lineRule="auto"/>
        <w:rPr>
          <w:sz w:val="20"/>
          <w:szCs w:val="20"/>
          <w:color w:val="auto"/>
        </w:rPr>
      </w:pPr>
      <w:r>
        <w:rPr>
          <w:rFonts w:ascii="Times New Roman" w:cs="Times New Roman" w:eastAsia="Times New Roman" w:hAnsi="Times New Roman"/>
          <w:sz w:val="18"/>
          <w:szCs w:val="18"/>
          <w:color w:val="auto"/>
        </w:rPr>
        <w:t>The following entities hereby request an order (the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Sections 17(d) and 57(i) of the Investment Company Act of 1940,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Rule 17d-1, permitting certain joint transactions otherwise prohibited by Sections 17(d) and 57(a)(4) of the 1940 Act and Rule 17d-1 thereunder. The Order would supersede the exemptive order issued by</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the Commission on January 9, 2023 (the “</w:t>
      </w:r>
      <w:r>
        <w:rPr>
          <w:rFonts w:ascii="Times New Roman" w:cs="Times New Roman" w:eastAsia="Times New Roman" w:hAnsi="Times New Roman"/>
          <w:sz w:val="18"/>
          <w:szCs w:val="18"/>
          <w:b w:val="1"/>
          <w:bCs w:val="1"/>
          <w:i w:val="1"/>
          <w:iCs w:val="1"/>
          <w:color w:val="auto"/>
        </w:rPr>
        <w:t>Prior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that was granted pursuant to Sections 57(a)(4), 57(i) and Rule 17d-1, with the result that no person will continue to rely on the Prior Order if the Order is granted.</w:t>
      </w:r>
    </w:p>
    <w:p>
      <w:pPr>
        <w:spacing w:after="0" w:line="196" w:lineRule="exact"/>
        <w:rPr>
          <w:sz w:val="20"/>
          <w:szCs w:val="20"/>
          <w:color w:val="auto"/>
        </w:rPr>
      </w:pPr>
    </w:p>
    <w:p>
      <w:pPr>
        <w:ind w:left="660" w:right="2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BDC, Inc. (formerly, Silver Spike Investment Corp.) (the “</w:t>
      </w:r>
      <w:r>
        <w:rPr>
          <w:rFonts w:ascii="Times New Roman" w:cs="Times New Roman" w:eastAsia="Times New Roman" w:hAnsi="Times New Roman"/>
          <w:sz w:val="18"/>
          <w:szCs w:val="18"/>
          <w:b w:val="1"/>
          <w:bCs w:val="1"/>
          <w:i w:val="1"/>
          <w:iCs w:val="1"/>
          <w:color w:val="auto"/>
        </w:rPr>
        <w:t>Existing Regulated Fund</w:t>
      </w:r>
      <w:r>
        <w:rPr>
          <w:rFonts w:ascii="Times New Roman" w:cs="Times New Roman" w:eastAsia="Times New Roman" w:hAnsi="Times New Roman"/>
          <w:sz w:val="18"/>
          <w:szCs w:val="18"/>
          <w:color w:val="auto"/>
        </w:rPr>
        <w:t>”), a closed-end non-diversified management investment company that has elected to be regulated as a business development company (“</w:t>
      </w:r>
      <w:r>
        <w:rPr>
          <w:rFonts w:ascii="Times New Roman" w:cs="Times New Roman" w:eastAsia="Times New Roman" w:hAnsi="Times New Roman"/>
          <w:sz w:val="18"/>
          <w:szCs w:val="18"/>
          <w:b w:val="1"/>
          <w:bCs w:val="1"/>
          <w:i w:val="1"/>
          <w:iCs w:val="1"/>
          <w:color w:val="auto"/>
        </w:rPr>
        <w:t>BDC</w:t>
      </w:r>
      <w:r>
        <w:rPr>
          <w:rFonts w:ascii="Times New Roman" w:cs="Times New Roman" w:eastAsia="Times New Roman" w:hAnsi="Times New Roman"/>
          <w:sz w:val="18"/>
          <w:szCs w:val="18"/>
          <w:color w:val="auto"/>
        </w:rPr>
        <w:t>”) under the 1940 Act;</w:t>
      </w:r>
    </w:p>
    <w:p>
      <w:pPr>
        <w:spacing w:after="0" w:line="154" w:lineRule="exact"/>
        <w:rPr>
          <w:rFonts w:ascii="Times New Roman" w:cs="Times New Roman" w:eastAsia="Times New Roman" w:hAnsi="Times New Roman"/>
          <w:sz w:val="18"/>
          <w:szCs w:val="18"/>
          <w:color w:val="auto"/>
        </w:rPr>
      </w:pPr>
    </w:p>
    <w:p>
      <w:pPr>
        <w:ind w:left="660" w:right="20" w:hanging="328"/>
        <w:spacing w:after="0" w:line="29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BDC Advisers, LLC (formerly, Silver Spike Capital, LLC) (“</w:t>
      </w:r>
      <w:r>
        <w:rPr>
          <w:rFonts w:ascii="Times New Roman" w:cs="Times New Roman" w:eastAsia="Times New Roman" w:hAnsi="Times New Roman"/>
          <w:sz w:val="18"/>
          <w:szCs w:val="18"/>
          <w:b w:val="1"/>
          <w:bCs w:val="1"/>
          <w:i w:val="1"/>
          <w:iCs w:val="1"/>
          <w:color w:val="auto"/>
        </w:rPr>
        <w:t>BDC Adviser</w:t>
      </w:r>
      <w:r>
        <w:rPr>
          <w:rFonts w:ascii="Times New Roman" w:cs="Times New Roman" w:eastAsia="Times New Roman" w:hAnsi="Times New Roman"/>
          <w:sz w:val="18"/>
          <w:szCs w:val="18"/>
          <w:color w:val="auto"/>
        </w:rPr>
        <w:t>”), an investment adviser registered under the Investment Advisers Act of 1940 (the “</w:t>
      </w:r>
      <w:r>
        <w:rPr>
          <w:rFonts w:ascii="Times New Roman" w:cs="Times New Roman" w:eastAsia="Times New Roman" w:hAnsi="Times New Roman"/>
          <w:sz w:val="18"/>
          <w:szCs w:val="18"/>
          <w:b w:val="1"/>
          <w:bCs w:val="1"/>
          <w:i w:val="1"/>
          <w:iCs w:val="1"/>
          <w:color w:val="auto"/>
        </w:rPr>
        <w:t>Advisers Act</w:t>
      </w:r>
      <w:r>
        <w:rPr>
          <w:rFonts w:ascii="Times New Roman" w:cs="Times New Roman" w:eastAsia="Times New Roman" w:hAnsi="Times New Roman"/>
          <w:sz w:val="18"/>
          <w:szCs w:val="18"/>
          <w:color w:val="auto"/>
        </w:rPr>
        <w:t>”), on behalf of itself and its successors;</w:t>
      </w:r>
      <w:r>
        <w:rPr>
          <w:rFonts w:ascii="Times New Roman" w:cs="Times New Roman" w:eastAsia="Times New Roman" w:hAnsi="Times New Roman"/>
          <w:sz w:val="29"/>
          <w:szCs w:val="29"/>
          <w:color w:val="auto"/>
          <w:vertAlign w:val="superscript"/>
        </w:rPr>
        <w:t>3</w:t>
      </w:r>
    </w:p>
    <w:p>
      <w:pPr>
        <w:spacing w:after="0" w:line="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Advisers, LLC (“</w:t>
      </w:r>
      <w:r>
        <w:rPr>
          <w:rFonts w:ascii="Times New Roman" w:cs="Times New Roman" w:eastAsia="Times New Roman" w:hAnsi="Times New Roman"/>
          <w:sz w:val="18"/>
          <w:szCs w:val="18"/>
          <w:b w:val="1"/>
          <w:bCs w:val="1"/>
          <w:i w:val="1"/>
          <w:iCs w:val="1"/>
          <w:color w:val="auto"/>
        </w:rPr>
        <w:t>CAA</w:t>
      </w:r>
      <w:r>
        <w:rPr>
          <w:rFonts w:ascii="Times New Roman" w:cs="Times New Roman" w:eastAsia="Times New Roman" w:hAnsi="Times New Roman"/>
          <w:sz w:val="18"/>
          <w:szCs w:val="18"/>
          <w:color w:val="auto"/>
        </w:rPr>
        <w:t>”), an investment adviser registered under the Advisers Act, on behalf of itself and its successors;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Equity Advisers, LLC (“</w:t>
      </w:r>
      <w:r>
        <w:rPr>
          <w:rFonts w:ascii="Times New Roman" w:cs="Times New Roman" w:eastAsia="Times New Roman" w:hAnsi="Times New Roman"/>
          <w:sz w:val="18"/>
          <w:szCs w:val="18"/>
          <w:b w:val="1"/>
          <w:bCs w:val="1"/>
          <w:i w:val="1"/>
          <w:iCs w:val="1"/>
          <w:color w:val="auto"/>
        </w:rPr>
        <w:t>CAEA</w:t>
      </w:r>
      <w:r>
        <w:rPr>
          <w:rFonts w:ascii="Times New Roman" w:cs="Times New Roman" w:eastAsia="Times New Roman" w:hAnsi="Times New Roman"/>
          <w:sz w:val="18"/>
          <w:szCs w:val="18"/>
          <w:color w:val="auto"/>
        </w:rPr>
        <w:t>”), a relying adviser of CAA, on behalf of itself and its successors;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CO3 Advisers, LLC (“</w:t>
      </w:r>
      <w:r>
        <w:rPr>
          <w:rFonts w:ascii="Times New Roman" w:cs="Times New Roman" w:eastAsia="Times New Roman" w:hAnsi="Times New Roman"/>
          <w:sz w:val="18"/>
          <w:szCs w:val="18"/>
          <w:b w:val="1"/>
          <w:bCs w:val="1"/>
          <w:i w:val="1"/>
          <w:iCs w:val="1"/>
          <w:color w:val="auto"/>
        </w:rPr>
        <w:t>CO3 Advisers</w:t>
      </w:r>
      <w:r>
        <w:rPr>
          <w:rFonts w:ascii="Times New Roman" w:cs="Times New Roman" w:eastAsia="Times New Roman" w:hAnsi="Times New Roman"/>
          <w:sz w:val="18"/>
          <w:szCs w:val="18"/>
          <w:color w:val="auto"/>
        </w:rPr>
        <w:t>”), a relying adviser of CAA, on behalf of itself and its successors;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Investment Management, LLC (“</w:t>
      </w:r>
      <w:r>
        <w:rPr>
          <w:rFonts w:ascii="Times New Roman" w:cs="Times New Roman" w:eastAsia="Times New Roman" w:hAnsi="Times New Roman"/>
          <w:sz w:val="18"/>
          <w:szCs w:val="18"/>
          <w:b w:val="1"/>
          <w:bCs w:val="1"/>
          <w:i w:val="1"/>
          <w:iCs w:val="1"/>
          <w:color w:val="auto"/>
        </w:rPr>
        <w:t>CAIM</w:t>
      </w:r>
      <w:r>
        <w:rPr>
          <w:rFonts w:ascii="Times New Roman" w:cs="Times New Roman" w:eastAsia="Times New Roman" w:hAnsi="Times New Roman"/>
          <w:sz w:val="18"/>
          <w:szCs w:val="18"/>
          <w:color w:val="auto"/>
        </w:rPr>
        <w:t>”), a relying adviser of CAA, on behalf of itself and its successors;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REIT Manager, LLC (“</w:t>
      </w:r>
      <w:r>
        <w:rPr>
          <w:rFonts w:ascii="Times New Roman" w:cs="Times New Roman" w:eastAsia="Times New Roman" w:hAnsi="Times New Roman"/>
          <w:sz w:val="18"/>
          <w:szCs w:val="18"/>
          <w:b w:val="1"/>
          <w:bCs w:val="1"/>
          <w:i w:val="1"/>
          <w:iCs w:val="1"/>
          <w:color w:val="auto"/>
        </w:rPr>
        <w:t>CARM</w:t>
      </w:r>
      <w:r>
        <w:rPr>
          <w:rFonts w:ascii="Times New Roman" w:cs="Times New Roman" w:eastAsia="Times New Roman" w:hAnsi="Times New Roman"/>
          <w:sz w:val="18"/>
          <w:szCs w:val="18"/>
          <w:color w:val="auto"/>
        </w:rPr>
        <w:t>,” and, together with BDC Adviser, CAA, CAEA, CO3 Advisers, and CAIM, the “</w:t>
      </w:r>
      <w:r>
        <w:rPr>
          <w:rFonts w:ascii="Times New Roman" w:cs="Times New Roman" w:eastAsia="Times New Roman" w:hAnsi="Times New Roman"/>
          <w:sz w:val="18"/>
          <w:szCs w:val="18"/>
          <w:b w:val="1"/>
          <w:bCs w:val="1"/>
          <w:i w:val="1"/>
          <w:iCs w:val="1"/>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Advisers</w:t>
      </w:r>
      <w:r>
        <w:rPr>
          <w:rFonts w:ascii="Times New Roman" w:cs="Times New Roman" w:eastAsia="Times New Roman" w:hAnsi="Times New Roman"/>
          <w:sz w:val="18"/>
          <w:szCs w:val="18"/>
          <w:color w:val="auto"/>
        </w:rPr>
        <w:t>”), which does not provide advice with regard to securities, and is therefore not registered under the Advisers Act, on behalf of itself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successors;</w:t>
      </w:r>
    </w:p>
    <w:p>
      <w:pPr>
        <w:spacing w:after="0" w:line="17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Credit Company, LLC, CA CO SPV, LLC, and CA Credit SPV, LLC, each of which is an entity wholly owned by affiliates of CAA that, from time to time, will hold various financial assets in a principal capacity and that currently intend to participate in Co-Investment Transactions (together, in such capacity, the “</w:t>
      </w:r>
      <w:r>
        <w:rPr>
          <w:rFonts w:ascii="Times New Roman" w:cs="Times New Roman" w:eastAsia="Times New Roman" w:hAnsi="Times New Roman"/>
          <w:sz w:val="18"/>
          <w:szCs w:val="18"/>
          <w:b w:val="1"/>
          <w:bCs w:val="1"/>
          <w:i w:val="1"/>
          <w:iCs w:val="1"/>
          <w:color w:val="auto"/>
        </w:rPr>
        <w:t>Existing Proprietary Accounts</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7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investment vehicles identified on </w:t>
      </w:r>
      <w:r>
        <w:rPr>
          <w:rFonts w:ascii="Times New Roman" w:cs="Times New Roman" w:eastAsia="Times New Roman" w:hAnsi="Times New Roman"/>
          <w:sz w:val="18"/>
          <w:szCs w:val="18"/>
          <w:u w:val="single" w:color="auto"/>
          <w:color w:val="auto"/>
        </w:rPr>
        <w:t>Schedule A hereto</w:t>
      </w:r>
      <w:r>
        <w:rPr>
          <w:rFonts w:ascii="Times New Roman" w:cs="Times New Roman" w:eastAsia="Times New Roman" w:hAnsi="Times New Roman"/>
          <w:sz w:val="18"/>
          <w:szCs w:val="18"/>
          <w:color w:val="auto"/>
        </w:rPr>
        <w:t>, each of which is a separate and distinct legal entity and each of which would be an investment company but for Section 3(c)(5) or 3(c)(7) of the 1940 Act (the “</w:t>
      </w:r>
      <w:r>
        <w:rPr>
          <w:rFonts w:ascii="Times New Roman" w:cs="Times New Roman" w:eastAsia="Times New Roman" w:hAnsi="Times New Roman"/>
          <w:sz w:val="18"/>
          <w:szCs w:val="18"/>
          <w:b w:val="1"/>
          <w:bCs w:val="1"/>
          <w:i w:val="1"/>
          <w:iCs w:val="1"/>
          <w:color w:val="auto"/>
        </w:rPr>
        <w:t>Existing Affiliated Funds</w:t>
      </w:r>
      <w:r>
        <w:rPr>
          <w:rFonts w:ascii="Times New Roman" w:cs="Times New Roman" w:eastAsia="Times New Roman" w:hAnsi="Times New Roman"/>
          <w:sz w:val="18"/>
          <w:szCs w:val="18"/>
          <w:color w:val="auto"/>
        </w:rPr>
        <w:t>” and, together with the Existing Regulated Fund, the Existing Advisers, and the Existing Proprietary Accounts, the “</w:t>
      </w:r>
      <w:r>
        <w:rPr>
          <w:rFonts w:ascii="Times New Roman" w:cs="Times New Roman" w:eastAsia="Times New Roman" w:hAnsi="Times New Roman"/>
          <w:sz w:val="18"/>
          <w:szCs w:val="18"/>
          <w:b w:val="1"/>
          <w:bCs w:val="1"/>
          <w:i w:val="1"/>
          <w:iCs w:val="1"/>
          <w:color w:val="auto"/>
        </w:rPr>
        <w:t>Applicants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71" w:lineRule="exact"/>
        <w:rPr>
          <w:sz w:val="20"/>
          <w:szCs w:val="20"/>
          <w:color w:val="auto"/>
        </w:rPr>
      </w:pPr>
    </w:p>
    <w:p>
      <w:pPr>
        <w:ind w:left="720" w:hanging="658"/>
        <w:spacing w:after="0"/>
        <w:tabs>
          <w:tab w:leader="none" w:pos="7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Unless otherwise indicated, all section and rule references herein are to the 1940 Act and rules promulgated thereunder.</w:t>
      </w:r>
    </w:p>
    <w:p>
      <w:pPr>
        <w:spacing w:after="0" w:line="196" w:lineRule="exact"/>
        <w:rPr>
          <w:sz w:val="20"/>
          <w:szCs w:val="20"/>
          <w:color w:val="auto"/>
        </w:rPr>
      </w:pPr>
    </w:p>
    <w:p>
      <w:pPr>
        <w:ind w:left="720" w:hanging="658"/>
        <w:spacing w:after="0" w:line="196" w:lineRule="auto"/>
        <w:tabs>
          <w:tab w:leader="none" w:pos="7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Silver Spike Investment Corp., et al. (File No. 812-15339) Investment Company Act Rel. Nos. 34771 (December 12, 2022) (notice)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34798 (January 9, 2023) (order).</w:t>
      </w:r>
    </w:p>
    <w:p>
      <w:pPr>
        <w:spacing w:after="0" w:line="89" w:lineRule="exact"/>
        <w:rPr>
          <w:sz w:val="20"/>
          <w:szCs w:val="20"/>
          <w:color w:val="auto"/>
        </w:rPr>
      </w:pPr>
    </w:p>
    <w:p>
      <w:pPr>
        <w:ind w:left="720" w:hanging="658"/>
        <w:spacing w:after="0"/>
        <w:tabs>
          <w:tab w:leader="none" w:pos="7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term “successor” means an entity that results from a reorganization into another jurisdiction or change in the type of business organization.</w:t>
      </w:r>
    </w:p>
    <w:p>
      <w:pPr>
        <w:spacing w:after="0" w:line="198" w:lineRule="exact"/>
        <w:rPr>
          <w:sz w:val="20"/>
          <w:szCs w:val="20"/>
          <w:color w:val="auto"/>
        </w:rPr>
      </w:pPr>
    </w:p>
    <w:p>
      <w:pPr>
        <w:ind w:left="660" w:right="20" w:hanging="652"/>
        <w:spacing w:after="0" w:line="195" w:lineRule="auto"/>
        <w:tabs>
          <w:tab w:leader="none" w:pos="66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existing entities that currently intend to rely upon the requested Order have been named as Applicants. Any other existing or future entity that subsequently relies on the Order will comply with the terms and conditions of the Application.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ind w:firstLine="324"/>
        <w:spacing w:after="0" w:line="209" w:lineRule="auto"/>
        <w:rPr>
          <w:sz w:val="20"/>
          <w:szCs w:val="20"/>
          <w:color w:val="auto"/>
        </w:rPr>
      </w:pPr>
      <w:r>
        <w:rPr>
          <w:rFonts w:ascii="Times New Roman" w:cs="Times New Roman" w:eastAsia="Times New Roman" w:hAnsi="Times New Roman"/>
          <w:sz w:val="18"/>
          <w:szCs w:val="18"/>
          <w:color w:val="auto"/>
        </w:rPr>
        <w:t>The relief requested in this application for the Order (the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would allow a Regulated Fund</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and one or more Affiliated Entities</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to engage in Co-Investment Transactions</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subject to the terms and conditions described herein. The Regulated Funds and Affiliated Entities that participate in a Co-Investment Transaction are collectively referred to herein as “</w:t>
      </w:r>
      <w:r>
        <w:rPr>
          <w:rFonts w:ascii="Times New Roman" w:cs="Times New Roman" w:eastAsia="Times New Roman" w:hAnsi="Times New Roman"/>
          <w:sz w:val="18"/>
          <w:szCs w:val="18"/>
          <w:b w:val="1"/>
          <w:bCs w:val="1"/>
          <w:i w:val="1"/>
          <w:iCs w:val="1"/>
          <w:color w:val="auto"/>
        </w:rPr>
        <w:t>Participants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The Applicants do not seek relief for transactions effected consistent with Commission staff no-action positions.</w:t>
      </w:r>
      <w:r>
        <w:rPr>
          <w:rFonts w:ascii="Times New Roman" w:cs="Times New Roman" w:eastAsia="Times New Roman" w:hAnsi="Times New Roman"/>
          <w:sz w:val="29"/>
          <w:szCs w:val="29"/>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3" w:lineRule="exact"/>
        <w:rPr>
          <w:sz w:val="20"/>
          <w:szCs w:val="20"/>
          <w:color w:val="auto"/>
        </w:rPr>
      </w:pPr>
    </w:p>
    <w:p>
      <w:pPr>
        <w:jc w:val="both"/>
        <w:ind w:left="660" w:hanging="652"/>
        <w:spacing w:after="0" w:line="225" w:lineRule="auto"/>
        <w:tabs>
          <w:tab w:leader="none" w:pos="66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Regulated Fund</w:t>
      </w:r>
      <w:r>
        <w:rPr>
          <w:rFonts w:ascii="Times New Roman" w:cs="Times New Roman" w:eastAsia="Times New Roman" w:hAnsi="Times New Roman"/>
          <w:sz w:val="18"/>
          <w:szCs w:val="18"/>
          <w:color w:val="auto"/>
        </w:rPr>
        <w:t>” means the Existing Regulated Fund and any Future Regulated Funds. “</w:t>
      </w:r>
      <w:r>
        <w:rPr>
          <w:rFonts w:ascii="Times New Roman" w:cs="Times New Roman" w:eastAsia="Times New Roman" w:hAnsi="Times New Roman"/>
          <w:sz w:val="18"/>
          <w:szCs w:val="18"/>
          <w:b w:val="1"/>
          <w:bCs w:val="1"/>
          <w:i w:val="1"/>
          <w:iCs w:val="1"/>
          <w:color w:val="auto"/>
        </w:rPr>
        <w:t>Future Regulated Fund</w:t>
      </w:r>
      <w:r>
        <w:rPr>
          <w:rFonts w:ascii="Times New Roman" w:cs="Times New Roman" w:eastAsia="Times New Roman" w:hAnsi="Times New Roman"/>
          <w:sz w:val="18"/>
          <w:szCs w:val="18"/>
          <w:color w:val="auto"/>
        </w:rPr>
        <w:t>” means an entity (a) that is a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p>
      <w:pPr>
        <w:spacing w:after="0" w:line="200" w:lineRule="exact"/>
        <w:rPr>
          <w:rFonts w:ascii="Times New Roman" w:cs="Times New Roman" w:eastAsia="Times New Roman" w:hAnsi="Times New Roman"/>
          <w:sz w:val="30"/>
          <w:szCs w:val="30"/>
          <w:color w:val="auto"/>
          <w:vertAlign w:val="superscript"/>
        </w:rPr>
      </w:pPr>
    </w:p>
    <w:p>
      <w:pPr>
        <w:jc w:val="both"/>
        <w:ind w:left="660"/>
        <w:spacing w:after="0" w:line="25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 w:cs="Times New Roman" w:eastAsia="Times New Roman" w:hAnsi="Times New Roman"/>
          <w:sz w:val="18"/>
          <w:szCs w:val="18"/>
          <w:b w:val="1"/>
          <w:bCs w:val="1"/>
          <w:i w:val="1"/>
          <w:iCs w:val="1"/>
          <w:color w:val="auto"/>
        </w:rPr>
        <w:t>Wholly-Owned Investment Sub</w:t>
      </w:r>
      <w:r>
        <w:rPr>
          <w:rFonts w:ascii="Times New Roman" w:cs="Times New Roman" w:eastAsia="Times New Roman" w:hAnsi="Times New Roman"/>
          <w:sz w:val="18"/>
          <w:szCs w:val="18"/>
          <w:color w:val="auto"/>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 w:cs="Times New Roman" w:eastAsia="Times New Roman" w:hAnsi="Times New Roman"/>
          <w:sz w:val="18"/>
          <w:szCs w:val="18"/>
          <w:b w:val="1"/>
          <w:bCs w:val="1"/>
          <w:i w:val="1"/>
          <w:iCs w:val="1"/>
          <w:color w:val="auto"/>
        </w:rPr>
        <w:t>Joint Venture</w:t>
      </w:r>
      <w:r>
        <w:rPr>
          <w:rFonts w:ascii="Times New Roman" w:cs="Times New Roman" w:eastAsia="Times New Roman" w:hAnsi="Times New Roman"/>
          <w:sz w:val="18"/>
          <w:szCs w:val="18"/>
          <w:color w:val="auto"/>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 w:cs="Times New Roman" w:eastAsia="Times New Roman" w:hAnsi="Times New Roman"/>
          <w:sz w:val="18"/>
          <w:szCs w:val="18"/>
          <w:b w:val="1"/>
          <w:bCs w:val="1"/>
          <w:i w:val="1"/>
          <w:iCs w:val="1"/>
          <w:color w:val="auto"/>
        </w:rPr>
        <w:t>BDC Downstream Fund</w:t>
      </w:r>
      <w:r>
        <w:rPr>
          <w:rFonts w:ascii="Times New Roman" w:cs="Times New Roman" w:eastAsia="Times New Roman" w:hAnsi="Times New Roman"/>
          <w:sz w:val="18"/>
          <w:szCs w:val="18"/>
          <w:color w:val="auto"/>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w:t>
      </w:r>
    </w:p>
    <w:p>
      <w:pPr>
        <w:spacing w:after="0" w:line="191" w:lineRule="exact"/>
        <w:rPr>
          <w:rFonts w:ascii="Times New Roman" w:cs="Times New Roman" w:eastAsia="Times New Roman" w:hAnsi="Times New Roman"/>
          <w:sz w:val="30"/>
          <w:szCs w:val="30"/>
          <w:color w:val="auto"/>
          <w:vertAlign w:val="superscript"/>
        </w:rPr>
      </w:pPr>
    </w:p>
    <w:p>
      <w:pPr>
        <w:jc w:val="both"/>
        <w:ind w:left="660"/>
        <w:spacing w:after="0" w:line="25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p>
      <w:pPr>
        <w:spacing w:after="0" w:line="179" w:lineRule="exact"/>
        <w:rPr>
          <w:sz w:val="20"/>
          <w:szCs w:val="20"/>
          <w:color w:val="auto"/>
        </w:rPr>
      </w:pPr>
    </w:p>
    <w:p>
      <w:pPr>
        <w:jc w:val="both"/>
        <w:ind w:left="660" w:hanging="652"/>
        <w:spacing w:after="0" w:line="225" w:lineRule="auto"/>
        <w:tabs>
          <w:tab w:leader="none" w:pos="66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Affiliated Entity</w:t>
      </w:r>
      <w:r>
        <w:rPr>
          <w:rFonts w:ascii="Times New Roman" w:cs="Times New Roman" w:eastAsia="Times New Roman" w:hAnsi="Times New Roman"/>
          <w:sz w:val="18"/>
          <w:szCs w:val="18"/>
          <w:color w:val="auto"/>
        </w:rPr>
        <w:t>” means an entity not controlled by a Regulated Fund that intends to engage in Co-Investment Transactions and that is (a) with respect to a Regulated Fund, another Regulated Fund; (b) an Adviser or its affiliates (other than an open-end investment company registered under the 1940 Act), and any direct or indirect, wholly- or majority-owned subsidiary of an Adviser or its affiliates (other than of an open-end investment company registered under the 1940 Act), that is participating in a Co-Investment Transaction in a principal capacity; or (c) any entity that would be an investment company but for Section 3(c) of the 1940 Act or Rule 3a-7 thereunder and whose investment adviser is an Adviser.</w:t>
      </w:r>
    </w:p>
    <w:p>
      <w:pPr>
        <w:spacing w:after="0" w:line="20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To the extent that an entity described in clause (b) is not advised by an Adviser, such entity shall be deemed to be an Adviser for purposes of the conditions.</w:t>
      </w:r>
    </w:p>
    <w:p>
      <w:pPr>
        <w:spacing w:after="0" w:line="158" w:lineRule="exact"/>
        <w:rPr>
          <w:sz w:val="20"/>
          <w:szCs w:val="20"/>
          <w:color w:val="auto"/>
        </w:rPr>
      </w:pPr>
    </w:p>
    <w:p>
      <w:pPr>
        <w:ind w:left="660" w:hanging="652"/>
        <w:spacing w:after="0" w:line="197" w:lineRule="auto"/>
        <w:tabs>
          <w:tab w:leader="none" w:pos="66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Co-Investment Transaction</w:t>
      </w:r>
      <w:r>
        <w:rPr>
          <w:rFonts w:ascii="Times New Roman" w:cs="Times New Roman" w:eastAsia="Times New Roman" w:hAnsi="Times New Roman"/>
          <w:sz w:val="18"/>
          <w:szCs w:val="18"/>
          <w:color w:val="auto"/>
        </w:rPr>
        <w:t>” means the acquisition or Disposition of securities of an issuer in a transaction effected in reliance on the Order or previously granted relief.</w:t>
      </w:r>
    </w:p>
    <w:p>
      <w:pPr>
        <w:spacing w:after="0" w:line="195" w:lineRule="exact"/>
        <w:rPr>
          <w:sz w:val="20"/>
          <w:szCs w:val="20"/>
          <w:color w:val="auto"/>
        </w:rPr>
      </w:pPr>
    </w:p>
    <w:p>
      <w:pPr>
        <w:ind w:left="660" w:hanging="652"/>
        <w:spacing w:after="0" w:line="197" w:lineRule="auto"/>
        <w:tabs>
          <w:tab w:leader="none" w:pos="66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color w:val="auto"/>
        </w:rPr>
        <w:t>” means the Existing Advisers and any other investment adviser controlling, controlled by, or under common control with an Existing Adviser. The term “Adviser” also includes any internally-managed Regulated Fund.</w:t>
      </w:r>
    </w:p>
    <w:p>
      <w:pPr>
        <w:spacing w:after="0" w:line="197" w:lineRule="exact"/>
        <w:rPr>
          <w:sz w:val="20"/>
          <w:szCs w:val="20"/>
          <w:color w:val="auto"/>
        </w:rPr>
      </w:pPr>
    </w:p>
    <w:p>
      <w:pPr>
        <w:ind w:left="660" w:hanging="652"/>
        <w:spacing w:after="0" w:line="196" w:lineRule="auto"/>
        <w:tabs>
          <w:tab w:leader="none" w:pos="66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 Massachusetts Mutual Life Insurance Co. (pub. avail. June 7, 2000), Massachusetts Mutual Life Insurance Co. (pub. avail. July 28, 2000)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SMC Capital, Inc. (pub. avail. Sept. 5, 1995).</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II. GENERAL DESCRIPTION OF THE APPLICANTS</w:t>
      </w:r>
    </w:p>
    <w:p>
      <w:pPr>
        <w:spacing w:after="0" w:line="229"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Existing Regulated Fund</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Existing Regulated Fund was incorporated in Maryland on January 25, 2021. The Existing Regulated Fund is a closed-end management investment company that has elected to be regulated as a BDC under the 1940 Act. The Existing Regulated Fund commenced operations on February 8, 2022. The Existing Regulated Fund intends to qualify annually as a regulated investment company under Subchapter M of the Internal Revenue Code of 1986, as amended. The Existing Regulated Fund’s principal place of business is 600 Madison Avenue, Suite 1800, New York, NY 10022.</w:t>
      </w:r>
    </w:p>
    <w:p>
      <w:pPr>
        <w:spacing w:after="0" w:line="180"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The Existing Regulated Fund’s investment objective is to maximize risk-adjusted returns on equity for its shareholders. The Existing Regulated Fund has an eight-member board (the “</w:t>
      </w:r>
      <w:r>
        <w:rPr>
          <w:rFonts w:ascii="Times New Roman" w:cs="Times New Roman" w:eastAsia="Times New Roman" w:hAnsi="Times New Roman"/>
          <w:sz w:val="18"/>
          <w:szCs w:val="18"/>
          <w:b w:val="1"/>
          <w:bCs w:val="1"/>
          <w:i w:val="1"/>
          <w:iCs w:val="1"/>
          <w:color w:val="auto"/>
        </w:rPr>
        <w:t>Existing Regulated Fund Board</w:t>
      </w:r>
      <w:r>
        <w:rPr>
          <w:rFonts w:ascii="Times New Roman" w:cs="Times New Roman" w:eastAsia="Times New Roman" w:hAnsi="Times New Roman"/>
          <w:sz w:val="18"/>
          <w:szCs w:val="18"/>
          <w:color w:val="auto"/>
        </w:rPr>
        <w:t>” and together with any Future Regulated Fund's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which six members are not “interested” persons of the Existing Regulated Fund within the meaning of Section 2(a)(19) of the 1940 Act.</w:t>
      </w:r>
      <w:r>
        <w:rPr>
          <w:rFonts w:ascii="Times New Roman" w:cs="Times New Roman" w:eastAsia="Times New Roman" w:hAnsi="Times New Roman"/>
          <w:sz w:val="29"/>
          <w:szCs w:val="29"/>
          <w:color w:val="auto"/>
          <w:vertAlign w:val="superscript"/>
        </w:rPr>
        <w:t>10</w:t>
      </w:r>
    </w:p>
    <w:p>
      <w:pPr>
        <w:spacing w:after="0" w:line="45"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Existing Affiliated Funds and the Existing Proprietary Accounts</w:t>
      </w:r>
    </w:p>
    <w:p>
      <w:pPr>
        <w:spacing w:after="0" w:line="225"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The Existing Affiliated Funds are investment funds, each of whose investment adviser is an Adviser and each of which would be an investment company but for Section 3(c)(5) or 3(c)(7) of the 1940 Act.</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A list of the Existing Affiliated Funds and their respective investment adviser is included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0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Existing Proprietary Accounts will, from time to time, hold various financial assets in a principal capacity. The Existing Advisers operate various business lines through their wholly or majority owned subsidiaries, and the wholly or majority owned subsidiaries that exist and currently intend to participate in Co-Investment Transactions have been included as Applicants herein.</w:t>
      </w:r>
    </w:p>
    <w:p>
      <w:pPr>
        <w:spacing w:after="0" w:line="176"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Existing Advisers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BDC Adviser serves as the investment adviser of the Existing Regulated Fund and CAA, CAEA, CO3 Advisers, CAIM, and CARM serve as the investment adviser of certain of the Existing Affiliated Funds, as noted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and BDC Adviser or another Adviser will serve as the investment adviser to any Future Regulated Fund. On the date of this Application, the clients of each Adviser that intend to rely on this Application are the Existing Regulated Fund and the Existing Affiliated Funds identified on Schedule A hereto. BDC Adviser also provides administrative services to the Existing Regulated Fund under an administrative services agreement. Each of the Existing Advisers is a Delaware limited liability company. Each of BDC Adviser and CAA is a registered investment adviser with the Commission under the Advisers Act. Each of CAEA, CO3 Advisers, and CAIM is a relying adviser of CAA.</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Each Existing Adviser is a direct or indirect majority-owned subsidiary of Chicago Atlantic Group, LP (“</w:t>
      </w:r>
      <w:r>
        <w:rPr>
          <w:rFonts w:ascii="Times New Roman" w:cs="Times New Roman" w:eastAsia="Times New Roman" w:hAnsi="Times New Roman"/>
          <w:sz w:val="18"/>
          <w:szCs w:val="18"/>
          <w:b w:val="1"/>
          <w:bCs w:val="1"/>
          <w:i w:val="1"/>
          <w:iCs w:val="1"/>
          <w:color w:val="auto"/>
        </w:rPr>
        <w:t>CAG</w:t>
      </w:r>
      <w:r>
        <w:rPr>
          <w:rFonts w:ascii="Times New Roman" w:cs="Times New Roman" w:eastAsia="Times New Roman" w:hAnsi="Times New Roman"/>
          <w:sz w:val="18"/>
          <w:szCs w:val="18"/>
          <w:color w:val="auto"/>
        </w:rPr>
        <w:t>”), a Delaware limited partnership. CAG is an alternative investment manager focused on industries and companies where demand for capital exceeds traditional supply. CAG’s investment strategies include opportunistic private credit and equity with focuses on loans to esoteric industries, specialty asset-based loans, liquidity solutions and growth and technology finance. CAG has offices in Chicago, Miami, New York and London.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an investment advisory agreement with the Existing Regulated Fund and each Existing Affiliated Fund, as applicable, the Existing Advisers will, among other things, manage the investment portfolio, direct purchases and sales of portfolio securities and report thereon to the Existing Regulated Fund’s and each Existing Affiliated Fund’s officers and directors/trustees/manager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ind w:left="660" w:hanging="652"/>
        <w:spacing w:after="0" w:line="195" w:lineRule="auto"/>
        <w:tabs>
          <w:tab w:leader="none" w:pos="66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Board of each Future Regulated Fund will consist of a majority of members who are not “interested persons” of such Future Regulated Fund within the meaning of Section 2(a)(19) of the 1940 Act.</w:t>
      </w:r>
    </w:p>
    <w:p>
      <w:pPr>
        <w:spacing w:after="0" w:line="199" w:lineRule="exact"/>
        <w:rPr>
          <w:rFonts w:ascii="Times New Roman" w:cs="Times New Roman" w:eastAsia="Times New Roman" w:hAnsi="Times New Roman"/>
          <w:sz w:val="30"/>
          <w:szCs w:val="30"/>
          <w:color w:val="auto"/>
          <w:vertAlign w:val="superscript"/>
        </w:rPr>
      </w:pPr>
    </w:p>
    <w:p>
      <w:pPr>
        <w:ind w:left="660" w:hanging="652"/>
        <w:spacing w:after="0" w:line="195" w:lineRule="auto"/>
        <w:tabs>
          <w:tab w:leader="none" w:pos="66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future, an Affiliated Fund may register as a closed-end management investment company under the Act and, if so registered, will be considered a Regulated Fund for purposes of this application.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III. ORDER REQUESTED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Applicants request an Order of the Commission under Sections 17(d) and 57(i) of the 1940 Act and Rule 17d-1 thereunder to permit, subject to the terms and conditions set forth below in this Application (the “</w:t>
      </w: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 each Regulated Fund to be able to participate with one or more Affiliated Entities in Co-Investment Transactions otherwise prohibited by Sections 17(d) and 57(a)(4) of the 1940 Act and Rule 17d-1 thereunder.</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A.</w:t>
        <w:tab/>
        <w:t>Applicable Law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w:t>
      </w:r>
    </w:p>
    <w:p>
      <w:pPr>
        <w:spacing w:after="0" w:line="180"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in which the fund is a participant without first obtaining an order from the SEC.</w:t>
      </w:r>
    </w:p>
    <w:p>
      <w:pPr>
        <w:spacing w:after="0" w:line="20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w:t>
      </w: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Need for Relief</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 closed-end fund or a business development company, respectively, including a sub-adviser. Thus, an Adviser and any Affiliated Entities that it advises could be deemed to be persons related to Regulated Funds in a manner described by Sections 17(d) and 57(b). The Existing Advisers are under common control, and are thus affiliated persons of each other. Accordingly, with respect to the Existing Advisers and any other Advisers that are deemed to be affiliated persons of each other, Affiliated Entities advised by any of them could be deemed to be persons related to Regulated Funds (or a company controlled by a Regulated Fund) in a manner described by Sections 17(d) and 57(b). In addition, any entities or accounts controlled by or under common control with the Existing Advisers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17d-l under the 1940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0" w:lineRule="exact"/>
        <w:rPr>
          <w:sz w:val="20"/>
          <w:szCs w:val="20"/>
          <w:color w:val="auto"/>
        </w:rPr>
      </w:pPr>
    </w:p>
    <w:p>
      <w:pPr>
        <w:jc w:val="both"/>
        <w:ind w:left="660" w:hanging="652"/>
        <w:spacing w:after="0" w:line="219" w:lineRule="auto"/>
        <w:tabs>
          <w:tab w:leader="none" w:pos="66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Conditions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Applicants agree that any Order granting the requested relief will be subject to the following Conditions.</w:t>
      </w:r>
    </w:p>
    <w:p>
      <w:pPr>
        <w:spacing w:after="0" w:line="223" w:lineRule="exact"/>
        <w:rPr>
          <w:sz w:val="20"/>
          <w:szCs w:val="20"/>
          <w:color w:val="auto"/>
        </w:rPr>
      </w:pPr>
    </w:p>
    <w:p>
      <w:pPr>
        <w:jc w:val="both"/>
        <w:ind w:firstLine="332"/>
        <w:spacing w:after="0" w:line="261" w:lineRule="auto"/>
        <w:tabs>
          <w:tab w:leader="none" w:pos="5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Same Terms</w:t>
      </w:r>
      <w:r>
        <w:rPr>
          <w:rFonts w:ascii="Times New Roman" w:cs="Times New Roman" w:eastAsia="Times New Roman" w:hAnsi="Times New Roman"/>
          <w:sz w:val="18"/>
          <w:szCs w:val="18"/>
          <w:color w:val="auto"/>
        </w:rPr>
        <w:t>. With respect to any Co-Investment Transaction, each Regulated Fund, and Affiliated Entity participating in such transaction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 w:cs="Times New Roman" w:eastAsia="Times New Roman" w:hAnsi="Times New Roman"/>
          <w:sz w:val="29"/>
          <w:szCs w:val="29"/>
          <w:color w:val="auto"/>
          <w:vertAlign w:val="superscript"/>
        </w:rPr>
        <w:t>13</w:t>
      </w:r>
    </w:p>
    <w:p>
      <w:pPr>
        <w:spacing w:after="0" w:line="55" w:lineRule="exact"/>
        <w:rPr>
          <w:rFonts w:ascii="Times New Roman" w:cs="Times New Roman" w:eastAsia="Times New Roman" w:hAnsi="Times New Roman"/>
          <w:sz w:val="18"/>
          <w:szCs w:val="18"/>
          <w:color w:val="auto"/>
        </w:rPr>
      </w:pPr>
    </w:p>
    <w:p>
      <w:pPr>
        <w:jc w:val="both"/>
        <w:ind w:firstLine="332"/>
        <w:spacing w:after="0" w:line="219" w:lineRule="auto"/>
        <w:tabs>
          <w:tab w:leader="none" w:pos="5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Existing Investments in the Issuer</w:t>
      </w:r>
      <w:r>
        <w:rPr>
          <w:rFonts w:ascii="Times New Roman" w:cs="Times New Roman" w:eastAsia="Times New Roman" w:hAnsi="Times New Roman"/>
          <w:sz w:val="18"/>
          <w:szCs w:val="18"/>
          <w:color w:val="auto"/>
        </w:rPr>
        <w:t>. Prior to a Regulated Fund acquiring in a Co-Investment Transaction a security of an issuer in which an Affiliated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has an existing interest in such issuer, the “required majority,” as defined in Section 57(o) of the 1940 Act,</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of the Regulated Fund (“</w:t>
      </w:r>
      <w:r>
        <w:rPr>
          <w:rFonts w:ascii="Times New Roman" w:cs="Times New Roman" w:eastAsia="Times New Roman" w:hAnsi="Times New Roman"/>
          <w:sz w:val="18"/>
          <w:szCs w:val="18"/>
          <w:b w:val="1"/>
          <w:bCs w:val="1"/>
          <w:i w:val="1"/>
          <w:iCs w:val="1"/>
          <w:color w:val="auto"/>
        </w:rPr>
        <w:t>Required</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b w:val="1"/>
          <w:bCs w:val="1"/>
          <w:i w:val="1"/>
          <w:iCs w:val="1"/>
          <w:color w:val="auto"/>
        </w:rPr>
        <w:t>Majority</w:t>
      </w:r>
      <w:r>
        <w:rPr>
          <w:rFonts w:ascii="Times New Roman" w:cs="Times New Roman" w:eastAsia="Times New Roman" w:hAnsi="Times New Roman"/>
          <w:sz w:val="18"/>
          <w:szCs w:val="18"/>
          <w:color w:val="auto"/>
        </w:rPr>
        <w:t>”) will take the steps set forth in Section 57(f) of the 1940 Act,</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unless: (i) the Regulated Fund already holds the same security as each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Affiliated Entity; and (ii) the Regulated Fund and each other Affiliated Entity holding the security is participating in the acquisition in approximate proportion to its then-current holdings.</w:t>
      </w:r>
    </w:p>
    <w:p>
      <w:pPr>
        <w:spacing w:after="0" w:line="198" w:lineRule="exact"/>
        <w:rPr>
          <w:sz w:val="20"/>
          <w:szCs w:val="20"/>
          <w:color w:val="auto"/>
        </w:rPr>
      </w:pPr>
    </w:p>
    <w:p>
      <w:pPr>
        <w:jc w:val="both"/>
        <w:ind w:firstLine="332"/>
        <w:spacing w:after="0" w:line="277"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Related Expenses</w:t>
      </w:r>
      <w:r>
        <w:rPr>
          <w:rFonts w:ascii="Times New Roman" w:cs="Times New Roman" w:eastAsia="Times New Roman" w:hAnsi="Times New Roman"/>
          <w:sz w:val="18"/>
          <w:szCs w:val="18"/>
          <w:color w:val="auto"/>
        </w:rPr>
        <w:t>. Any expenses associated with acquiring, holding or disposing of any securities acquired in a Co-Investment Transaction,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not borne by the Adviser(s), will be shared among the Participants in proportion to the relative amounts of the securities being acquired, held or disposed of, as the case may be.</w:t>
      </w:r>
      <w:r>
        <w:rPr>
          <w:rFonts w:ascii="Times New Roman" w:cs="Times New Roman" w:eastAsia="Times New Roman" w:hAnsi="Times New Roman"/>
          <w:sz w:val="29"/>
          <w:szCs w:val="29"/>
          <w:color w:val="auto"/>
          <w:vertAlign w:val="superscript"/>
        </w:rPr>
        <w:t>16</w:t>
      </w:r>
    </w:p>
    <w:p>
      <w:pPr>
        <w:spacing w:after="0" w:line="47" w:lineRule="exact"/>
        <w:rPr>
          <w:rFonts w:ascii="Times New Roman" w:cs="Times New Roman" w:eastAsia="Times New Roman" w:hAnsi="Times New Roman"/>
          <w:sz w:val="18"/>
          <w:szCs w:val="18"/>
          <w:color w:val="auto"/>
        </w:rPr>
      </w:pPr>
    </w:p>
    <w:p>
      <w:pPr>
        <w:jc w:val="both"/>
        <w:ind w:firstLine="332"/>
        <w:spacing w:after="0" w:line="243" w:lineRule="auto"/>
        <w:tabs>
          <w:tab w:leader="none" w:pos="5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Remuneration</w:t>
      </w:r>
      <w:r>
        <w:rPr>
          <w:rFonts w:ascii="Times New Roman" w:cs="Times New Roman" w:eastAsia="Times New Roman" w:hAnsi="Times New Roman"/>
          <w:sz w:val="18"/>
          <w:szCs w:val="18"/>
          <w:color w:val="auto"/>
        </w:rPr>
        <w:t>. Any transaction fee</w:t>
      </w: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break-up, structuring, monitoring or commitment fees but excluding broker’s fees contemplated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spacing w:after="0" w:line="193" w:lineRule="exact"/>
        <w:rPr>
          <w:rFonts w:ascii="Times New Roman" w:cs="Times New Roman" w:eastAsia="Times New Roman" w:hAnsi="Times New Roman"/>
          <w:sz w:val="18"/>
          <w:szCs w:val="18"/>
          <w:color w:val="auto"/>
        </w:rPr>
      </w:pPr>
    </w:p>
    <w:p>
      <w:pPr>
        <w:jc w:val="both"/>
        <w:ind w:firstLine="332"/>
        <w:spacing w:after="0" w:line="265" w:lineRule="auto"/>
        <w:tabs>
          <w:tab w:leader="none" w:pos="5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Co-Investment Policies</w:t>
      </w:r>
      <w:r>
        <w:rPr>
          <w:rFonts w:ascii="Times New Roman" w:cs="Times New Roman" w:eastAsia="Times New Roman" w:hAnsi="Times New Roman"/>
          <w:sz w:val="18"/>
          <w:szCs w:val="18"/>
          <w:color w:val="auto"/>
        </w:rPr>
        <w:t>. Each Adviser (and each Affiliated Entity that is not advised by an Adviser) will adopt and implement policies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 w:cs="Times New Roman" w:eastAsia="Times New Roman" w:hAnsi="Times New Roman"/>
          <w:sz w:val="18"/>
          <w:szCs w:val="18"/>
          <w:b w:val="1"/>
          <w:bCs w:val="1"/>
          <w:i w:val="1"/>
          <w:iCs w:val="1"/>
          <w:color w:val="auto"/>
        </w:rPr>
        <w:t>Co-Investment Policies</w:t>
      </w:r>
      <w:r>
        <w:rPr>
          <w:rFonts w:ascii="Times New Roman" w:cs="Times New Roman" w:eastAsia="Times New Roman" w:hAnsi="Times New Roman"/>
          <w:sz w:val="18"/>
          <w:szCs w:val="18"/>
          <w:color w:val="auto"/>
        </w:rPr>
        <w:t>”). Each Adviser (and each Affiliated Entity that is not advised by an Adviser) will provide its Co-Investment Policies to the Regulated Funds and will notify the Regulated Funds of any material changes thereto.</w:t>
      </w:r>
      <w:r>
        <w:rPr>
          <w:rFonts w:ascii="Times New Roman" w:cs="Times New Roman" w:eastAsia="Times New Roman" w:hAnsi="Times New Roman"/>
          <w:sz w:val="29"/>
          <w:szCs w:val="29"/>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17830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77" w:lineRule="exact"/>
        <w:rPr>
          <w:sz w:val="20"/>
          <w:szCs w:val="20"/>
          <w:color w:val="auto"/>
        </w:rPr>
      </w:pPr>
    </w:p>
    <w:p>
      <w:pPr>
        <w:ind w:left="660" w:right="20" w:hanging="652"/>
        <w:spacing w:after="0" w:line="195" w:lineRule="auto"/>
        <w:tabs>
          <w:tab w:leader="none" w:pos="66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Such a Board can also, consistent with applicable fund documents, facilitate this opportunity by delegating the authority to veto the selection of such person to a committee of the Board.</w:t>
      </w:r>
    </w:p>
    <w:p>
      <w:pPr>
        <w:spacing w:after="0" w:line="199" w:lineRule="exact"/>
        <w:rPr>
          <w:rFonts w:ascii="Times New Roman" w:cs="Times New Roman" w:eastAsia="Times New Roman" w:hAnsi="Times New Roman"/>
          <w:sz w:val="30"/>
          <w:szCs w:val="30"/>
          <w:color w:val="auto"/>
          <w:vertAlign w:val="superscript"/>
        </w:rPr>
      </w:pPr>
    </w:p>
    <w:p>
      <w:pPr>
        <w:jc w:val="both"/>
        <w:ind w:left="660" w:hanging="652"/>
        <w:spacing w:after="0" w:line="219" w:lineRule="auto"/>
        <w:tabs>
          <w:tab w:leader="none" w:pos="66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w:t>
      </w:r>
    </w:p>
    <w:p>
      <w:pPr>
        <w:spacing w:after="0" w:line="198" w:lineRule="exact"/>
        <w:rPr>
          <w:rFonts w:ascii="Times New Roman" w:cs="Times New Roman" w:eastAsia="Times New Roman" w:hAnsi="Times New Roman"/>
          <w:sz w:val="30"/>
          <w:szCs w:val="30"/>
          <w:color w:val="auto"/>
          <w:vertAlign w:val="superscript"/>
        </w:rPr>
      </w:pPr>
    </w:p>
    <w:p>
      <w:pPr>
        <w:jc w:val="both"/>
        <w:ind w:left="660" w:hanging="652"/>
        <w:spacing w:after="0" w:line="230" w:lineRule="auto"/>
        <w:tabs>
          <w:tab w:leader="none" w:pos="66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w:t>
      </w:r>
    </w:p>
    <w:p>
      <w:pPr>
        <w:ind w:left="660" w:hanging="4"/>
        <w:spacing w:after="0" w:line="260" w:lineRule="auto"/>
        <w:tabs>
          <w:tab w:leader="none" w:pos="99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BDC’s directors record in their minutes and preserve in their records a description of the transaction, their findings, the information or materials upon which their findings were based, and the basis for their findings.</w:t>
      </w:r>
    </w:p>
    <w:p>
      <w:pPr>
        <w:spacing w:after="0" w:line="181" w:lineRule="exact"/>
        <w:rPr>
          <w:rFonts w:ascii="Times New Roman" w:cs="Times New Roman" w:eastAsia="Times New Roman" w:hAnsi="Times New Roman"/>
          <w:sz w:val="18"/>
          <w:szCs w:val="18"/>
          <w:color w:val="auto"/>
        </w:rPr>
      </w:pPr>
    </w:p>
    <w:p>
      <w:pPr>
        <w:ind w:left="660" w:right="20" w:hanging="652"/>
        <w:spacing w:after="0" w:line="195" w:lineRule="auto"/>
        <w:tabs>
          <w:tab w:leader="none" w:pos="66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Expenses of an individual Participant that are incurred solely by the Participant due to its unique circumstances (such as legal and compliance expenses) will be borne by such Participant.</w:t>
      </w:r>
    </w:p>
    <w:p>
      <w:pPr>
        <w:spacing w:after="0" w:line="199" w:lineRule="exact"/>
        <w:rPr>
          <w:rFonts w:ascii="Times New Roman" w:cs="Times New Roman" w:eastAsia="Times New Roman" w:hAnsi="Times New Roman"/>
          <w:sz w:val="30"/>
          <w:szCs w:val="30"/>
          <w:color w:val="auto"/>
          <w:vertAlign w:val="superscript"/>
        </w:rPr>
      </w:pPr>
    </w:p>
    <w:p>
      <w:pPr>
        <w:ind w:left="660" w:hanging="652"/>
        <w:spacing w:after="0" w:line="195" w:lineRule="auto"/>
        <w:tabs>
          <w:tab w:leader="none" w:pos="66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Applicants are not requesting and the Commission is not providing any relief for transaction fees received in connection with any Co-Investment Transaction.</w:t>
      </w:r>
    </w:p>
    <w:p>
      <w:pPr>
        <w:spacing w:after="0" w:line="88" w:lineRule="exact"/>
        <w:rPr>
          <w:rFonts w:ascii="Times New Roman" w:cs="Times New Roman" w:eastAsia="Times New Roman" w:hAnsi="Times New Roman"/>
          <w:sz w:val="30"/>
          <w:szCs w:val="30"/>
          <w:color w:val="auto"/>
          <w:vertAlign w:val="superscript"/>
        </w:rPr>
      </w:pPr>
    </w:p>
    <w:p>
      <w:pPr>
        <w:ind w:left="660" w:hanging="652"/>
        <w:spacing w:after="0"/>
        <w:tabs>
          <w:tab w:leader="none" w:pos="66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Affiliated Entities may adopt shared Co-Investment Policies.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520" w:hanging="188"/>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Dispositions</w:t>
      </w:r>
      <w:r>
        <w:rPr>
          <w:rFonts w:ascii="Times New Roman" w:cs="Times New Roman" w:eastAsia="Times New Roman" w:hAnsi="Times New Roman"/>
          <w:sz w:val="18"/>
          <w:szCs w:val="18"/>
          <w:color w:val="auto"/>
        </w:rPr>
        <w:t>:</w:t>
      </w:r>
    </w:p>
    <w:p>
      <w:pPr>
        <w:spacing w:after="0" w:line="230" w:lineRule="exact"/>
        <w:rPr>
          <w:rFonts w:ascii="Times New Roman" w:cs="Times New Roman" w:eastAsia="Times New Roman" w:hAnsi="Times New Roman"/>
          <w:sz w:val="18"/>
          <w:szCs w:val="18"/>
          <w:color w:val="auto"/>
        </w:rPr>
      </w:pPr>
    </w:p>
    <w:p>
      <w:pPr>
        <w:jc w:val="both"/>
        <w:ind w:left="980" w:hanging="324"/>
        <w:spacing w:after="0" w:line="203" w:lineRule="auto"/>
        <w:tabs>
          <w:tab w:leader="none" w:pos="980" w:val="left"/>
        </w:tabs>
        <w:numPr>
          <w:ilvl w:val="1"/>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Prior to any Disposition</w:t>
      </w:r>
      <w:r>
        <w:rPr>
          <w:rFonts w:ascii="Times New Roman" w:cs="Times New Roman" w:eastAsia="Times New Roman" w:hAnsi="Times New Roman"/>
          <w:sz w:val="29"/>
          <w:szCs w:val="29"/>
          <w:color w:val="auto"/>
          <w:vertAlign w:val="superscript"/>
        </w:rPr>
        <w:t>19</w:t>
      </w:r>
      <w:r>
        <w:rPr>
          <w:rFonts w:ascii="Times New Roman" w:cs="Times New Roman" w:eastAsia="Times New Roman" w:hAnsi="Times New Roman"/>
          <w:sz w:val="18"/>
          <w:szCs w:val="18"/>
          <w:color w:val="auto"/>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p>
      <w:pPr>
        <w:spacing w:after="0" w:line="200" w:lineRule="exact"/>
        <w:rPr>
          <w:rFonts w:ascii="Times New Roman" w:cs="Times New Roman" w:eastAsia="Times New Roman" w:hAnsi="Times New Roman"/>
          <w:sz w:val="36"/>
          <w:szCs w:val="36"/>
          <w:color w:val="auto"/>
          <w:vertAlign w:val="superscript"/>
        </w:rPr>
      </w:pPr>
    </w:p>
    <w:p>
      <w:pPr>
        <w:jc w:val="both"/>
        <w:ind w:left="980" w:hanging="324"/>
        <w:spacing w:after="0" w:line="27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 w:cs="Times New Roman" w:eastAsia="Times New Roman" w:hAnsi="Times New Roman"/>
          <w:sz w:val="29"/>
          <w:szCs w:val="29"/>
          <w:color w:val="auto"/>
          <w:vertAlign w:val="superscript"/>
        </w:rPr>
        <w:t>20</w:t>
      </w:r>
    </w:p>
    <w:p>
      <w:pPr>
        <w:spacing w:after="0" w:line="42"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Oversight</w:t>
      </w:r>
    </w:p>
    <w:p>
      <w:pPr>
        <w:spacing w:after="0" w:line="22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Regulated Fund’s directors will oversee the Regulated Fund’s participation in the co-investment program in the exercise of their reasonable business judgment.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p>
      <w:pPr>
        <w:spacing w:after="0" w:line="173" w:lineRule="exact"/>
        <w:rPr>
          <w:rFonts w:ascii="Times New Roman" w:cs="Times New Roman" w:eastAsia="Times New Roman" w:hAnsi="Times New Roman"/>
          <w:sz w:val="18"/>
          <w:szCs w:val="18"/>
          <w:color w:val="auto"/>
        </w:rPr>
      </w:pPr>
    </w:p>
    <w:p>
      <w:pPr>
        <w:jc w:val="both"/>
        <w:ind w:firstLine="332"/>
        <w:spacing w:after="0" w:line="277" w:lineRule="auto"/>
        <w:tabs>
          <w:tab w:leader="none" w:pos="5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Recordkeeping</w:t>
      </w:r>
      <w:r>
        <w:rPr>
          <w:rFonts w:ascii="Times New Roman" w:cs="Times New Roman" w:eastAsia="Times New Roman" w:hAnsi="Times New Roman"/>
          <w:sz w:val="18"/>
          <w:szCs w:val="18"/>
          <w:color w:val="auto"/>
        </w:rPr>
        <w:t>. All information presented to the Board pursuant to the order will be kept for the life of the Regulated Fund and at least two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 w:cs="Times New Roman" w:eastAsia="Times New Roman" w:hAnsi="Times New Roman"/>
          <w:sz w:val="29"/>
          <w:szCs w:val="29"/>
          <w:color w:val="auto"/>
          <w:vertAlign w:val="superscript"/>
        </w:rPr>
        <w:t>21</w:t>
      </w:r>
    </w:p>
    <w:p>
      <w:pPr>
        <w:spacing w:after="0" w:line="43" w:lineRule="exact"/>
        <w:rPr>
          <w:rFonts w:ascii="Times New Roman" w:cs="Times New Roman" w:eastAsia="Times New Roman" w:hAnsi="Times New Roman"/>
          <w:sz w:val="18"/>
          <w:szCs w:val="18"/>
          <w:color w:val="auto"/>
        </w:rPr>
      </w:pPr>
    </w:p>
    <w:p>
      <w:pPr>
        <w:ind w:firstLine="332"/>
        <w:spacing w:after="0" w:line="282" w:lineRule="auto"/>
        <w:tabs>
          <w:tab w:leader="none" w:pos="52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Commission adopts a rule under the 1940 Act allowing co-investments of the type described in this Application, any relief granted by the Order will expire on the effective date of that rule.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STATEMENT IN SUPPORT OF RELIEF REQUESTED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spacing w:after="0" w:line="15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Potential Benefits to the Regulated Funds and their Shareholders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830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1"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w:t>
      </w:r>
      <w:r>
        <w:rPr>
          <w:rFonts w:ascii="Times New Roman" w:cs="Times New Roman" w:eastAsia="Times New Roman" w:hAnsi="Times New Roman"/>
          <w:sz w:val="18"/>
          <w:szCs w:val="18"/>
          <w:color w:val="auto"/>
        </w:rPr>
        <w:t>” means the sale, exchange, transfer or other disposition of an interest in a security of an issuer.</w:t>
      </w:r>
    </w:p>
    <w:p>
      <w:pPr>
        <w:spacing w:after="0" w:line="193" w:lineRule="exact"/>
        <w:rPr>
          <w:rFonts w:ascii="Times New Roman" w:cs="Times New Roman" w:eastAsia="Times New Roman" w:hAnsi="Times New Roman"/>
          <w:sz w:val="30"/>
          <w:szCs w:val="30"/>
          <w:color w:val="auto"/>
          <w:vertAlign w:val="superscript"/>
        </w:rPr>
      </w:pPr>
    </w:p>
    <w:p>
      <w:pPr>
        <w:jc w:val="both"/>
        <w:ind w:left="660" w:hanging="652"/>
        <w:spacing w:after="0" w:line="220" w:lineRule="auto"/>
        <w:tabs>
          <w:tab w:leader="none" w:pos="66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Tradable Security</w:t>
      </w:r>
      <w:r>
        <w:rPr>
          <w:rFonts w:ascii="Times New Roman" w:cs="Times New Roman" w:eastAsia="Times New Roman" w:hAnsi="Times New Roman"/>
          <w:sz w:val="18"/>
          <w:szCs w:val="18"/>
          <w:color w:val="auto"/>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p>
      <w:pPr>
        <w:spacing w:after="0" w:line="198" w:lineRule="exact"/>
        <w:rPr>
          <w:rFonts w:ascii="Times New Roman" w:cs="Times New Roman" w:eastAsia="Times New Roman" w:hAnsi="Times New Roman"/>
          <w:sz w:val="30"/>
          <w:szCs w:val="30"/>
          <w:color w:val="auto"/>
          <w:vertAlign w:val="superscript"/>
        </w:rPr>
      </w:pPr>
    </w:p>
    <w:p>
      <w:pPr>
        <w:jc w:val="both"/>
        <w:ind w:left="660" w:hanging="652"/>
        <w:spacing w:after="0" w:line="210" w:lineRule="auto"/>
        <w:tabs>
          <w:tab w:leader="none" w:pos="66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312" w:gutter="0" w:footer="0" w:header="0"/>
        </w:sectPr>
      </w:pPr>
    </w:p>
    <w:bookmarkStart w:id="8" w:name="page9"/>
    <w:bookmarkEnd w:id="8"/>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Shareholder Protections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PRECEDENTS</w:t>
      </w:r>
    </w:p>
    <w:p>
      <w:pPr>
        <w:spacing w:after="0" w:line="229"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The Commission has previously issued orders permitting certain investment companies subject to regulation under the 1940 Act and their affiliated persons to be able to participate in Co-Investment Transactions (the “</w:t>
      </w:r>
      <w:r>
        <w:rPr>
          <w:rFonts w:ascii="Times New Roman" w:cs="Times New Roman" w:eastAsia="Times New Roman" w:hAnsi="Times New Roman"/>
          <w:sz w:val="18"/>
          <w:szCs w:val="18"/>
          <w:b w:val="1"/>
          <w:bCs w:val="1"/>
          <w:i w:val="1"/>
          <w:iCs w:val="1"/>
          <w:color w:val="auto"/>
        </w:rPr>
        <w:t>Existing Orders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22</w:t>
      </w:r>
      <w:r>
        <w:rPr>
          <w:rFonts w:ascii="Times New Roman" w:cs="Times New Roman" w:eastAsia="Times New Roman" w:hAnsi="Times New Roman"/>
          <w:sz w:val="18"/>
          <w:szCs w:val="18"/>
          <w:color w:val="auto"/>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PROCEDURAL MATTERS</w:t>
      </w:r>
    </w:p>
    <w:p>
      <w:pPr>
        <w:spacing w:after="0" w:line="22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Communications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address all communications concerning this Application, the Notice and the Order 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Scott Gordon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Umesh Mahajan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Peter Sack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Madison Avenue, Suite 1800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905-4923</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address any questions, and a copy of any communications, concerning this Application, the Notice, and the Order 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 G. Oberndorf, Esq.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Owen J. Pinkerton, Esq.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Eversheds Sutherland (US) LLP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700 Sixth Street, NW, Suite 700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anneoberndorf@eversheds-sutherland.com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owenpinkerton@eversheds-sutherland.com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(202) 383-0100</w:t>
      </w:r>
    </w:p>
    <w:p>
      <w:pPr>
        <w:spacing w:after="0" w:line="20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Authorizations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filing of this Application for the Order sought hereby and the taking of all acts reasonably necessary to obtain the relief requested herein was authorized by the Board of the Existing Regulated Fund pursuant to resolutions duly adopted by the Board. Copies of the resolutions are provided below.</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Rule 0-2(c), Applicants hereby state that each Applicant has authorized to cause to be prepared and to execute and file with the Commission this Application and any amendment thereto for an order pursuant to Section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for a request for expedited review of this Application, marked copies of two recent applications seeking the same relief as Applicants that are substantially identical as required by Rule 0-5(e) of the 1940 Act are attached as 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80" w:lineRule="exact"/>
        <w:rPr>
          <w:sz w:val="20"/>
          <w:szCs w:val="20"/>
          <w:color w:val="auto"/>
        </w:rPr>
      </w:pPr>
    </w:p>
    <w:p>
      <w:pPr>
        <w:jc w:val="both"/>
        <w:ind w:left="660" w:hanging="652"/>
        <w:spacing w:after="0" w:line="225" w:lineRule="auto"/>
        <w:tabs>
          <w:tab w:leader="none" w:pos="66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 FS Credit Opportunities Corp.,</w:t>
      </w:r>
      <w:r>
        <w:rPr>
          <w:rFonts w:ascii="Times New Roman" w:cs="Times New Roman" w:eastAsia="Times New Roman" w:hAnsi="Times New Roman"/>
          <w:sz w:val="18"/>
          <w:szCs w:val="18"/>
          <w:i w:val="1"/>
          <w:iCs w:val="1"/>
          <w:color w:val="auto"/>
        </w:rPr>
        <w:t xml:space="preserve"> et al. </w:t>
      </w:r>
      <w:r>
        <w:rPr>
          <w:rFonts w:ascii="Times New Roman" w:cs="Times New Roman" w:eastAsia="Times New Roman" w:hAnsi="Times New Roman"/>
          <w:sz w:val="18"/>
          <w:szCs w:val="18"/>
          <w:color w:val="auto"/>
        </w:rPr>
        <w:t>(File No. 812-15706), Release No. IC-35520 (April 3, 2025) (notice), Release No. IC-35561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29, 2025) (order); Sixth Street Specialty Lending, Inc.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812-15729), Release No. IC-35531 (April 10, 2025) (notice), Release No. IC-35570 (May 6, 2025) (order); Blue Owl Capital Corporation,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812-15715), Release No. IC-35530 (April 9, 2025) (notice), Release No. IC-35573 (May 6, 2025) (order); BlackRock Growth Equity Fund LP,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812-15712), Release No. IC-35525 (April 8, 2025) (notice), Release No. IC-35572 (May 6, 2025) (order).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Applicants have caused this Application to be duly signed on their behalf on the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13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29" w:lineRule="exact"/>
        <w:rPr>
          <w:sz w:val="20"/>
          <w:szCs w:val="20"/>
          <w:color w:val="auto"/>
        </w:rPr>
      </w:pPr>
    </w:p>
    <w:p>
      <w:pPr>
        <w:ind w:left="6420"/>
        <w:spacing w:after="0"/>
        <w:tabs>
          <w:tab w:leader="none" w:pos="6860" w:val="left"/>
        </w:tabs>
        <w:rPr>
          <w:sz w:val="20"/>
          <w:szCs w:val="20"/>
          <w:color w:val="auto"/>
        </w:rPr>
      </w:pPr>
      <w:r>
        <w:rPr>
          <w:rFonts w:ascii="Times New Roman" w:cs="Times New Roman" w:eastAsia="Times New Roman" w:hAnsi="Times New Roman"/>
          <w:sz w:val="18"/>
          <w:szCs w:val="18"/>
          <w:color w:val="auto"/>
        </w:rPr>
        <w:t>By:</w:t>
        <w:tab/>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17145</wp:posOffset>
            </wp:positionV>
            <wp:extent cx="255460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Peter Sack</w:t>
      </w:r>
    </w:p>
    <w:p>
      <w:pPr>
        <w:spacing w:after="0" w:line="27"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CHICAGO ATLANTIC BDC ADVISERS, LLC</w:t>
      </w:r>
    </w:p>
    <w:p>
      <w:pPr>
        <w:spacing w:after="0" w:line="229" w:lineRule="exact"/>
        <w:rPr>
          <w:sz w:val="20"/>
          <w:szCs w:val="20"/>
          <w:color w:val="auto"/>
        </w:rPr>
      </w:pPr>
    </w:p>
    <w:p>
      <w:pPr>
        <w:ind w:left="6420"/>
        <w:spacing w:after="0"/>
        <w:tabs>
          <w:tab w:leader="none" w:pos="6860" w:val="left"/>
        </w:tabs>
        <w:rPr>
          <w:sz w:val="20"/>
          <w:szCs w:val="20"/>
          <w:color w:val="auto"/>
        </w:rPr>
      </w:pPr>
      <w:r>
        <w:rPr>
          <w:rFonts w:ascii="Times New Roman" w:cs="Times New Roman" w:eastAsia="Times New Roman" w:hAnsi="Times New Roman"/>
          <w:sz w:val="18"/>
          <w:szCs w:val="18"/>
          <w:color w:val="auto"/>
        </w:rPr>
        <w:t>By:</w:t>
        <w:tab/>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17145</wp:posOffset>
            </wp:positionV>
            <wp:extent cx="255460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Scott Gordon</w:t>
      </w:r>
    </w:p>
    <w:p>
      <w:pPr>
        <w:spacing w:after="0" w:line="27"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CHICAGO ATLANTIC ADVISERS, LLC</w:t>
      </w:r>
    </w:p>
    <w:p>
      <w:pPr>
        <w:spacing w:after="0" w:line="229" w:lineRule="exact"/>
        <w:rPr>
          <w:sz w:val="20"/>
          <w:szCs w:val="20"/>
          <w:color w:val="auto"/>
        </w:rPr>
      </w:pPr>
    </w:p>
    <w:p>
      <w:pPr>
        <w:ind w:left="6420"/>
        <w:spacing w:after="0"/>
        <w:tabs>
          <w:tab w:leader="none" w:pos="686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17145</wp:posOffset>
            </wp:positionV>
            <wp:extent cx="255460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7"/>
          <w:szCs w:val="17"/>
          <w:b w:val="1"/>
          <w:bCs w:val="1"/>
          <w:color w:val="auto"/>
        </w:rPr>
        <w:t>CHICAGO ATLANTIC EQUITY ADVISERS, LLC</w:t>
      </w:r>
    </w:p>
    <w:p>
      <w:pPr>
        <w:spacing w:after="0" w:line="241" w:lineRule="exact"/>
        <w:rPr>
          <w:sz w:val="20"/>
          <w:szCs w:val="20"/>
          <w:color w:val="auto"/>
        </w:rPr>
      </w:pPr>
    </w:p>
    <w:p>
      <w:pPr>
        <w:ind w:left="6420"/>
        <w:spacing w:after="0"/>
        <w:tabs>
          <w:tab w:leader="none" w:pos="686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17145</wp:posOffset>
            </wp:positionV>
            <wp:extent cx="255460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CHICAGO ATLANTIC CO3 ADVISERS, LLC</w:t>
      </w:r>
    </w:p>
    <w:p>
      <w:pPr>
        <w:spacing w:after="0" w:line="229" w:lineRule="exact"/>
        <w:rPr>
          <w:sz w:val="20"/>
          <w:szCs w:val="20"/>
          <w:color w:val="auto"/>
        </w:rPr>
      </w:pPr>
    </w:p>
    <w:p>
      <w:pPr>
        <w:ind w:left="6420"/>
        <w:spacing w:after="0"/>
        <w:tabs>
          <w:tab w:leader="none" w:pos="686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17145</wp:posOffset>
            </wp:positionV>
            <wp:extent cx="255460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CHICAGO ATLANTIC</w:t>
      </w:r>
    </w:p>
    <w:p>
      <w:pPr>
        <w:spacing w:after="0" w:line="3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INVESTMENT MANAGEMENT, LLC</w:t>
      </w:r>
    </w:p>
    <w:p>
      <w:pPr>
        <w:spacing w:after="0" w:line="207" w:lineRule="exact"/>
        <w:rPr>
          <w:sz w:val="20"/>
          <w:szCs w:val="20"/>
          <w:color w:val="auto"/>
        </w:rPr>
      </w:pPr>
    </w:p>
    <w:p>
      <w:pPr>
        <w:ind w:left="6420"/>
        <w:spacing w:after="0"/>
        <w:tabs>
          <w:tab w:leader="none" w:pos="686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17145</wp:posOffset>
            </wp:positionV>
            <wp:extent cx="255460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CHICAGO ATLANTIC REIT MANAGER, LLC</w:t>
      </w:r>
    </w:p>
    <w:p>
      <w:pPr>
        <w:spacing w:after="0" w:line="229" w:lineRule="exact"/>
        <w:rPr>
          <w:sz w:val="20"/>
          <w:szCs w:val="20"/>
          <w:color w:val="auto"/>
        </w:rPr>
      </w:pPr>
    </w:p>
    <w:p>
      <w:pPr>
        <w:ind w:left="6420"/>
        <w:spacing w:after="0"/>
        <w:tabs>
          <w:tab w:leader="none" w:pos="686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17145</wp:posOffset>
            </wp:positionV>
            <wp:extent cx="255460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660" w:top="908" w:right="799" w:bottom="1440" w:gutter="0" w:footer="0" w:header="0"/>
        </w:sectPr>
      </w:pPr>
    </w:p>
    <w:bookmarkStart w:id="10" w:name="page11"/>
    <w:bookmarkEnd w:id="10"/>
    <w:p>
      <w:pPr>
        <w:ind w:left="5640"/>
        <w:spacing w:after="0"/>
        <w:rPr>
          <w:sz w:val="20"/>
          <w:szCs w:val="20"/>
          <w:color w:val="auto"/>
        </w:rPr>
      </w:pPr>
      <w:r>
        <w:rPr>
          <w:rFonts w:ascii="Times New Roman" w:cs="Times New Roman" w:eastAsia="Times New Roman" w:hAnsi="Times New Roman"/>
          <w:sz w:val="18"/>
          <w:szCs w:val="18"/>
          <w:b w:val="1"/>
          <w:bCs w:val="1"/>
          <w:color w:val="auto"/>
        </w:rPr>
        <w:t>CHICAGO ATLANTIC PORTFOLIO, LP</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CHICAGO ATLANTIC EQUITY FUND, LLC</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CHICAGO ATLANTIC OPPORTUNITY PORTFOLIO,</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CHICAGO ATLANTIC OPPORTUNITY FINANCE,</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CHICAGO ATLANTIC CREDIT OPPORTUNITIES III,</w:t>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CHICAGO ATLANTIC CO3 (OFFSHORE), LP</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CHICAGO ATLANTIC CO3 FEEDER, LP</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0" w:lineRule="exact"/>
        <w:rPr>
          <w:sz w:val="20"/>
          <w:szCs w:val="20"/>
          <w:color w:val="auto"/>
        </w:rPr>
      </w:pPr>
    </w:p>
    <w:p>
      <w:pPr>
        <w:spacing w:after="0" w:line="25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927" w:right="379" w:bottom="1440" w:gutter="0" w:footer="0" w:header="0"/>
        </w:sectPr>
      </w:pPr>
    </w:p>
    <w:bookmarkStart w:id="11" w:name="page12"/>
    <w:bookmarkEnd w:id="11"/>
    <w:p>
      <w:pPr>
        <w:ind w:left="5640"/>
        <w:spacing w:after="0"/>
        <w:rPr>
          <w:sz w:val="20"/>
          <w:szCs w:val="20"/>
          <w:color w:val="auto"/>
        </w:rPr>
      </w:pPr>
      <w:r>
        <w:rPr>
          <w:rFonts w:ascii="Times New Roman" w:cs="Times New Roman" w:eastAsia="Times New Roman" w:hAnsi="Times New Roman"/>
          <w:sz w:val="18"/>
          <w:szCs w:val="18"/>
          <w:b w:val="1"/>
          <w:bCs w:val="1"/>
          <w:color w:val="auto"/>
        </w:rPr>
        <w:t>CHICAGO ATLANTIC CREDIT OPPORTUNITIES,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CHICAGO ATLANTIC REAL ESTATE FINANCE, INC.</w:t>
      </w:r>
    </w:p>
    <w:p>
      <w:pPr>
        <w:spacing w:after="0" w:line="241"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Peter Sack</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CHICAGO ATLANTIC CREDIT COMPANY, LLC</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 CO SPV, LLC</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 CREDIT SPV, LLC</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0" w:lineRule="exact"/>
        <w:rPr>
          <w:sz w:val="20"/>
          <w:szCs w:val="20"/>
          <w:color w:val="auto"/>
        </w:rPr>
      </w:pPr>
    </w:p>
    <w:p>
      <w:pPr>
        <w:spacing w:after="0" w:line="25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27" w:right="359" w:bottom="1440" w:gutter="0" w:footer="0" w:header="0"/>
        </w:sectPr>
      </w:pPr>
    </w:p>
    <w:bookmarkStart w:id="12" w:name="page13"/>
    <w:bookmarkEnd w:id="12"/>
    <w:p>
      <w:pPr>
        <w:ind w:left="3828"/>
        <w:spacing w:after="0"/>
        <w:rPr>
          <w:sz w:val="20"/>
          <w:szCs w:val="20"/>
          <w:color w:val="auto"/>
        </w:rPr>
      </w:pPr>
      <w:r>
        <w:rPr>
          <w:rFonts w:ascii="Times New Roman" w:cs="Times New Roman" w:eastAsia="Times New Roman" w:hAnsi="Times New Roman"/>
          <w:sz w:val="17"/>
          <w:szCs w:val="17"/>
          <w:b w:val="1"/>
          <w:bCs w:val="1"/>
          <w:color w:val="auto"/>
        </w:rPr>
        <w:t>Schedule A - Existing Affiliated Funds</w:t>
      </w:r>
    </w:p>
    <w:p>
      <w:pPr>
        <w:spacing w:after="0" w:line="2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All Existing Affiliated Funds are advised by an Adviser as set forth below:</w:t>
      </w:r>
    </w:p>
    <w:p>
      <w:pPr>
        <w:spacing w:after="0" w:line="225" w:lineRule="exact"/>
        <w:rPr>
          <w:sz w:val="20"/>
          <w:szCs w:val="20"/>
          <w:color w:val="auto"/>
        </w:rPr>
      </w:pPr>
    </w:p>
    <w:p>
      <w:pPr>
        <w:ind w:left="328" w:hanging="328"/>
        <w:spacing w:after="0"/>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Affiliated Funds advised by Chicago Atlantic Advisers, LLC:</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Opportunity Portfolio, LP</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Opportunity Finance, LLC</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Credit Opportunities,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Affiliated Funds advised by Chicago Atlantic Equity Advisers, LLC:</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Equity Fund,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Affiliated Funds advised by Chicago Atlantic CO3 Advisers, LLC:</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Credit Opportunities III, LP</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CO3 (OFFSHORE), LP</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CO3 Feeder, LP</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Affiliated Funds advised by Chicago Atlantic Investment Management, LLC:</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Chicago Atlantic Portfolio, LP</w:t>
      </w:r>
    </w:p>
    <w:p>
      <w:pPr>
        <w:spacing w:after="0" w:line="225" w:lineRule="exact"/>
        <w:rPr>
          <w:sz w:val="20"/>
          <w:szCs w:val="20"/>
          <w:color w:val="auto"/>
        </w:rPr>
      </w:pPr>
    </w:p>
    <w:p>
      <w:pPr>
        <w:ind w:left="328" w:right="3879" w:hanging="328"/>
        <w:spacing w:after="0" w:line="53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Affiliated Funds managed by Chicago Atlantic REIT Manager, LLC: 1. Chicago Atlantic Real Estate Finance, Inc.</w:t>
      </w:r>
    </w:p>
    <w:p>
      <w:pPr>
        <w:spacing w:after="0" w:line="162" w:lineRule="exact"/>
        <w:rPr>
          <w:sz w:val="20"/>
          <w:szCs w:val="20"/>
          <w:color w:val="auto"/>
        </w:rPr>
      </w:pPr>
    </w:p>
    <w:p>
      <w:pPr>
        <w:ind w:left="5208"/>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7"/>
          </w:cols>
          <w:pgMar w:left="652" w:top="900" w:right="1440"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states that he or she has duly executed the attached Application dated March 18, 2026 for and on behalf of the Applicants, as the case may be, that he or she holds the office with each such entity as indicated below and that all actions by stockholders, officers, directors, and other bodies necessary to authorize the undersigned to execute and file such Application have been taken. The undersigned further states that he or she is familiar with the instrument and the contents thereof, and that the facts set forth therein are true to the best of his or her knowledge, information, and belief.</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CHICAGO ATLANTIC BDC,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Peter Sack</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CHICAGO ATLANTIC BDC ADVISERS, LLC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Scott Gordon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CHICAGO ATLANTIC ADVISERS, LLC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CHICAGO ATLANTIC EQUITY ADVISERS, LLC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CHICAGO ATLANTIC CO3 ADVISERS, LLC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CHICAGO ATLANTIC</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INVESTMENT MANAGEMENT, LLC</w:t>
      </w:r>
    </w:p>
    <w:p>
      <w:pPr>
        <w:spacing w:after="0" w:line="20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5640"/>
        <w:spacing w:after="0"/>
        <w:rPr>
          <w:sz w:val="20"/>
          <w:szCs w:val="20"/>
          <w:color w:val="auto"/>
        </w:rPr>
      </w:pPr>
      <w:r>
        <w:rPr>
          <w:rFonts w:ascii="Times New Roman" w:cs="Times New Roman" w:eastAsia="Times New Roman" w:hAnsi="Times New Roman"/>
          <w:sz w:val="18"/>
          <w:szCs w:val="18"/>
          <w:b w:val="1"/>
          <w:bCs w:val="1"/>
          <w:color w:val="auto"/>
        </w:rPr>
        <w:t>CHICAGO ATLANTIC REIT MANAGER, LLC</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CHICAGO ATLANTIC PORTFOLIO, LP</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CHICAGO ATLANTIC EQUITY FUND, LLC</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CHICAGO ATLANTIC OPPORTUNITY PORTFOLIO,</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CHICAGO ATLANTIC OPPORTUNITY FINANCE,</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CHICAGO ATLANTIC CREDIT OPPORTUNITIES III,</w:t>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CHICAGO ATLANTIC CO3 (OFFSHORE), LP</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CHICAGO ATLANTIC CO3 FEEDER, LP</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0" w:lineRule="exact"/>
        <w:rPr>
          <w:sz w:val="20"/>
          <w:szCs w:val="20"/>
          <w:color w:val="auto"/>
        </w:rPr>
      </w:pPr>
    </w:p>
    <w:p>
      <w:pPr>
        <w:spacing w:after="0" w:line="25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927" w:right="379" w:bottom="1440" w:gutter="0" w:footer="0" w:header="0"/>
        </w:sectPr>
      </w:pPr>
    </w:p>
    <w:bookmarkStart w:id="15" w:name="page16"/>
    <w:bookmarkEnd w:id="15"/>
    <w:p>
      <w:pPr>
        <w:ind w:left="5640"/>
        <w:spacing w:after="0"/>
        <w:rPr>
          <w:sz w:val="20"/>
          <w:szCs w:val="20"/>
          <w:color w:val="auto"/>
        </w:rPr>
      </w:pPr>
      <w:r>
        <w:rPr>
          <w:rFonts w:ascii="Times New Roman" w:cs="Times New Roman" w:eastAsia="Times New Roman" w:hAnsi="Times New Roman"/>
          <w:sz w:val="17"/>
          <w:szCs w:val="17"/>
          <w:b w:val="1"/>
          <w:bCs w:val="1"/>
          <w:color w:val="auto"/>
        </w:rPr>
        <w:t>CHICAGO ATLANTIC CREDIT OPPORTUNITIES,</w:t>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20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Peter Sack</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CHICAGO ATLANTIC CREDIT COMPANY, LLC</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 CO SPV, LLC</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 CREDIT SPV, LLC</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Anthony Cappell</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Person</w:t>
      </w:r>
    </w:p>
    <w:p>
      <w:pPr>
        <w:spacing w:after="0" w:line="200" w:lineRule="exact"/>
        <w:rPr>
          <w:sz w:val="20"/>
          <w:szCs w:val="20"/>
          <w:color w:val="auto"/>
        </w:rPr>
      </w:pPr>
    </w:p>
    <w:p>
      <w:pPr>
        <w:spacing w:after="0" w:line="25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20"/>
          </w:cols>
          <w:pgMar w:left="1440" w:top="927" w:right="6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Resolutions of the Board of Directors of Chicago Atlantic BDC, Inc. (the “Fund”)</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Board deems it advisable and in the best interest of the Fund to file with the U.S. Securities and Exchange Commission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an application for an order pursuant to Sections 17(d) and 57(i) of the Investment Company Act of 1940, as amended (the “1940 Act”), and Rule 17d-1 promulgated thereunder (the “Application”), to authorize the entering into of certain joint transactions that otherwise may be prohibited by Sections 17(d) and 57(a)(4) of the 1940 Act and Rule 17d-1 promulgated thereunder; now therefore be it</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officers of the Fund be, and each of them hereby is, authorized and directed on behalf of the Fund and in its name to prepare,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cause to be filed with the Commission an Application for an order of exemption, substantially in the form attached hereto as Exhibit A, and any amendments thereto, pursuant to Section 17(d) of the 1940 Act; and be it further</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officers of the Fund be, and each of them hereby is, authorized and directed to take such further action and execute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as such officer or officers shall deem necessary or advisable in order to effectuate the intent of the foregoing resolution; and be it further</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any and all actions previously taken by the Fund or any of its directors or officers in connection with the actions contemplated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resolutions be, and each of them hereby is, ratified, confirmed, approved and adopted in all respects as and for the acts and deeds of the Fund.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March 14,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10220"/>
        <w:spacing w:after="0"/>
        <w:rPr>
          <w:sz w:val="20"/>
          <w:szCs w:val="20"/>
          <w:color w:val="auto"/>
        </w:rPr>
      </w:pPr>
      <w:r>
        <w:rPr>
          <w:rFonts w:ascii="Times New Roman" w:cs="Times New Roman" w:eastAsia="Times New Roman" w:hAnsi="Times New Roman"/>
          <w:sz w:val="17"/>
          <w:szCs w:val="17"/>
          <w:b w:val="1"/>
          <w:bCs w:val="1"/>
          <w:color w:val="auto"/>
        </w:rPr>
        <w:t>Appendix C</w:t>
      </w:r>
    </w:p>
    <w:p>
      <w:pPr>
        <w:spacing w:after="0" w:line="237" w:lineRule="exact"/>
        <w:rPr>
          <w:sz w:val="20"/>
          <w:szCs w:val="20"/>
          <w:color w:val="auto"/>
        </w:rPr>
      </w:pPr>
    </w:p>
    <w:p>
      <w:pPr>
        <w:jc w:val="cente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Marked Copies of the Application Showing Changes from the Final Versions of the Two Applications Identified as Substantially Identical Under Rule 0-5(e)(3)</w:t>
      </w:r>
    </w:p>
    <w:p>
      <w:pPr>
        <w:spacing w:after="0" w:line="3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FF0000"/>
        </w:rPr>
        <w:t>[Different first page setting changed from off in original to on in modified.].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File No. </w:t>
      </w:r>
      <w:r>
        <w:rPr>
          <w:rFonts w:ascii="Times New Roman" w:cs="Times New Roman" w:eastAsia="Times New Roman" w:hAnsi="Times New Roman"/>
          <w:sz w:val="18"/>
          <w:szCs w:val="18"/>
          <w:color w:val="FF0000"/>
          <w:strike w:val="1"/>
        </w:rPr>
        <w:t>812-15628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812-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434340</wp:posOffset>
            </wp:positionV>
            <wp:extent cx="17830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EXPEDITED REVIEW REQUESTED UNDER 17 CFR 270.0-5(d)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the Matter of the Application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830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7" w:lineRule="exact"/>
        <w:rPr>
          <w:sz w:val="20"/>
          <w:szCs w:val="20"/>
          <w:color w:val="auto"/>
        </w:rPr>
      </w:pPr>
    </w:p>
    <w:p>
      <w:pPr>
        <w:jc w:val="center"/>
        <w:ind w:right="80"/>
        <w:spacing w:after="0" w:line="250" w:lineRule="auto"/>
        <w:rPr>
          <w:sz w:val="20"/>
          <w:szCs w:val="20"/>
          <w:color w:val="auto"/>
        </w:rPr>
      </w:pPr>
      <w:r>
        <w:rPr>
          <w:rFonts w:ascii="Times New Roman" w:cs="Times New Roman" w:eastAsia="Times New Roman" w:hAnsi="Times New Roman"/>
          <w:sz w:val="18"/>
          <w:szCs w:val="18"/>
          <w:b w:val="1"/>
          <w:bCs w:val="1"/>
          <w:u w:val="single" w:color="auto"/>
          <w:color w:val="0000FF"/>
        </w:rPr>
        <w:t>CHICAGO ATLANTIC BDC, INC., CHICAGO ATLANTIC BDC ADVISERS, LLC, CHICAGO ATLANTIC ADVISERS, LLC, CHICAGO ATLANTIC EQUITY ADVISERS, LLC, CHICAGO ATLANTIC CO3 ADVISERS, LLC, CHICAGO ATLANTIC INVESTMENT MANAGEMENT, LLC, CHICAGO ATLANTIC REIT MANAGER, LLC, CHICAGO ATLANTIC PORTFOLIO, LP, CHICAGO ATLANTIC EQUITY FUND, LLC,</w:t>
      </w:r>
    </w:p>
    <w:p>
      <w:pPr>
        <w:spacing w:after="0" w:line="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OPPORTUNITY PORTFOLIO, LP, CHICAGO ATLANTIC</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0000FF"/>
        </w:rPr>
        <w:t>OPPORTUNITY FINANCE, LLC,</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CREDIT OPPORTUNITIES III, LP, CHICAGO ATLANTIC CO3</w:t>
      </w:r>
    </w:p>
    <w:p>
      <w:pPr>
        <w:spacing w:after="0" w:line="9" w:lineRule="exact"/>
        <w:rPr>
          <w:sz w:val="20"/>
          <w:szCs w:val="20"/>
          <w:color w:val="auto"/>
        </w:rPr>
      </w:pPr>
    </w:p>
    <w:p>
      <w:pPr>
        <w:jc w:val="center"/>
        <w:ind w:right="80"/>
        <w:spacing w:after="0" w:line="250" w:lineRule="auto"/>
        <w:rPr>
          <w:sz w:val="20"/>
          <w:szCs w:val="20"/>
          <w:color w:val="auto"/>
        </w:rPr>
      </w:pPr>
      <w:r>
        <w:rPr>
          <w:rFonts w:ascii="Times New Roman" w:cs="Times New Roman" w:eastAsia="Times New Roman" w:hAnsi="Times New Roman"/>
          <w:sz w:val="18"/>
          <w:szCs w:val="18"/>
          <w:b w:val="1"/>
          <w:bCs w:val="1"/>
          <w:u w:val="single" w:color="auto"/>
          <w:color w:val="0000FF"/>
        </w:rPr>
        <w:t>(OFFSHORE), LP, CHICAGO ATLANTIC CO3 FEEDER, LP, CHICAGO ATLANTIC CREDIT OPPORTUNITIES, LLC, CHICAGO ATLANTIC REAL ESTATE FINANCE, INC., CHICAGO ATLANTIC CREDIT COMPANY, LLC,</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0000FF"/>
        </w:rPr>
        <w:t>CA CO SPV, LLC, AND CA CREDIT SPV, LLC</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t>600 Madison Avenue, Suite 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97450" cy="411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97450" cy="411480"/>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t>New York, NY 10022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t>(212) 905-4923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66040</wp:posOffset>
            </wp:positionV>
            <wp:extent cx="285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3556635</wp:posOffset>
            </wp:positionH>
            <wp:positionV relativeFrom="paragraph">
              <wp:posOffset>228600</wp:posOffset>
            </wp:positionV>
            <wp:extent cx="285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left="340"/>
        <w:spacing w:after="0" w:line="278" w:lineRule="auto"/>
        <w:rPr>
          <w:sz w:val="20"/>
          <w:szCs w:val="20"/>
          <w:color w:val="auto"/>
        </w:rPr>
      </w:pPr>
      <w:r>
        <w:rPr>
          <w:rFonts w:ascii="Times New Roman" w:cs="Times New Roman" w:eastAsia="Times New Roman" w:hAnsi="Times New Roman"/>
          <w:sz w:val="17"/>
          <w:szCs w:val="17"/>
          <w:b w:val="1"/>
          <w:bCs w:val="1"/>
          <w:color w:val="FF0000"/>
          <w:strike w:val="1"/>
        </w:rPr>
        <w:t>CRESTLINE LENDING SOLUTIONS, LLC; CRESTLINE MANAGEMENT, L.P.; BLUE GLACIER FUND II, L.P.; CL FORGOTTEN COAST FUND, L.P.; CL GREEN PARK HOLDCO, L.P.; CL IMPULSE, L.P.; CL PANORAMIC, L.P.; CL TRADING, L.P.; CL UTILITIES, L.P.;</w:t>
      </w:r>
    </w:p>
    <w:p>
      <w:pPr>
        <w:spacing w:after="0" w:line="1"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FF0000"/>
          <w:strike w:val="1"/>
        </w:rPr>
        <w:t>CRESTLINE AK ADVISORY INVESTMENTS III, L.P.; CRESTLINE DIRECT LENDING IV, SCSP; CRESTLINE DIRECT LENDING UL MASTER FUND, SCSP; CRESTLINE EAGLE CREEK, L.P.; CRESTLINE LION FUND MINI-MASTER, L.P.; CRESTLINE MAKENA FUND, L.P.; CRESTLINE MAPLE OPERATING TRUST; CRESTLINE OPPORTUNISTIC CREDIT IA FUND, L.P.; CRESTLINE OPPORTUNITY V MASTER FUND I, L.P.; CRESTLINE OPPORTUNITY V MASTER FUND II, L.P.; CRESTLINE OPPORTUNITY V MASTER FUND III, L.P.; CRESTLINE PF SENTRY FUND, SCSP; CRESTLINE PORTFOLIO FINANCING FUND II, L.P.; CRESTLINE PRAETER, L.P. – SCHOONER; CRESTLINE SPECIALTY LENDING III, L.P.; CRESTLINE STEPSTONE OPPORTUNISTIC CREDIT MASTER FUND I, L.P.; CRESTLINE STEPSTONE OPPORTUNISTIC CREDIT MASTER FUND II, L.P.; CRESTLINE STRUCTURED NOTE ISSUER I LLC; CRESTLINE SUNDANCE FUND, L.P.; TL MANAGED INVESTMENTS, L.P.; CRESTLINE PORTFOLIO FINANCING FUND III, SCSP; CL FLS 1, L.P.; CRESTLINE DIRECT LENDING CLO I, L.P.; CRESTLINE EUROPEAN CAPITAL SOLUTIONS FUND II, SCSP; CL TRADING II, L.P.; CL LIFE AND ANNUITY INSURANCE COMPANY; CL RE SPC; CRESTLINE RE SP1, A SEGREGATED PORTFOLIO OF CL RE SPC; CL RE SP2, A SEGREGATED PORTFOLIO OF CL RE SPC 201 Main Street, Suite 2100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8"/>
          <w:szCs w:val="18"/>
          <w:color w:val="FF0000"/>
          <w:strike w:val="1"/>
        </w:rPr>
        <w:t>THIRD AMENDED AND RESTATED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APPLICATION FOR AN ORDER PURSUANT TO SECTIONS 17(d) AND 57(i) OF THE INVESTMENT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COMPANY ACT OF 1940 AND RULE 17d-1 UNDER THE INVESTMENT COMPANY ACT OF 1940 PERMITTING CERTAIN JOINT TRANSACTIONS OTHERWISE PROHIBITED BY SECTIONS 17(d) AND 57(a)(4) OF AND RULE 17d-1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280035</wp:posOffset>
            </wp:positionV>
            <wp:extent cx="178308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716915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FF0000"/>
        </w:rPr>
        <w:t>[Different first page setting changed from off in original to on in modified.].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i w:val="1"/>
          <w:iCs w:val="1"/>
          <w:color w:val="FF0000"/>
          <w:strike w:val="1"/>
        </w:rPr>
        <w:t>All Communications, Notices and Orders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0972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i w:val="1"/>
          <w:iCs w:val="1"/>
          <w:u w:val="single" w:color="auto"/>
          <w:color w:val="0000FF"/>
        </w:rPr>
        <w:t>All Communications, Notices and Orders to:</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u w:val="single" w:color="auto"/>
          <w:color w:val="0000FF"/>
        </w:rPr>
        <w:t>Scott Gordon</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u w:val="single" w:color="auto"/>
          <w:color w:val="0000FF"/>
        </w:rPr>
        <w:t>Umesh Mahajan</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u w:val="single" w:color="auto"/>
          <w:color w:val="0000FF"/>
        </w:rPr>
        <w:t>Peter Sack</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BDC, Inc.</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u w:val="single" w:color="auto"/>
          <w:color w:val="0000FF"/>
        </w:rPr>
        <w:t>600 Madison Avenue, Suite 1800</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u w:val="single" w:color="auto"/>
          <w:color w:val="0000FF"/>
        </w:rPr>
        <w:t>New York, NY 10022</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u w:val="single" w:color="auto"/>
          <w:color w:val="0000FF"/>
        </w:rPr>
        <w:t>(212) 905-4923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21945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FF0000"/>
          <w:strike w:val="1"/>
        </w:rPr>
        <w:t>John Cochran</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FF0000"/>
          <w:strike w:val="1"/>
        </w:rPr>
        <w:t>Chief Operating Officer</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FF0000"/>
          <w:strike w:val="1"/>
        </w:rPr>
        <w:t>Crestline Management, L.P.</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FF0000"/>
          <w:strike w:val="1"/>
        </w:rPr>
        <w:t>201 Main Street, Suite 2100</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FF0000"/>
          <w:strike w:val="1"/>
        </w:rPr>
        <w:t>Fort Worth, TX 76102</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FF0000"/>
          <w:strike w:val="1"/>
        </w:rPr>
        <w:t>JohnCochran@crestlineinc.com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5715</wp:posOffset>
            </wp:positionV>
            <wp:extent cx="492061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20615" cy="137160"/>
                    </a:xfrm>
                    <a:prstGeom prst="rect">
                      <a:avLst/>
                    </a:prstGeom>
                    <a:noFill/>
                  </pic:spPr>
                </pic:pic>
              </a:graphicData>
            </a:graphic>
          </wp:anchor>
        </w:drawing>
      </w:r>
    </w:p>
    <w:p>
      <w:pPr>
        <w:ind w:left="5100"/>
        <w:spacing w:after="0"/>
        <w:rPr>
          <w:sz w:val="20"/>
          <w:szCs w:val="20"/>
          <w:color w:val="auto"/>
        </w:rPr>
      </w:pPr>
      <w:r>
        <w:rPr>
          <w:rFonts w:ascii="Times New Roman" w:cs="Times New Roman" w:eastAsia="Times New Roman" w:hAnsi="Times New Roman"/>
          <w:sz w:val="18"/>
          <w:szCs w:val="18"/>
          <w:i w:val="1"/>
          <w:iCs w:val="1"/>
          <w:u w:val="single" w:color="auto"/>
          <w:color w:val="0000FF"/>
        </w:rPr>
        <w:t>Copies to:</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FF0000"/>
          <w:strike w:val="1"/>
        </w:rPr>
        <w:t>Copies to:</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FF0000"/>
          <w:strike w:val="1"/>
        </w:rPr>
        <w:t>Steven B. Boehm, Esq.</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FF0000"/>
          <w:strike w:val="1"/>
        </w:rPr>
        <w:t>Anne G. Oberndorf, Esq.</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FF0000"/>
          <w:strike w:val="1"/>
        </w:rPr>
        <w:t>Payam Siadatpour, Esq.</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FF0000"/>
          <w:strike w:val="1"/>
        </w:rPr>
        <w:t>Eversheds Sutherland (US) LLP</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FF0000"/>
          <w:strike w:val="1"/>
        </w:rPr>
        <w:t>700 Sixth Street, N.W., Suite 700</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FF0000"/>
          <w:strike w:val="1"/>
        </w:rPr>
        <w:t>Washington, DC 20001</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FF0000"/>
          <w:strike w:val="1"/>
        </w:rPr>
        <w:t>Telephone: (202) 383-0100</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FF0000"/>
          <w:strike w:val="1"/>
        </w:rPr>
        <w:t>AnneOberndorf@eversheds-sutherland.com</w:t>
      </w:r>
    </w:p>
    <w:p>
      <w:pPr>
        <w:spacing w:after="0" w:line="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0000FF"/>
        </w:rPr>
        <w:t>Anne G. Oberndorf, Esq.</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0000FF"/>
        </w:rPr>
        <w:t>Owen J. Pinkerton, Esq.</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0000FF"/>
        </w:rPr>
        <w:t>Eversheds Sutherland (US) LLP</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0000FF"/>
        </w:rPr>
        <w:t>700 Sixth Street, N.W., Suite 700</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0000FF"/>
        </w:rPr>
        <w:t>Washington, D.C. 20001</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0000FF"/>
        </w:rPr>
        <w:t>(202) 383-0100</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u w:val="single" w:color="auto"/>
          <w:color w:val="0000FF"/>
        </w:rPr>
        <w:t>anneoberndorf@eversheds-sutherland.com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0000FF"/>
        </w:rPr>
        <w:t>owenpinkerton@eversheds-sutherland.com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21945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FF0000"/>
          <w:strike w:val="1"/>
        </w:rPr>
        <w:t>September 2</w:t>
      </w:r>
      <w:r>
        <w:rPr>
          <w:rFonts w:ascii="Times New Roman" w:cs="Times New Roman" w:eastAsia="Times New Roman" w:hAnsi="Times New Roman"/>
          <w:sz w:val="18"/>
          <w:szCs w:val="18"/>
          <w:u w:val="single" w:color="auto"/>
          <w:color w:val="0000FF"/>
        </w:rPr>
        <w:t>March 18</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2"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BEFORE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0000FF"/>
        </w:rPr>
        <w:t>IN THE MATTER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4954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4954905"/>
                    </a:xfrm>
                    <a:prstGeom prst="rect">
                      <a:avLst/>
                    </a:prstGeom>
                    <a:noFill/>
                  </pic:spPr>
                </pic:pic>
              </a:graphicData>
            </a:graphic>
          </wp:anchor>
        </w:drawing>
      </w:r>
    </w:p>
    <w:p>
      <w:pPr>
        <w:spacing w:after="0" w:line="1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b w:val="1"/>
          <w:bCs w:val="1"/>
          <w:u w:val="single" w:color="auto"/>
          <w:color w:val="0000FF"/>
        </w:rPr>
        <w:t>CHICAGO ATLANTIC BDC, INC., AND CHICAGO ATLANTIC BDC ADVISERS, LLC, AND CHICAGO ATLANTIC ADVISERS, LLC, AND CHICAGO ATLANTIC EQUITY ADVISERS, LLC, AND CHICAGO ATLANTIC CO3 ADVISERS, LLC, AND CHICAGO ATLANTIC INVESTMENT MANAGEMENT, LLC, AND CHICAGO ATLANTIC REIT MANAGER, LLC, AND CHICAGO ATLANTIC PORTFOLIO, LP, AND CHICAGO ATLANTIC EQUITY FUND, LLC, AND CHICAGO ATLANTIC OPPORTUNITY PORTFOLIO, LP, AND CHICAGO ATLANTIC OPPORTUNITY FINANCE, LLC, AND CHICAGO ATLANTIC CREDIT OPPORTUNITIES III, LP, AND CHICAGO ATLANTIC CO3 (OFFSHORE), LP, AND CHICAGO ATLANTIC CO3 FEEDER, LP, AND CHICAGO ATLANTIC REAL ESTATE FINANCE, INC., AND CHICAGO ATLANTIC CREDIT COMPANY, LLC, AND CA CO SPV, LLC, AND CA CREDIT SPV, LLC</w:t>
      </w:r>
    </w:p>
    <w:p>
      <w:pPr>
        <w:spacing w:after="0" w:line="187" w:lineRule="exact"/>
        <w:rPr>
          <w:sz w:val="20"/>
          <w:szCs w:val="20"/>
          <w:color w:val="auto"/>
        </w:rPr>
      </w:pPr>
    </w:p>
    <w:p>
      <w:pPr>
        <w:ind w:left="120" w:right="256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600 MADISON AVENUE, SUITE 1800 NEW YORK, NY 10022 File No. 812-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340" w:hanging="336"/>
        <w:spacing w:after="0"/>
        <w:tabs>
          <w:tab w:leader="none" w:pos="340" w:val="left"/>
        </w:tabs>
        <w:numPr>
          <w:ilvl w:val="0"/>
          <w:numId w:val="2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APPLICATION FOR AN ORDER</w:t>
      </w:r>
    </w:p>
    <w:p>
      <w:pPr>
        <w:spacing w:after="0" w:line="31" w:lineRule="exact"/>
        <w:rPr>
          <w:rFonts w:ascii="Times New Roman" w:cs="Times New Roman" w:eastAsia="Times New Roman" w:hAnsi="Times New Roman"/>
          <w:sz w:val="18"/>
          <w:szCs w:val="18"/>
          <w:b w:val="1"/>
          <w:bCs w:val="1"/>
          <w:u w:val="single" w:color="auto"/>
          <w:color w:val="0000FF"/>
        </w:rPr>
      </w:pPr>
    </w:p>
    <w:p>
      <w:pPr>
        <w:ind w:left="340" w:hanging="336"/>
        <w:spacing w:after="0"/>
        <w:tabs>
          <w:tab w:leader="none" w:pos="340" w:val="left"/>
        </w:tabs>
        <w:numPr>
          <w:ilvl w:val="0"/>
          <w:numId w:val="2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PURSUANT TO SECTIONS 17(d) AND 57(i)</w:t>
      </w:r>
    </w:p>
    <w:p>
      <w:pPr>
        <w:spacing w:after="0" w:line="9" w:lineRule="exact"/>
        <w:rPr>
          <w:rFonts w:ascii="Times New Roman" w:cs="Times New Roman" w:eastAsia="Times New Roman" w:hAnsi="Times New Roman"/>
          <w:sz w:val="18"/>
          <w:szCs w:val="18"/>
          <w:b w:val="1"/>
          <w:bCs w:val="1"/>
          <w:u w:val="single" w:color="auto"/>
          <w:color w:val="0000FF"/>
        </w:rPr>
      </w:pPr>
    </w:p>
    <w:p>
      <w:pPr>
        <w:ind w:left="340" w:hanging="336"/>
        <w:spacing w:after="0"/>
        <w:tabs>
          <w:tab w:leader="none" w:pos="340" w:val="left"/>
        </w:tabs>
        <w:numPr>
          <w:ilvl w:val="0"/>
          <w:numId w:val="26"/>
        </w:numPr>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OF THE INVESTMENT COMPANY ACT OF 1940 AND</w:t>
      </w:r>
    </w:p>
    <w:p>
      <w:pPr>
        <w:spacing w:after="0" w:line="20" w:lineRule="exact"/>
        <w:rPr>
          <w:rFonts w:ascii="Times New Roman" w:cs="Times New Roman" w:eastAsia="Times New Roman" w:hAnsi="Times New Roman"/>
          <w:sz w:val="17"/>
          <w:szCs w:val="17"/>
          <w:b w:val="1"/>
          <w:bCs w:val="1"/>
          <w:u w:val="single" w:color="auto"/>
          <w:color w:val="0000FF"/>
        </w:rPr>
      </w:pPr>
    </w:p>
    <w:p>
      <w:pPr>
        <w:ind w:left="340" w:hanging="336"/>
        <w:spacing w:after="0"/>
        <w:tabs>
          <w:tab w:leader="none" w:pos="340" w:val="left"/>
        </w:tabs>
        <w:numPr>
          <w:ilvl w:val="0"/>
          <w:numId w:val="2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RULE 17d-1 UNDER THE</w:t>
      </w:r>
    </w:p>
    <w:p>
      <w:pPr>
        <w:spacing w:after="0" w:line="9" w:lineRule="exact"/>
        <w:rPr>
          <w:rFonts w:ascii="Times New Roman" w:cs="Times New Roman" w:eastAsia="Times New Roman" w:hAnsi="Times New Roman"/>
          <w:sz w:val="18"/>
          <w:szCs w:val="18"/>
          <w:b w:val="1"/>
          <w:bCs w:val="1"/>
          <w:u w:val="single" w:color="auto"/>
          <w:color w:val="0000FF"/>
        </w:rPr>
      </w:pPr>
    </w:p>
    <w:p>
      <w:pPr>
        <w:ind w:left="340" w:hanging="336"/>
        <w:spacing w:after="0"/>
        <w:tabs>
          <w:tab w:leader="none" w:pos="340" w:val="left"/>
        </w:tabs>
        <w:numPr>
          <w:ilvl w:val="0"/>
          <w:numId w:val="2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INVESTMENT COMPANY ACT OF 1940</w:t>
      </w:r>
    </w:p>
    <w:p>
      <w:pPr>
        <w:spacing w:after="0" w:line="9" w:lineRule="exact"/>
        <w:rPr>
          <w:rFonts w:ascii="Times New Roman" w:cs="Times New Roman" w:eastAsia="Times New Roman" w:hAnsi="Times New Roman"/>
          <w:sz w:val="18"/>
          <w:szCs w:val="18"/>
          <w:b w:val="1"/>
          <w:bCs w:val="1"/>
          <w:u w:val="single" w:color="auto"/>
          <w:color w:val="0000FF"/>
        </w:rPr>
      </w:pPr>
    </w:p>
    <w:p>
      <w:pPr>
        <w:ind w:left="340" w:hanging="336"/>
        <w:spacing w:after="0"/>
        <w:tabs>
          <w:tab w:leader="none" w:pos="340" w:val="left"/>
        </w:tabs>
        <w:numPr>
          <w:ilvl w:val="0"/>
          <w:numId w:val="2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PERMITTING CERTAIN JOINT</w:t>
      </w:r>
    </w:p>
    <w:p>
      <w:pPr>
        <w:spacing w:after="0" w:line="9" w:lineRule="exact"/>
        <w:rPr>
          <w:rFonts w:ascii="Times New Roman" w:cs="Times New Roman" w:eastAsia="Times New Roman" w:hAnsi="Times New Roman"/>
          <w:sz w:val="18"/>
          <w:szCs w:val="18"/>
          <w:b w:val="1"/>
          <w:bCs w:val="1"/>
          <w:u w:val="single" w:color="auto"/>
          <w:color w:val="0000FF"/>
        </w:rPr>
      </w:pPr>
    </w:p>
    <w:p>
      <w:pPr>
        <w:ind w:left="340" w:hanging="336"/>
        <w:spacing w:after="0"/>
        <w:tabs>
          <w:tab w:leader="none" w:pos="340" w:val="left"/>
        </w:tabs>
        <w:numPr>
          <w:ilvl w:val="0"/>
          <w:numId w:val="2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TRANSACTIONS OTHERWISE</w:t>
      </w:r>
    </w:p>
    <w:p>
      <w:pPr>
        <w:spacing w:after="0" w:line="9" w:lineRule="exact"/>
        <w:rPr>
          <w:rFonts w:ascii="Times New Roman" w:cs="Times New Roman" w:eastAsia="Times New Roman" w:hAnsi="Times New Roman"/>
          <w:sz w:val="18"/>
          <w:szCs w:val="18"/>
          <w:b w:val="1"/>
          <w:bCs w:val="1"/>
          <w:u w:val="single" w:color="auto"/>
          <w:color w:val="0000FF"/>
        </w:rPr>
      </w:pPr>
    </w:p>
    <w:p>
      <w:pPr>
        <w:ind w:left="340" w:hanging="336"/>
        <w:spacing w:after="0"/>
        <w:tabs>
          <w:tab w:leader="none" w:pos="340" w:val="left"/>
        </w:tabs>
        <w:numPr>
          <w:ilvl w:val="0"/>
          <w:numId w:val="2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PROHIBITED BY SECTIONS 17(d) AND</w:t>
      </w:r>
    </w:p>
    <w:p>
      <w:pPr>
        <w:spacing w:after="0" w:line="9" w:lineRule="exact"/>
        <w:rPr>
          <w:rFonts w:ascii="Times New Roman" w:cs="Times New Roman" w:eastAsia="Times New Roman" w:hAnsi="Times New Roman"/>
          <w:sz w:val="18"/>
          <w:szCs w:val="18"/>
          <w:b w:val="1"/>
          <w:bCs w:val="1"/>
          <w:u w:val="single" w:color="auto"/>
          <w:color w:val="0000FF"/>
        </w:rPr>
      </w:pPr>
    </w:p>
    <w:p>
      <w:pPr>
        <w:ind w:left="340" w:hanging="336"/>
        <w:spacing w:after="0"/>
        <w:tabs>
          <w:tab w:leader="none" w:pos="340" w:val="left"/>
        </w:tabs>
        <w:numPr>
          <w:ilvl w:val="0"/>
          <w:numId w:val="2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57(a)(4) OF AND RULE 17d-1 UNDER THE</w:t>
      </w:r>
    </w:p>
    <w:p>
      <w:pPr>
        <w:spacing w:after="0" w:line="9" w:lineRule="exact"/>
        <w:rPr>
          <w:rFonts w:ascii="Times New Roman" w:cs="Times New Roman" w:eastAsia="Times New Roman" w:hAnsi="Times New Roman"/>
          <w:sz w:val="18"/>
          <w:szCs w:val="18"/>
          <w:b w:val="1"/>
          <w:bCs w:val="1"/>
          <w:u w:val="single" w:color="auto"/>
          <w:color w:val="0000FF"/>
        </w:rPr>
      </w:pPr>
    </w:p>
    <w:p>
      <w:pPr>
        <w:ind w:left="340" w:hanging="336"/>
        <w:spacing w:after="0"/>
        <w:tabs>
          <w:tab w:leader="none" w:pos="340" w:val="left"/>
        </w:tabs>
        <w:numPr>
          <w:ilvl w:val="0"/>
          <w:numId w:val="2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INVESTMENT COMPANY ACT OF 1940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200" w:lineRule="exact"/>
        <w:rPr>
          <w:sz w:val="20"/>
          <w:szCs w:val="20"/>
          <w:color w:val="auto"/>
        </w:rPr>
      </w:pPr>
    </w:p>
    <w:p>
      <w:pPr>
        <w:sectPr>
          <w:pgSz w:w="11900" w:h="16838" w:orient="portrait"/>
          <w:cols w:equalWidth="0" w:num="2">
            <w:col w:w="5680" w:space="280"/>
            <w:col w:w="5280"/>
          </w:cols>
          <w:pgMar w:left="320" w:top="914" w:right="339" w:bottom="1440" w:gutter="0" w:footer="0" w:header="0"/>
          <w:type w:val="continuous"/>
        </w:sectPr>
      </w:pPr>
    </w:p>
    <w:p>
      <w:pPr>
        <w:spacing w:after="0" w:line="23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APPLICATION</w:t>
      </w:r>
    </w:p>
    <w:p>
      <w:pPr>
        <w:spacing w:after="0" w:line="225" w:lineRule="exact"/>
        <w:rPr>
          <w:sz w:val="20"/>
          <w:szCs w:val="20"/>
          <w:color w:val="auto"/>
        </w:rPr>
      </w:pPr>
    </w:p>
    <w:p>
      <w:pPr>
        <w:jc w:val="both"/>
        <w:ind w:firstLine="324"/>
        <w:spacing w:after="0" w:line="228" w:lineRule="auto"/>
        <w:rPr>
          <w:sz w:val="20"/>
          <w:szCs w:val="20"/>
          <w:color w:val="auto"/>
        </w:rPr>
      </w:pPr>
      <w:r>
        <w:rPr>
          <w:rFonts w:ascii="Times New Roman" w:cs="Times New Roman" w:eastAsia="Times New Roman" w:hAnsi="Times New Roman"/>
          <w:sz w:val="18"/>
          <w:szCs w:val="18"/>
          <w:color w:val="auto"/>
        </w:rPr>
        <w:t>The following entities hereby request an order (the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color w:val="FF0000"/>
          <w:strike w:val="1"/>
        </w:rPr>
        <w:t>Section</w:t>
      </w:r>
      <w:r>
        <w:rPr>
          <w:rFonts w:ascii="Times New Roman" w:cs="Times New Roman" w:eastAsia="Times New Roman" w:hAnsi="Times New Roman"/>
          <w:sz w:val="18"/>
          <w:szCs w:val="18"/>
          <w:u w:val="single" w:color="auto"/>
          <w:color w:val="0000FF"/>
        </w:rPr>
        <w:t>Sections 17(d)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57(i) of the Investment Company Act of 1940, as amended (the “</w:t>
      </w:r>
      <w:r>
        <w:rPr>
          <w:rFonts w:ascii="Times New Roman" w:cs="Times New Roman" w:eastAsia="Times New Roman" w:hAnsi="Times New Roman"/>
          <w:sz w:val="18"/>
          <w:szCs w:val="18"/>
          <w:b w:val="1"/>
          <w:bCs w:val="1"/>
          <w:i w:val="1"/>
          <w:iCs w:val="1"/>
          <w:color w:val="000000"/>
        </w:rPr>
        <w:t>1940 Act</w:t>
      </w:r>
      <w:r>
        <w:rPr>
          <w:rFonts w:ascii="Times New Roman" w:cs="Times New Roman" w:eastAsia="Times New Roman" w:hAnsi="Times New Roman"/>
          <w:sz w:val="18"/>
          <w:szCs w:val="18"/>
          <w:color w:val="000000"/>
        </w:rPr>
        <w:t>”),</w:t>
      </w:r>
      <w:r>
        <w:rPr>
          <w:rFonts w:ascii="Times New Roman" w:cs="Times New Roman" w:eastAsia="Times New Roman" w:hAnsi="Times New Roman"/>
          <w:sz w:val="29"/>
          <w:szCs w:val="29"/>
          <w:color w:val="000000"/>
          <w:vertAlign w:val="superscript"/>
        </w:rPr>
        <w:t>1</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Rule 17d-1, permitting certain joint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transactions otherwise prohibited by Sections 17(d) and 57(a)(4) of the 1940 Act and Rule 17d-1 thereunder. </w:t>
      </w:r>
      <w:r>
        <w:rPr>
          <w:rFonts w:ascii="Times New Roman" w:cs="Times New Roman" w:eastAsia="Times New Roman" w:hAnsi="Times New Roman"/>
          <w:sz w:val="18"/>
          <w:szCs w:val="18"/>
          <w:u w:val="single" w:color="auto"/>
          <w:color w:val="0000FF"/>
        </w:rPr>
        <w:t>The Order would supersede the exemptive</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u w:val="single" w:color="auto"/>
          <w:color w:val="0000FF"/>
        </w:rPr>
        <w:t>order issued by the Commission on January 9, 2023 (the ”</w:t>
      </w:r>
      <w:r>
        <w:rPr>
          <w:rFonts w:ascii="Times New Roman" w:cs="Times New Roman" w:eastAsia="Times New Roman" w:hAnsi="Times New Roman"/>
          <w:sz w:val="18"/>
          <w:szCs w:val="18"/>
          <w:b w:val="1"/>
          <w:bCs w:val="1"/>
          <w:i w:val="1"/>
          <w:iCs w:val="1"/>
          <w:u w:val="single" w:color="auto"/>
          <w:color w:val="0000FF"/>
        </w:rPr>
        <w:t>Prior Order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29"/>
          <w:szCs w:val="29"/>
          <w:u w:val="single" w:color="auto"/>
          <w:color w:val="0000FF"/>
          <w:vertAlign w:val="superscript"/>
        </w:rPr>
        <w:t>2</w:t>
      </w:r>
      <w:r>
        <w:rPr>
          <w:rFonts w:ascii="Times New Roman" w:cs="Times New Roman" w:eastAsia="Times New Roman" w:hAnsi="Times New Roman"/>
          <w:sz w:val="18"/>
          <w:szCs w:val="18"/>
          <w:color w:val="0000FF"/>
        </w:rPr>
        <w:t xml:space="preserve"> that was granted pursuant to Sections 57(a)(4), 57(i) and Rule 17d-1, with the </w:t>
      </w:r>
      <w:r>
        <w:rPr>
          <w:rFonts w:ascii="Times New Roman" w:cs="Times New Roman" w:eastAsia="Times New Roman" w:hAnsi="Times New Roman"/>
          <w:sz w:val="18"/>
          <w:szCs w:val="18"/>
          <w:u w:val="single" w:color="auto"/>
          <w:color w:val="0000FF"/>
        </w:rPr>
        <w:t>result that no person will continue to rely on the Prior Order if the Order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29145" cy="316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9145" cy="316865"/>
                    </a:xfrm>
                    <a:prstGeom prst="rect">
                      <a:avLst/>
                    </a:prstGeom>
                    <a:noFill/>
                  </pic:spPr>
                </pic:pic>
              </a:graphicData>
            </a:graphic>
          </wp:anchor>
        </w:drawing>
      </w:r>
    </w:p>
    <w:p>
      <w:pPr>
        <w:spacing w:after="0" w:line="220" w:lineRule="exact"/>
        <w:rPr>
          <w:sz w:val="20"/>
          <w:szCs w:val="20"/>
          <w:color w:val="auto"/>
        </w:rPr>
      </w:pPr>
    </w:p>
    <w:p>
      <w:pPr>
        <w:ind w:left="5580" w:right="1980" w:hanging="5572"/>
        <w:spacing w:after="0" w:line="623" w:lineRule="auto"/>
        <w:tabs>
          <w:tab w:leader="none" w:pos="657"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Unless otherwise indicated, all section and rule references herein are to the 1940 Act and rules promulgated thereunder.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-648970</wp:posOffset>
            </wp:positionV>
            <wp:extent cx="285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-631825</wp:posOffset>
            </wp:positionV>
            <wp:extent cx="285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21" w:name="page22"/>
    <w:bookmarkEnd w:id="21"/>
    <w:p>
      <w:pPr>
        <w:jc w:val="both"/>
        <w:ind w:left="660" w:hanging="328"/>
        <w:spacing w:after="0" w:line="268" w:lineRule="auto"/>
        <w:tabs>
          <w:tab w:leader="none" w:pos="660" w:val="left"/>
        </w:tabs>
        <w:numPr>
          <w:ilvl w:val="0"/>
          <w:numId w:val="2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 Crestline Lending Solutions, LLC</w:t>
      </w:r>
      <w:r>
        <w:rPr>
          <w:rFonts w:ascii="Times New Roman" w:cs="Times New Roman" w:eastAsia="Times New Roman" w:hAnsi="Times New Roman"/>
          <w:sz w:val="18"/>
          <w:szCs w:val="18"/>
          <w:u w:val="single" w:color="auto"/>
          <w:color w:val="0000FF"/>
        </w:rPr>
        <w:t>Chicago Atlantic BDC, Inc. (formerly, Silver Spike Investment Corp.)</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b w:val="1"/>
          <w:bCs w:val="1"/>
          <w:i w:val="1"/>
          <w:iCs w:val="1"/>
          <w:color w:val="000000"/>
        </w:rPr>
        <w:t>Existing Regulated Fund</w:t>
      </w:r>
      <w:r>
        <w:rPr>
          <w:rFonts w:ascii="Times New Roman" w:cs="Times New Roman" w:eastAsia="Times New Roman" w:hAnsi="Times New Roman"/>
          <w:sz w:val="18"/>
          <w:szCs w:val="18"/>
          <w:color w:val="000000"/>
        </w:rPr>
        <w:t>”), 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Delaware limited liability</w:t>
      </w:r>
      <w:r>
        <w:rPr>
          <w:rFonts w:ascii="Times New Roman" w:cs="Times New Roman" w:eastAsia="Times New Roman" w:hAnsi="Times New Roman"/>
          <w:sz w:val="18"/>
          <w:szCs w:val="18"/>
          <w:u w:val="single" w:color="auto"/>
          <w:color w:val="0000FF"/>
        </w:rPr>
        <w:t>closed-end non-diversified management investment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company that has elected to be regulated as a business development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company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BDC</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under the 1940 Act;</w:t>
      </w:r>
    </w:p>
    <w:p>
      <w:pPr>
        <w:spacing w:after="0" w:line="170" w:lineRule="exact"/>
        <w:rPr>
          <w:rFonts w:ascii="Times New Roman" w:cs="Times New Roman" w:eastAsia="Times New Roman" w:hAnsi="Times New Roman"/>
          <w:sz w:val="18"/>
          <w:szCs w:val="18"/>
          <w:u w:val="single" w:color="auto"/>
          <w:color w:val="0000FF"/>
        </w:rPr>
      </w:pPr>
    </w:p>
    <w:p>
      <w:pPr>
        <w:jc w:val="both"/>
        <w:ind w:left="660" w:hanging="328"/>
        <w:spacing w:after="0" w:line="270" w:lineRule="auto"/>
        <w:tabs>
          <w:tab w:leader="none" w:pos="660" w:val="left"/>
        </w:tabs>
        <w:numPr>
          <w:ilvl w:val="0"/>
          <w:numId w:val="2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 Crestline Management, L.P. (the “</w:t>
      </w:r>
      <w:r>
        <w:rPr>
          <w:rFonts w:ascii="Times New Roman" w:cs="Times New Roman" w:eastAsia="Times New Roman" w:hAnsi="Times New Roman"/>
          <w:sz w:val="18"/>
          <w:szCs w:val="18"/>
          <w:b w:val="1"/>
          <w:bCs w:val="1"/>
          <w:i w:val="1"/>
          <w:iCs w:val="1"/>
          <w:color w:val="FF0000"/>
          <w:strike w:val="1"/>
        </w:rPr>
        <w:t>Existing</w:t>
      </w:r>
      <w:r>
        <w:rPr>
          <w:rFonts w:ascii="Times New Roman" w:cs="Times New Roman" w:eastAsia="Times New Roman" w:hAnsi="Times New Roman"/>
          <w:sz w:val="18"/>
          <w:szCs w:val="18"/>
          <w:u w:val="single" w:color="auto"/>
          <w:color w:val="0000FF"/>
        </w:rPr>
        <w:t>Chicago Atlantic BDC Advisers, LLC (formerly, Silver Spike Capital, LLC) (“</w:t>
      </w:r>
      <w:r>
        <w:rPr>
          <w:rFonts w:ascii="Times New Roman" w:cs="Times New Roman" w:eastAsia="Times New Roman" w:hAnsi="Times New Roman"/>
          <w:sz w:val="18"/>
          <w:szCs w:val="18"/>
          <w:b w:val="1"/>
          <w:bCs w:val="1"/>
          <w:i w:val="1"/>
          <w:iCs w:val="1"/>
          <w:u w:val="single" w:color="auto"/>
          <w:color w:val="0000FF"/>
        </w:rPr>
        <w:t>BDC</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i w:val="1"/>
          <w:iCs w:val="1"/>
          <w:color w:val="000000"/>
        </w:rPr>
        <w:t>Adviser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Delaware limited partnership that is registered as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 investment adviser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registered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under the Investment Advisers Act of 1940</w:t>
      </w:r>
      <w:r>
        <w:rPr>
          <w:rFonts w:ascii="Times New Roman" w:cs="Times New Roman" w:eastAsia="Times New Roman" w:hAnsi="Times New Roman"/>
          <w:sz w:val="18"/>
          <w:szCs w:val="18"/>
          <w:color w:val="FF0000"/>
          <w:strike w:val="1"/>
        </w:rPr>
        <w:t>, as amended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Advisers Act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strike w:val="1"/>
        </w:rPr>
        <w:t>, and serves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8000"/>
          <w:strike w:val="1"/>
        </w:rPr>
        <w:t>as the investment adviser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the Existing Affiliated Funds (as defined below) and the Existing Regulated Fund</w:t>
      </w:r>
      <w:r>
        <w:rPr>
          <w:rFonts w:ascii="Times New Roman" w:cs="Times New Roman" w:eastAsia="Times New Roman" w:hAnsi="Times New Roman"/>
          <w:sz w:val="18"/>
          <w:szCs w:val="18"/>
          <w:color w:val="000000"/>
        </w:rPr>
        <w:t>, on behalf of itself and its successors</w:t>
      </w:r>
      <w:r>
        <w:rPr>
          <w:rFonts w:ascii="Times New Roman" w:cs="Times New Roman" w:eastAsia="Times New Roman" w:hAnsi="Times New Roman"/>
          <w:sz w:val="29"/>
          <w:szCs w:val="29"/>
          <w:color w:val="FF0000"/>
          <w:strike w:val="1"/>
          <w:vertAlign w:val="superscript"/>
        </w:rPr>
        <w:t>2</w:t>
      </w:r>
      <w:r>
        <w:rPr>
          <w:rFonts w:ascii="Times New Roman" w:cs="Times New Roman" w:eastAsia="Times New Roman" w:hAnsi="Times New Roman"/>
          <w:sz w:val="18"/>
          <w:szCs w:val="18"/>
          <w:color w:val="000000"/>
        </w:rPr>
        <w:t>;</w:t>
      </w:r>
      <w:r>
        <w:rPr>
          <w:rFonts w:ascii="Times New Roman" w:cs="Times New Roman" w:eastAsia="Times New Roman" w:hAnsi="Times New Roman"/>
          <w:sz w:val="29"/>
          <w:szCs w:val="29"/>
          <w:u w:val="single" w:color="auto"/>
          <w:color w:val="0000FF"/>
          <w:vertAlign w:val="superscript"/>
        </w:rPr>
        <w:t>3</w:t>
      </w:r>
    </w:p>
    <w:p>
      <w:pPr>
        <w:spacing w:after="0" w:line="51" w:lineRule="exact"/>
        <w:rPr>
          <w:sz w:val="20"/>
          <w:szCs w:val="20"/>
          <w:color w:val="auto"/>
        </w:rPr>
      </w:pPr>
    </w:p>
    <w:p>
      <w:pPr>
        <w:ind w:left="660" w:right="640" w:hanging="328"/>
        <w:spacing w:after="0" w:line="261" w:lineRule="auto"/>
        <w:tabs>
          <w:tab w:leader="none" w:pos="444" w:val="left"/>
        </w:tabs>
        <w:numPr>
          <w:ilvl w:val="0"/>
          <w:numId w:val="30"/>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CL Life and Annuity Insurance Company, CL Re SPC, Crestline Re SP1, a segregated portfolio of CL Re SPC, and CL Re SP2, a segregated portfolio of CL Re SPC (collectively</w:t>
      </w:r>
      <w:r>
        <w:rPr>
          <w:rFonts w:ascii="Times New Roman" w:cs="Times New Roman" w:eastAsia="Times New Roman" w:hAnsi="Times New Roman"/>
          <w:sz w:val="18"/>
          <w:szCs w:val="18"/>
          <w:color w:val="008000"/>
          <w:strike w:val="1"/>
        </w:rPr>
        <w:t>, the “</w:t>
      </w:r>
      <w:r>
        <w:rPr>
          <w:rFonts w:ascii="Times New Roman" w:cs="Times New Roman" w:eastAsia="Times New Roman" w:hAnsi="Times New Roman"/>
          <w:sz w:val="18"/>
          <w:szCs w:val="18"/>
          <w:b w:val="1"/>
          <w:bCs w:val="1"/>
          <w:i w:val="1"/>
          <w:iCs w:val="1"/>
          <w:color w:val="008000"/>
          <w:strike w:val="1"/>
        </w:rPr>
        <w:t>Existing Proprietary Accounts</w:t>
      </w:r>
      <w:r>
        <w:rPr>
          <w:rFonts w:ascii="Times New Roman" w:cs="Times New Roman" w:eastAsia="Times New Roman" w:hAnsi="Times New Roman"/>
          <w:sz w:val="18"/>
          <w:szCs w:val="18"/>
          <w:color w:val="008000"/>
          <w:strike w:val="1"/>
        </w:rPr>
        <w:t>”); and</w:t>
      </w:r>
    </w:p>
    <w:p>
      <w:pPr>
        <w:ind w:left="660" w:hanging="328"/>
        <w:spacing w:after="0"/>
        <w:tabs>
          <w:tab w:leader="none" w:pos="660" w:val="left"/>
        </w:tabs>
        <w:numPr>
          <w:ilvl w:val="0"/>
          <w:numId w:val="3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Chicago Atlantic Advisers, LLC (“</w:t>
      </w:r>
      <w:r>
        <w:rPr>
          <w:rFonts w:ascii="Times New Roman" w:cs="Times New Roman" w:eastAsia="Times New Roman" w:hAnsi="Times New Roman"/>
          <w:sz w:val="18"/>
          <w:szCs w:val="18"/>
          <w:b w:val="1"/>
          <w:bCs w:val="1"/>
          <w:i w:val="1"/>
          <w:iCs w:val="1"/>
          <w:u w:val="single" w:color="auto"/>
          <w:color w:val="0000FF"/>
        </w:rPr>
        <w:t>CAA</w:t>
      </w:r>
      <w:r>
        <w:rPr>
          <w:rFonts w:ascii="Times New Roman" w:cs="Times New Roman" w:eastAsia="Times New Roman" w:hAnsi="Times New Roman"/>
          <w:sz w:val="18"/>
          <w:szCs w:val="18"/>
          <w:u w:val="single" w:color="auto"/>
          <w:color w:val="0000FF"/>
        </w:rPr>
        <w:t>”), an investment adviser registered under the Advisers Act, on behalf of itself and its successors;</w:t>
      </w:r>
    </w:p>
    <w:p>
      <w:pPr>
        <w:spacing w:after="0" w:line="202" w:lineRule="exact"/>
        <w:rPr>
          <w:rFonts w:ascii="Times New Roman" w:cs="Times New Roman" w:eastAsia="Times New Roman" w:hAnsi="Times New Roman"/>
          <w:sz w:val="18"/>
          <w:szCs w:val="18"/>
          <w:u w:val="single" w:color="auto"/>
          <w:color w:val="0000FF"/>
        </w:rPr>
      </w:pPr>
    </w:p>
    <w:p>
      <w:pPr>
        <w:ind w:left="660" w:hanging="328"/>
        <w:spacing w:after="0"/>
        <w:tabs>
          <w:tab w:leader="none" w:pos="660" w:val="left"/>
        </w:tabs>
        <w:numPr>
          <w:ilvl w:val="0"/>
          <w:numId w:val="3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Chicago Atlantic Equity Advisers, LLC (“</w:t>
      </w:r>
      <w:r>
        <w:rPr>
          <w:rFonts w:ascii="Times New Roman" w:cs="Times New Roman" w:eastAsia="Times New Roman" w:hAnsi="Times New Roman"/>
          <w:sz w:val="18"/>
          <w:szCs w:val="18"/>
          <w:b w:val="1"/>
          <w:bCs w:val="1"/>
          <w:i w:val="1"/>
          <w:iCs w:val="1"/>
          <w:u w:val="single" w:color="auto"/>
          <w:color w:val="0000FF"/>
        </w:rPr>
        <w:t>CAEA</w:t>
      </w:r>
      <w:r>
        <w:rPr>
          <w:rFonts w:ascii="Times New Roman" w:cs="Times New Roman" w:eastAsia="Times New Roman" w:hAnsi="Times New Roman"/>
          <w:sz w:val="18"/>
          <w:szCs w:val="18"/>
          <w:u w:val="single" w:color="auto"/>
          <w:color w:val="0000FF"/>
        </w:rPr>
        <w:t>”), a relying adviser of CAA, on behalf of itself and its successors;</w:t>
      </w:r>
    </w:p>
    <w:p>
      <w:pPr>
        <w:spacing w:after="0" w:line="225" w:lineRule="exact"/>
        <w:rPr>
          <w:rFonts w:ascii="Times New Roman" w:cs="Times New Roman" w:eastAsia="Times New Roman" w:hAnsi="Times New Roman"/>
          <w:sz w:val="18"/>
          <w:szCs w:val="18"/>
          <w:u w:val="single" w:color="auto"/>
          <w:color w:val="0000FF"/>
        </w:rPr>
      </w:pPr>
    </w:p>
    <w:p>
      <w:pPr>
        <w:ind w:left="660" w:hanging="328"/>
        <w:spacing w:after="0"/>
        <w:tabs>
          <w:tab w:leader="none" w:pos="660" w:val="left"/>
        </w:tabs>
        <w:numPr>
          <w:ilvl w:val="0"/>
          <w:numId w:val="3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Chicago Atlantic CO3 Advisers, LLC (“</w:t>
      </w:r>
      <w:r>
        <w:rPr>
          <w:rFonts w:ascii="Times New Roman" w:cs="Times New Roman" w:eastAsia="Times New Roman" w:hAnsi="Times New Roman"/>
          <w:sz w:val="18"/>
          <w:szCs w:val="18"/>
          <w:b w:val="1"/>
          <w:bCs w:val="1"/>
          <w:i w:val="1"/>
          <w:iCs w:val="1"/>
          <w:u w:val="single" w:color="auto"/>
          <w:color w:val="0000FF"/>
        </w:rPr>
        <w:t>CO3 Advisers</w:t>
      </w:r>
      <w:r>
        <w:rPr>
          <w:rFonts w:ascii="Times New Roman" w:cs="Times New Roman" w:eastAsia="Times New Roman" w:hAnsi="Times New Roman"/>
          <w:sz w:val="18"/>
          <w:szCs w:val="18"/>
          <w:u w:val="single" w:color="auto"/>
          <w:color w:val="0000FF"/>
        </w:rPr>
        <w:t>”), a relying adviser of CAA, on behalf of itself and its successors;</w:t>
      </w:r>
    </w:p>
    <w:p>
      <w:pPr>
        <w:spacing w:after="0" w:line="225" w:lineRule="exact"/>
        <w:rPr>
          <w:rFonts w:ascii="Times New Roman" w:cs="Times New Roman" w:eastAsia="Times New Roman" w:hAnsi="Times New Roman"/>
          <w:sz w:val="18"/>
          <w:szCs w:val="18"/>
          <w:u w:val="single" w:color="auto"/>
          <w:color w:val="0000FF"/>
        </w:rPr>
      </w:pPr>
    </w:p>
    <w:p>
      <w:pPr>
        <w:ind w:left="660" w:hanging="328"/>
        <w:spacing w:after="0"/>
        <w:tabs>
          <w:tab w:leader="none" w:pos="660" w:val="left"/>
        </w:tabs>
        <w:numPr>
          <w:ilvl w:val="0"/>
          <w:numId w:val="3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Chicago Atlantic Investment Management, LLC (“</w:t>
      </w:r>
      <w:r>
        <w:rPr>
          <w:rFonts w:ascii="Times New Roman" w:cs="Times New Roman" w:eastAsia="Times New Roman" w:hAnsi="Times New Roman"/>
          <w:sz w:val="18"/>
          <w:szCs w:val="18"/>
          <w:b w:val="1"/>
          <w:bCs w:val="1"/>
          <w:i w:val="1"/>
          <w:iCs w:val="1"/>
          <w:u w:val="single" w:color="auto"/>
          <w:color w:val="0000FF"/>
        </w:rPr>
        <w:t>CAIM</w:t>
      </w:r>
      <w:r>
        <w:rPr>
          <w:rFonts w:ascii="Times New Roman" w:cs="Times New Roman" w:eastAsia="Times New Roman" w:hAnsi="Times New Roman"/>
          <w:sz w:val="18"/>
          <w:szCs w:val="18"/>
          <w:u w:val="single" w:color="auto"/>
          <w:color w:val="0000FF"/>
        </w:rPr>
        <w:t>”), a relying adviser of CAA, on behalf of itself and its successors;</w:t>
      </w:r>
    </w:p>
    <w:p>
      <w:pPr>
        <w:spacing w:after="0" w:line="225" w:lineRule="exact"/>
        <w:rPr>
          <w:rFonts w:ascii="Times New Roman" w:cs="Times New Roman" w:eastAsia="Times New Roman" w:hAnsi="Times New Roman"/>
          <w:sz w:val="18"/>
          <w:szCs w:val="18"/>
          <w:u w:val="single" w:color="auto"/>
          <w:color w:val="0000FF"/>
        </w:rPr>
      </w:pPr>
    </w:p>
    <w:p>
      <w:pPr>
        <w:jc w:val="both"/>
        <w:ind w:left="660" w:hanging="328"/>
        <w:spacing w:after="0" w:line="268" w:lineRule="auto"/>
        <w:tabs>
          <w:tab w:leader="none" w:pos="660" w:val="left"/>
        </w:tabs>
        <w:numPr>
          <w:ilvl w:val="0"/>
          <w:numId w:val="3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Chicago Atlantic REIT Manager, LLC (“</w:t>
      </w:r>
      <w:r>
        <w:rPr>
          <w:rFonts w:ascii="Times New Roman" w:cs="Times New Roman" w:eastAsia="Times New Roman" w:hAnsi="Times New Roman"/>
          <w:sz w:val="18"/>
          <w:szCs w:val="18"/>
          <w:b w:val="1"/>
          <w:bCs w:val="1"/>
          <w:i w:val="1"/>
          <w:iCs w:val="1"/>
          <w:u w:val="single" w:color="auto"/>
          <w:color w:val="0000FF"/>
        </w:rPr>
        <w:t>CARM</w:t>
      </w:r>
      <w:r>
        <w:rPr>
          <w:rFonts w:ascii="Times New Roman" w:cs="Times New Roman" w:eastAsia="Times New Roman" w:hAnsi="Times New Roman"/>
          <w:sz w:val="18"/>
          <w:szCs w:val="18"/>
          <w:u w:val="single" w:color="auto"/>
          <w:color w:val="0000FF"/>
        </w:rPr>
        <w:t>,” and, together with BDC Adviser, CAA, CAEA, CO3 Advisers, and CAIM, the “</w:t>
      </w:r>
      <w:r>
        <w:rPr>
          <w:rFonts w:ascii="Times New Roman" w:cs="Times New Roman" w:eastAsia="Times New Roman" w:hAnsi="Times New Roman"/>
          <w:sz w:val="18"/>
          <w:szCs w:val="18"/>
          <w:b w:val="1"/>
          <w:bCs w:val="1"/>
          <w:i w:val="1"/>
          <w:iCs w:val="1"/>
          <w:u w:val="single" w:color="auto"/>
          <w:color w:val="0000FF"/>
        </w:rPr>
        <w:t>Existing</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b w:val="1"/>
          <w:bCs w:val="1"/>
          <w:i w:val="1"/>
          <w:iCs w:val="1"/>
          <w:u w:val="single" w:color="auto"/>
          <w:color w:val="0000FF"/>
        </w:rPr>
        <w:t>Advisers</w:t>
      </w:r>
      <w:r>
        <w:rPr>
          <w:rFonts w:ascii="Times New Roman" w:cs="Times New Roman" w:eastAsia="Times New Roman" w:hAnsi="Times New Roman"/>
          <w:sz w:val="18"/>
          <w:szCs w:val="18"/>
          <w:u w:val="single" w:color="auto"/>
          <w:color w:val="0000FF"/>
        </w:rPr>
        <w:t>”), which does not provide advice with regard to securities, and is therefore not registered under the Advisers Act, on behalf of itself and</w:t>
      </w:r>
      <w:r>
        <w:rPr>
          <w:rFonts w:ascii="Times New Roman" w:cs="Times New Roman" w:eastAsia="Times New Roman" w:hAnsi="Times New Roman"/>
          <w:sz w:val="18"/>
          <w:szCs w:val="18"/>
          <w:b w:val="1"/>
          <w:bCs w:val="1"/>
          <w:i w:val="1"/>
          <w:iCs w:val="1"/>
          <w:u w:val="single" w:color="auto"/>
          <w:color w:val="0000FF"/>
        </w:rPr>
        <w:t xml:space="preserve"> </w:t>
      </w:r>
      <w:r>
        <w:rPr>
          <w:rFonts w:ascii="Times New Roman" w:cs="Times New Roman" w:eastAsia="Times New Roman" w:hAnsi="Times New Roman"/>
          <w:sz w:val="18"/>
          <w:szCs w:val="18"/>
          <w:u w:val="single" w:color="auto"/>
          <w:color w:val="0000FF"/>
        </w:rPr>
        <w:t>its successors;</w:t>
      </w:r>
    </w:p>
    <w:p>
      <w:pPr>
        <w:spacing w:after="0" w:line="174" w:lineRule="exact"/>
        <w:rPr>
          <w:rFonts w:ascii="Times New Roman" w:cs="Times New Roman" w:eastAsia="Times New Roman" w:hAnsi="Times New Roman"/>
          <w:sz w:val="18"/>
          <w:szCs w:val="18"/>
          <w:u w:val="single" w:color="auto"/>
          <w:color w:val="0000FF"/>
        </w:rPr>
      </w:pPr>
    </w:p>
    <w:p>
      <w:pPr>
        <w:jc w:val="both"/>
        <w:ind w:left="660" w:right="20" w:hanging="328"/>
        <w:spacing w:after="0" w:line="266" w:lineRule="auto"/>
        <w:tabs>
          <w:tab w:leader="none" w:pos="660" w:val="left"/>
        </w:tabs>
        <w:numPr>
          <w:ilvl w:val="0"/>
          <w:numId w:val="3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Chicago Atlantic Credit Company, LLC, CA CO SPV, LLC, and CA Credit SPV, LLC, each of which is an entity wholly owned by affiliates of CAA that, from time to time, will hold various financial assets in a principal capacity and that currently intend to participate in Co-Investment Transactions (together, in such capacity</w:t>
      </w:r>
      <w:r>
        <w:rPr>
          <w:rFonts w:ascii="Times New Roman" w:cs="Times New Roman" w:eastAsia="Times New Roman" w:hAnsi="Times New Roman"/>
          <w:sz w:val="18"/>
          <w:szCs w:val="18"/>
          <w:u w:val="single" w:color="auto"/>
          <w:color w:val="008000"/>
        </w:rPr>
        <w:t>, the “</w:t>
      </w:r>
      <w:r>
        <w:rPr>
          <w:rFonts w:ascii="Times New Roman" w:cs="Times New Roman" w:eastAsia="Times New Roman" w:hAnsi="Times New Roman"/>
          <w:sz w:val="18"/>
          <w:szCs w:val="18"/>
          <w:b w:val="1"/>
          <w:bCs w:val="1"/>
          <w:i w:val="1"/>
          <w:iCs w:val="1"/>
          <w:u w:val="single" w:color="auto"/>
          <w:color w:val="008000"/>
        </w:rPr>
        <w:t>Existing Proprietary Accounts</w:t>
      </w:r>
      <w:r>
        <w:rPr>
          <w:rFonts w:ascii="Times New Roman" w:cs="Times New Roman" w:eastAsia="Times New Roman" w:hAnsi="Times New Roman"/>
          <w:sz w:val="18"/>
          <w:szCs w:val="18"/>
          <w:u w:val="single" w:color="auto"/>
          <w:color w:val="008000"/>
        </w:rPr>
        <w:t>”); and</w:t>
      </w:r>
    </w:p>
    <w:p>
      <w:pPr>
        <w:spacing w:after="0" w:line="175" w:lineRule="exact"/>
        <w:rPr>
          <w:rFonts w:ascii="Times New Roman" w:cs="Times New Roman" w:eastAsia="Times New Roman" w:hAnsi="Times New Roman"/>
          <w:sz w:val="18"/>
          <w:szCs w:val="18"/>
          <w:u w:val="single" w:color="auto"/>
          <w:color w:val="0000FF"/>
        </w:rPr>
      </w:pPr>
    </w:p>
    <w:p>
      <w:pPr>
        <w:jc w:val="both"/>
        <w:ind w:left="660" w:hanging="328"/>
        <w:spacing w:after="0" w:line="269" w:lineRule="auto"/>
        <w:tabs>
          <w:tab w:leader="none" w:pos="660" w:val="left"/>
        </w:tabs>
        <w:numPr>
          <w:ilvl w:val="0"/>
          <w:numId w:val="3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 Certain existing Affiliated Funds (as</w:t>
      </w:r>
      <w:r>
        <w:rPr>
          <w:rFonts w:ascii="Times New Roman" w:cs="Times New Roman" w:eastAsia="Times New Roman" w:hAnsi="Times New Roman"/>
          <w:sz w:val="18"/>
          <w:szCs w:val="18"/>
          <w:u w:val="single" w:color="auto"/>
          <w:color w:val="0000FF"/>
        </w:rPr>
        <w:t>The investment vehicles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identified 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Schedule A hereto</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each of which is a separate and distinct legal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entity and each of which would be an investment company but for Section 3(c)(</w:t>
      </w:r>
      <w:r>
        <w:rPr>
          <w:rFonts w:ascii="Times New Roman" w:cs="Times New Roman" w:eastAsia="Times New Roman" w:hAnsi="Times New Roman"/>
          <w:sz w:val="18"/>
          <w:szCs w:val="18"/>
          <w:u w:val="single" w:color="auto"/>
          <w:color w:val="0000FF"/>
        </w:rPr>
        <w:t>5) or 3(c)(</w:t>
      </w:r>
      <w:r>
        <w:rPr>
          <w:rFonts w:ascii="Times New Roman" w:cs="Times New Roman" w:eastAsia="Times New Roman" w:hAnsi="Times New Roman"/>
          <w:sz w:val="18"/>
          <w:szCs w:val="18"/>
          <w:color w:val="000000"/>
        </w:rPr>
        <w:t>7) of the 1940 Act (the “</w:t>
      </w:r>
      <w:r>
        <w:rPr>
          <w:rFonts w:ascii="Times New Roman" w:cs="Times New Roman" w:eastAsia="Times New Roman" w:hAnsi="Times New Roman"/>
          <w:sz w:val="18"/>
          <w:szCs w:val="18"/>
          <w:b w:val="1"/>
          <w:bCs w:val="1"/>
          <w:i w:val="1"/>
          <w:iCs w:val="1"/>
          <w:color w:val="000000"/>
        </w:rPr>
        <w:t>Existing Affiliated Funds</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color w:val="FF0000"/>
          <w:strike w:val="1"/>
        </w:rPr>
        <w:t>collectively</w:t>
      </w:r>
      <w:r>
        <w:rPr>
          <w:rFonts w:ascii="Times New Roman" w:cs="Times New Roman" w:eastAsia="Times New Roman" w:hAnsi="Times New Roman"/>
          <w:sz w:val="18"/>
          <w:szCs w:val="18"/>
          <w:u w:val="single" w:color="auto"/>
          <w:color w:val="0000FF"/>
        </w:rPr>
        <w:t>, together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with the Existing Regulated Fund, the Existing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Adviser</w:t>
      </w:r>
      <w:r>
        <w:rPr>
          <w:rFonts w:ascii="Times New Roman" w:cs="Times New Roman" w:eastAsia="Times New Roman" w:hAnsi="Times New Roman"/>
          <w:sz w:val="18"/>
          <w:szCs w:val="18"/>
          <w:u w:val="single" w:color="auto"/>
          <w:color w:val="0000FF"/>
        </w:rPr>
        <w:t>Advisers</w:t>
      </w:r>
      <w:r>
        <w:rPr>
          <w:rFonts w:ascii="Times New Roman" w:cs="Times New Roman" w:eastAsia="Times New Roman" w:hAnsi="Times New Roman"/>
          <w:sz w:val="18"/>
          <w:szCs w:val="18"/>
          <w:color w:val="000000"/>
        </w:rPr>
        <w:t>, and the Existing Proprietary Accounts,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Applicants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29"/>
          <w:szCs w:val="29"/>
          <w:color w:val="FF0000"/>
          <w:strike w:val="1"/>
          <w:vertAlign w:val="superscript"/>
        </w:rPr>
        <w:t>3</w:t>
      </w:r>
      <w:r>
        <w:rPr>
          <w:rFonts w:ascii="Times New Roman" w:cs="Times New Roman" w:eastAsia="Times New Roman" w:hAnsi="Times New Roman"/>
          <w:sz w:val="29"/>
          <w:szCs w:val="29"/>
          <w:u w:val="single" w:color="auto"/>
          <w:color w:val="0000FF"/>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17830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69" w:lineRule="exact"/>
        <w:rPr>
          <w:sz w:val="20"/>
          <w:szCs w:val="20"/>
          <w:color w:val="auto"/>
        </w:rPr>
      </w:pPr>
    </w:p>
    <w:p>
      <w:pPr>
        <w:ind w:left="660" w:hanging="652"/>
        <w:spacing w:after="0" w:line="196" w:lineRule="auto"/>
        <w:tabs>
          <w:tab w:leader="none" w:pos="660" w:val="left"/>
        </w:tabs>
        <w:numPr>
          <w:ilvl w:val="0"/>
          <w:numId w:val="32"/>
        </w:numPr>
        <w:rPr>
          <w:rFonts w:ascii="Times New Roman" w:cs="Times New Roman" w:eastAsia="Times New Roman" w:hAnsi="Times New Roman"/>
          <w:sz w:val="30"/>
          <w:szCs w:val="30"/>
          <w:u w:val="single" w:color="auto"/>
          <w:color w:val="0000FF"/>
          <w:vertAlign w:val="superscript"/>
        </w:rPr>
      </w:pPr>
      <w:r>
        <w:rPr>
          <w:rFonts w:ascii="Times New Roman" w:cs="Times New Roman" w:eastAsia="Times New Roman" w:hAnsi="Times New Roman"/>
          <w:sz w:val="18"/>
          <w:szCs w:val="18"/>
          <w:i w:val="1"/>
          <w:iCs w:val="1"/>
          <w:u w:val="single" w:color="auto"/>
          <w:color w:val="0000FF"/>
        </w:rPr>
        <w:t xml:space="preserve">See </w:t>
      </w:r>
      <w:r>
        <w:rPr>
          <w:rFonts w:ascii="Times New Roman" w:cs="Times New Roman" w:eastAsia="Times New Roman" w:hAnsi="Times New Roman"/>
          <w:sz w:val="18"/>
          <w:szCs w:val="18"/>
          <w:u w:val="single" w:color="auto"/>
          <w:color w:val="0000FF"/>
        </w:rPr>
        <w:t>Silver Spike Investment Corp., et al. (File No. 812-15339) Investment Company Act Rel. Nos. 34771 (December 12, 2022) (notice) and 34798</w:t>
      </w:r>
      <w:r>
        <w:rPr>
          <w:rFonts w:ascii="Times New Roman" w:cs="Times New Roman" w:eastAsia="Times New Roman" w:hAnsi="Times New Roman"/>
          <w:sz w:val="18"/>
          <w:szCs w:val="18"/>
          <w:i w:val="1"/>
          <w:iCs w:val="1"/>
          <w:u w:val="single" w:color="auto"/>
          <w:color w:val="0000FF"/>
        </w:rPr>
        <w:t xml:space="preserve"> </w:t>
      </w:r>
      <w:r>
        <w:rPr>
          <w:rFonts w:ascii="Times New Roman" w:cs="Times New Roman" w:eastAsia="Times New Roman" w:hAnsi="Times New Roman"/>
          <w:sz w:val="18"/>
          <w:szCs w:val="18"/>
          <w:u w:val="single" w:color="auto"/>
          <w:color w:val="0000FF"/>
        </w:rPr>
        <w:t>(January 9, 2023) (order).</w:t>
      </w:r>
    </w:p>
    <w:p>
      <w:pPr>
        <w:spacing w:after="0" w:line="88" w:lineRule="exact"/>
        <w:rPr>
          <w:rFonts w:ascii="Times New Roman" w:cs="Times New Roman" w:eastAsia="Times New Roman" w:hAnsi="Times New Roman"/>
          <w:sz w:val="30"/>
          <w:szCs w:val="30"/>
          <w:u w:val="single" w:color="auto"/>
          <w:color w:val="0000FF"/>
          <w:vertAlign w:val="superscript"/>
        </w:rPr>
      </w:pPr>
    </w:p>
    <w:p>
      <w:pPr>
        <w:ind w:left="660" w:hanging="652"/>
        <w:spacing w:after="0"/>
        <w:tabs>
          <w:tab w:leader="none" w:pos="660" w:val="left"/>
        </w:tabs>
        <w:numPr>
          <w:ilvl w:val="0"/>
          <w:numId w:val="32"/>
        </w:numPr>
        <w:rPr>
          <w:rFonts w:ascii="Times New Roman" w:cs="Times New Roman" w:eastAsia="Times New Roman" w:hAnsi="Times New Roman"/>
          <w:sz w:val="30"/>
          <w:szCs w:val="30"/>
          <w:color w:val="FF0000"/>
          <w:strike w:val="1"/>
          <w:vertAlign w:val="superscript"/>
        </w:rPr>
      </w:pPr>
      <w:r>
        <w:rPr>
          <w:rFonts w:ascii="Times New Roman" w:cs="Times New Roman" w:eastAsia="Times New Roman" w:hAnsi="Times New Roman"/>
          <w:sz w:val="18"/>
          <w:szCs w:val="18"/>
          <w:color w:val="008000"/>
          <w:strike w:val="1"/>
        </w:rPr>
        <w:t>The term “successor” means an entity that results from a reorganization into another jurisdiction or change in the type of business organization.</w:t>
      </w:r>
    </w:p>
    <w:p>
      <w:pPr>
        <w:ind w:left="660" w:hanging="652"/>
        <w:spacing w:after="0" w:line="180" w:lineRule="auto"/>
        <w:tabs>
          <w:tab w:leader="none" w:pos="660" w:val="left"/>
        </w:tabs>
        <w:numPr>
          <w:ilvl w:val="0"/>
          <w:numId w:val="33"/>
        </w:numPr>
        <w:rPr>
          <w:rFonts w:ascii="Times New Roman" w:cs="Times New Roman" w:eastAsia="Times New Roman" w:hAnsi="Times New Roman"/>
          <w:sz w:val="25"/>
          <w:szCs w:val="25"/>
          <w:u w:val="single" w:color="auto"/>
          <w:color w:val="0000FF"/>
          <w:vertAlign w:val="superscript"/>
        </w:rPr>
      </w:pPr>
      <w:r>
        <w:rPr>
          <w:rFonts w:ascii="Times New Roman" w:cs="Times New Roman" w:eastAsia="Times New Roman" w:hAnsi="Times New Roman"/>
          <w:sz w:val="15"/>
          <w:szCs w:val="15"/>
          <w:u w:val="single" w:color="auto"/>
          <w:color w:val="008000"/>
        </w:rPr>
        <w:t>The term “successor” means an entity that results from a reorganization into another jurisdiction or change in the type of business organization.</w:t>
      </w:r>
    </w:p>
    <w:p>
      <w:pPr>
        <w:spacing w:after="0" w:line="198"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5"/>
          <w:szCs w:val="15"/>
          <w:color w:val="FF0000"/>
          <w:strike w:val="1"/>
        </w:rPr>
        <w:t>3</w:t>
      </w:r>
      <w:r>
        <w:rPr>
          <w:rFonts w:ascii="Times New Roman" w:cs="Times New Roman" w:eastAsia="Times New Roman" w:hAnsi="Times New Roman"/>
          <w:sz w:val="17"/>
          <w:szCs w:val="17"/>
          <w:u w:val="single" w:color="auto"/>
          <w:color w:val="0000FF"/>
        </w:rPr>
        <w:t>4</w:t>
      </w:r>
      <w:r>
        <w:rPr>
          <w:sz w:val="20"/>
          <w:szCs w:val="20"/>
          <w:color w:val="auto"/>
        </w:rPr>
        <w:tab/>
      </w:r>
      <w:r>
        <w:rPr>
          <w:rFonts w:ascii="Times New Roman" w:cs="Times New Roman" w:eastAsia="Times New Roman" w:hAnsi="Times New Roman"/>
          <w:sz w:val="18"/>
          <w:szCs w:val="18"/>
          <w:color w:val="auto"/>
        </w:rPr>
        <w:t>All existing entities that currently intend to rely upon the requested Order have been named as Applicants. Any other existing or future entity that subsequently relies on the Order will comply with the terms and conditions of the Application.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324"/>
        <w:spacing w:after="0" w:line="209" w:lineRule="auto"/>
        <w:rPr>
          <w:sz w:val="20"/>
          <w:szCs w:val="20"/>
          <w:color w:val="auto"/>
        </w:rPr>
      </w:pPr>
      <w:r>
        <w:rPr>
          <w:rFonts w:ascii="Times New Roman" w:cs="Times New Roman" w:eastAsia="Times New Roman" w:hAnsi="Times New Roman"/>
          <w:sz w:val="18"/>
          <w:szCs w:val="18"/>
          <w:color w:val="auto"/>
        </w:rPr>
        <w:t>The relief requested in this application for the Order (the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would allow a Regulated Fund</w:t>
      </w:r>
      <w:r>
        <w:rPr>
          <w:rFonts w:ascii="Times New Roman" w:cs="Times New Roman" w:eastAsia="Times New Roman" w:hAnsi="Times New Roman"/>
          <w:sz w:val="29"/>
          <w:szCs w:val="29"/>
          <w:color w:val="FF0000"/>
          <w:strike w:val="1"/>
          <w:vertAlign w:val="superscript"/>
        </w:rPr>
        <w:t>4</w:t>
      </w:r>
      <w:r>
        <w:rPr>
          <w:rFonts w:ascii="Times New Roman" w:cs="Times New Roman" w:eastAsia="Times New Roman" w:hAnsi="Times New Roman"/>
          <w:sz w:val="29"/>
          <w:szCs w:val="29"/>
          <w:u w:val="single" w:color="auto"/>
          <w:color w:val="0000FF"/>
          <w:vertAlign w:val="superscript"/>
        </w:rPr>
        <w:t>5</w:t>
      </w:r>
      <w:r>
        <w:rPr>
          <w:rFonts w:ascii="Times New Roman" w:cs="Times New Roman" w:eastAsia="Times New Roman" w:hAnsi="Times New Roman"/>
          <w:sz w:val="18"/>
          <w:szCs w:val="18"/>
          <w:color w:val="auto"/>
        </w:rPr>
        <w:t xml:space="preserve"> and one or more Affiliated Entities</w:t>
      </w:r>
      <w:r>
        <w:rPr>
          <w:rFonts w:ascii="Times New Roman" w:cs="Times New Roman" w:eastAsia="Times New Roman" w:hAnsi="Times New Roman"/>
          <w:sz w:val="29"/>
          <w:szCs w:val="29"/>
          <w:color w:val="FF0000"/>
          <w:strike w:val="1"/>
          <w:vertAlign w:val="superscript"/>
        </w:rPr>
        <w:t>5</w:t>
      </w:r>
      <w:r>
        <w:rPr>
          <w:rFonts w:ascii="Times New Roman" w:cs="Times New Roman" w:eastAsia="Times New Roman" w:hAnsi="Times New Roman"/>
          <w:sz w:val="29"/>
          <w:szCs w:val="29"/>
          <w:u w:val="single" w:color="auto"/>
          <w:color w:val="0000FF"/>
          <w:vertAlign w:val="superscript"/>
        </w:rPr>
        <w:t>6</w:t>
      </w:r>
      <w:r>
        <w:rPr>
          <w:rFonts w:ascii="Times New Roman" w:cs="Times New Roman" w:eastAsia="Times New Roman" w:hAnsi="Times New Roman"/>
          <w:sz w:val="18"/>
          <w:szCs w:val="18"/>
          <w:color w:val="auto"/>
        </w:rPr>
        <w:t xml:space="preserve"> to engage in Co-Investment Transactions</w:t>
      </w:r>
      <w:r>
        <w:rPr>
          <w:rFonts w:ascii="Times New Roman" w:cs="Times New Roman" w:eastAsia="Times New Roman" w:hAnsi="Times New Roman"/>
          <w:sz w:val="29"/>
          <w:szCs w:val="29"/>
          <w:color w:val="FF0000"/>
          <w:strike w:val="1"/>
          <w:vertAlign w:val="superscript"/>
        </w:rPr>
        <w:t>6</w:t>
      </w:r>
      <w:r>
        <w:rPr>
          <w:rFonts w:ascii="Times New Roman" w:cs="Times New Roman" w:eastAsia="Times New Roman" w:hAnsi="Times New Roman"/>
          <w:sz w:val="29"/>
          <w:szCs w:val="29"/>
          <w:u w:val="single" w:color="auto"/>
          <w:color w:val="0000FF"/>
          <w:vertAlign w:val="superscript"/>
        </w:rPr>
        <w:t>7</w:t>
      </w:r>
      <w:r>
        <w:rPr>
          <w:rFonts w:ascii="Times New Roman" w:cs="Times New Roman" w:eastAsia="Times New Roman" w:hAnsi="Times New Roman"/>
          <w:sz w:val="18"/>
          <w:szCs w:val="18"/>
          <w:color w:val="auto"/>
        </w:rPr>
        <w:t xml:space="preserve"> subject to the terms and conditions described herein. The Regulated Funds and Affiliated Entities that participate in a Co-Investment Transaction are collectively referred to herein as “</w:t>
      </w:r>
      <w:r>
        <w:rPr>
          <w:rFonts w:ascii="Times New Roman" w:cs="Times New Roman" w:eastAsia="Times New Roman" w:hAnsi="Times New Roman"/>
          <w:sz w:val="18"/>
          <w:szCs w:val="18"/>
          <w:b w:val="1"/>
          <w:bCs w:val="1"/>
          <w:i w:val="1"/>
          <w:iCs w:val="1"/>
          <w:color w:val="auto"/>
        </w:rPr>
        <w:t>Participants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FF0000"/>
          <w:strike w:val="1"/>
          <w:vertAlign w:val="superscript"/>
        </w:rPr>
        <w:t>7</w:t>
      </w:r>
      <w:r>
        <w:rPr>
          <w:rFonts w:ascii="Times New Roman" w:cs="Times New Roman" w:eastAsia="Times New Roman" w:hAnsi="Times New Roman"/>
          <w:sz w:val="29"/>
          <w:szCs w:val="29"/>
          <w:u w:val="single" w:color="auto"/>
          <w:color w:val="0000FF"/>
          <w:vertAlign w:val="superscript"/>
        </w:rPr>
        <w:t>8</w:t>
      </w:r>
      <w:r>
        <w:rPr>
          <w:rFonts w:ascii="Times New Roman" w:cs="Times New Roman" w:eastAsia="Times New Roman" w:hAnsi="Times New Roman"/>
          <w:sz w:val="18"/>
          <w:szCs w:val="18"/>
          <w:color w:val="auto"/>
        </w:rPr>
        <w:t xml:space="preserve"> The Applicants do not seek relief for transactions effected consistent with Commission staff no-action positions.</w:t>
      </w:r>
      <w:r>
        <w:rPr>
          <w:rFonts w:ascii="Times New Roman" w:cs="Times New Roman" w:eastAsia="Times New Roman" w:hAnsi="Times New Roman"/>
          <w:sz w:val="29"/>
          <w:szCs w:val="29"/>
          <w:color w:val="FF0000"/>
          <w:strike w:val="1"/>
          <w:vertAlign w:val="superscript"/>
        </w:rPr>
        <w:t>8</w:t>
      </w:r>
      <w:r>
        <w:rPr>
          <w:rFonts w:ascii="Times New Roman" w:cs="Times New Roman" w:eastAsia="Times New Roman" w:hAnsi="Times New Roman"/>
          <w:sz w:val="29"/>
          <w:szCs w:val="29"/>
          <w:u w:val="single" w:color="auto"/>
          <w:color w:val="0000FF"/>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78308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3"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5"/>
          <w:szCs w:val="15"/>
          <w:color w:val="FF0000"/>
          <w:strike w:val="1"/>
        </w:rPr>
        <w:t>4</w:t>
      </w:r>
      <w:r>
        <w:rPr>
          <w:rFonts w:ascii="Times New Roman" w:cs="Times New Roman" w:eastAsia="Times New Roman" w:hAnsi="Times New Roman"/>
          <w:sz w:val="17"/>
          <w:szCs w:val="17"/>
          <w:u w:val="single" w:color="auto"/>
          <w:color w:val="0000FF"/>
        </w:rPr>
        <w:t>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Regulated Fund</w:t>
      </w:r>
      <w:r>
        <w:rPr>
          <w:rFonts w:ascii="Times New Roman" w:cs="Times New Roman" w:eastAsia="Times New Roman" w:hAnsi="Times New Roman"/>
          <w:sz w:val="18"/>
          <w:szCs w:val="18"/>
          <w:color w:val="auto"/>
        </w:rPr>
        <w:t>” means the Existing Regulated Fund and any Future Regulated Funds. “</w:t>
      </w:r>
      <w:r>
        <w:rPr>
          <w:rFonts w:ascii="Times New Roman" w:cs="Times New Roman" w:eastAsia="Times New Roman" w:hAnsi="Times New Roman"/>
          <w:sz w:val="18"/>
          <w:szCs w:val="18"/>
          <w:b w:val="1"/>
          <w:bCs w:val="1"/>
          <w:i w:val="1"/>
          <w:iCs w:val="1"/>
          <w:color w:val="auto"/>
        </w:rPr>
        <w:t>Future Regulated Fund</w:t>
      </w:r>
      <w:r>
        <w:rPr>
          <w:rFonts w:ascii="Times New Roman" w:cs="Times New Roman" w:eastAsia="Times New Roman" w:hAnsi="Times New Roman"/>
          <w:sz w:val="18"/>
          <w:szCs w:val="18"/>
          <w:color w:val="auto"/>
        </w:rPr>
        <w:t>” means an entity (a) that is a closed-end management investment company registered under the 1940 Act, or a closed-end management investment company that has elected to 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p>
      <w:pPr>
        <w:spacing w:after="0" w:line="183"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 w:cs="Times New Roman" w:eastAsia="Times New Roman" w:hAnsi="Times New Roman"/>
          <w:sz w:val="18"/>
          <w:szCs w:val="18"/>
          <w:b w:val="1"/>
          <w:bCs w:val="1"/>
          <w:i w:val="1"/>
          <w:iCs w:val="1"/>
          <w:color w:val="auto"/>
        </w:rPr>
        <w:t>Wholly-Owned Investment Sub</w:t>
      </w:r>
      <w:r>
        <w:rPr>
          <w:rFonts w:ascii="Times New Roman" w:cs="Times New Roman" w:eastAsia="Times New Roman" w:hAnsi="Times New Roman"/>
          <w:sz w:val="18"/>
          <w:szCs w:val="18"/>
          <w:color w:val="auto"/>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 w:cs="Times New Roman" w:eastAsia="Times New Roman" w:hAnsi="Times New Roman"/>
          <w:sz w:val="18"/>
          <w:szCs w:val="18"/>
          <w:b w:val="1"/>
          <w:bCs w:val="1"/>
          <w:i w:val="1"/>
          <w:iCs w:val="1"/>
          <w:color w:val="auto"/>
        </w:rPr>
        <w:t>Joint Venture</w:t>
      </w:r>
      <w:r>
        <w:rPr>
          <w:rFonts w:ascii="Times New Roman" w:cs="Times New Roman" w:eastAsia="Times New Roman" w:hAnsi="Times New Roman"/>
          <w:sz w:val="18"/>
          <w:szCs w:val="18"/>
          <w:color w:val="auto"/>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 w:cs="Times New Roman" w:eastAsia="Times New Roman" w:hAnsi="Times New Roman"/>
          <w:sz w:val="18"/>
          <w:szCs w:val="18"/>
          <w:b w:val="1"/>
          <w:bCs w:val="1"/>
          <w:i w:val="1"/>
          <w:iCs w:val="1"/>
          <w:color w:val="auto"/>
        </w:rPr>
        <w:t>BDC Downstream Fund</w:t>
      </w:r>
      <w:r>
        <w:rPr>
          <w:rFonts w:ascii="Times New Roman" w:cs="Times New Roman" w:eastAsia="Times New Roman" w:hAnsi="Times New Roman"/>
          <w:sz w:val="18"/>
          <w:szCs w:val="18"/>
          <w:color w:val="auto"/>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w:t>
      </w:r>
    </w:p>
    <w:p>
      <w:pPr>
        <w:spacing w:after="0" w:line="19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p>
      <w:pPr>
        <w:spacing w:after="0" w:line="17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5"/>
          <w:szCs w:val="15"/>
          <w:color w:val="FF0000"/>
          <w:strike w:val="1"/>
        </w:rPr>
        <w:t>5</w:t>
      </w:r>
      <w:r>
        <w:rPr>
          <w:rFonts w:ascii="Times New Roman" w:cs="Times New Roman" w:eastAsia="Times New Roman" w:hAnsi="Times New Roman"/>
          <w:sz w:val="17"/>
          <w:szCs w:val="17"/>
          <w:u w:val="single" w:color="auto"/>
          <w:color w:val="0000FF"/>
        </w:rPr>
        <w:t>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Affiliated Entity</w:t>
      </w:r>
      <w:r>
        <w:rPr>
          <w:rFonts w:ascii="Times New Roman" w:cs="Times New Roman" w:eastAsia="Times New Roman" w:hAnsi="Times New Roman"/>
          <w:sz w:val="18"/>
          <w:szCs w:val="18"/>
          <w:color w:val="auto"/>
        </w:rPr>
        <w:t>” means an entity not controlled by a Regulated Fund that intends to engage in Co-Investment Transactions and that is (a) with respect to a Regulated Fund, another Regulated Fund; (b) an Adviser or its affiliates (other than an open-end investment company registered under the 1940 Act), and any direct or indirect, wholly- or majority-owned subsidiary of an Adviser or its affiliates (other than of an open-end investment company registered under the 1940 Act), that is participating in a Co-Investment Transaction in a principal capacity; or (c) any entity that would be an investment company but for Section 3(c) of the 1940 Act or Rule 3a-7 thereunder and whose investment adviser is an Adviser.</w:t>
      </w:r>
    </w:p>
    <w:p>
      <w:pPr>
        <w:spacing w:after="0" w:line="18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To the extent that an entity described in clause (b) is not advised by an Adviser, such entity shall be deemed to be an Adviser for purposes of the conditions.</w:t>
      </w:r>
    </w:p>
    <w:p>
      <w:pPr>
        <w:spacing w:after="0" w:line="158"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5"/>
          <w:szCs w:val="15"/>
          <w:color w:val="FF0000"/>
          <w:strike w:val="1"/>
        </w:rPr>
        <w:t>6</w:t>
      </w:r>
      <w:r>
        <w:rPr>
          <w:rFonts w:ascii="Times New Roman" w:cs="Times New Roman" w:eastAsia="Times New Roman" w:hAnsi="Times New Roman"/>
          <w:sz w:val="17"/>
          <w:szCs w:val="17"/>
          <w:u w:val="single" w:color="auto"/>
          <w:color w:val="0000FF"/>
        </w:rPr>
        <w:t>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Co-Investment Transaction</w:t>
      </w:r>
      <w:r>
        <w:rPr>
          <w:rFonts w:ascii="Times New Roman" w:cs="Times New Roman" w:eastAsia="Times New Roman" w:hAnsi="Times New Roman"/>
          <w:sz w:val="18"/>
          <w:szCs w:val="18"/>
          <w:color w:val="auto"/>
        </w:rPr>
        <w:t>” means the acquisition or Disposition of securities of an issuer in a transaction effected in reliance on the Order or previously granted relief.</w:t>
      </w:r>
    </w:p>
    <w:p>
      <w:pPr>
        <w:spacing w:after="0" w:line="155"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5"/>
          <w:szCs w:val="15"/>
          <w:color w:val="FF0000"/>
          <w:strike w:val="1"/>
        </w:rPr>
        <w:t>7</w:t>
      </w:r>
      <w:r>
        <w:rPr>
          <w:rFonts w:ascii="Times New Roman" w:cs="Times New Roman" w:eastAsia="Times New Roman" w:hAnsi="Times New Roman"/>
          <w:sz w:val="17"/>
          <w:szCs w:val="17"/>
          <w:u w:val="single" w:color="auto"/>
          <w:color w:val="0000FF"/>
        </w:rPr>
        <w:t>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color w:val="auto"/>
        </w:rPr>
        <w:t xml:space="preserve">” means the Existing </w:t>
      </w:r>
      <w:r>
        <w:rPr>
          <w:rFonts w:ascii="Times New Roman" w:cs="Times New Roman" w:eastAsia="Times New Roman" w:hAnsi="Times New Roman"/>
          <w:sz w:val="18"/>
          <w:szCs w:val="18"/>
          <w:color w:val="FF0000"/>
          <w:strike w:val="1"/>
        </w:rPr>
        <w:t>Adviser,</w:t>
      </w:r>
      <w:r>
        <w:rPr>
          <w:rFonts w:ascii="Times New Roman" w:cs="Times New Roman" w:eastAsia="Times New Roman" w:hAnsi="Times New Roman"/>
          <w:sz w:val="18"/>
          <w:szCs w:val="18"/>
          <w:u w:val="single" w:color="auto"/>
          <w:color w:val="0000FF"/>
        </w:rPr>
        <w:t>Advisers</w:t>
      </w:r>
      <w:r>
        <w:rPr>
          <w:rFonts w:ascii="Times New Roman" w:cs="Times New Roman" w:eastAsia="Times New Roman" w:hAnsi="Times New Roman"/>
          <w:sz w:val="18"/>
          <w:szCs w:val="18"/>
          <w:color w:val="auto"/>
        </w:rPr>
        <w:t xml:space="preserve"> and any other investment adviser controlling, controlled by, or under common control with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an</w:t>
      </w:r>
      <w:r>
        <w:rPr>
          <w:rFonts w:ascii="Times New Roman" w:cs="Times New Roman" w:eastAsia="Times New Roman" w:hAnsi="Times New Roman"/>
          <w:sz w:val="18"/>
          <w:szCs w:val="18"/>
          <w:color w:val="auto"/>
        </w:rPr>
        <w:t xml:space="preserve"> Existing Adviser. The term “Adviser” also includes any internally-managed Regulated Fund.</w:t>
      </w:r>
    </w:p>
    <w:p>
      <w:pPr>
        <w:spacing w:after="0" w:line="157" w:lineRule="exact"/>
        <w:rPr>
          <w:sz w:val="20"/>
          <w:szCs w:val="20"/>
          <w:color w:val="auto"/>
        </w:rPr>
      </w:pPr>
    </w:p>
    <w:p>
      <w:pPr>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15"/>
          <w:szCs w:val="15"/>
          <w:color w:val="FF0000"/>
          <w:strike w:val="1"/>
        </w:rPr>
        <w:t>8</w:t>
      </w:r>
      <w:r>
        <w:rPr>
          <w:rFonts w:ascii="Times New Roman" w:cs="Times New Roman" w:eastAsia="Times New Roman" w:hAnsi="Times New Roman"/>
          <w:sz w:val="17"/>
          <w:szCs w:val="17"/>
          <w:u w:val="single" w:color="auto"/>
          <w:color w:val="0000FF"/>
        </w:rPr>
        <w:t>9</w:t>
      </w:r>
      <w:r>
        <w:rPr>
          <w:sz w:val="20"/>
          <w:szCs w:val="20"/>
          <w:color w:val="auto"/>
        </w:rPr>
        <w:tab/>
      </w: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 Massachusetts Mutual Life Insurance Co. (pub. avail. June 7, 2000), Massachusetts Mutual Life Insurance Co. (pub. avail. July 28, 2000)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SMC Capital, Inc. (pub. avail. Sept. 5, 1995).</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660" w:right="6800" w:hanging="652"/>
        <w:spacing w:after="0" w:line="503" w:lineRule="auto"/>
        <w:tabs>
          <w:tab w:leader="none" w:pos="336"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DESCRIPTION OF THE APPLICANTS </w:t>
      </w:r>
      <w:r>
        <w:rPr>
          <w:rFonts w:ascii="Times New Roman" w:cs="Times New Roman" w:eastAsia="Times New Roman" w:hAnsi="Times New Roman"/>
          <w:sz w:val="18"/>
          <w:szCs w:val="18"/>
          <w:u w:val="single" w:color="auto"/>
          <w:color w:val="0000FF"/>
        </w:rPr>
        <w:t xml:space="preserve">A. </w:t>
      </w:r>
      <w:r>
        <w:rPr>
          <w:rFonts w:ascii="Times New Roman" w:cs="Times New Roman" w:eastAsia="Times New Roman" w:hAnsi="Times New Roman"/>
          <w:sz w:val="18"/>
          <w:szCs w:val="18"/>
          <w:u w:val="single" w:color="auto"/>
          <w:color w:val="FF0000"/>
        </w:rPr>
        <w:t>A.</w:t>
      </w:r>
      <w:r>
        <w:rPr>
          <w:rFonts w:ascii="Times New Roman" w:cs="Times New Roman" w:eastAsia="Times New Roman" w:hAnsi="Times New Roman"/>
          <w:sz w:val="18"/>
          <w:szCs w:val="18"/>
          <w:u w:val="single" w:color="auto"/>
          <w:color w:val="0000FF"/>
        </w:rPr>
        <w:t xml:space="preserve">The </w:t>
      </w:r>
      <w:r>
        <w:rPr>
          <w:rFonts w:ascii="Times New Roman" w:cs="Times New Roman" w:eastAsia="Times New Roman" w:hAnsi="Times New Roman"/>
          <w:sz w:val="18"/>
          <w:szCs w:val="18"/>
          <w:u w:val="single" w:color="auto"/>
          <w:color w:val="000000"/>
        </w:rPr>
        <w:t>Existing Regulated Fund</w:t>
      </w: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Existing Regulated Fund was </w:t>
      </w:r>
      <w:r>
        <w:rPr>
          <w:rFonts w:ascii="Times New Roman" w:cs="Times New Roman" w:eastAsia="Times New Roman" w:hAnsi="Times New Roman"/>
          <w:sz w:val="18"/>
          <w:szCs w:val="18"/>
          <w:u w:val="single" w:color="auto"/>
          <w:color w:val="FF0000"/>
          <w:strike w:val="1"/>
        </w:rPr>
        <w:t>formed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8000"/>
          <w:strike w:val="1"/>
        </w:rPr>
        <w:t>a Delaware limited liability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on June 18, 2024 for the purpose of operating as an externally-managed, non-diversified, closed-end management investment company</w:t>
      </w:r>
      <w:r>
        <w:rPr>
          <w:rFonts w:ascii="Times New Roman" w:cs="Times New Roman" w:eastAsia="Times New Roman" w:hAnsi="Times New Roman"/>
          <w:sz w:val="18"/>
          <w:szCs w:val="18"/>
          <w:u w:val="single" w:color="auto"/>
          <w:color w:val="0000FF"/>
        </w:rPr>
        <w:t>incorporated in Maryland on January 25, 2021</w:t>
      </w:r>
      <w:r>
        <w:rPr>
          <w:rFonts w:ascii="Times New Roman" w:cs="Times New Roman" w:eastAsia="Times New Roman" w:hAnsi="Times New Roman"/>
          <w:sz w:val="18"/>
          <w:szCs w:val="18"/>
          <w:color w:val="000000"/>
        </w:rPr>
        <w:t>. The Existing Regulated Fund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changed its name from Crestline Lending Solutions Ramp, LLC on April 14, 2025, and previously operated as an investment fund that would have been an</w:t>
      </w:r>
      <w:r>
        <w:rPr>
          <w:rFonts w:ascii="Times New Roman" w:cs="Times New Roman" w:eastAsia="Times New Roman" w:hAnsi="Times New Roman"/>
          <w:sz w:val="18"/>
          <w:szCs w:val="18"/>
          <w:u w:val="single" w:color="auto"/>
          <w:color w:val="0000FF"/>
          <w:strike w:val="1"/>
        </w:rPr>
        <w:t>is a closed-end management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investment company</w:t>
      </w:r>
      <w:r>
        <w:rPr>
          <w:rFonts w:ascii="Times New Roman" w:cs="Times New Roman" w:eastAsia="Times New Roman" w:hAnsi="Times New Roman"/>
          <w:sz w:val="18"/>
          <w:szCs w:val="18"/>
          <w:color w:val="FF0000"/>
          <w:strike w:val="1"/>
        </w:rPr>
        <w:t xml:space="preserve"> but for Section 3(c)(7) of the 1940 Act. On September 2, 2025, the Existing Regulated Fund</w:t>
      </w:r>
      <w:r>
        <w:rPr>
          <w:rFonts w:ascii="Times New Roman" w:cs="Times New Roman" w:eastAsia="Times New Roman" w:hAnsi="Times New Roman"/>
          <w:sz w:val="18"/>
          <w:szCs w:val="18"/>
          <w:u w:val="single" w:color="auto"/>
          <w:color w:val="0000FF"/>
          <w:strike w:val="1"/>
        </w:rPr>
        <w:t>that has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elected to be regulated as a </w:t>
      </w:r>
      <w:r>
        <w:rPr>
          <w:rFonts w:ascii="Times New Roman" w:cs="Times New Roman" w:eastAsia="Times New Roman" w:hAnsi="Times New Roman"/>
          <w:sz w:val="18"/>
          <w:szCs w:val="18"/>
          <w:u w:val="single" w:color="auto"/>
          <w:color w:val="FF0000"/>
          <w:strike w:val="1"/>
        </w:rPr>
        <w:t>business development company</w:t>
      </w:r>
      <w:r>
        <w:rPr>
          <w:rFonts w:ascii="Times New Roman" w:cs="Times New Roman" w:eastAsia="Times New Roman" w:hAnsi="Times New Roman"/>
          <w:sz w:val="18"/>
          <w:szCs w:val="18"/>
          <w:u w:val="single" w:color="auto"/>
          <w:color w:val="0000FF"/>
          <w:strike w:val="1"/>
        </w:rPr>
        <w:t>BDC</w:t>
      </w:r>
      <w:r>
        <w:rPr>
          <w:rFonts w:ascii="Times New Roman" w:cs="Times New Roman" w:eastAsia="Times New Roman" w:hAnsi="Times New Roman"/>
          <w:sz w:val="18"/>
          <w:szCs w:val="18"/>
          <w:color w:val="000000"/>
          <w:strike w:val="1"/>
        </w:rPr>
        <w:t xml:space="preserve"> under the 1940 Act. </w:t>
      </w:r>
      <w:r>
        <w:rPr>
          <w:rFonts w:ascii="Times New Roman" w:cs="Times New Roman" w:eastAsia="Times New Roman" w:hAnsi="Times New Roman"/>
          <w:sz w:val="18"/>
          <w:szCs w:val="18"/>
          <w:u w:val="single" w:color="auto"/>
          <w:color w:val="FF0000"/>
          <w:strike w:val="1"/>
        </w:rPr>
        <w:t>In addition, the</w:t>
      </w:r>
      <w:r>
        <w:rPr>
          <w:rFonts w:ascii="Times New Roman" w:cs="Times New Roman" w:eastAsia="Times New Roman" w:hAnsi="Times New Roman"/>
          <w:sz w:val="18"/>
          <w:szCs w:val="18"/>
          <w:u w:val="single" w:color="auto"/>
          <w:color w:val="0000FF"/>
          <w:strike w:val="1"/>
        </w:rPr>
        <w:t>The Existing Regulated Fund commenced operations</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on February 8, 2022. The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Existing Regulated Fund intends to qualify annually</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FF0000"/>
          <w:strike w:val="1"/>
        </w:rPr>
        <w:t>to be treated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as a regulated investment company under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FF0000"/>
          <w:strike w:val="1"/>
        </w:rPr>
        <w:t>Sub-Chapter</w:t>
      </w:r>
      <w:r>
        <w:rPr>
          <w:rFonts w:ascii="Times New Roman" w:cs="Times New Roman" w:eastAsia="Times New Roman" w:hAnsi="Times New Roman"/>
          <w:sz w:val="18"/>
          <w:szCs w:val="18"/>
          <w:u w:val="single" w:color="auto"/>
          <w:color w:val="0000FF"/>
          <w:strike w:val="1"/>
        </w:rPr>
        <w:t>Subchapter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M of the Internal Revenue Code of 1986, as amended. The Existing Regulated Fund’s principal place of business is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201 Main Street,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Suite 2100, Fort Worth, TX 76102.</w:t>
      </w:r>
      <w:r>
        <w:rPr>
          <w:rFonts w:ascii="Times New Roman" w:cs="Times New Roman" w:eastAsia="Times New Roman" w:hAnsi="Times New Roman"/>
          <w:sz w:val="18"/>
          <w:szCs w:val="18"/>
          <w:u w:val="single" w:color="auto"/>
          <w:color w:val="0000FF"/>
          <w:strike w:val="1"/>
        </w:rPr>
        <w:t>600 Madison Avenue, Suite 1800, New York, NY 10022.</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Existing Regulated Fund’s investment objective is to </w:t>
      </w:r>
      <w:r>
        <w:rPr>
          <w:rFonts w:ascii="Times New Roman" w:cs="Times New Roman" w:eastAsia="Times New Roman" w:hAnsi="Times New Roman"/>
          <w:sz w:val="18"/>
          <w:szCs w:val="18"/>
          <w:u w:val="single" w:color="auto"/>
          <w:color w:val="FF0000"/>
          <w:strike w:val="1"/>
        </w:rPr>
        <w:t>generate current income and, to a lesser extent, long-term capital appreciation by targeting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investments that the Existing Regulated Fund believes have favorable</w:t>
      </w:r>
      <w:r>
        <w:rPr>
          <w:rFonts w:ascii="Times New Roman" w:cs="Times New Roman" w:eastAsia="Times New Roman" w:hAnsi="Times New Roman"/>
          <w:sz w:val="18"/>
          <w:szCs w:val="18"/>
          <w:u w:val="single" w:color="auto"/>
          <w:color w:val="0000FF"/>
        </w:rPr>
        <w:t>maximize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risk-adjusted returns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and the ability to generate price appreciation.</w:t>
      </w:r>
    </w:p>
    <w:p>
      <w:pPr>
        <w:spacing w:after="0" w:line="162" w:lineRule="exact"/>
        <w:rPr>
          <w:sz w:val="20"/>
          <w:szCs w:val="20"/>
          <w:color w:val="auto"/>
        </w:rPr>
      </w:pPr>
    </w:p>
    <w:p>
      <w:pPr>
        <w:jc w:val="both"/>
        <w:ind w:left="980" w:firstLine="324"/>
        <w:spacing w:after="0" w:line="257" w:lineRule="auto"/>
        <w:rPr>
          <w:sz w:val="20"/>
          <w:szCs w:val="20"/>
          <w:color w:val="auto"/>
        </w:rPr>
      </w:pPr>
      <w:r>
        <w:rPr>
          <w:rFonts w:ascii="Times New Roman" w:cs="Times New Roman" w:eastAsia="Times New Roman" w:hAnsi="Times New Roman"/>
          <w:sz w:val="18"/>
          <w:szCs w:val="18"/>
          <w:u w:val="single" w:color="auto"/>
          <w:color w:val="0000FF"/>
        </w:rPr>
        <w:t>on equity for its shareholders.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Existing Regulated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FF0000"/>
          <w:strike w:val="1"/>
        </w:rPr>
        <w:t>Fund’s business and affairs are managed under the direction of its</w:t>
      </w:r>
      <w:r>
        <w:rPr>
          <w:rFonts w:ascii="Times New Roman" w:cs="Times New Roman" w:eastAsia="Times New Roman" w:hAnsi="Times New Roman"/>
          <w:sz w:val="18"/>
          <w:szCs w:val="18"/>
          <w:u w:val="single" w:color="auto"/>
          <w:color w:val="0000FF"/>
        </w:rPr>
        <w:t>Fund has 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eight-member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board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FF0000"/>
          <w:strike w:val="1"/>
        </w:rPr>
        <w:t>of directors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b w:val="1"/>
          <w:bCs w:val="1"/>
          <w:i w:val="1"/>
          <w:iCs w:val="1"/>
          <w:color w:val="000000"/>
        </w:rPr>
        <w:t>Existing Regulated Fund Board</w:t>
      </w:r>
      <w:r>
        <w:rPr>
          <w:rFonts w:ascii="Times New Roman" w:cs="Times New Roman" w:eastAsia="Times New Roman" w:hAnsi="Times New Roman"/>
          <w:sz w:val="18"/>
          <w:szCs w:val="18"/>
          <w:color w:val="000000"/>
        </w:rPr>
        <w:t>” and together with any Future Regulated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FF0000"/>
          <w:strike w:val="1"/>
        </w:rPr>
        <w:t>Fund’s</w:t>
      </w:r>
      <w:r>
        <w:rPr>
          <w:rFonts w:ascii="Times New Roman" w:cs="Times New Roman" w:eastAsia="Times New Roman" w:hAnsi="Times New Roman"/>
          <w:sz w:val="18"/>
          <w:szCs w:val="18"/>
          <w:u w:val="single" w:color="auto"/>
          <w:color w:val="0000FF"/>
        </w:rPr>
        <w:t>Fund’s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board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directors, the “</w:t>
      </w:r>
      <w:r>
        <w:rPr>
          <w:rFonts w:ascii="Times New Roman" w:cs="Times New Roman" w:eastAsia="Times New Roman" w:hAnsi="Times New Roman"/>
          <w:sz w:val="18"/>
          <w:szCs w:val="18"/>
          <w:b w:val="1"/>
          <w:bCs w:val="1"/>
          <w:i w:val="1"/>
          <w:iCs w:val="1"/>
          <w:color w:val="000000"/>
        </w:rPr>
        <w:t>Board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FF0000"/>
          <w:strike w:val="1"/>
        </w:rPr>
        <w:t>. The Existing Regulated Fund Board consists of four members</w:t>
      </w:r>
      <w:r>
        <w:rPr>
          <w:rFonts w:ascii="Times New Roman" w:cs="Times New Roman" w:eastAsia="Times New Roman" w:hAnsi="Times New Roman"/>
          <w:sz w:val="18"/>
          <w:szCs w:val="18"/>
          <w:color w:val="000000"/>
        </w:rPr>
        <w:t xml:space="preserve">, of which </w:t>
      </w:r>
      <w:r>
        <w:rPr>
          <w:rFonts w:ascii="Times New Roman" w:cs="Times New Roman" w:eastAsia="Times New Roman" w:hAnsi="Times New Roman"/>
          <w:sz w:val="18"/>
          <w:szCs w:val="18"/>
          <w:u w:val="single" w:color="auto"/>
          <w:color w:val="FF0000"/>
          <w:strike w:val="1"/>
        </w:rPr>
        <w:t>three</w:t>
      </w:r>
      <w:r>
        <w:rPr>
          <w:rFonts w:ascii="Times New Roman" w:cs="Times New Roman" w:eastAsia="Times New Roman" w:hAnsi="Times New Roman"/>
          <w:sz w:val="18"/>
          <w:szCs w:val="18"/>
          <w:u w:val="single" w:color="auto"/>
          <w:color w:val="0000FF"/>
        </w:rPr>
        <w:t>six</w:t>
      </w:r>
      <w:r>
        <w:rPr>
          <w:rFonts w:ascii="Times New Roman" w:cs="Times New Roman" w:eastAsia="Times New Roman" w:hAnsi="Times New Roman"/>
          <w:sz w:val="18"/>
          <w:szCs w:val="18"/>
          <w:color w:val="000000"/>
        </w:rPr>
        <w:t xml:space="preserve"> members are not “interested</w:t>
      </w:r>
      <w:r>
        <w:rPr>
          <w:rFonts w:ascii="Times New Roman" w:cs="Times New Roman" w:eastAsia="Times New Roman" w:hAnsi="Times New Roman"/>
          <w:sz w:val="18"/>
          <w:szCs w:val="18"/>
          <w:u w:val="single" w:color="auto"/>
          <w:color w:val="0000FF"/>
        </w:rPr>
        <w:t>”</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persons</w:t>
      </w:r>
      <w:r>
        <w:rPr>
          <w:rFonts w:ascii="Times New Roman" w:cs="Times New Roman" w:eastAsia="Times New Roman" w:hAnsi="Times New Roman"/>
          <w:sz w:val="18"/>
          <w:szCs w:val="18"/>
          <w:u w:val="single" w:color="auto"/>
          <w:color w:val="FF0000"/>
        </w:rPr>
        <w:t>”</w:t>
      </w:r>
      <w:r>
        <w:rPr>
          <w:rFonts w:ascii="Times New Roman" w:cs="Times New Roman" w:eastAsia="Times New Roman" w:hAnsi="Times New Roman"/>
          <w:sz w:val="18"/>
          <w:szCs w:val="18"/>
          <w:color w:val="auto"/>
        </w:rPr>
        <w:t xml:space="preserve"> of the Existing Regulated Fund within the meaning of Section 2(a)(19) of the </w:t>
      </w:r>
      <w:r>
        <w:rPr>
          <w:rFonts w:ascii="Times New Roman" w:cs="Times New Roman" w:eastAsia="Times New Roman" w:hAnsi="Times New Roman"/>
          <w:sz w:val="18"/>
          <w:szCs w:val="18"/>
          <w:u w:val="single" w:color="auto"/>
          <w:color w:val="0000FF"/>
        </w:rPr>
        <w:t>1940</w:t>
      </w:r>
      <w:r>
        <w:rPr>
          <w:rFonts w:ascii="Times New Roman" w:cs="Times New Roman" w:eastAsia="Times New Roman" w:hAnsi="Times New Roman"/>
          <w:sz w:val="18"/>
          <w:szCs w:val="18"/>
          <w:color w:val="auto"/>
        </w:rPr>
        <w:t xml:space="preserve"> Act.</w:t>
      </w:r>
      <w:r>
        <w:rPr>
          <w:rFonts w:ascii="Times New Roman" w:cs="Times New Roman" w:eastAsia="Times New Roman" w:hAnsi="Times New Roman"/>
          <w:sz w:val="29"/>
          <w:szCs w:val="29"/>
          <w:u w:val="single" w:color="auto"/>
          <w:color w:val="FF0000"/>
          <w:vertAlign w:val="superscript"/>
        </w:rPr>
        <w:t>9</w:t>
      </w:r>
      <w:r>
        <w:rPr>
          <w:rFonts w:ascii="Times New Roman" w:cs="Times New Roman" w:eastAsia="Times New Roman" w:hAnsi="Times New Roman"/>
          <w:sz w:val="29"/>
          <w:szCs w:val="29"/>
          <w:u w:val="single" w:color="auto"/>
          <w:color w:val="0000FF"/>
          <w:vertAlign w:val="superscript"/>
        </w:rPr>
        <w:t>10</w:t>
      </w:r>
    </w:p>
    <w:p>
      <w:pPr>
        <w:spacing w:after="0" w:line="121"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FF0000"/>
        </w:rPr>
        <w:t xml:space="preserve">B. </w:t>
      </w:r>
      <w:r>
        <w:rPr>
          <w:rFonts w:ascii="Times New Roman" w:cs="Times New Roman" w:eastAsia="Times New Roman" w:hAnsi="Times New Roman"/>
          <w:sz w:val="18"/>
          <w:szCs w:val="18"/>
          <w:u w:val="single" w:color="auto"/>
          <w:color w:val="000000"/>
        </w:rPr>
        <w:t>The Existing Affiliated Funds and the Existing Proprietary Accounts</w:t>
      </w:r>
    </w:p>
    <w:p>
      <w:pPr>
        <w:spacing w:after="0" w:line="225"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 xml:space="preserve">The Existing Affiliated Funds are investment funds, each of whose investment adviser is </w:t>
      </w:r>
      <w:r>
        <w:rPr>
          <w:rFonts w:ascii="Times New Roman" w:cs="Times New Roman" w:eastAsia="Times New Roman" w:hAnsi="Times New Roman"/>
          <w:sz w:val="18"/>
          <w:szCs w:val="18"/>
          <w:color w:val="FF0000"/>
          <w:strike w:val="1"/>
        </w:rPr>
        <w:t>the Existing</w:t>
      </w:r>
      <w:r>
        <w:rPr>
          <w:rFonts w:ascii="Times New Roman" w:cs="Times New Roman" w:eastAsia="Times New Roman" w:hAnsi="Times New Roman"/>
          <w:sz w:val="18"/>
          <w:szCs w:val="18"/>
          <w:u w:val="single" w:color="auto"/>
          <w:color w:val="0000FF"/>
        </w:rPr>
        <w:t>an</w:t>
      </w:r>
      <w:r>
        <w:rPr>
          <w:rFonts w:ascii="Times New Roman" w:cs="Times New Roman" w:eastAsia="Times New Roman" w:hAnsi="Times New Roman"/>
          <w:sz w:val="18"/>
          <w:szCs w:val="18"/>
          <w:color w:val="auto"/>
        </w:rPr>
        <w:t xml:space="preserve"> Adviser and each of which would be an investment company but for Section 3(c)(</w:t>
      </w:r>
      <w:r>
        <w:rPr>
          <w:rFonts w:ascii="Times New Roman" w:cs="Times New Roman" w:eastAsia="Times New Roman" w:hAnsi="Times New Roman"/>
          <w:sz w:val="18"/>
          <w:szCs w:val="18"/>
          <w:u w:val="single" w:color="auto"/>
          <w:color w:val="0000FF"/>
        </w:rPr>
        <w:t>5) or 3(c)(</w:t>
      </w:r>
      <w:r>
        <w:rPr>
          <w:rFonts w:ascii="Times New Roman" w:cs="Times New Roman" w:eastAsia="Times New Roman" w:hAnsi="Times New Roman"/>
          <w:sz w:val="18"/>
          <w:szCs w:val="18"/>
          <w:color w:val="auto"/>
        </w:rPr>
        <w:t>7) of the 1940 Act.</w:t>
      </w:r>
      <w:r>
        <w:rPr>
          <w:rFonts w:ascii="Times New Roman" w:cs="Times New Roman" w:eastAsia="Times New Roman" w:hAnsi="Times New Roman"/>
          <w:sz w:val="29"/>
          <w:szCs w:val="29"/>
          <w:color w:val="FF0000"/>
          <w:strike w:val="1"/>
          <w:vertAlign w:val="superscript"/>
        </w:rPr>
        <w:t>10</w:t>
      </w:r>
      <w:r>
        <w:rPr>
          <w:rFonts w:ascii="Times New Roman" w:cs="Times New Roman" w:eastAsia="Times New Roman" w:hAnsi="Times New Roman"/>
          <w:sz w:val="29"/>
          <w:szCs w:val="29"/>
          <w:u w:val="single" w:color="auto"/>
          <w:color w:val="0000FF"/>
          <w:vertAlign w:val="superscript"/>
        </w:rPr>
        <w:t>11</w:t>
      </w:r>
      <w:r>
        <w:rPr>
          <w:rFonts w:ascii="Times New Roman" w:cs="Times New Roman" w:eastAsia="Times New Roman" w:hAnsi="Times New Roman"/>
          <w:sz w:val="18"/>
          <w:szCs w:val="18"/>
          <w:color w:val="auto"/>
        </w:rPr>
        <w:t xml:space="preserve"> A list of the Existing Affiliated Funds </w:t>
      </w:r>
      <w:r>
        <w:rPr>
          <w:rFonts w:ascii="Times New Roman" w:cs="Times New Roman" w:eastAsia="Times New Roman" w:hAnsi="Times New Roman"/>
          <w:sz w:val="18"/>
          <w:szCs w:val="18"/>
          <w:u w:val="single" w:color="auto"/>
          <w:color w:val="0000FF"/>
        </w:rPr>
        <w:t>and their respective investment adviser</w:t>
      </w:r>
      <w:r>
        <w:rPr>
          <w:rFonts w:ascii="Times New Roman" w:cs="Times New Roman" w:eastAsia="Times New Roman" w:hAnsi="Times New Roman"/>
          <w:sz w:val="18"/>
          <w:szCs w:val="18"/>
          <w:color w:val="auto"/>
        </w:rPr>
        <w:t xml:space="preserve"> is included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0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Existing Proprietary Accounts </w:t>
      </w:r>
      <w:r>
        <w:rPr>
          <w:rFonts w:ascii="Times New Roman" w:cs="Times New Roman" w:eastAsia="Times New Roman" w:hAnsi="Times New Roman"/>
          <w:sz w:val="18"/>
          <w:szCs w:val="18"/>
          <w:u w:val="single" w:color="auto"/>
          <w:color w:val="0000FF"/>
        </w:rPr>
        <w:t>will, from time to time,</w:t>
      </w:r>
      <w:r>
        <w:rPr>
          <w:rFonts w:ascii="Times New Roman" w:cs="Times New Roman" w:eastAsia="Times New Roman" w:hAnsi="Times New Roman"/>
          <w:sz w:val="18"/>
          <w:szCs w:val="18"/>
          <w:color w:val="auto"/>
        </w:rPr>
        <w:t xml:space="preserve"> hold various financial assets in a principal capacity. The Existing </w:t>
      </w:r>
      <w:r>
        <w:rPr>
          <w:rFonts w:ascii="Times New Roman" w:cs="Times New Roman" w:eastAsia="Times New Roman" w:hAnsi="Times New Roman"/>
          <w:sz w:val="18"/>
          <w:szCs w:val="18"/>
          <w:color w:val="FF0000"/>
          <w:strike w:val="1"/>
        </w:rPr>
        <w:t>Adviser operates</w:t>
      </w:r>
      <w:r>
        <w:rPr>
          <w:rFonts w:ascii="Times New Roman" w:cs="Times New Roman" w:eastAsia="Times New Roman" w:hAnsi="Times New Roman"/>
          <w:sz w:val="18"/>
          <w:szCs w:val="18"/>
          <w:u w:val="single" w:color="auto"/>
          <w:color w:val="0000FF"/>
        </w:rPr>
        <w:t>Advisers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operate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various business lines through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its</w:t>
      </w:r>
      <w:r>
        <w:rPr>
          <w:rFonts w:ascii="Times New Roman" w:cs="Times New Roman" w:eastAsia="Times New Roman" w:hAnsi="Times New Roman"/>
          <w:sz w:val="18"/>
          <w:szCs w:val="18"/>
          <w:u w:val="single" w:color="auto"/>
          <w:color w:val="0000FF"/>
        </w:rPr>
        <w:t>their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wholly or majority owned subsidiaries, and the wholly or majority owned subsidiaries that exist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currently intend to participate in Co-Investment Transactions have been included as Applicants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5"/>
          <w:szCs w:val="15"/>
          <w:color w:val="FF0000"/>
          <w:strike w:val="1"/>
        </w:rPr>
        <w:t>9</w:t>
      </w:r>
      <w:r>
        <w:rPr>
          <w:rFonts w:ascii="Times New Roman" w:cs="Times New Roman" w:eastAsia="Times New Roman" w:hAnsi="Times New Roman"/>
          <w:sz w:val="17"/>
          <w:szCs w:val="17"/>
          <w:u w:val="single" w:color="auto"/>
          <w:color w:val="0000FF"/>
        </w:rPr>
        <w:t>10</w:t>
      </w:r>
      <w:r>
        <w:rPr>
          <w:sz w:val="20"/>
          <w:szCs w:val="20"/>
          <w:color w:val="auto"/>
        </w:rPr>
        <w:tab/>
      </w:r>
      <w:r>
        <w:rPr>
          <w:rFonts w:ascii="Times New Roman" w:cs="Times New Roman" w:eastAsia="Times New Roman" w:hAnsi="Times New Roman"/>
          <w:sz w:val="18"/>
          <w:szCs w:val="18"/>
          <w:color w:val="auto"/>
        </w:rPr>
        <w:t xml:space="preserve">The Board of each Future Regulated Fund will consist of a majority of members who are not “interested persons” of such Future Regulated Fund within the meaning of Section 2(a)(19) of the </w:t>
      </w:r>
      <w:r>
        <w:rPr>
          <w:rFonts w:ascii="Times New Roman" w:cs="Times New Roman" w:eastAsia="Times New Roman" w:hAnsi="Times New Roman"/>
          <w:sz w:val="18"/>
          <w:szCs w:val="18"/>
          <w:u w:val="single" w:color="auto"/>
          <w:color w:val="0000FF"/>
        </w:rPr>
        <w:t>1940</w:t>
      </w:r>
      <w:r>
        <w:rPr>
          <w:rFonts w:ascii="Times New Roman" w:cs="Times New Roman" w:eastAsia="Times New Roman" w:hAnsi="Times New Roman"/>
          <w:sz w:val="18"/>
          <w:szCs w:val="18"/>
          <w:color w:val="auto"/>
        </w:rPr>
        <w:t xml:space="preserve"> Act.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5"/>
          <w:szCs w:val="15"/>
          <w:color w:val="FF0000"/>
          <w:strike w:val="1"/>
        </w:rPr>
        <w:t>10</w:t>
      </w:r>
      <w:r>
        <w:rPr>
          <w:rFonts w:ascii="Times New Roman" w:cs="Times New Roman" w:eastAsia="Times New Roman" w:hAnsi="Times New Roman"/>
          <w:sz w:val="17"/>
          <w:szCs w:val="17"/>
          <w:u w:val="single" w:color="auto"/>
          <w:color w:val="0000FF"/>
        </w:rPr>
        <w:t>11</w:t>
      </w:r>
      <w:r>
        <w:rPr>
          <w:sz w:val="20"/>
          <w:szCs w:val="20"/>
          <w:color w:val="auto"/>
        </w:rPr>
        <w:tab/>
      </w:r>
      <w:r>
        <w:rPr>
          <w:rFonts w:ascii="Times New Roman" w:cs="Times New Roman" w:eastAsia="Times New Roman" w:hAnsi="Times New Roman"/>
          <w:sz w:val="18"/>
          <w:szCs w:val="18"/>
          <w:color w:val="auto"/>
        </w:rPr>
        <w:t xml:space="preserve">In the future,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an</w:t>
      </w:r>
      <w:r>
        <w:rPr>
          <w:rFonts w:ascii="Times New Roman" w:cs="Times New Roman" w:eastAsia="Times New Roman" w:hAnsi="Times New Roman"/>
          <w:sz w:val="18"/>
          <w:szCs w:val="18"/>
          <w:color w:val="auto"/>
        </w:rPr>
        <w:t xml:space="preserve"> Affiliated Fund may register as a closed-end management investment company under the Act and, if so registered, will be considered a Regulated Fund for purposes of this application.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980" w:hanging="324"/>
        <w:spacing w:after="0"/>
        <w:tabs>
          <w:tab w:leader="none" w:pos="980" w:val="left"/>
        </w:tabs>
        <w:numPr>
          <w:ilvl w:val="0"/>
          <w:numId w:val="3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FF0000"/>
        </w:rPr>
        <w:t xml:space="preserve">C. </w:t>
      </w:r>
      <w:r>
        <w:rPr>
          <w:rFonts w:ascii="Times New Roman" w:cs="Times New Roman" w:eastAsia="Times New Roman" w:hAnsi="Times New Roman"/>
          <w:sz w:val="18"/>
          <w:szCs w:val="18"/>
          <w:u w:val="single" w:color="auto"/>
          <w:color w:val="000000"/>
        </w:rPr>
        <w:t>The Existing</w:t>
      </w:r>
      <w:r>
        <w:rPr>
          <w:rFonts w:ascii="Times New Roman" w:cs="Times New Roman" w:eastAsia="Times New Roman" w:hAnsi="Times New Roman"/>
          <w:sz w:val="18"/>
          <w:szCs w:val="18"/>
          <w:u w:val="single" w:color="auto"/>
          <w:color w:val="FF0000"/>
        </w:rPr>
        <w:t xml:space="preserve"> Adviser</w:t>
      </w:r>
      <w:r>
        <w:rPr>
          <w:rFonts w:ascii="Times New Roman" w:cs="Times New Roman" w:eastAsia="Times New Roman" w:hAnsi="Times New Roman"/>
          <w:sz w:val="18"/>
          <w:szCs w:val="18"/>
          <w:u w:val="single" w:color="auto"/>
          <w:color w:val="0000FF"/>
        </w:rPr>
        <w:t>Advisers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FF0000"/>
          <w:strike w:val="1"/>
        </w:rPr>
        <w:t>The Existing Adviser was organized as a limited partnership under the laws of the state of Delaware and has registered with the Commission pursuant to Section 203 of the Advisers Act. The Existing</w:t>
      </w:r>
      <w:r>
        <w:rPr>
          <w:rFonts w:ascii="Times New Roman" w:cs="Times New Roman" w:eastAsia="Times New Roman" w:hAnsi="Times New Roman"/>
          <w:sz w:val="18"/>
          <w:szCs w:val="18"/>
          <w:u w:val="single" w:color="auto"/>
          <w:color w:val="0000FF"/>
          <w:strike w:val="1"/>
        </w:rPr>
        <w:t>BDC</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Adviser serves as the investment adviser</w:t>
      </w:r>
      <w:r>
        <w:rPr>
          <w:rFonts w:ascii="Times New Roman" w:cs="Times New Roman" w:eastAsia="Times New Roman" w:hAnsi="Times New Roman"/>
          <w:sz w:val="18"/>
          <w:szCs w:val="18"/>
          <w:color w:val="FF0000"/>
          <w:strike w:val="1"/>
        </w:rPr>
        <w:t xml:space="preserve"> to </w:t>
      </w:r>
      <w:r>
        <w:rPr>
          <w:rFonts w:ascii="Times New Roman" w:cs="Times New Roman" w:eastAsia="Times New Roman" w:hAnsi="Times New Roman"/>
          <w:sz w:val="18"/>
          <w:szCs w:val="18"/>
          <w:u w:val="single" w:color="auto"/>
          <w:color w:val="0000FF"/>
          <w:strike w:val="1"/>
        </w:rPr>
        <w:t>of the Existing Regulated Fund and CAA, CAEA, CO3</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 xml:space="preserve">Advisers, CAIM, and CARM serve as the investment adviser of certain of the Existing Affiliated Funds, as noted on Schedule A, and BDC Adviser or another Adviser will serve </w:t>
      </w:r>
      <w:r>
        <w:rPr>
          <w:rFonts w:ascii="Times New Roman" w:cs="Times New Roman" w:eastAsia="Times New Roman" w:hAnsi="Times New Roman"/>
          <w:sz w:val="18"/>
          <w:szCs w:val="18"/>
          <w:u w:val="single" w:color="auto"/>
          <w:color w:val="008000"/>
          <w:strike w:val="1"/>
        </w:rPr>
        <w:t>as the investment adviser to</w:t>
      </w:r>
      <w:r>
        <w:rPr>
          <w:rFonts w:ascii="Times New Roman" w:cs="Times New Roman" w:eastAsia="Times New Roman" w:hAnsi="Times New Roman"/>
          <w:sz w:val="18"/>
          <w:szCs w:val="18"/>
          <w:u w:val="single" w:color="auto"/>
          <w:color w:val="0000FF"/>
          <w:strike w:val="1"/>
        </w:rPr>
        <w:t xml:space="preserve"> any Future Regulated Fund. On the date of this Application, the clients of each Adviser that intend to rely on this Application are the Existing Regulated Fund and the Existing Affiliated Funds identified on Schedule A hereto. BDC Adviser also provides administrative services to the Existing Regulated Fund under an administrative services agreement. Each of the Existing Advisers is </w:t>
      </w:r>
      <w:r>
        <w:rPr>
          <w:rFonts w:ascii="Times New Roman" w:cs="Times New Roman" w:eastAsia="Times New Roman" w:hAnsi="Times New Roman"/>
          <w:sz w:val="18"/>
          <w:szCs w:val="18"/>
          <w:u w:val="single" w:color="auto"/>
          <w:color w:val="008000"/>
          <w:strike w:val="1"/>
        </w:rPr>
        <w:t>a Delaware limited</w:t>
      </w:r>
      <w:r>
        <w:rPr>
          <w:rFonts w:ascii="Times New Roman" w:cs="Times New Roman" w:eastAsia="Times New Roman" w:hAnsi="Times New Roman"/>
          <w:sz w:val="18"/>
          <w:szCs w:val="18"/>
          <w:u w:val="single" w:color="auto"/>
          <w:color w:val="0000FF"/>
          <w:strike w:val="1"/>
        </w:rPr>
        <w:t xml:space="preserve"> </w:t>
      </w:r>
      <w:r>
        <w:rPr>
          <w:rFonts w:ascii="Times New Roman" w:cs="Times New Roman" w:eastAsia="Times New Roman" w:hAnsi="Times New Roman"/>
          <w:sz w:val="18"/>
          <w:szCs w:val="18"/>
          <w:u w:val="single" w:color="auto"/>
          <w:color w:val="008000"/>
          <w:strike w:val="1"/>
        </w:rPr>
        <w:t>liability company</w:t>
      </w:r>
      <w:r>
        <w:rPr>
          <w:rFonts w:ascii="Times New Roman" w:cs="Times New Roman" w:eastAsia="Times New Roman" w:hAnsi="Times New Roman"/>
          <w:sz w:val="18"/>
          <w:szCs w:val="18"/>
          <w:u w:val="single" w:color="auto"/>
          <w:color w:val="0000FF"/>
          <w:strike w:val="1"/>
        </w:rPr>
        <w:t>. Each of BDC Adviser and CAA is a registered investment adviser with the Commission under the Advisers Act. Each of CAEA, CO3</w:t>
      </w:r>
      <w:r>
        <w:rPr>
          <w:rFonts w:ascii="Times New Roman" w:cs="Times New Roman" w:eastAsia="Times New Roman" w:hAnsi="Times New Roman"/>
          <w:sz w:val="18"/>
          <w:szCs w:val="18"/>
          <w:u w:val="single" w:color="auto"/>
          <w:color w:val="008000"/>
          <w:strike w:val="1"/>
        </w:rPr>
        <w:t xml:space="preserve"> </w:t>
      </w:r>
      <w:r>
        <w:rPr>
          <w:rFonts w:ascii="Times New Roman" w:cs="Times New Roman" w:eastAsia="Times New Roman" w:hAnsi="Times New Roman"/>
          <w:sz w:val="18"/>
          <w:szCs w:val="18"/>
          <w:u w:val="single" w:color="auto"/>
          <w:color w:val="0000FF"/>
          <w:strike w:val="1"/>
        </w:rPr>
        <w:t>Advisers, and CAIM is a relying adviser of CAA.</w:t>
      </w:r>
    </w:p>
    <w:p>
      <w:pPr>
        <w:spacing w:after="0" w:line="18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u w:val="single" w:color="auto"/>
          <w:color w:val="0000FF"/>
        </w:rPr>
        <w:t>Each Existing Adviser is a direct or indirect majority-owned subsidiary of Chicago Atlantic Group, LP (“</w:t>
      </w:r>
      <w:r>
        <w:rPr>
          <w:rFonts w:ascii="Times New Roman" w:cs="Times New Roman" w:eastAsia="Times New Roman" w:hAnsi="Times New Roman"/>
          <w:sz w:val="18"/>
          <w:szCs w:val="18"/>
          <w:b w:val="1"/>
          <w:bCs w:val="1"/>
          <w:i w:val="1"/>
          <w:iCs w:val="1"/>
          <w:u w:val="single" w:color="auto"/>
          <w:color w:val="0000FF"/>
        </w:rPr>
        <w:t>CAG</w:t>
      </w:r>
      <w:r>
        <w:rPr>
          <w:rFonts w:ascii="Times New Roman" w:cs="Times New Roman" w:eastAsia="Times New Roman" w:hAnsi="Times New Roman"/>
          <w:sz w:val="18"/>
          <w:szCs w:val="18"/>
          <w:u w:val="single" w:color="auto"/>
          <w:color w:val="0000FF"/>
        </w:rPr>
        <w:t>”), a Delaware limited partnership. CAG is an alternative investment manager focused on industries and companies where demand for capital exceeds traditional supply. CAG’s investment strategies include opportunistic private credit and equity with focuses on loans to esoteric industries, specialty asset-based loans, liquidity solutions and growth and technology finance. CAG has offices in Chicago, Miami, New York and London.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u w:val="single" w:color="auto"/>
          <w:color w:val="0000FF"/>
        </w:rPr>
        <w:t>Under the terms of an investment advisory agreement with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Existing Regulated Fund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each Existing Affiliated Fund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 as applicable,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Existing Advisers will, among other things, manage the investment portfolio, direct purchases and sales of portfolio securities and report thereon to the Existing Regulated Fund’s and each Existing Affiliated Fund’s officers and directors/trustees/manager regularly.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ORDER REQUESTED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Applicants request an Order of the Commission under Sections 17(d) and 57(i) of the 1940 Act and Rule 17d-1 thereunder to permit, subject to the terms and conditions set forth below in this Application (the “</w:t>
      </w: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 each Regulated Fund to be able to participate with one or more Affiliated Entities in Co-Investment Transactions otherwise prohibited by Sections 17(d) and 57(a)(4) of the 1940 Act and Rule 17d-1 thereunder.</w:t>
      </w:r>
    </w:p>
    <w:p>
      <w:pPr>
        <w:spacing w:after="0" w:line="17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A.</w:t>
        <w:tab/>
        <w:t>Applicable Law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w:t>
      </w:r>
    </w:p>
    <w:p>
      <w:pPr>
        <w:spacing w:after="0" w:line="180"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 w:cs="Times New Roman" w:eastAsia="Times New Roman" w:hAnsi="Times New Roman"/>
          <w:sz w:val="29"/>
          <w:szCs w:val="29"/>
          <w:color w:val="FF0000"/>
          <w:strike w:val="1"/>
          <w:vertAlign w:val="superscript"/>
        </w:rPr>
        <w:t>11</w:t>
      </w:r>
      <w:r>
        <w:rPr>
          <w:rFonts w:ascii="Times New Roman" w:cs="Times New Roman" w:eastAsia="Times New Roman" w:hAnsi="Times New Roman"/>
          <w:sz w:val="29"/>
          <w:szCs w:val="29"/>
          <w:u w:val="single" w:color="auto"/>
          <w:color w:val="0000FF"/>
          <w:vertAlign w:val="superscript"/>
        </w:rPr>
        <w:t>12</w:t>
      </w:r>
      <w:r>
        <w:rPr>
          <w:rFonts w:ascii="Times New Roman" w:cs="Times New Roman" w:eastAsia="Times New Roman" w:hAnsi="Times New Roman"/>
          <w:sz w:val="18"/>
          <w:szCs w:val="18"/>
          <w:color w:val="auto"/>
        </w:rPr>
        <w:t xml:space="preserve"> in which the fund is a participant without first obtaining an order from the SEC.</w:t>
      </w:r>
    </w:p>
    <w:p>
      <w:pPr>
        <w:spacing w:after="0" w:line="20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17830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5"/>
          <w:szCs w:val="15"/>
          <w:color w:val="FF0000"/>
          <w:strike w:val="1"/>
        </w:rPr>
        <w:t>11</w:t>
      </w:r>
      <w:r>
        <w:rPr>
          <w:rFonts w:ascii="Times New Roman" w:cs="Times New Roman" w:eastAsia="Times New Roman" w:hAnsi="Times New Roman"/>
          <w:sz w:val="17"/>
          <w:szCs w:val="17"/>
          <w:u w:val="single" w:color="auto"/>
          <w:color w:val="0000FF"/>
        </w:rPr>
        <w:t>12</w:t>
      </w:r>
      <w:r>
        <w:rPr>
          <w:sz w:val="20"/>
          <w:szCs w:val="20"/>
          <w:color w:val="auto"/>
        </w:rPr>
        <w:tab/>
      </w:r>
      <w:r>
        <w:rPr>
          <w:rFonts w:ascii="Times New Roman" w:cs="Times New Roman" w:eastAsia="Times New Roman" w:hAnsi="Times New Roman"/>
          <w:sz w:val="18"/>
          <w:szCs w:val="18"/>
          <w:color w:val="auto"/>
        </w:rPr>
        <w:t>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Need for Relief</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 closed-end fund or a business development company, respectively, including a sub-adviser. Thus, an Adviser and any Affiliated Entities that it advises could be deemed to be persons related to Regulated Funds in a manner described by Sections 17(d) and 57(b). </w:t>
      </w:r>
      <w:r>
        <w:rPr>
          <w:rFonts w:ascii="Times New Roman" w:cs="Times New Roman" w:eastAsia="Times New Roman" w:hAnsi="Times New Roman"/>
          <w:sz w:val="18"/>
          <w:szCs w:val="18"/>
          <w:color w:val="FF0000"/>
          <w:strike w:val="1"/>
        </w:rPr>
        <w:t>With</w:t>
      </w:r>
      <w:r>
        <w:rPr>
          <w:rFonts w:ascii="Times New Roman" w:cs="Times New Roman" w:eastAsia="Times New Roman" w:hAnsi="Times New Roman"/>
          <w:sz w:val="18"/>
          <w:szCs w:val="18"/>
          <w:u w:val="single" w:color="auto"/>
          <w:color w:val="0000FF"/>
        </w:rPr>
        <w:t>The Existing Advisers are under common control, and are thus affiliated persons of each other. Accordingly, with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respect to the Existing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Adviser</w:t>
      </w:r>
      <w:r>
        <w:rPr>
          <w:rFonts w:ascii="Times New Roman" w:cs="Times New Roman" w:eastAsia="Times New Roman" w:hAnsi="Times New Roman"/>
          <w:sz w:val="18"/>
          <w:szCs w:val="18"/>
          <w:u w:val="single" w:color="auto"/>
          <w:color w:val="0000FF"/>
        </w:rPr>
        <w:t>Advisers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any other Advisers that are deemed to be affiliated persons of each other, Affiliated Entities advised by any of them could be deemed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to be persons related to Regulated Funds (or a company controlled by a Regulated Fund) in a manner described by Sections 17(d) and 57(b). In addition, any entities or accounts controlled by or under common control with the Existing </w:t>
      </w:r>
      <w:r>
        <w:rPr>
          <w:rFonts w:ascii="Times New Roman" w:cs="Times New Roman" w:eastAsia="Times New Roman" w:hAnsi="Times New Roman"/>
          <w:sz w:val="18"/>
          <w:szCs w:val="18"/>
          <w:color w:val="FF0000"/>
          <w:strike w:val="1"/>
        </w:rPr>
        <w:t>Adviser,</w:t>
      </w:r>
      <w:r>
        <w:rPr>
          <w:rFonts w:ascii="Times New Roman" w:cs="Times New Roman" w:eastAsia="Times New Roman" w:hAnsi="Times New Roman"/>
          <w:sz w:val="18"/>
          <w:szCs w:val="18"/>
          <w:u w:val="single" w:color="auto"/>
          <w:color w:val="0000FF"/>
        </w:rPr>
        <w:t>Advisers</w:t>
      </w:r>
      <w:r>
        <w:rPr>
          <w:rFonts w:ascii="Times New Roman" w:cs="Times New Roman" w:eastAsia="Times New Roman" w:hAnsi="Times New Roman"/>
          <w:sz w:val="18"/>
          <w:szCs w:val="18"/>
          <w:color w:val="000000"/>
        </w:rPr>
        <w:t xml:space="preserve">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17d-l under the 1940 Act.</w:t>
      </w:r>
    </w:p>
    <w:p>
      <w:pPr>
        <w:spacing w:after="0" w:line="18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Conditions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Applicants agree that any Order granting the requested relief will be subject to the following Conditions.</w:t>
      </w:r>
    </w:p>
    <w:p>
      <w:pPr>
        <w:spacing w:after="0" w:line="223" w:lineRule="exact"/>
        <w:rPr>
          <w:sz w:val="20"/>
          <w:szCs w:val="20"/>
          <w:color w:val="auto"/>
        </w:rPr>
      </w:pPr>
    </w:p>
    <w:p>
      <w:pPr>
        <w:jc w:val="both"/>
        <w:ind w:firstLine="332"/>
        <w:spacing w:after="0" w:line="261" w:lineRule="auto"/>
        <w:tabs>
          <w:tab w:leader="none" w:pos="5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Same Terms</w:t>
      </w:r>
      <w:r>
        <w:rPr>
          <w:rFonts w:ascii="Times New Roman" w:cs="Times New Roman" w:eastAsia="Times New Roman" w:hAnsi="Times New Roman"/>
          <w:sz w:val="18"/>
          <w:szCs w:val="18"/>
          <w:color w:val="auto"/>
        </w:rPr>
        <w:t>. With respect to any Co-Investment Transaction, each Regulated Fund, and Affiliated Entity participating in such transaction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 w:cs="Times New Roman" w:eastAsia="Times New Roman" w:hAnsi="Times New Roman"/>
          <w:sz w:val="29"/>
          <w:szCs w:val="29"/>
          <w:color w:val="FF0000"/>
          <w:strike w:val="1"/>
          <w:vertAlign w:val="superscript"/>
        </w:rPr>
        <w:t>12</w:t>
      </w:r>
      <w:r>
        <w:rPr>
          <w:rFonts w:ascii="Times New Roman" w:cs="Times New Roman" w:eastAsia="Times New Roman" w:hAnsi="Times New Roman"/>
          <w:sz w:val="29"/>
          <w:szCs w:val="29"/>
          <w:u w:val="single" w:color="auto"/>
          <w:color w:val="0000FF"/>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178308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78"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5"/>
          <w:szCs w:val="15"/>
          <w:color w:val="FF0000"/>
          <w:strike w:val="1"/>
        </w:rPr>
        <w:t>12</w:t>
      </w:r>
      <w:r>
        <w:rPr>
          <w:rFonts w:ascii="Times New Roman" w:cs="Times New Roman" w:eastAsia="Times New Roman" w:hAnsi="Times New Roman"/>
          <w:sz w:val="17"/>
          <w:szCs w:val="17"/>
          <w:u w:val="single" w:color="auto"/>
          <w:color w:val="0000FF"/>
        </w:rPr>
        <w:t>13</w:t>
      </w:r>
      <w:r>
        <w:rPr>
          <w:sz w:val="20"/>
          <w:szCs w:val="20"/>
          <w:color w:val="auto"/>
        </w:rPr>
        <w:tab/>
      </w:r>
      <w:r>
        <w:rPr>
          <w:rFonts w:ascii="Times New Roman" w:cs="Times New Roman" w:eastAsia="Times New Roman" w:hAnsi="Times New Roman"/>
          <w:sz w:val="18"/>
          <w:szCs w:val="18"/>
          <w:color w:val="auto"/>
        </w:rPr>
        <w:t>Such a Board can also, consistent with applicable fund documents, facilitate this opportunity by delegating the authority to veto the selection of such person to a committee of the Board.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332"/>
        <w:spacing w:after="0" w:line="219" w:lineRule="auto"/>
        <w:tabs>
          <w:tab w:leader="none" w:pos="5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Existing Investments in the Issuer</w:t>
      </w:r>
      <w:r>
        <w:rPr>
          <w:rFonts w:ascii="Times New Roman" w:cs="Times New Roman" w:eastAsia="Times New Roman" w:hAnsi="Times New Roman"/>
          <w:sz w:val="18"/>
          <w:szCs w:val="18"/>
          <w:color w:val="auto"/>
        </w:rPr>
        <w:t>. Prior to a Regulated Fund acquiring in a Co-Investment Transaction a security of an issuer in which an Affiliated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has an existing interest in such issuer, the “required majority,” as defined in Section 57(o) of the 1940 Act,</w:t>
      </w:r>
      <w:r>
        <w:rPr>
          <w:rFonts w:ascii="Times New Roman" w:cs="Times New Roman" w:eastAsia="Times New Roman" w:hAnsi="Times New Roman"/>
          <w:sz w:val="29"/>
          <w:szCs w:val="29"/>
          <w:color w:val="FF0000"/>
          <w:strike w:val="1"/>
          <w:vertAlign w:val="superscript"/>
        </w:rPr>
        <w:t>13</w:t>
      </w:r>
      <w:r>
        <w:rPr>
          <w:rFonts w:ascii="Times New Roman" w:cs="Times New Roman" w:eastAsia="Times New Roman" w:hAnsi="Times New Roman"/>
          <w:sz w:val="29"/>
          <w:szCs w:val="29"/>
          <w:u w:val="single" w:color="auto"/>
          <w:color w:val="0000FF"/>
          <w:vertAlign w:val="superscript"/>
        </w:rPr>
        <w:t>14</w:t>
      </w:r>
      <w:r>
        <w:rPr>
          <w:rFonts w:ascii="Times New Roman" w:cs="Times New Roman" w:eastAsia="Times New Roman" w:hAnsi="Times New Roman"/>
          <w:sz w:val="18"/>
          <w:szCs w:val="18"/>
          <w:color w:val="auto"/>
        </w:rPr>
        <w:t xml:space="preserve"> of the Regulated Fund (“</w:t>
      </w:r>
      <w:r>
        <w:rPr>
          <w:rFonts w:ascii="Times New Roman" w:cs="Times New Roman" w:eastAsia="Times New Roman" w:hAnsi="Times New Roman"/>
          <w:sz w:val="18"/>
          <w:szCs w:val="18"/>
          <w:b w:val="1"/>
          <w:bCs w:val="1"/>
          <w:i w:val="1"/>
          <w:iCs w:val="1"/>
          <w:color w:val="auto"/>
        </w:rPr>
        <w:t>Required</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b w:val="1"/>
          <w:bCs w:val="1"/>
          <w:i w:val="1"/>
          <w:iCs w:val="1"/>
          <w:color w:val="auto"/>
        </w:rPr>
        <w:t>Majority</w:t>
      </w:r>
      <w:r>
        <w:rPr>
          <w:rFonts w:ascii="Times New Roman" w:cs="Times New Roman" w:eastAsia="Times New Roman" w:hAnsi="Times New Roman"/>
          <w:sz w:val="18"/>
          <w:szCs w:val="18"/>
          <w:color w:val="auto"/>
        </w:rPr>
        <w:t>”) will take the steps set forth in Section 57(f) of the 1940 Act,</w:t>
      </w:r>
      <w:r>
        <w:rPr>
          <w:rFonts w:ascii="Times New Roman" w:cs="Times New Roman" w:eastAsia="Times New Roman" w:hAnsi="Times New Roman"/>
          <w:sz w:val="29"/>
          <w:szCs w:val="29"/>
          <w:color w:val="FF0000"/>
          <w:strike w:val="1"/>
          <w:vertAlign w:val="superscript"/>
        </w:rPr>
        <w:t>14</w:t>
      </w:r>
      <w:r>
        <w:rPr>
          <w:rFonts w:ascii="Times New Roman" w:cs="Times New Roman" w:eastAsia="Times New Roman" w:hAnsi="Times New Roman"/>
          <w:sz w:val="29"/>
          <w:szCs w:val="29"/>
          <w:u w:val="single" w:color="auto"/>
          <w:color w:val="0000FF"/>
          <w:vertAlign w:val="superscript"/>
        </w:rPr>
        <w:t>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unless: (i) the Regulated Fund already holds the same security as each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Affiliated Entity; and (ii) the Regulated Fund and each other Affiliated Entity holding the security is participating in the acquisition in approximate proportion to its then-current holdings.</w:t>
      </w:r>
    </w:p>
    <w:p>
      <w:pPr>
        <w:spacing w:after="0" w:line="198" w:lineRule="exact"/>
        <w:rPr>
          <w:sz w:val="20"/>
          <w:szCs w:val="20"/>
          <w:color w:val="auto"/>
        </w:rPr>
      </w:pPr>
    </w:p>
    <w:p>
      <w:pPr>
        <w:jc w:val="both"/>
        <w:ind w:firstLine="332"/>
        <w:spacing w:after="0" w:line="277" w:lineRule="auto"/>
        <w:tabs>
          <w:tab w:leader="none" w:pos="5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Related Expenses</w:t>
      </w:r>
      <w:r>
        <w:rPr>
          <w:rFonts w:ascii="Times New Roman" w:cs="Times New Roman" w:eastAsia="Times New Roman" w:hAnsi="Times New Roman"/>
          <w:sz w:val="18"/>
          <w:szCs w:val="18"/>
          <w:color w:val="auto"/>
        </w:rPr>
        <w:t>. Any expenses associated with acquiring, holding or disposing of any securities acquired in a Co-Investment Transaction,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not borne by the Adviser(s), will be shared among the Participants in proportion to the relative amounts of the securities being acquired, held or disposed of, as the case may be.</w:t>
      </w:r>
      <w:r>
        <w:rPr>
          <w:rFonts w:ascii="Times New Roman" w:cs="Times New Roman" w:eastAsia="Times New Roman" w:hAnsi="Times New Roman"/>
          <w:sz w:val="29"/>
          <w:szCs w:val="29"/>
          <w:color w:val="FF0000"/>
          <w:strike w:val="1"/>
          <w:vertAlign w:val="superscript"/>
        </w:rPr>
        <w:t>15</w:t>
      </w:r>
      <w:r>
        <w:rPr>
          <w:rFonts w:ascii="Times New Roman" w:cs="Times New Roman" w:eastAsia="Times New Roman" w:hAnsi="Times New Roman"/>
          <w:sz w:val="29"/>
          <w:szCs w:val="29"/>
          <w:u w:val="single" w:color="auto"/>
          <w:color w:val="0000FF"/>
          <w:vertAlign w:val="superscript"/>
        </w:rPr>
        <w:t>16</w:t>
      </w:r>
    </w:p>
    <w:p>
      <w:pPr>
        <w:spacing w:after="0" w:line="47" w:lineRule="exact"/>
        <w:rPr>
          <w:rFonts w:ascii="Times New Roman" w:cs="Times New Roman" w:eastAsia="Times New Roman" w:hAnsi="Times New Roman"/>
          <w:sz w:val="18"/>
          <w:szCs w:val="18"/>
          <w:color w:val="auto"/>
        </w:rPr>
      </w:pPr>
    </w:p>
    <w:p>
      <w:pPr>
        <w:jc w:val="both"/>
        <w:ind w:firstLine="332"/>
        <w:spacing w:after="0" w:line="243" w:lineRule="auto"/>
        <w:tabs>
          <w:tab w:leader="none" w:pos="5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Remuneration</w:t>
      </w:r>
      <w:r>
        <w:rPr>
          <w:rFonts w:ascii="Times New Roman" w:cs="Times New Roman" w:eastAsia="Times New Roman" w:hAnsi="Times New Roman"/>
          <w:sz w:val="18"/>
          <w:szCs w:val="18"/>
          <w:color w:val="auto"/>
        </w:rPr>
        <w:t>. Any transaction fee</w:t>
      </w:r>
      <w:r>
        <w:rPr>
          <w:rFonts w:ascii="Times New Roman" w:cs="Times New Roman" w:eastAsia="Times New Roman" w:hAnsi="Times New Roman"/>
          <w:sz w:val="29"/>
          <w:szCs w:val="29"/>
          <w:color w:val="FF0000"/>
          <w:strike w:val="1"/>
          <w:vertAlign w:val="superscript"/>
        </w:rPr>
        <w:t>16</w:t>
      </w:r>
      <w:r>
        <w:rPr>
          <w:rFonts w:ascii="Times New Roman" w:cs="Times New Roman" w:eastAsia="Times New Roman" w:hAnsi="Times New Roman"/>
          <w:sz w:val="29"/>
          <w:szCs w:val="29"/>
          <w:u w:val="single" w:color="auto"/>
          <w:color w:val="0000FF"/>
          <w:vertAlign w:val="superscript"/>
        </w:rPr>
        <w:t>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break-up, structuring, monitoring or commitment fees but excluding broker’s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spacing w:after="0" w:line="193" w:lineRule="exact"/>
        <w:rPr>
          <w:rFonts w:ascii="Times New Roman" w:cs="Times New Roman" w:eastAsia="Times New Roman" w:hAnsi="Times New Roman"/>
          <w:sz w:val="18"/>
          <w:szCs w:val="18"/>
          <w:color w:val="auto"/>
        </w:rPr>
      </w:pPr>
    </w:p>
    <w:p>
      <w:pPr>
        <w:jc w:val="both"/>
        <w:ind w:firstLine="332"/>
        <w:spacing w:after="0" w:line="265" w:lineRule="auto"/>
        <w:tabs>
          <w:tab w:leader="none" w:pos="5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Co-Investment Policies</w:t>
      </w:r>
      <w:r>
        <w:rPr>
          <w:rFonts w:ascii="Times New Roman" w:cs="Times New Roman" w:eastAsia="Times New Roman" w:hAnsi="Times New Roman"/>
          <w:sz w:val="18"/>
          <w:szCs w:val="18"/>
          <w:color w:val="auto"/>
        </w:rPr>
        <w:t>. Each Adviser (and each Affiliated Entity that is not advised by an Adviser) will adopt and implement policies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 w:cs="Times New Roman" w:eastAsia="Times New Roman" w:hAnsi="Times New Roman"/>
          <w:sz w:val="18"/>
          <w:szCs w:val="18"/>
          <w:b w:val="1"/>
          <w:bCs w:val="1"/>
          <w:i w:val="1"/>
          <w:iCs w:val="1"/>
          <w:color w:val="auto"/>
        </w:rPr>
        <w:t>Co-Investment Policies</w:t>
      </w:r>
      <w:r>
        <w:rPr>
          <w:rFonts w:ascii="Times New Roman" w:cs="Times New Roman" w:eastAsia="Times New Roman" w:hAnsi="Times New Roman"/>
          <w:sz w:val="18"/>
          <w:szCs w:val="18"/>
          <w:color w:val="auto"/>
        </w:rPr>
        <w:t>”). Each Adviser (and each Affiliated Entity that is not advised by an Adviser) will provide its Co-Investment Policies to the Regulated Funds and will notify the Regulated Funds of any material changes thereto.</w:t>
      </w:r>
      <w:r>
        <w:rPr>
          <w:rFonts w:ascii="Times New Roman" w:cs="Times New Roman" w:eastAsia="Times New Roman" w:hAnsi="Times New Roman"/>
          <w:sz w:val="29"/>
          <w:szCs w:val="29"/>
          <w:color w:val="FF0000"/>
          <w:strike w:val="1"/>
          <w:vertAlign w:val="superscript"/>
        </w:rPr>
        <w:t>17</w:t>
      </w:r>
      <w:r>
        <w:rPr>
          <w:rFonts w:ascii="Times New Roman" w:cs="Times New Roman" w:eastAsia="Times New Roman" w:hAnsi="Times New Roman"/>
          <w:sz w:val="29"/>
          <w:szCs w:val="29"/>
          <w:u w:val="single" w:color="auto"/>
          <w:color w:val="0000FF"/>
          <w:vertAlign w:val="superscript"/>
        </w:rPr>
        <w:t>18</w:t>
      </w:r>
    </w:p>
    <w:p>
      <w:pPr>
        <w:spacing w:after="0" w:line="54"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Dispositions</w:t>
      </w:r>
      <w:r>
        <w:rPr>
          <w:rFonts w:ascii="Times New Roman" w:cs="Times New Roman" w:eastAsia="Times New Roman" w:hAnsi="Times New Roman"/>
          <w:sz w:val="18"/>
          <w:szCs w:val="18"/>
          <w:color w:val="auto"/>
        </w:rPr>
        <w:t>:</w:t>
      </w:r>
    </w:p>
    <w:p>
      <w:pPr>
        <w:spacing w:after="0" w:line="230" w:lineRule="exact"/>
        <w:rPr>
          <w:rFonts w:ascii="Times New Roman" w:cs="Times New Roman" w:eastAsia="Times New Roman" w:hAnsi="Times New Roman"/>
          <w:sz w:val="18"/>
          <w:szCs w:val="18"/>
          <w:color w:val="auto"/>
        </w:rPr>
      </w:pPr>
    </w:p>
    <w:p>
      <w:pPr>
        <w:jc w:val="both"/>
        <w:ind w:left="1140" w:hanging="484"/>
        <w:spacing w:after="0" w:line="203" w:lineRule="auto"/>
        <w:tabs>
          <w:tab w:leader="none" w:pos="1140" w:val="left"/>
        </w:tabs>
        <w:numPr>
          <w:ilvl w:val="1"/>
          <w:numId w:val="3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Prior to any Disposition</w:t>
      </w:r>
      <w:r>
        <w:rPr>
          <w:rFonts w:ascii="Times New Roman" w:cs="Times New Roman" w:eastAsia="Times New Roman" w:hAnsi="Times New Roman"/>
          <w:sz w:val="29"/>
          <w:szCs w:val="29"/>
          <w:color w:val="FF0000"/>
          <w:strike w:val="1"/>
          <w:vertAlign w:val="superscript"/>
        </w:rPr>
        <w:t>18</w:t>
      </w:r>
      <w:r>
        <w:rPr>
          <w:rFonts w:ascii="Times New Roman" w:cs="Times New Roman" w:eastAsia="Times New Roman" w:hAnsi="Times New Roman"/>
          <w:sz w:val="29"/>
          <w:szCs w:val="29"/>
          <w:u w:val="single" w:color="auto"/>
          <w:color w:val="0000FF"/>
          <w:vertAlign w:val="superscript"/>
        </w:rPr>
        <w:t>19</w:t>
      </w:r>
      <w:r>
        <w:rPr>
          <w:rFonts w:ascii="Times New Roman" w:cs="Times New Roman" w:eastAsia="Times New Roman" w:hAnsi="Times New Roman"/>
          <w:sz w:val="18"/>
          <w:szCs w:val="18"/>
          <w:color w:val="auto"/>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78308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8"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5"/>
          <w:szCs w:val="15"/>
          <w:color w:val="FF0000"/>
          <w:strike w:val="1"/>
        </w:rPr>
        <w:t>13</w:t>
      </w:r>
      <w:r>
        <w:rPr>
          <w:rFonts w:ascii="Times New Roman" w:cs="Times New Roman" w:eastAsia="Times New Roman" w:hAnsi="Times New Roman"/>
          <w:sz w:val="17"/>
          <w:szCs w:val="17"/>
          <w:u w:val="single" w:color="auto"/>
          <w:color w:val="0000FF"/>
        </w:rPr>
        <w:t>14</w:t>
      </w:r>
      <w:r>
        <w:rPr>
          <w:sz w:val="20"/>
          <w:szCs w:val="20"/>
          <w:color w:val="auto"/>
        </w:rPr>
        <w:tab/>
      </w:r>
      <w:r>
        <w:rPr>
          <w:rFonts w:ascii="Times New Roman" w:cs="Times New Roman" w:eastAsia="Times New Roman" w:hAnsi="Times New Roman"/>
          <w:sz w:val="18"/>
          <w:szCs w:val="18"/>
          <w:color w:val="auto"/>
        </w:rPr>
        <w:t>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w:t>
      </w:r>
    </w:p>
    <w:p>
      <w:pPr>
        <w:spacing w:after="0" w:line="180"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Times New Roman" w:cs="Times New Roman" w:eastAsia="Times New Roman" w:hAnsi="Times New Roman"/>
          <w:sz w:val="15"/>
          <w:szCs w:val="15"/>
          <w:color w:val="FF0000"/>
          <w:strike w:val="1"/>
        </w:rPr>
        <w:t>14</w:t>
      </w:r>
      <w:r>
        <w:rPr>
          <w:rFonts w:ascii="Times New Roman" w:cs="Times New Roman" w:eastAsia="Times New Roman" w:hAnsi="Times New Roman"/>
          <w:sz w:val="17"/>
          <w:szCs w:val="17"/>
          <w:u w:val="single" w:color="auto"/>
          <w:color w:val="0000FF"/>
        </w:rPr>
        <w:t>15</w:t>
      </w:r>
      <w:r>
        <w:rPr>
          <w:sz w:val="20"/>
          <w:szCs w:val="20"/>
          <w:color w:val="auto"/>
        </w:rPr>
        <w:tab/>
      </w:r>
      <w:r>
        <w:rPr>
          <w:rFonts w:ascii="Times New Roman" w:cs="Times New Roman" w:eastAsia="Times New Roman" w:hAnsi="Times New Roman"/>
          <w:sz w:val="17"/>
          <w:szCs w:val="17"/>
          <w:color w:val="auto"/>
        </w:rPr>
        <w:t>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w:t>
      </w:r>
    </w:p>
    <w:p>
      <w:pPr>
        <w:spacing w:after="0" w:line="3" w:lineRule="exact"/>
        <w:rPr>
          <w:sz w:val="20"/>
          <w:szCs w:val="20"/>
          <w:color w:val="auto"/>
        </w:rPr>
      </w:pPr>
    </w:p>
    <w:p>
      <w:pPr>
        <w:ind w:left="660" w:hanging="4"/>
        <w:spacing w:after="0" w:line="260" w:lineRule="auto"/>
        <w:tabs>
          <w:tab w:leader="none" w:pos="99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BDC’s directors record in their minutes and preserve in their records a description of the transaction, their findings, the information or materials upon which their findings were based, and the basis for their findings.</w:t>
      </w:r>
    </w:p>
    <w:p>
      <w:pPr>
        <w:spacing w:after="0" w:line="181"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5"/>
          <w:szCs w:val="15"/>
          <w:color w:val="FF0000"/>
          <w:strike w:val="1"/>
        </w:rPr>
        <w:t>15</w:t>
      </w:r>
      <w:r>
        <w:rPr>
          <w:rFonts w:ascii="Times New Roman" w:cs="Times New Roman" w:eastAsia="Times New Roman" w:hAnsi="Times New Roman"/>
          <w:sz w:val="17"/>
          <w:szCs w:val="17"/>
          <w:u w:val="single" w:color="auto"/>
          <w:color w:val="0000FF"/>
        </w:rPr>
        <w:t>16</w:t>
      </w:r>
      <w:r>
        <w:rPr>
          <w:sz w:val="20"/>
          <w:szCs w:val="20"/>
          <w:color w:val="auto"/>
        </w:rPr>
        <w:tab/>
      </w:r>
      <w:r>
        <w:rPr>
          <w:rFonts w:ascii="Times New Roman" w:cs="Times New Roman" w:eastAsia="Times New Roman" w:hAnsi="Times New Roman"/>
          <w:sz w:val="18"/>
          <w:szCs w:val="18"/>
          <w:color w:val="auto"/>
        </w:rPr>
        <w:t>Expenses of an individual Participant that are incurred solely by the Participant due to its unique circumstances (such as legal and compliance expenses) will be borne by such Participant.</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5"/>
          <w:szCs w:val="15"/>
          <w:color w:val="FF0000"/>
          <w:strike w:val="1"/>
        </w:rPr>
        <w:t>16</w:t>
      </w:r>
      <w:r>
        <w:rPr>
          <w:rFonts w:ascii="Times New Roman" w:cs="Times New Roman" w:eastAsia="Times New Roman" w:hAnsi="Times New Roman"/>
          <w:sz w:val="17"/>
          <w:szCs w:val="17"/>
          <w:u w:val="single" w:color="auto"/>
          <w:color w:val="0000FF"/>
        </w:rPr>
        <w:t>17</w:t>
      </w:r>
      <w:r>
        <w:rPr>
          <w:sz w:val="20"/>
          <w:szCs w:val="20"/>
          <w:color w:val="auto"/>
        </w:rPr>
        <w:tab/>
      </w:r>
      <w:r>
        <w:rPr>
          <w:rFonts w:ascii="Times New Roman" w:cs="Times New Roman" w:eastAsia="Times New Roman" w:hAnsi="Times New Roman"/>
          <w:sz w:val="18"/>
          <w:szCs w:val="18"/>
          <w:color w:val="auto"/>
        </w:rPr>
        <w:t>Applicants are not requesting and the Commission is not providing any relief for transaction fees received in connection with any Co-Investment Transaction.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5"/>
          <w:szCs w:val="15"/>
          <w:color w:val="FF0000"/>
          <w:strike w:val="1"/>
        </w:rPr>
        <w:t>17</w:t>
      </w:r>
      <w:r>
        <w:rPr>
          <w:rFonts w:ascii="Times New Roman" w:cs="Times New Roman" w:eastAsia="Times New Roman" w:hAnsi="Times New Roman"/>
          <w:sz w:val="17"/>
          <w:szCs w:val="17"/>
          <w:u w:val="single" w:color="auto"/>
          <w:color w:val="0000FF"/>
        </w:rPr>
        <w:t>18</w:t>
      </w:r>
      <w:r>
        <w:rPr>
          <w:sz w:val="20"/>
          <w:szCs w:val="20"/>
          <w:color w:val="auto"/>
        </w:rPr>
        <w:tab/>
      </w:r>
      <w:r>
        <w:rPr>
          <w:rFonts w:ascii="Times New Roman" w:cs="Times New Roman" w:eastAsia="Times New Roman" w:hAnsi="Times New Roman"/>
          <w:sz w:val="17"/>
          <w:szCs w:val="17"/>
          <w:color w:val="auto"/>
        </w:rPr>
        <w:t>The Affiliated Entities may adopt shared Co-Investment Policies.</w:t>
      </w:r>
    </w:p>
    <w:p>
      <w:pPr>
        <w:spacing w:after="0" w:line="2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5"/>
          <w:szCs w:val="15"/>
          <w:color w:val="FF0000"/>
          <w:strike w:val="1"/>
        </w:rPr>
        <w:t>18</w:t>
      </w:r>
      <w:r>
        <w:rPr>
          <w:rFonts w:ascii="Times New Roman" w:cs="Times New Roman" w:eastAsia="Times New Roman" w:hAnsi="Times New Roman"/>
          <w:sz w:val="17"/>
          <w:szCs w:val="17"/>
          <w:u w:val="single" w:color="auto"/>
          <w:color w:val="0000FF"/>
        </w:rPr>
        <w:t>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Disposition</w:t>
      </w:r>
      <w:r>
        <w:rPr>
          <w:rFonts w:ascii="Times New Roman" w:cs="Times New Roman" w:eastAsia="Times New Roman" w:hAnsi="Times New Roman"/>
          <w:sz w:val="17"/>
          <w:szCs w:val="17"/>
          <w:color w:val="auto"/>
        </w:rPr>
        <w:t>” means the sale, exchange, transfer or other disposition of an interest in a security of an issuer.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jc w:val="both"/>
        <w:ind w:left="1140" w:hanging="484"/>
        <w:spacing w:after="0" w:line="276" w:lineRule="auto"/>
        <w:tabs>
          <w:tab w:leader="none" w:pos="11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 w:cs="Times New Roman" w:eastAsia="Times New Roman" w:hAnsi="Times New Roman"/>
          <w:sz w:val="29"/>
          <w:szCs w:val="29"/>
          <w:color w:val="FF0000"/>
          <w:strike w:val="1"/>
          <w:vertAlign w:val="superscript"/>
        </w:rPr>
        <w:t>19</w:t>
      </w:r>
      <w:r>
        <w:rPr>
          <w:rFonts w:ascii="Times New Roman" w:cs="Times New Roman" w:eastAsia="Times New Roman" w:hAnsi="Times New Roman"/>
          <w:sz w:val="29"/>
          <w:szCs w:val="29"/>
          <w:u w:val="single" w:color="auto"/>
          <w:color w:val="0000FF"/>
          <w:vertAlign w:val="superscript"/>
        </w:rPr>
        <w:t>20</w:t>
      </w:r>
    </w:p>
    <w:p>
      <w:pPr>
        <w:spacing w:after="0" w:line="42"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Oversight</w:t>
      </w:r>
    </w:p>
    <w:p>
      <w:pPr>
        <w:spacing w:after="0" w:line="227"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Regulated Fund’s directors will oversee the Regulated Fund’s participation in the co-investment program in the exercise of their reasonable business judgment.</w:t>
      </w:r>
    </w:p>
    <w:p>
      <w:pPr>
        <w:spacing w:after="0" w:line="16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Regulated Fund’s participation in Co-Investment Transactions, the Regulated Fund’s Board, including a Required Majority, will:</w:t>
      </w:r>
    </w:p>
    <w:p>
      <w:pPr>
        <w:spacing w:after="0" w:line="27" w:lineRule="exact"/>
        <w:rPr>
          <w:rFonts w:ascii="Times New Roman" w:cs="Times New Roman" w:eastAsia="Times New Roman" w:hAnsi="Times New Roman"/>
          <w:sz w:val="18"/>
          <w:szCs w:val="18"/>
          <w:color w:val="auto"/>
        </w:rPr>
      </w:pPr>
    </w:p>
    <w:p>
      <w:pPr>
        <w:jc w:val="both"/>
        <w:ind w:left="1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p>
      <w:pPr>
        <w:spacing w:after="0" w:line="185" w:lineRule="exact"/>
        <w:rPr>
          <w:rFonts w:ascii="Times New Roman" w:cs="Times New Roman" w:eastAsia="Times New Roman" w:hAnsi="Times New Roman"/>
          <w:sz w:val="18"/>
          <w:szCs w:val="18"/>
          <w:color w:val="auto"/>
        </w:rPr>
      </w:pPr>
    </w:p>
    <w:p>
      <w:pPr>
        <w:jc w:val="both"/>
        <w:ind w:left="1140" w:hanging="484"/>
        <w:spacing w:after="0" w:line="261" w:lineRule="auto"/>
        <w:tabs>
          <w:tab w:leader="none" w:pos="11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p>
      <w:pPr>
        <w:spacing w:after="0" w:line="179"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w:t>
      </w:r>
    </w:p>
    <w:p>
      <w:pPr>
        <w:spacing w:after="0" w:line="175"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p>
      <w:pPr>
        <w:spacing w:after="0" w:line="173" w:lineRule="exact"/>
        <w:rPr>
          <w:rFonts w:ascii="Times New Roman" w:cs="Times New Roman" w:eastAsia="Times New Roman" w:hAnsi="Times New Roman"/>
          <w:sz w:val="18"/>
          <w:szCs w:val="18"/>
          <w:color w:val="auto"/>
        </w:rPr>
      </w:pPr>
    </w:p>
    <w:p>
      <w:pPr>
        <w:jc w:val="both"/>
        <w:ind w:firstLine="332"/>
        <w:spacing w:after="0" w:line="269" w:lineRule="auto"/>
        <w:tabs>
          <w:tab w:leader="none" w:pos="5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Recordkeeping</w:t>
      </w:r>
      <w:r>
        <w:rPr>
          <w:rFonts w:ascii="Times New Roman" w:cs="Times New Roman" w:eastAsia="Times New Roman" w:hAnsi="Times New Roman"/>
          <w:sz w:val="18"/>
          <w:szCs w:val="18"/>
          <w:color w:val="auto"/>
        </w:rPr>
        <w:t>. All information presented to the Board pursuant to the order will be kept for the life of the Regulated Fund and at least two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 w:cs="Times New Roman" w:eastAsia="Times New Roman" w:hAnsi="Times New Roman"/>
          <w:sz w:val="29"/>
          <w:szCs w:val="29"/>
          <w:color w:val="FF0000"/>
          <w:strike w:val="1"/>
          <w:vertAlign w:val="superscript"/>
        </w:rPr>
        <w:t>20</w:t>
      </w:r>
      <w:r>
        <w:rPr>
          <w:rFonts w:ascii="Times New Roman" w:cs="Times New Roman" w:eastAsia="Times New Roman" w:hAnsi="Times New Roman"/>
          <w:sz w:val="29"/>
          <w:szCs w:val="29"/>
          <w:u w:val="single" w:color="auto"/>
          <w:color w:val="0000FF"/>
          <w:vertAlign w:val="superscript"/>
        </w:rPr>
        <w:t>21</w:t>
      </w:r>
    </w:p>
    <w:p>
      <w:pPr>
        <w:spacing w:after="0" w:line="52" w:lineRule="exact"/>
        <w:rPr>
          <w:rFonts w:ascii="Times New Roman" w:cs="Times New Roman" w:eastAsia="Times New Roman" w:hAnsi="Times New Roman"/>
          <w:sz w:val="18"/>
          <w:szCs w:val="18"/>
          <w:color w:val="auto"/>
        </w:rPr>
      </w:pPr>
    </w:p>
    <w:p>
      <w:pPr>
        <w:ind w:firstLine="332"/>
        <w:spacing w:after="0" w:line="282" w:lineRule="auto"/>
        <w:tabs>
          <w:tab w:leader="none" w:pos="52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Commission adopts a rule under the 1940 Act allowing co-investments of the type described in this Application, any relief granted by the Order will expire on the effective date of that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78"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5"/>
          <w:szCs w:val="15"/>
          <w:color w:val="FF0000"/>
          <w:strike w:val="1"/>
        </w:rPr>
        <w:t>19</w:t>
      </w:r>
      <w:r>
        <w:rPr>
          <w:rFonts w:ascii="Times New Roman" w:cs="Times New Roman" w:eastAsia="Times New Roman" w:hAnsi="Times New Roman"/>
          <w:sz w:val="17"/>
          <w:szCs w:val="17"/>
          <w:u w:val="single" w:color="auto"/>
          <w:color w:val="0000FF"/>
        </w:rPr>
        <w:t>20</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Tradable Security</w:t>
      </w:r>
      <w:r>
        <w:rPr>
          <w:rFonts w:ascii="Times New Roman" w:cs="Times New Roman" w:eastAsia="Times New Roman" w:hAnsi="Times New Roman"/>
          <w:sz w:val="18"/>
          <w:szCs w:val="18"/>
          <w:color w:val="auto"/>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5"/>
          <w:szCs w:val="15"/>
          <w:color w:val="FF0000"/>
          <w:strike w:val="1"/>
        </w:rPr>
        <w:t>20</w:t>
      </w:r>
      <w:r>
        <w:rPr>
          <w:rFonts w:ascii="Times New Roman" w:cs="Times New Roman" w:eastAsia="Times New Roman" w:hAnsi="Times New Roman"/>
          <w:sz w:val="17"/>
          <w:szCs w:val="17"/>
          <w:u w:val="single" w:color="auto"/>
          <w:color w:val="0000FF"/>
        </w:rPr>
        <w:t>21</w:t>
      </w:r>
      <w:r>
        <w:rPr>
          <w:sz w:val="20"/>
          <w:szCs w:val="20"/>
          <w:color w:val="auto"/>
        </w:rPr>
        <w:tab/>
      </w:r>
      <w:r>
        <w:rPr>
          <w:rFonts w:ascii="Times New Roman" w:cs="Times New Roman" w:eastAsia="Times New Roman" w:hAnsi="Times New Roman"/>
          <w:sz w:val="18"/>
          <w:szCs w:val="18"/>
          <w:color w:val="auto"/>
        </w:rPr>
        <w:t>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IV. STATEMENT IN SUPPORT OF RELIEF REQUESTED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spacing w:after="0" w:line="15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Potential Benefits to the Regulated Funds and their Shareholders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spacing w:after="0" w:line="18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Shareholder Protections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w:t>
      </w:r>
      <w:r>
        <w:rPr>
          <w:rFonts w:ascii="Times New Roman" w:cs="Times New Roman" w:eastAsia="Times New Roman" w:hAnsi="Times New Roman"/>
          <w:sz w:val="18"/>
          <w:szCs w:val="18"/>
          <w:color w:val="FF0000"/>
          <w:strike w:val="1"/>
        </w:rPr>
        <w:t>Co Investment</w:t>
      </w:r>
      <w:r>
        <w:rPr>
          <w:rFonts w:ascii="Times New Roman" w:cs="Times New Roman" w:eastAsia="Times New Roman" w:hAnsi="Times New Roman"/>
          <w:sz w:val="18"/>
          <w:szCs w:val="18"/>
          <w:u w:val="single" w:color="auto"/>
          <w:color w:val="0000FF"/>
        </w:rPr>
        <w:t>Co-Investment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Transaction considers the interest in the Transaction of any participating Regulated Fund. The Co-Investment Policies will require an Adviser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make an independent determination of the appropriateness of a Co-Investment Transaction and the proposed allocation size based on each Participant’s specific investment profile and other relevant characteristics.</w:t>
      </w:r>
    </w:p>
    <w:p>
      <w:pPr>
        <w:spacing w:after="0" w:line="18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7"/>
          <w:szCs w:val="17"/>
          <w:b w:val="1"/>
          <w:bCs w:val="1"/>
          <w:color w:val="auto"/>
        </w:rPr>
        <w:t>PRECEDENTS</w:t>
      </w:r>
    </w:p>
    <w:p>
      <w:pPr>
        <w:spacing w:after="0" w:line="229"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The Commission has previously issued orders permitting certain investment companies subject to regulation under the 1940 Act and their affiliated persons to be able to participate in Co-Investment Transactions (the “</w:t>
      </w:r>
      <w:r>
        <w:rPr>
          <w:rFonts w:ascii="Times New Roman" w:cs="Times New Roman" w:eastAsia="Times New Roman" w:hAnsi="Times New Roman"/>
          <w:sz w:val="18"/>
          <w:szCs w:val="18"/>
          <w:b w:val="1"/>
          <w:bCs w:val="1"/>
          <w:i w:val="1"/>
          <w:iCs w:val="1"/>
          <w:color w:val="auto"/>
        </w:rPr>
        <w:t>Existing Orders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FF0000"/>
          <w:strike w:val="1"/>
          <w:vertAlign w:val="superscript"/>
        </w:rPr>
        <w:t>21</w:t>
      </w:r>
      <w:r>
        <w:rPr>
          <w:rFonts w:ascii="Times New Roman" w:cs="Times New Roman" w:eastAsia="Times New Roman" w:hAnsi="Times New Roman"/>
          <w:sz w:val="29"/>
          <w:szCs w:val="29"/>
          <w:u w:val="single" w:color="auto"/>
          <w:color w:val="0000FF"/>
          <w:vertAlign w:val="superscript"/>
        </w:rPr>
        <w:t>22</w:t>
      </w:r>
      <w:r>
        <w:rPr>
          <w:rFonts w:ascii="Times New Roman" w:cs="Times New Roman" w:eastAsia="Times New Roman" w:hAnsi="Times New Roman"/>
          <w:sz w:val="18"/>
          <w:szCs w:val="18"/>
          <w:color w:val="auto"/>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spacing w:after="0" w:line="19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5"/>
          <w:szCs w:val="15"/>
          <w:color w:val="FF0000"/>
          <w:strike w:val="1"/>
        </w:rPr>
        <w:t>21</w:t>
      </w:r>
      <w:r>
        <w:rPr>
          <w:rFonts w:ascii="Times New Roman" w:cs="Times New Roman" w:eastAsia="Times New Roman" w:hAnsi="Times New Roman"/>
          <w:sz w:val="17"/>
          <w:szCs w:val="17"/>
          <w:u w:val="single" w:color="auto"/>
          <w:color w:val="0000FF"/>
        </w:rPr>
        <w:t>22</w:t>
      </w:r>
      <w:r>
        <w:rPr>
          <w:sz w:val="20"/>
          <w:szCs w:val="20"/>
          <w:color w:val="auto"/>
        </w:rPr>
        <w:tab/>
      </w: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 FS Credit Opportunities Corp.,</w:t>
      </w:r>
      <w:r>
        <w:rPr>
          <w:rFonts w:ascii="Times New Roman" w:cs="Times New Roman" w:eastAsia="Times New Roman" w:hAnsi="Times New Roman"/>
          <w:sz w:val="18"/>
          <w:szCs w:val="18"/>
          <w:i w:val="1"/>
          <w:iCs w:val="1"/>
          <w:color w:val="auto"/>
        </w:rPr>
        <w:t xml:space="preserve"> et al. </w:t>
      </w:r>
      <w:r>
        <w:rPr>
          <w:rFonts w:ascii="Times New Roman" w:cs="Times New Roman" w:eastAsia="Times New Roman" w:hAnsi="Times New Roman"/>
          <w:sz w:val="18"/>
          <w:szCs w:val="18"/>
          <w:color w:val="auto"/>
        </w:rPr>
        <w:t>(File No. 812-15706), Release No. IC-35520 (April 3, 2025) (notice), Release No. IC-35561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29, 2025) (order); Sixth Street Specialty Lending, Inc.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812-15729), Release No. IC-35531 (April 10, 2025) (notice), Release No. IC-35570 (May 6, 2025) (order); Blue Owl Capital Corporation,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812-15715), Release No. IC-35530 (April 9, 2025) (notice), Release No. IC-35573 (May 6, 2025) (order); BlackRock Growth Equity Fund LP,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(File No. 812-15712), Release No. IC-35525 (April 8, 2025) (notice), Release No. IC-35572 (May 6, 2025) (order).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VI. PROCEDURAL MATTERS</w:t>
      </w:r>
    </w:p>
    <w:p>
      <w:pPr>
        <w:spacing w:after="0" w:line="22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Communications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address all communications concerning this Application, the Notice and the Order 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Scott Gordon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Umesh Mahajan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Peter Sack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BDC,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John Cochran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Chief Operating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Crestline Management,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201 Main Street</w:t>
      </w:r>
      <w:r>
        <w:rPr>
          <w:rFonts w:ascii="Times New Roman" w:cs="Times New Roman" w:eastAsia="Times New Roman" w:hAnsi="Times New Roman"/>
          <w:sz w:val="18"/>
          <w:szCs w:val="18"/>
          <w:b w:val="1"/>
          <w:bCs w:val="1"/>
          <w:u w:val="single" w:color="auto"/>
          <w:color w:val="0000FF"/>
        </w:rPr>
        <w:t>600 Madison Avenue</w:t>
      </w:r>
      <w:r>
        <w:rPr>
          <w:rFonts w:ascii="Times New Roman" w:cs="Times New Roman" w:eastAsia="Times New Roman" w:hAnsi="Times New Roman"/>
          <w:sz w:val="18"/>
          <w:szCs w:val="18"/>
          <w:b w:val="1"/>
          <w:bCs w:val="1"/>
          <w:color w:val="000000"/>
        </w:rPr>
        <w:t>, Suite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2100</w:t>
      </w:r>
      <w:r>
        <w:rPr>
          <w:rFonts w:ascii="Times New Roman" w:cs="Times New Roman" w:eastAsia="Times New Roman" w:hAnsi="Times New Roman"/>
          <w:sz w:val="18"/>
          <w:szCs w:val="18"/>
          <w:b w:val="1"/>
          <w:bCs w:val="1"/>
          <w:u w:val="single" w:color="auto"/>
          <w:color w:val="0000FF"/>
        </w:rPr>
        <w:t>1800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New York, NY 10022</w:t>
      </w:r>
    </w:p>
    <w:p>
      <w:pPr>
        <w:spacing w:after="0" w:line="9" w:lineRule="exact"/>
        <w:rPr>
          <w:sz w:val="20"/>
          <w:szCs w:val="20"/>
          <w:color w:val="auto"/>
        </w:rPr>
      </w:pPr>
    </w:p>
    <w:p>
      <w:pPr>
        <w:ind w:left="5500" w:hanging="438"/>
        <w:spacing w:after="0"/>
        <w:tabs>
          <w:tab w:leader="none" w:pos="5500" w:val="left"/>
        </w:tabs>
        <w:numPr>
          <w:ilvl w:val="0"/>
          <w:numId w:val="43"/>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905-4923</w:t>
      </w:r>
    </w:p>
    <w:p>
      <w:pPr>
        <w:spacing w:after="0" w:line="9" w:lineRule="exact"/>
        <w:rPr>
          <w:rFonts w:ascii="Times New Roman" w:cs="Times New Roman" w:eastAsia="Times New Roman" w:hAnsi="Times New Roman"/>
          <w:sz w:val="18"/>
          <w:szCs w:val="18"/>
          <w:b w:val="1"/>
          <w:bCs w:val="1"/>
          <w:u w:val="single" w:color="auto"/>
          <w:color w:val="0000FF"/>
        </w:rPr>
      </w:pPr>
    </w:p>
    <w:p>
      <w:pPr>
        <w:ind w:left="4760"/>
        <w:spacing w:after="0"/>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color w:val="FF0000"/>
          <w:strike w:val="1"/>
        </w:rPr>
        <w:t>Fort Worth, TX 76102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johncochran@crestlineinc.com</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address any questions, and a copy of any communications, concerning this Application, the Notice, and the Order 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Steven B. Boehm, Esq.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 G. Oberndorf, Esq.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Payam Siadatpour</w:t>
      </w:r>
      <w:r>
        <w:rPr>
          <w:rFonts w:ascii="Times New Roman" w:cs="Times New Roman" w:eastAsia="Times New Roman" w:hAnsi="Times New Roman"/>
          <w:sz w:val="18"/>
          <w:szCs w:val="18"/>
          <w:b w:val="1"/>
          <w:bCs w:val="1"/>
          <w:u w:val="single" w:color="auto"/>
          <w:color w:val="0000FF"/>
        </w:rPr>
        <w:t>Owen J. Pinkerton</w:t>
      </w:r>
      <w:r>
        <w:rPr>
          <w:rFonts w:ascii="Times New Roman" w:cs="Times New Roman" w:eastAsia="Times New Roman" w:hAnsi="Times New Roman"/>
          <w:sz w:val="18"/>
          <w:szCs w:val="18"/>
          <w:b w:val="1"/>
          <w:bCs w:val="1"/>
          <w:color w:val="000000"/>
        </w:rPr>
        <w:t>, Esq.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Eversheds Sutherland (US) LLP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700 Sixth Street, </w:t>
      </w:r>
      <w:r>
        <w:rPr>
          <w:rFonts w:ascii="Times New Roman" w:cs="Times New Roman" w:eastAsia="Times New Roman" w:hAnsi="Times New Roman"/>
          <w:sz w:val="18"/>
          <w:szCs w:val="18"/>
          <w:b w:val="1"/>
          <w:bCs w:val="1"/>
          <w:color w:val="FF0000"/>
          <w:strike w:val="1"/>
        </w:rPr>
        <w:t>N.W.</w:t>
      </w:r>
      <w:r>
        <w:rPr>
          <w:rFonts w:ascii="Times New Roman" w:cs="Times New Roman" w:eastAsia="Times New Roman" w:hAnsi="Times New Roman"/>
          <w:sz w:val="18"/>
          <w:szCs w:val="18"/>
          <w:b w:val="1"/>
          <w:bCs w:val="1"/>
          <w:u w:val="single" w:color="auto"/>
          <w:color w:val="0000FF"/>
        </w:rPr>
        <w:t>NW</w:t>
      </w:r>
      <w:r>
        <w:rPr>
          <w:rFonts w:ascii="Times New Roman" w:cs="Times New Roman" w:eastAsia="Times New Roman" w:hAnsi="Times New Roman"/>
          <w:sz w:val="18"/>
          <w:szCs w:val="18"/>
          <w:b w:val="1"/>
          <w:bCs w:val="1"/>
          <w:color w:val="auto"/>
        </w:rPr>
        <w:t>, Suite 700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0"/>
          <w:szCs w:val="20"/>
          <w:color w:val="auto"/>
        </w:rPr>
      </w:pPr>
    </w:p>
    <w:p>
      <w:pPr>
        <w:ind w:left="5500" w:hanging="438"/>
        <w:spacing w:after="0"/>
        <w:tabs>
          <w:tab w:leader="none" w:pos="5500" w:val="left"/>
        </w:tabs>
        <w:numPr>
          <w:ilvl w:val="0"/>
          <w:numId w:val="44"/>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383-0100</w:t>
      </w:r>
    </w:p>
    <w:p>
      <w:pPr>
        <w:spacing w:after="0" w:line="9" w:lineRule="exact"/>
        <w:rPr>
          <w:rFonts w:ascii="Times New Roman" w:cs="Times New Roman" w:eastAsia="Times New Roman" w:hAnsi="Times New Roman"/>
          <w:sz w:val="18"/>
          <w:szCs w:val="18"/>
          <w:b w:val="1"/>
          <w:bCs w:val="1"/>
          <w:color w:val="FF0000"/>
          <w:strike w:val="1"/>
        </w:rPr>
      </w:pPr>
    </w:p>
    <w:p>
      <w:pPr>
        <w:jc w:val="center"/>
        <w:ind w:left="3960" w:right="3960" w:firstLine="5"/>
        <w:spacing w:after="0" w:line="277" w:lineRule="auto"/>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7"/>
          <w:szCs w:val="17"/>
          <w:b w:val="1"/>
          <w:bCs w:val="1"/>
          <w:color w:val="auto"/>
        </w:rPr>
        <w:t xml:space="preserve">anneoberndorf@eversheds-sutherland.com </w:t>
      </w:r>
      <w:r>
        <w:rPr>
          <w:rFonts w:ascii="Times New Roman" w:cs="Times New Roman" w:eastAsia="Times New Roman" w:hAnsi="Times New Roman"/>
          <w:sz w:val="17"/>
          <w:szCs w:val="17"/>
          <w:b w:val="1"/>
          <w:bCs w:val="1"/>
          <w:u w:val="single" w:color="auto"/>
          <w:color w:val="0000FF"/>
        </w:rPr>
        <w:t>owenpinkerton@eversheds-sutherland.com Telephone (202) 383-0100</w:t>
      </w:r>
    </w:p>
    <w:p>
      <w:pPr>
        <w:spacing w:after="0" w:line="16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Authorizations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filing of this Application for the Order sought hereby and the taking of all acts reasonably necessary to obtain the relief requested herein was authorized by the Board of the Existing Regulated Fund pursuant to resolutions duly adopted by the Board. Copies of the resolutions are provided below.</w:t>
      </w:r>
    </w:p>
    <w:p>
      <w:pPr>
        <w:spacing w:after="0" w:line="162"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 xml:space="preserve">Pursuant to Rule 0-2(c), Applicants hereby state that </w:t>
      </w:r>
      <w:r>
        <w:rPr>
          <w:rFonts w:ascii="Times New Roman" w:cs="Times New Roman" w:eastAsia="Times New Roman" w:hAnsi="Times New Roman"/>
          <w:sz w:val="17"/>
          <w:szCs w:val="17"/>
          <w:color w:val="FF0000"/>
          <w:strike w:val="1"/>
        </w:rPr>
        <w:t>the Existing Regulated Fund and each Existing Affiliated Fund have</w:t>
      </w:r>
      <w:r>
        <w:rPr>
          <w:rFonts w:ascii="Times New Roman" w:cs="Times New Roman" w:eastAsia="Times New Roman" w:hAnsi="Times New Roman"/>
          <w:sz w:val="17"/>
          <w:szCs w:val="17"/>
          <w:u w:val="single" w:color="auto"/>
          <w:color w:val="0000FF"/>
        </w:rPr>
        <w:t>each Applicant has</w:t>
      </w:r>
      <w:r>
        <w:rPr>
          <w:rFonts w:ascii="Times New Roman" w:cs="Times New Roman" w:eastAsia="Times New Roman" w:hAnsi="Times New Roman"/>
          <w:sz w:val="17"/>
          <w:szCs w:val="17"/>
          <w:color w:val="auto"/>
        </w:rPr>
        <w:t xml:space="preserve"> authorized to cause to be prepared and to execute and file with the Commission this Application and any amendment thereto for an order pursuant to Section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u w:val="single" w:color="auto"/>
          <w:color w:val="0000FF"/>
        </w:rPr>
        <w:t>In accordance with the requirements for a request for expedited review of this Application, marked copies of two recent applications seeking the same relief as Applicants that are substantially identical as required by Rule 0-5(e) of the 1940 Act are attached as Appendix 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7"/>
          <w:szCs w:val="17"/>
          <w:color w:val="auto"/>
        </w:rPr>
        <w:t xml:space="preserve">The Applicants have caused this Application to be duly signed on their behalf on the </w:t>
      </w:r>
      <w:r>
        <w:rPr>
          <w:rFonts w:ascii="Times New Roman" w:cs="Times New Roman" w:eastAsia="Times New Roman" w:hAnsi="Times New Roman"/>
          <w:sz w:val="17"/>
          <w:szCs w:val="17"/>
          <w:color w:val="FF0000"/>
          <w:strike w:val="1"/>
        </w:rPr>
        <w:t>2nd</w:t>
      </w:r>
      <w:r>
        <w:rPr>
          <w:rFonts w:ascii="Times New Roman" w:cs="Times New Roman" w:eastAsia="Times New Roman" w:hAnsi="Times New Roman"/>
          <w:sz w:val="17"/>
          <w:szCs w:val="17"/>
          <w:u w:val="single" w:color="auto"/>
          <w:color w:val="0000FF"/>
        </w:rPr>
        <w:t>18</w:t>
      </w:r>
      <w:r>
        <w:rPr>
          <w:rFonts w:ascii="Times New Roman" w:cs="Times New Roman" w:eastAsia="Times New Roman" w:hAnsi="Times New Roman"/>
          <w:sz w:val="28"/>
          <w:szCs w:val="28"/>
          <w:u w:val="single" w:color="auto"/>
          <w:color w:val="0000FF"/>
          <w:vertAlign w:val="superscript"/>
        </w:rPr>
        <w:t>th</w:t>
      </w:r>
      <w:r>
        <w:rPr>
          <w:rFonts w:ascii="Times New Roman" w:cs="Times New Roman" w:eastAsia="Times New Roman" w:hAnsi="Times New Roman"/>
          <w:sz w:val="17"/>
          <w:szCs w:val="17"/>
          <w:color w:val="auto"/>
        </w:rPr>
        <w:t xml:space="preserve"> day of </w:t>
      </w:r>
      <w:r>
        <w:rPr>
          <w:rFonts w:ascii="Times New Roman" w:cs="Times New Roman" w:eastAsia="Times New Roman" w:hAnsi="Times New Roman"/>
          <w:sz w:val="17"/>
          <w:szCs w:val="17"/>
          <w:color w:val="FF0000"/>
          <w:strike w:val="1"/>
        </w:rPr>
        <w:t>September</w:t>
      </w:r>
      <w:r>
        <w:rPr>
          <w:rFonts w:ascii="Times New Roman" w:cs="Times New Roman" w:eastAsia="Times New Roman" w:hAnsi="Times New Roman"/>
          <w:sz w:val="17"/>
          <w:szCs w:val="17"/>
          <w:u w:val="single" w:color="auto"/>
          <w:color w:val="0000FF"/>
        </w:rPr>
        <w:t>March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2025</w:t>
      </w:r>
      <w:r>
        <w:rPr>
          <w:rFonts w:ascii="Times New Roman" w:cs="Times New Roman" w:eastAsia="Times New Roman" w:hAnsi="Times New Roman"/>
          <w:sz w:val="17"/>
          <w:szCs w:val="17"/>
          <w:u w:val="single" w:color="auto"/>
          <w:color w:val="0000FF"/>
        </w:rPr>
        <w:t>2026</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 xml:space="preserve">Crestline Lending Solutions, LLC </w:t>
      </w:r>
      <w:r>
        <w:rPr>
          <w:rFonts w:ascii="Times New Roman" w:cs="Times New Roman" w:eastAsia="Times New Roman" w:hAnsi="Times New Roman"/>
          <w:sz w:val="18"/>
          <w:szCs w:val="18"/>
          <w:b w:val="1"/>
          <w:bCs w:val="1"/>
          <w:u w:val="single" w:color="auto"/>
          <w:color w:val="0000FF"/>
          <w:strike w:val="1"/>
        </w:rPr>
        <w:t>CHICAGO ATLANTIC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9772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BDC, INC.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color w:val="FF0000"/>
          <w:strike w:val="1"/>
        </w:rPr>
        <w:t>Chris Semple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Peter Sack</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color w:val="FF0000"/>
          <w:strike w:val="1"/>
        </w:rPr>
        <w:t>Chris Semple</w:t>
      </w:r>
      <w:r>
        <w:rPr>
          <w:rFonts w:ascii="Times New Roman" w:cs="Times New Roman" w:eastAsia="Times New Roman" w:hAnsi="Times New Roman"/>
          <w:sz w:val="18"/>
          <w:szCs w:val="18"/>
          <w:u w:val="single" w:color="auto"/>
          <w:color w:val="0000FF"/>
        </w:rPr>
        <w:t>Peter Sack</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 Management, L.P.</w:t>
      </w:r>
      <w:r>
        <w:rPr>
          <w:rFonts w:ascii="Times New Roman" w:cs="Times New Roman" w:eastAsia="Times New Roman" w:hAnsi="Times New Roman"/>
          <w:sz w:val="18"/>
          <w:szCs w:val="18"/>
          <w:b w:val="1"/>
          <w:bCs w:val="1"/>
          <w:u w:val="single" w:color="auto"/>
          <w:color w:val="0000FF"/>
          <w:strike w:val="1"/>
        </w:rPr>
        <w:t>CHICAGO ATLANTIC BDC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ADVISERS,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05760"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05760" cy="291465"/>
                    </a:xfrm>
                    <a:prstGeom prst="rect">
                      <a:avLst/>
                    </a:prstGeom>
                    <a:noFill/>
                  </pic:spPr>
                </pic:pic>
              </a:graphicData>
            </a:graphic>
          </wp:anchor>
        </w:drawing>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By</w:t>
      </w:r>
      <w:r>
        <w:rPr>
          <w:rFonts w:ascii="Times New Roman" w:cs="Times New Roman" w:eastAsia="Times New Roman" w:hAnsi="Times New Roman"/>
          <w:sz w:val="18"/>
          <w:szCs w:val="18"/>
          <w:u w:val="single" w:color="auto"/>
          <w:color w:val="0000FF"/>
        </w:rPr>
        <w:t>Name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strike w:val="1"/>
        </w:rPr>
        <w:t>/s/ John Cochran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14605</wp:posOffset>
            </wp:positionV>
            <wp:extent cx="270891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08910" cy="137160"/>
                    </a:xfrm>
                    <a:prstGeom prst="rect">
                      <a:avLst/>
                    </a:prstGeom>
                    <a:noFill/>
                  </pic:spPr>
                </pic:pic>
              </a:graphicData>
            </a:graphic>
          </wp:anchor>
        </w:drawing>
      </w:r>
    </w:p>
    <w:p>
      <w:pPr>
        <w:spacing w:after="0" w:line="3"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8"/>
          <w:szCs w:val="18"/>
          <w:u w:val="single" w:color="auto"/>
          <w:color w:val="0000FF"/>
        </w:rPr>
        <w:t>Manager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2854325" cy="685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54325" cy="68580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color w:val="FF0000"/>
          <w:strike w:val="1"/>
        </w:rPr>
        <w:t>John Cochran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Anthony Cappell</w:t>
      </w:r>
    </w:p>
    <w:p>
      <w:pPr>
        <w:spacing w:after="0" w:line="9"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FF0000"/>
          <w:strike w:val="1"/>
        </w:rPr>
        <w:t xml:space="preserve">Chief Operating Officer </w:t>
      </w:r>
      <w:r>
        <w:rPr>
          <w:rFonts w:ascii="Times New Roman" w:cs="Times New Roman" w:eastAsia="Times New Roman" w:hAnsi="Times New Roman"/>
          <w:sz w:val="18"/>
          <w:szCs w:val="18"/>
          <w:u w:val="single" w:color="auto"/>
          <w:color w:val="0000FF"/>
          <w:strike w:val="1"/>
        </w:rPr>
        <w:t>Authorized Person</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FF0000"/>
          <w:strike w:val="1"/>
        </w:rPr>
        <w:t>Existing Proprietary Accounts: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EQUITY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CO3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401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MANAGEMENT,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CL Life and Annuity Insurance Company</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CL Re SPC</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Re SP1, a segregated portfolio of CL Re SPC</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CL Re SP2, a segregated portfolio of CL Re SPC</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REIT MANAGER,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PORTFOLIO,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EQUITY FUND,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OPPORTUNITY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401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OPPORTUNITY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2854325" cy="274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54325" cy="27432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14630" cy="5657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4630" cy="56578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color w:val="FF0000"/>
          <w:strike w:val="1"/>
        </w:rPr>
        <w:t>John Cochran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64033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color w:val="FF0000"/>
          <w:strike w:val="1"/>
        </w:rPr>
        <w:t>John Cochran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Anthony Cappell</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FF0000"/>
          <w:strike w:val="1"/>
        </w:rPr>
        <w:t xml:space="preserve">Director </w:t>
      </w:r>
      <w:r>
        <w:rPr>
          <w:rFonts w:ascii="Times New Roman" w:cs="Times New Roman" w:eastAsia="Times New Roman" w:hAnsi="Times New Roman"/>
          <w:sz w:val="17"/>
          <w:szCs w:val="17"/>
          <w:u w:val="single" w:color="auto"/>
          <w:color w:val="0000FF"/>
          <w:strike w:val="1"/>
        </w:rPr>
        <w:t>Authorized Person</w:t>
      </w:r>
    </w:p>
    <w:p>
      <w:pPr>
        <w:spacing w:after="0" w:line="200" w:lineRule="exact"/>
        <w:rPr>
          <w:sz w:val="20"/>
          <w:szCs w:val="20"/>
          <w:color w:val="auto"/>
        </w:rPr>
      </w:pPr>
    </w:p>
    <w:p>
      <w:pPr>
        <w:spacing w:after="0" w:line="22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CREDIT OPPORTUNITIES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401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CO3 (OFFSHORE),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CO3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CREDIT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401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REAL ESTATE FINANCE,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Peter Sack</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Peter Sack</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Chief Executive Officer</w:t>
      </w:r>
    </w:p>
    <w:p>
      <w:pPr>
        <w:spacing w:after="0" w:line="200" w:lineRule="exact"/>
        <w:rPr>
          <w:sz w:val="20"/>
          <w:szCs w:val="20"/>
          <w:color w:val="auto"/>
        </w:rPr>
      </w:pPr>
    </w:p>
    <w:p>
      <w:pPr>
        <w:spacing w:after="0" w:line="22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CREDIT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CA CO SPV,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CA CREDIT SPV,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0" w:lineRule="exact"/>
        <w:rPr>
          <w:sz w:val="20"/>
          <w:szCs w:val="20"/>
          <w:color w:val="auto"/>
        </w:rPr>
      </w:pPr>
    </w:p>
    <w:p>
      <w:pPr>
        <w:spacing w:after="0" w:line="22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4" w:name="page35"/>
    <w:bookmarkEnd w:id="34"/>
    <w:p>
      <w:pPr>
        <w:ind w:left="3988"/>
        <w:spacing w:after="0"/>
        <w:rPr>
          <w:sz w:val="20"/>
          <w:szCs w:val="20"/>
          <w:color w:val="auto"/>
        </w:rPr>
      </w:pPr>
      <w:r>
        <w:rPr>
          <w:rFonts w:ascii="Times New Roman" w:cs="Times New Roman" w:eastAsia="Times New Roman" w:hAnsi="Times New Roman"/>
          <w:sz w:val="18"/>
          <w:szCs w:val="18"/>
          <w:b w:val="1"/>
          <w:bCs w:val="1"/>
          <w:u w:val="single" w:color="auto"/>
          <w:color w:val="0000FF"/>
        </w:rPr>
        <w:t>Schedule A - Existing Affiliated Funds</w:t>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0000FF"/>
        </w:rPr>
        <w:t>All Existing Affiliated Funds are advised by an Adviser as set forth below:</w:t>
      </w:r>
    </w:p>
    <w:p>
      <w:pPr>
        <w:spacing w:after="0" w:line="225" w:lineRule="exact"/>
        <w:rPr>
          <w:sz w:val="20"/>
          <w:szCs w:val="20"/>
          <w:color w:val="auto"/>
        </w:rPr>
      </w:pPr>
    </w:p>
    <w:p>
      <w:pPr>
        <w:ind w:left="328" w:hanging="328"/>
        <w:spacing w:after="0"/>
        <w:tabs>
          <w:tab w:leader="none" w:pos="328" w:val="left"/>
        </w:tabs>
        <w:numPr>
          <w:ilvl w:val="0"/>
          <w:numId w:val="4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Existing Affiliated Funds </w:t>
      </w:r>
      <w:r>
        <w:rPr>
          <w:rFonts w:ascii="Times New Roman" w:cs="Times New Roman" w:eastAsia="Times New Roman" w:hAnsi="Times New Roman"/>
          <w:sz w:val="18"/>
          <w:szCs w:val="18"/>
          <w:u w:val="single" w:color="auto"/>
          <w:color w:val="0000FF"/>
        </w:rPr>
        <w:t>advised by Chicago Atlantic Advisers, LLC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0000FF"/>
        </w:rPr>
      </w:pPr>
    </w:p>
    <w:p>
      <w:pPr>
        <w:ind w:left="648" w:hanging="324"/>
        <w:spacing w:after="0"/>
        <w:tabs>
          <w:tab w:leader="none" w:pos="648" w:val="left"/>
        </w:tabs>
        <w:numPr>
          <w:ilvl w:val="1"/>
          <w:numId w:val="4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Chicago Atlantic Opportunity Portfolio, LP</w:t>
      </w:r>
    </w:p>
    <w:p>
      <w:pPr>
        <w:spacing w:after="0" w:line="225" w:lineRule="exact"/>
        <w:rPr>
          <w:rFonts w:ascii="Times New Roman" w:cs="Times New Roman" w:eastAsia="Times New Roman" w:hAnsi="Times New Roman"/>
          <w:sz w:val="18"/>
          <w:szCs w:val="18"/>
          <w:u w:val="single" w:color="auto"/>
          <w:color w:val="0000FF"/>
        </w:rPr>
      </w:pPr>
    </w:p>
    <w:p>
      <w:pPr>
        <w:ind w:left="648" w:hanging="324"/>
        <w:spacing w:after="0"/>
        <w:tabs>
          <w:tab w:leader="none" w:pos="648" w:val="left"/>
        </w:tabs>
        <w:numPr>
          <w:ilvl w:val="1"/>
          <w:numId w:val="4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Chicago Atlantic Opportunity Finance, LLC</w:t>
      </w:r>
    </w:p>
    <w:p>
      <w:pPr>
        <w:spacing w:after="0" w:line="225" w:lineRule="exact"/>
        <w:rPr>
          <w:rFonts w:ascii="Times New Roman" w:cs="Times New Roman" w:eastAsia="Times New Roman" w:hAnsi="Times New Roman"/>
          <w:sz w:val="18"/>
          <w:szCs w:val="18"/>
          <w:u w:val="single" w:color="auto"/>
          <w:color w:val="0000FF"/>
        </w:rPr>
      </w:pPr>
    </w:p>
    <w:p>
      <w:pPr>
        <w:ind w:left="648" w:hanging="324"/>
        <w:spacing w:after="0"/>
        <w:tabs>
          <w:tab w:leader="none" w:pos="648" w:val="left"/>
        </w:tabs>
        <w:numPr>
          <w:ilvl w:val="1"/>
          <w:numId w:val="4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Chicago Atlantic Credit Opportunities, LLC</w:t>
      </w:r>
    </w:p>
    <w:p>
      <w:pPr>
        <w:spacing w:after="0" w:line="225"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Blue Glacier Fund II, L.P.</w:t>
      </w:r>
    </w:p>
    <w:p>
      <w:pPr>
        <w:spacing w:after="0" w:line="27"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CL Forgotten Coast Fund, L.P.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CL Green Park Holdco, L.P.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CL Impulse, L.P.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CL Panoramic, L.P.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CL Trading, L.P.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CL Utilities, L.P.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Crestline AK Advisory Investments III, L.P.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Crestline Direct Lending IV, SCSp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Crestline Direct Lending UL Master Fund, SCSp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Crestline Eagle Creek, L.P.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Crestline Lion Fund Mini-Master, L.P.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Crestline Makena Fund, L.P.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Crestline Maple Operating Trust</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Crestline Opportunistic Credit IA Fund, L.P.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Crestline Opportunity V Master Fund I, L.P.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Crestline Opportunity V Master Fund II, L.P.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Crestline Opportunity V Master Fund III, L.P.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Crestline PF Sentry Fund, SCSp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Crestline Portfolio Financing Fund II, L.P.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Crestline Praeter, L.P. - Schooner</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Crestline Specialty Lending III, L.P.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7"/>
          <w:szCs w:val="17"/>
          <w:color w:val="FF0000"/>
          <w:strike w:val="1"/>
        </w:rPr>
        <w:t>Crestline StepStone Opportunistic Credit Master Fund I, L.P.</w:t>
      </w:r>
    </w:p>
    <w:p>
      <w:pPr>
        <w:spacing w:after="0" w:line="21"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u w:val="single" w:color="auto"/>
          <w:color w:val="0000FF"/>
        </w:rPr>
        <w:t xml:space="preserve">4.  </w:t>
      </w:r>
      <w:r>
        <w:rPr>
          <w:rFonts w:ascii="Times New Roman" w:cs="Times New Roman" w:eastAsia="Times New Roman" w:hAnsi="Times New Roman"/>
          <w:sz w:val="18"/>
          <w:szCs w:val="18"/>
          <w:color w:val="FF0000"/>
          <w:strike w:val="1"/>
        </w:rPr>
        <w:t>Crestline StepStone Opportunistic Credit Master Fund II, LP</w:t>
      </w:r>
    </w:p>
    <w:p>
      <w:pPr>
        <w:spacing w:after="0" w:line="206" w:lineRule="exact"/>
        <w:rPr>
          <w:sz w:val="20"/>
          <w:szCs w:val="20"/>
          <w:color w:val="auto"/>
        </w:rPr>
      </w:pPr>
    </w:p>
    <w:p>
      <w:pPr>
        <w:ind w:left="328" w:hanging="328"/>
        <w:spacing w:after="0"/>
        <w:tabs>
          <w:tab w:leader="none" w:pos="328" w:val="left"/>
        </w:tabs>
        <w:numPr>
          <w:ilvl w:val="0"/>
          <w:numId w:val="4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Existing Affiliated Funds advised by Chicago Atlantic Equity Advisers, LLC:</w:t>
      </w:r>
    </w:p>
    <w:p>
      <w:pPr>
        <w:spacing w:after="0" w:line="225"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Crestline Structured Note Issuer I LLC</w:t>
      </w:r>
    </w:p>
    <w:p>
      <w:pPr>
        <w:spacing w:after="0" w:line="27"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Crestline Sundance Fund, L.P.</w:t>
      </w:r>
    </w:p>
    <w:p>
      <w:pPr>
        <w:spacing w:after="0" w:line="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8"/>
          <w:szCs w:val="18"/>
          <w:color w:val="FF0000"/>
          <w:strike w:val="1"/>
        </w:rPr>
        <w:t>TL Managed Investments, L.P.</w:t>
      </w:r>
    </w:p>
    <w:p>
      <w:pPr>
        <w:spacing w:after="0" w:line="9" w:lineRule="exact"/>
        <w:rPr>
          <w:sz w:val="20"/>
          <w:szCs w:val="20"/>
          <w:color w:val="auto"/>
        </w:rPr>
      </w:pPr>
    </w:p>
    <w:p>
      <w:pPr>
        <w:ind w:left="648" w:hanging="324"/>
        <w:spacing w:after="0"/>
        <w:tabs>
          <w:tab w:leader="none" w:pos="648" w:val="left"/>
        </w:tabs>
        <w:numPr>
          <w:ilvl w:val="1"/>
          <w:numId w:val="4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Crestline Portfolio Financing</w:t>
      </w:r>
      <w:r>
        <w:rPr>
          <w:rFonts w:ascii="Times New Roman" w:cs="Times New Roman" w:eastAsia="Times New Roman" w:hAnsi="Times New Roman"/>
          <w:sz w:val="18"/>
          <w:szCs w:val="18"/>
          <w:u w:val="single" w:color="auto"/>
          <w:color w:val="0000FF"/>
        </w:rPr>
        <w:t>Chicago Atlantic Equity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Fund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III</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SCSp</w:t>
      </w:r>
      <w:r>
        <w:rPr>
          <w:rFonts w:ascii="Times New Roman" w:cs="Times New Roman" w:eastAsia="Times New Roman" w:hAnsi="Times New Roman"/>
          <w:sz w:val="18"/>
          <w:szCs w:val="18"/>
          <w:u w:val="single" w:color="auto"/>
          <w:color w:val="0000FF"/>
        </w:rPr>
        <w:t>LLC</w:t>
      </w:r>
    </w:p>
    <w:p>
      <w:pPr>
        <w:spacing w:after="0" w:line="206" w:lineRule="exact"/>
        <w:rPr>
          <w:rFonts w:ascii="Times New Roman" w:cs="Times New Roman" w:eastAsia="Times New Roman" w:hAnsi="Times New Roman"/>
          <w:sz w:val="18"/>
          <w:szCs w:val="18"/>
          <w:u w:val="single" w:color="auto"/>
          <w:color w:val="0000FF"/>
        </w:rPr>
      </w:pPr>
    </w:p>
    <w:p>
      <w:pPr>
        <w:ind w:left="328" w:hanging="328"/>
        <w:spacing w:after="0"/>
        <w:tabs>
          <w:tab w:leader="none" w:pos="328" w:val="left"/>
        </w:tabs>
        <w:numPr>
          <w:ilvl w:val="0"/>
          <w:numId w:val="4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Existing Affiliated Funds advised by Chicago Atlantic CO3 Advisers, LLC:</w:t>
      </w:r>
    </w:p>
    <w:p>
      <w:pPr>
        <w:spacing w:after="0" w:line="225" w:lineRule="exact"/>
        <w:rPr>
          <w:rFonts w:ascii="Times New Roman" w:cs="Times New Roman" w:eastAsia="Times New Roman" w:hAnsi="Times New Roman"/>
          <w:sz w:val="18"/>
          <w:szCs w:val="18"/>
          <w:u w:val="single" w:color="auto"/>
          <w:color w:val="0000FF"/>
        </w:rPr>
      </w:pPr>
    </w:p>
    <w:p>
      <w:pPr>
        <w:ind w:left="648" w:hanging="324"/>
        <w:spacing w:after="0"/>
        <w:tabs>
          <w:tab w:leader="none" w:pos="648" w:val="left"/>
        </w:tabs>
        <w:numPr>
          <w:ilvl w:val="1"/>
          <w:numId w:val="4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Chicago Atlantic Credit Opportunities III, LP</w:t>
      </w:r>
    </w:p>
    <w:p>
      <w:pPr>
        <w:spacing w:after="0" w:line="225" w:lineRule="exact"/>
        <w:rPr>
          <w:rFonts w:ascii="Times New Roman" w:cs="Times New Roman" w:eastAsia="Times New Roman" w:hAnsi="Times New Roman"/>
          <w:sz w:val="18"/>
          <w:szCs w:val="18"/>
          <w:u w:val="single" w:color="auto"/>
          <w:color w:val="0000FF"/>
        </w:rPr>
      </w:pPr>
    </w:p>
    <w:p>
      <w:pPr>
        <w:ind w:left="648" w:hanging="324"/>
        <w:spacing w:after="0"/>
        <w:tabs>
          <w:tab w:leader="none" w:pos="648" w:val="left"/>
        </w:tabs>
        <w:numPr>
          <w:ilvl w:val="1"/>
          <w:numId w:val="4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Chicago Atlantic CO3 (OFFSHORE), LP</w:t>
      </w:r>
    </w:p>
    <w:p>
      <w:pPr>
        <w:spacing w:after="0" w:line="225" w:lineRule="exact"/>
        <w:rPr>
          <w:rFonts w:ascii="Times New Roman" w:cs="Times New Roman" w:eastAsia="Times New Roman" w:hAnsi="Times New Roman"/>
          <w:sz w:val="18"/>
          <w:szCs w:val="18"/>
          <w:u w:val="single" w:color="auto"/>
          <w:color w:val="0000FF"/>
        </w:rPr>
      </w:pPr>
    </w:p>
    <w:p>
      <w:pPr>
        <w:ind w:left="648" w:hanging="324"/>
        <w:spacing w:after="0"/>
        <w:tabs>
          <w:tab w:leader="none" w:pos="648" w:val="left"/>
        </w:tabs>
        <w:numPr>
          <w:ilvl w:val="1"/>
          <w:numId w:val="4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Chicago Atlantic CO3 Feeder, LP</w:t>
      </w:r>
    </w:p>
    <w:p>
      <w:pPr>
        <w:spacing w:after="0" w:line="225" w:lineRule="exact"/>
        <w:rPr>
          <w:rFonts w:ascii="Times New Roman" w:cs="Times New Roman" w:eastAsia="Times New Roman" w:hAnsi="Times New Roman"/>
          <w:sz w:val="18"/>
          <w:szCs w:val="18"/>
          <w:u w:val="single" w:color="auto"/>
          <w:color w:val="0000FF"/>
        </w:rPr>
      </w:pPr>
    </w:p>
    <w:p>
      <w:pPr>
        <w:ind w:left="328" w:hanging="328"/>
        <w:spacing w:after="0"/>
        <w:tabs>
          <w:tab w:leader="none" w:pos="328" w:val="left"/>
        </w:tabs>
        <w:numPr>
          <w:ilvl w:val="0"/>
          <w:numId w:val="4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Existing Affiliated Funds advised by Chicago Atlantic Investment Management, LLC:</w:t>
      </w:r>
    </w:p>
    <w:p>
      <w:pPr>
        <w:spacing w:after="0" w:line="225" w:lineRule="exact"/>
        <w:rPr>
          <w:rFonts w:ascii="Times New Roman" w:cs="Times New Roman" w:eastAsia="Times New Roman" w:hAnsi="Times New Roman"/>
          <w:sz w:val="18"/>
          <w:szCs w:val="18"/>
          <w:u w:val="single" w:color="auto"/>
          <w:color w:val="0000FF"/>
        </w:rPr>
      </w:pPr>
    </w:p>
    <w:p>
      <w:pPr>
        <w:ind w:left="648" w:hanging="324"/>
        <w:spacing w:after="0"/>
        <w:tabs>
          <w:tab w:leader="none" w:pos="648" w:val="left"/>
        </w:tabs>
        <w:numPr>
          <w:ilvl w:val="1"/>
          <w:numId w:val="4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Chicago Atlantic Portfolio, LP</w:t>
      </w:r>
    </w:p>
    <w:p>
      <w:pPr>
        <w:spacing w:after="0" w:line="200" w:lineRule="exact"/>
        <w:rPr>
          <w:sz w:val="20"/>
          <w:szCs w:val="20"/>
          <w:color w:val="auto"/>
        </w:rPr>
      </w:pPr>
    </w:p>
    <w:p>
      <w:pPr>
        <w:spacing w:after="0" w:line="268" w:lineRule="exact"/>
        <w:rPr>
          <w:sz w:val="20"/>
          <w:szCs w:val="20"/>
          <w:color w:val="auto"/>
        </w:rPr>
      </w:pPr>
    </w:p>
    <w:p>
      <w:pPr>
        <w:ind w:left="5208"/>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7"/>
          </w:cols>
          <w:pgMar w:left="652" w:top="900" w:right="1440" w:bottom="1440" w:gutter="0" w:footer="0" w:header="0"/>
        </w:sectPr>
      </w:pPr>
    </w:p>
    <w:bookmarkStart w:id="35" w:name="page36"/>
    <w:bookmarkEnd w:id="35"/>
    <w:p>
      <w:pPr>
        <w:ind w:left="680" w:hanging="364"/>
        <w:spacing w:after="0"/>
        <w:tabs>
          <w:tab w:leader="none" w:pos="680" w:val="left"/>
        </w:tabs>
        <w:numPr>
          <w:ilvl w:val="1"/>
          <w:numId w:val="4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CL FLS 1, L.P.</w:t>
      </w:r>
    </w:p>
    <w:p>
      <w:pPr>
        <w:spacing w:after="0" w:line="225" w:lineRule="exact"/>
        <w:rPr>
          <w:rFonts w:ascii="Times New Roman" w:cs="Times New Roman" w:eastAsia="Times New Roman" w:hAnsi="Times New Roman"/>
          <w:sz w:val="18"/>
          <w:szCs w:val="18"/>
          <w:u w:val="single" w:color="auto"/>
          <w:color w:val="0000FF"/>
        </w:rPr>
      </w:pPr>
    </w:p>
    <w:p>
      <w:pPr>
        <w:ind w:left="680" w:hanging="364"/>
        <w:spacing w:after="0"/>
        <w:tabs>
          <w:tab w:leader="none" w:pos="680" w:val="left"/>
        </w:tabs>
        <w:numPr>
          <w:ilvl w:val="1"/>
          <w:numId w:val="4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Crestline Direct Lending CLO I, L.P.</w:t>
      </w:r>
    </w:p>
    <w:p>
      <w:pPr>
        <w:spacing w:after="0" w:line="225"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 Existing Affiliated Funds managed by Chicago Atlantic REIT Manager, LLC:</w:t>
      </w:r>
    </w:p>
    <w:p>
      <w:pPr>
        <w:spacing w:after="0" w:line="225" w:lineRule="exact"/>
        <w:rPr>
          <w:rFonts w:ascii="Times New Roman" w:cs="Times New Roman" w:eastAsia="Times New Roman" w:hAnsi="Times New Roman"/>
          <w:sz w:val="18"/>
          <w:szCs w:val="18"/>
          <w:u w:val="single" w:color="auto"/>
          <w:color w:val="0000FF"/>
        </w:rPr>
      </w:pPr>
    </w:p>
    <w:p>
      <w:pPr>
        <w:ind w:left="500" w:hanging="184"/>
        <w:spacing w:after="0"/>
        <w:tabs>
          <w:tab w:leader="none" w:pos="500" w:val="left"/>
        </w:tabs>
        <w:numPr>
          <w:ilvl w:val="1"/>
          <w:numId w:val="5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Chicago Atlantic Real Estate Finance, Inc.</w:t>
      </w:r>
    </w:p>
    <w:p>
      <w:pPr>
        <w:spacing w:after="0" w:line="22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FF0000"/>
          <w:strike w:val="1"/>
        </w:rPr>
        <w:t>Crestline European Capital Solutions Fund II, SCSp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8890</wp:posOffset>
            </wp:positionV>
            <wp:extent cx="285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-119380</wp:posOffset>
            </wp:positionV>
            <wp:extent cx="2846070" cy="12515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46070" cy="125158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FF0000"/>
          <w:strike w:val="1"/>
        </w:rPr>
        <w:t>CL Trading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66040</wp:posOffset>
            </wp:positionV>
            <wp:extent cx="285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FF0000"/>
          <w:strike w:val="1"/>
        </w:rPr>
        <w:t>By: Crestline Management, L.P., as investment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15875</wp:posOffset>
            </wp:positionV>
            <wp:extent cx="285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FF0000"/>
          <w:strike w:val="1"/>
        </w:rPr>
        <w:t>By: Crestline Management, L.P., as investment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73025</wp:posOffset>
            </wp:positionV>
            <wp:extent cx="285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8" w:lineRule="exact"/>
        <w:rPr>
          <w:sz w:val="20"/>
          <w:szCs w:val="20"/>
          <w:color w:val="auto"/>
        </w:rPr>
      </w:pPr>
    </w:p>
    <w:p>
      <w:pPr>
        <w:ind w:left="6420"/>
        <w:spacing w:after="0"/>
        <w:tabs>
          <w:tab w:leader="none" w:pos="6960" w:val="left"/>
        </w:tabs>
        <w:rPr>
          <w:sz w:val="20"/>
          <w:szCs w:val="20"/>
          <w:color w:val="auto"/>
        </w:rPr>
      </w:pPr>
      <w:r>
        <w:rPr>
          <w:rFonts w:ascii="Times New Roman" w:cs="Times New Roman" w:eastAsia="Times New Roman" w:hAnsi="Times New Roman"/>
          <w:sz w:val="18"/>
          <w:szCs w:val="18"/>
          <w:color w:val="FF0000"/>
          <w:strike w:val="1"/>
        </w:rPr>
        <w:t>By:</w:t>
      </w:r>
      <w:r>
        <w:rPr>
          <w:sz w:val="20"/>
          <w:szCs w:val="20"/>
          <w:color w:val="auto"/>
        </w:rPr>
        <w:tab/>
      </w:r>
      <w:r>
        <w:rPr>
          <w:rFonts w:ascii="Times New Roman" w:cs="Times New Roman" w:eastAsia="Times New Roman" w:hAnsi="Times New Roman"/>
          <w:sz w:val="18"/>
          <w:szCs w:val="18"/>
          <w:color w:val="FF0000"/>
          <w:strike w:val="1"/>
        </w:rPr>
        <w:t>/s/ John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-59055</wp:posOffset>
            </wp:positionV>
            <wp:extent cx="285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FF0000"/>
          <w:strike w:val="1"/>
        </w:rPr>
        <w:t>Name: John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-62230</wp:posOffset>
            </wp:positionV>
            <wp:extent cx="285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 w:lineRule="exact"/>
        <w:rPr>
          <w:sz w:val="20"/>
          <w:szCs w:val="20"/>
          <w:color w:val="auto"/>
        </w:rPr>
      </w:pPr>
    </w:p>
    <w:p>
      <w:pPr>
        <w:ind w:left="6420"/>
        <w:spacing w:after="0"/>
        <w:tabs>
          <w:tab w:leader="none" w:pos="6960" w:val="left"/>
        </w:tabs>
        <w:rPr>
          <w:sz w:val="20"/>
          <w:szCs w:val="20"/>
          <w:color w:val="auto"/>
        </w:rPr>
      </w:pPr>
      <w:r>
        <w:rPr>
          <w:rFonts w:ascii="Times New Roman" w:cs="Times New Roman" w:eastAsia="Times New Roman" w:hAnsi="Times New Roman"/>
          <w:sz w:val="18"/>
          <w:szCs w:val="18"/>
          <w:color w:val="FF0000"/>
          <w:strike w:val="1"/>
        </w:rPr>
        <w:t>Title:</w:t>
      </w:r>
      <w:r>
        <w:rPr>
          <w:sz w:val="20"/>
          <w:szCs w:val="20"/>
          <w:color w:val="auto"/>
        </w:rPr>
        <w:tab/>
      </w:r>
      <w:r>
        <w:rPr>
          <w:rFonts w:ascii="Times New Roman" w:cs="Times New Roman" w:eastAsia="Times New Roman" w:hAnsi="Times New Roman"/>
          <w:sz w:val="17"/>
          <w:szCs w:val="17"/>
          <w:color w:val="FF0000"/>
          <w:strike w:val="1"/>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-70485</wp:posOffset>
            </wp:positionV>
            <wp:extent cx="285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660" w:top="904" w:right="779" w:bottom="1440" w:gutter="0" w:footer="0" w:header="0"/>
        </w:sectPr>
      </w:pPr>
    </w:p>
    <w:bookmarkStart w:id="36" w:name="page37"/>
    <w:bookmarkEnd w:id="36"/>
    <w:p>
      <w:pPr>
        <w:ind w:left="9740"/>
        <w:spacing w:after="0"/>
        <w:rPr>
          <w:sz w:val="20"/>
          <w:szCs w:val="20"/>
          <w:color w:val="auto"/>
        </w:rPr>
      </w:pPr>
      <w:r>
        <w:rPr>
          <w:rFonts w:ascii="Times New Roman" w:cs="Times New Roman" w:eastAsia="Times New Roman" w:hAnsi="Times New Roman"/>
          <w:sz w:val="18"/>
          <w:szCs w:val="18"/>
          <w:b w:val="1"/>
          <w:bCs w:val="1"/>
          <w:color w:val="FF0000"/>
          <w:strike w:val="1"/>
        </w:rPr>
        <w:t>Exhibit</w:t>
      </w:r>
      <w:r>
        <w:rPr>
          <w:rFonts w:ascii="Times New Roman" w:cs="Times New Roman" w:eastAsia="Times New Roman" w:hAnsi="Times New Roman"/>
          <w:sz w:val="18"/>
          <w:szCs w:val="18"/>
          <w:b w:val="1"/>
          <w:bCs w:val="1"/>
          <w:u w:val="single" w:color="auto"/>
          <w:color w:val="0000FF"/>
        </w:rPr>
        <w:t>Appendix</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VERIFICATION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strike w:val="1"/>
        </w:rPr>
        <w:t>Verification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undersigned states that he </w:t>
      </w:r>
      <w:r>
        <w:rPr>
          <w:rFonts w:ascii="Times New Roman" w:cs="Times New Roman" w:eastAsia="Times New Roman" w:hAnsi="Times New Roman"/>
          <w:sz w:val="18"/>
          <w:szCs w:val="18"/>
          <w:u w:val="single" w:color="auto"/>
          <w:color w:val="0000FF"/>
        </w:rPr>
        <w:t>or she</w:t>
      </w:r>
      <w:r>
        <w:rPr>
          <w:rFonts w:ascii="Times New Roman" w:cs="Times New Roman" w:eastAsia="Times New Roman" w:hAnsi="Times New Roman"/>
          <w:sz w:val="18"/>
          <w:szCs w:val="18"/>
          <w:color w:val="auto"/>
        </w:rPr>
        <w:t xml:space="preserve"> has duly executed the attached </w:t>
      </w:r>
      <w:r>
        <w:rPr>
          <w:rFonts w:ascii="Times New Roman" w:cs="Times New Roman" w:eastAsia="Times New Roman" w:hAnsi="Times New Roman"/>
          <w:sz w:val="18"/>
          <w:szCs w:val="18"/>
          <w:color w:val="FF0000"/>
          <w:strike w:val="1"/>
        </w:rPr>
        <w:t>application</w:t>
      </w:r>
      <w:r>
        <w:rPr>
          <w:rFonts w:ascii="Times New Roman" w:cs="Times New Roman" w:eastAsia="Times New Roman" w:hAnsi="Times New Roman"/>
          <w:sz w:val="18"/>
          <w:szCs w:val="18"/>
          <w:u w:val="single" w:color="auto"/>
          <w:color w:val="0000FF"/>
        </w:rPr>
        <w:t>Application</w:t>
      </w:r>
      <w:r>
        <w:rPr>
          <w:rFonts w:ascii="Times New Roman" w:cs="Times New Roman" w:eastAsia="Times New Roman" w:hAnsi="Times New Roman"/>
          <w:sz w:val="18"/>
          <w:szCs w:val="18"/>
          <w:color w:val="auto"/>
        </w:rPr>
        <w:t xml:space="preserve"> dated </w:t>
      </w:r>
      <w:r>
        <w:rPr>
          <w:rFonts w:ascii="Times New Roman" w:cs="Times New Roman" w:eastAsia="Times New Roman" w:hAnsi="Times New Roman"/>
          <w:sz w:val="18"/>
          <w:szCs w:val="18"/>
          <w:color w:val="FF0000"/>
          <w:strike w:val="1"/>
        </w:rPr>
        <w:t>as of September 2, 2025</w:t>
      </w:r>
      <w:r>
        <w:rPr>
          <w:rFonts w:ascii="Times New Roman" w:cs="Times New Roman" w:eastAsia="Times New Roman" w:hAnsi="Times New Roman"/>
          <w:sz w:val="18"/>
          <w:szCs w:val="18"/>
          <w:u w:val="single" w:color="auto"/>
          <w:color w:val="0000FF"/>
        </w:rPr>
        <w:t>March 18, 2026</w:t>
      </w:r>
      <w:r>
        <w:rPr>
          <w:rFonts w:ascii="Times New Roman" w:cs="Times New Roman" w:eastAsia="Times New Roman" w:hAnsi="Times New Roman"/>
          <w:sz w:val="18"/>
          <w:szCs w:val="18"/>
          <w:color w:val="auto"/>
        </w:rPr>
        <w:t xml:space="preserve"> for and on behalf of the </w:t>
      </w:r>
      <w:r>
        <w:rPr>
          <w:rFonts w:ascii="Times New Roman" w:cs="Times New Roman" w:eastAsia="Times New Roman" w:hAnsi="Times New Roman"/>
          <w:sz w:val="18"/>
          <w:szCs w:val="18"/>
          <w:color w:val="FF0000"/>
          <w:strike w:val="1"/>
        </w:rPr>
        <w:t>entities listed below;</w:t>
      </w:r>
      <w:r>
        <w:rPr>
          <w:rFonts w:ascii="Times New Roman" w:cs="Times New Roman" w:eastAsia="Times New Roman" w:hAnsi="Times New Roman"/>
          <w:sz w:val="18"/>
          <w:szCs w:val="18"/>
          <w:u w:val="single" w:color="auto"/>
          <w:color w:val="0000FF"/>
        </w:rPr>
        <w:t>Applicants, as the case may be,</w:t>
      </w:r>
      <w:r>
        <w:rPr>
          <w:rFonts w:ascii="Times New Roman" w:cs="Times New Roman" w:eastAsia="Times New Roman" w:hAnsi="Times New Roman"/>
          <w:sz w:val="18"/>
          <w:szCs w:val="18"/>
          <w:color w:val="auto"/>
        </w:rPr>
        <w:t xml:space="preserve"> that he </w:t>
      </w:r>
      <w:r>
        <w:rPr>
          <w:rFonts w:ascii="Times New Roman" w:cs="Times New Roman" w:eastAsia="Times New Roman" w:hAnsi="Times New Roman"/>
          <w:sz w:val="18"/>
          <w:szCs w:val="18"/>
          <w:u w:val="single" w:color="auto"/>
          <w:color w:val="0000FF"/>
        </w:rPr>
        <w:t>or she</w:t>
      </w:r>
      <w:r>
        <w:rPr>
          <w:rFonts w:ascii="Times New Roman" w:cs="Times New Roman" w:eastAsia="Times New Roman" w:hAnsi="Times New Roman"/>
          <w:sz w:val="18"/>
          <w:szCs w:val="18"/>
          <w:color w:val="auto"/>
        </w:rPr>
        <w:t xml:space="preserve"> holds </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office with </w:t>
      </w:r>
      <w:r>
        <w:rPr>
          <w:rFonts w:ascii="Times New Roman" w:cs="Times New Roman" w:eastAsia="Times New Roman" w:hAnsi="Times New Roman"/>
          <w:sz w:val="18"/>
          <w:szCs w:val="18"/>
          <w:u w:val="single" w:color="auto"/>
          <w:color w:val="0000FF"/>
        </w:rPr>
        <w:t>each</w:t>
      </w:r>
      <w:r>
        <w:rPr>
          <w:rFonts w:ascii="Times New Roman" w:cs="Times New Roman" w:eastAsia="Times New Roman" w:hAnsi="Times New Roman"/>
          <w:sz w:val="18"/>
          <w:szCs w:val="18"/>
          <w:color w:val="auto"/>
        </w:rPr>
        <w:t xml:space="preserve"> such entity as indicated below and that all </w:t>
      </w:r>
      <w:r>
        <w:rPr>
          <w:rFonts w:ascii="Times New Roman" w:cs="Times New Roman" w:eastAsia="Times New Roman" w:hAnsi="Times New Roman"/>
          <w:sz w:val="18"/>
          <w:szCs w:val="18"/>
          <w:color w:val="FF0000"/>
          <w:strike w:val="1"/>
        </w:rPr>
        <w:t>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by</w:t>
      </w:r>
      <w:r>
        <w:rPr>
          <w:rFonts w:ascii="Times New Roman" w:cs="Times New Roman" w:eastAsia="Times New Roman" w:hAnsi="Times New Roman"/>
          <w:sz w:val="18"/>
          <w:szCs w:val="18"/>
          <w:u w:val="single" w:color="auto"/>
          <w:color w:val="0000FF"/>
        </w:rPr>
        <w:t>actions by stockholders, officers,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directors,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officers, stockholders, general partners, trustees or members of each entity and any other body</w:t>
      </w:r>
      <w:r>
        <w:rPr>
          <w:rFonts w:ascii="Times New Roman" w:cs="Times New Roman" w:eastAsia="Times New Roman" w:hAnsi="Times New Roman"/>
          <w:sz w:val="18"/>
          <w:szCs w:val="18"/>
          <w:u w:val="single" w:color="auto"/>
          <w:color w:val="0000FF"/>
        </w:rPr>
        <w:t>and other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bodies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necessary to authorize the undersigned to execute and file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instrument has</w:t>
      </w:r>
      <w:r>
        <w:rPr>
          <w:rFonts w:ascii="Times New Roman" w:cs="Times New Roman" w:eastAsia="Times New Roman" w:hAnsi="Times New Roman"/>
          <w:sz w:val="18"/>
          <w:szCs w:val="18"/>
          <w:u w:val="single" w:color="auto"/>
          <w:color w:val="0000FF"/>
        </w:rPr>
        <w:t>Application have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been taken. The undersigned further states that 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is familiar with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such</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instrument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the contents thereof, and that the facts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therein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set forth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therein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are true to the best of 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or her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knowledge,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information</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and belief.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 xml:space="preserve">Crestline Lending Solutions, LLC </w:t>
      </w:r>
      <w:r>
        <w:rPr>
          <w:rFonts w:ascii="Times New Roman" w:cs="Times New Roman" w:eastAsia="Times New Roman" w:hAnsi="Times New Roman"/>
          <w:sz w:val="18"/>
          <w:szCs w:val="18"/>
          <w:b w:val="1"/>
          <w:bCs w:val="1"/>
          <w:u w:val="single" w:color="auto"/>
          <w:color w:val="0000FF"/>
          <w:strike w:val="1"/>
        </w:rPr>
        <w:t>CHICAGO ATLANTIC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BDC,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color w:val="FF0000"/>
          <w:strike w:val="1"/>
        </w:rPr>
        <w:t>Chris Semple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291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54325" cy="291465"/>
                    </a:xfrm>
                    <a:prstGeom prst="rect">
                      <a:avLst/>
                    </a:prstGeom>
                    <a:noFill/>
                  </pic:spPr>
                </pic:pic>
              </a:graphicData>
            </a:graphic>
          </wp:anchor>
        </w:drawing>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color w:val="FF0000"/>
          <w:strike w:val="1"/>
        </w:rPr>
        <w:t>Chris Semple</w:t>
      </w:r>
      <w:r>
        <w:rPr>
          <w:rFonts w:ascii="Times New Roman" w:cs="Times New Roman" w:eastAsia="Times New Roman" w:hAnsi="Times New Roman"/>
          <w:sz w:val="18"/>
          <w:szCs w:val="18"/>
          <w:u w:val="single" w:color="auto"/>
          <w:color w:val="0000FF"/>
        </w:rPr>
        <w:t>Peter Sack</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 Management, L.P.</w:t>
      </w:r>
      <w:r>
        <w:rPr>
          <w:rFonts w:ascii="Times New Roman" w:cs="Times New Roman" w:eastAsia="Times New Roman" w:hAnsi="Times New Roman"/>
          <w:sz w:val="18"/>
          <w:szCs w:val="18"/>
          <w:b w:val="1"/>
          <w:bCs w:val="1"/>
          <w:u w:val="single" w:color="auto"/>
          <w:color w:val="0000FF"/>
          <w:strike w:val="1"/>
        </w:rPr>
        <w:t>CHICAGO ATLANTIC BDC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ADVISERS,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825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By</w:t>
      </w:r>
      <w:r>
        <w:rPr>
          <w:rFonts w:ascii="Times New Roman" w:cs="Times New Roman" w:eastAsia="Times New Roman" w:hAnsi="Times New Roman"/>
          <w:sz w:val="18"/>
          <w:szCs w:val="18"/>
          <w:u w:val="single" w:color="auto"/>
          <w:color w:val="0000FF"/>
        </w:rPr>
        <w:t>Name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strike w:val="1"/>
        </w:rPr>
        <w:t>/s/ John Cochran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Scott Gordon</w:t>
      </w:r>
    </w:p>
    <w:p>
      <w:pPr>
        <w:spacing w:after="0" w:line="23"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8"/>
          <w:szCs w:val="18"/>
          <w:u w:val="single" w:color="auto"/>
          <w:color w:val="0000FF"/>
        </w:rPr>
        <w:t>Manager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color w:val="FF0000"/>
          <w:strike w:val="1"/>
        </w:rPr>
        <w:t>John Cochran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FF0000"/>
          <w:strike w:val="1"/>
        </w:rPr>
        <w:t xml:space="preserve">Chief Operating Officer  </w:t>
      </w:r>
      <w:r>
        <w:rPr>
          <w:rFonts w:ascii="Times New Roman" w:cs="Times New Roman" w:eastAsia="Times New Roman" w:hAnsi="Times New Roman"/>
          <w:sz w:val="18"/>
          <w:szCs w:val="18"/>
          <w:u w:val="single" w:color="auto"/>
          <w:color w:val="0000FF"/>
          <w:strike w:val="1"/>
        </w:rPr>
        <w:t>Authorized Person</w:t>
      </w: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FF0000"/>
          <w:strike w:val="1"/>
        </w:rPr>
        <w:t>Existing Proprietary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7029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EQUITY ADVISERS,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CO3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401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MANAGEMENT,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CL Life and Annuity Insurance Company</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CL Re SPC</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Re SP1, a segregated portfolio of CL Re SPC</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CL Re SP2, a segregated portfolio of CL Re SPC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REIT MANAGER,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PORTFOLIO,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6940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6940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color w:val="FF0000"/>
          <w:strike w:val="1"/>
        </w:rPr>
        <w:t>John Cochran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Anthony Cappell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color w:val="FF0000"/>
          <w:strike w:val="1"/>
        </w:rPr>
        <w:t>John Cochran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Anthony Cappell</w:t>
      </w:r>
    </w:p>
    <w:p>
      <w:pPr>
        <w:spacing w:after="0" w:line="9"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FF0000"/>
          <w:strike w:val="1"/>
        </w:rPr>
        <w:t xml:space="preserve">Director </w:t>
      </w:r>
      <w:r>
        <w:rPr>
          <w:rFonts w:ascii="Times New Roman" w:cs="Times New Roman" w:eastAsia="Times New Roman" w:hAnsi="Times New Roman"/>
          <w:sz w:val="17"/>
          <w:szCs w:val="17"/>
          <w:u w:val="single" w:color="auto"/>
          <w:color w:val="0000FF"/>
          <w:strike w:val="1"/>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EQUITY FUND,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FF0000"/>
          <w:strike w:val="1"/>
        </w:rPr>
        <w:t>Existing Affiliated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OPPORTUNITY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401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OPPORTUNITY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401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Blue Glacier Fund II, L.P.</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CL Forgotten Coast Fund,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CL Green Park Holdco,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CL Impulse,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CL Panoramic,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CL Trading,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CL Utilities,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AK Advisory Investments III,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Direct Lending IV, SCSp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Direct Lending UL Master Fund, SCSp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Eagle Creek,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Lion Fund Mini-Master,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Makena Fund,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Maple Operating Trust</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Opportunistic Credit IA Fund,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Opportunity V Master Fund I,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Opportunity V Master Fund II,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Opportunity V Master Fund III,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PF Sentry Fund, SCSp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Portfolio Financing Fund II,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Praeter, L.P. - Schooner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Specialty Lending III,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FF0000"/>
          <w:strike w:val="1"/>
        </w:rPr>
        <w:t>Crestline StepStone Opportunistic Credit Master Fund I, L.P.</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StepStone Opportunistic Credit Master Fund II,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Structured Note Issuer I LLC</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Sundance Fund,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TL Managed Investments,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Portfolio Financing Fund III, SCSp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CL FLS 1,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Direct Lending CLO I, L.P.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Crestline European Capital Solutions Fund II, SCSp</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CL Trading II, L.P.</w:t>
      </w: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FF0000"/>
          <w:strike w:val="1"/>
        </w:rPr>
        <w:t>By: Crestline Management, L.P., as investment manager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CREDIT OPPORTUNITIES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401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CO3 (OFFSHORE),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CO3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CREDIT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401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REAL ESTATE FINANCE,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color w:val="FF0000"/>
          <w:strike w:val="1"/>
        </w:rPr>
        <w:t>John Cochran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3025775" cy="5657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025775" cy="565785"/>
                    </a:xfrm>
                    <a:prstGeom prst="rect">
                      <a:avLst/>
                    </a:prstGeom>
                    <a:noFill/>
                  </pic:spPr>
                </pic:pic>
              </a:graphicData>
            </a:graphic>
          </wp:anchor>
        </w:drawing>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Name:</w:t>
      </w:r>
      <w:r>
        <w:rPr>
          <w:rFonts w:ascii="Times New Roman" w:cs="Times New Roman" w:eastAsia="Times New Roman" w:hAnsi="Times New Roman"/>
          <w:sz w:val="18"/>
          <w:szCs w:val="18"/>
          <w:u w:val="single" w:color="auto"/>
          <w:color w:val="0000FF"/>
          <w:strike w:val="1"/>
        </w:rPr>
        <w:t>Name:</w:t>
      </w:r>
      <w:r>
        <w:rPr>
          <w:rFonts w:ascii="Times New Roman" w:cs="Times New Roman" w:eastAsia="Times New Roman" w:hAnsi="Times New Roman"/>
          <w:sz w:val="18"/>
          <w:szCs w:val="18"/>
          <w:color w:val="FF0000"/>
          <w:strike w:val="1"/>
        </w:rPr>
        <w:t>John Cochran</w:t>
      </w:r>
      <w:r>
        <w:rPr>
          <w:rFonts w:ascii="Times New Roman" w:cs="Times New Roman" w:eastAsia="Times New Roman" w:hAnsi="Times New Roman"/>
          <w:sz w:val="18"/>
          <w:szCs w:val="18"/>
          <w:u w:val="single" w:color="auto"/>
          <w:color w:val="0000FF"/>
          <w:strike w:val="1"/>
        </w:rPr>
        <w:t>Peter Sack</w:t>
      </w:r>
    </w:p>
    <w:p>
      <w:pPr>
        <w:spacing w:after="0" w:line="23" w:lineRule="exact"/>
        <w:rPr>
          <w:sz w:val="20"/>
          <w:szCs w:val="20"/>
          <w:color w:val="auto"/>
        </w:rPr>
      </w:pPr>
    </w:p>
    <w:p>
      <w:pPr>
        <w:ind w:left="320"/>
        <w:spacing w:after="0"/>
        <w:tabs>
          <w:tab w:leader="none" w:pos="1280" w:val="left"/>
        </w:tabs>
        <w:rPr>
          <w:sz w:val="20"/>
          <w:szCs w:val="20"/>
          <w:color w:val="auto"/>
        </w:rPr>
      </w:pPr>
      <w:r>
        <w:rPr>
          <w:rFonts w:ascii="Times New Roman" w:cs="Times New Roman" w:eastAsia="Times New Roman" w:hAnsi="Times New Roman"/>
          <w:sz w:val="18"/>
          <w:szCs w:val="18"/>
          <w:color w:val="FF0000"/>
          <w:strike w:val="1"/>
        </w:rPr>
        <w:t>Title:</w:t>
      </w:r>
      <w:r>
        <w:rPr>
          <w:rFonts w:ascii="Times New Roman" w:cs="Times New Roman" w:eastAsia="Times New Roman" w:hAnsi="Times New Roman"/>
          <w:sz w:val="18"/>
          <w:szCs w:val="18"/>
          <w:u w:val="single" w:color="auto"/>
          <w:color w:val="0000FF"/>
          <w:strike w:val="1"/>
        </w:rPr>
        <w:t>Title:</w:t>
      </w:r>
      <w:r>
        <w:rPr>
          <w:rFonts w:ascii="Times New Roman" w:cs="Times New Roman" w:eastAsia="Times New Roman" w:hAnsi="Times New Roman"/>
          <w:sz w:val="18"/>
          <w:szCs w:val="18"/>
          <w:color w:val="FF0000"/>
          <w:strike w:val="1"/>
        </w:rPr>
        <w:tab/>
        <w:t xml:space="preserve">Chief Operating Officer </w:t>
      </w:r>
      <w:r>
        <w:rPr>
          <w:rFonts w:ascii="Times New Roman" w:cs="Times New Roman" w:eastAsia="Times New Roman" w:hAnsi="Times New Roman"/>
          <w:sz w:val="18"/>
          <w:szCs w:val="18"/>
          <w:u w:val="single" w:color="auto"/>
          <w:color w:val="0000FF"/>
          <w:strike w:val="1"/>
        </w:rPr>
        <w:t>Chief Executive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0" w:name="page41"/>
    <w:bookmarkEnd w:id="40"/>
    <w:p>
      <w:pPr>
        <w:ind w:left="4140"/>
        <w:spacing w:after="0"/>
        <w:rPr>
          <w:sz w:val="20"/>
          <w:szCs w:val="20"/>
          <w:color w:val="auto"/>
        </w:rPr>
      </w:pPr>
      <w:r>
        <w:rPr>
          <w:rFonts w:ascii="Times New Roman" w:cs="Times New Roman" w:eastAsia="Times New Roman" w:hAnsi="Times New Roman"/>
          <w:sz w:val="18"/>
          <w:szCs w:val="18"/>
          <w:b w:val="1"/>
          <w:bCs w:val="1"/>
          <w:u w:val="single" w:color="auto"/>
          <w:color w:val="FF0000"/>
          <w:strike w:val="1"/>
        </w:rPr>
        <w:t>Schedule A – Existing Affiliated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Existing Affiliated Funds Advised by Crestline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5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Blue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4290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34290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Glacier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Fund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L.P.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CL Forgotten Coast Fund, L.P.</w:t>
      </w:r>
      <w:r>
        <w:rPr>
          <w:rFonts w:ascii="Times New Roman" w:cs="Times New Roman" w:eastAsia="Times New Roman" w:hAnsi="Times New Roman"/>
          <w:sz w:val="18"/>
          <w:szCs w:val="18"/>
          <w:b w:val="1"/>
          <w:bCs w:val="1"/>
          <w:u w:val="single" w:color="auto"/>
          <w:color w:val="0000FF"/>
          <w:strike w:val="1"/>
        </w:rPr>
        <w:t>CHICAGO ATLANTIC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CREDIT COMPANY, LLC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60" w:type="dxa"/>
            <w:vAlign w:val="bottom"/>
            <w:shd w:val="clear" w:color="auto" w:fill="FF00FF"/>
          </w:tcPr>
          <w:p>
            <w:pPr>
              <w:spacing w:after="0"/>
              <w:rPr>
                <w:sz w:val="20"/>
                <w:szCs w:val="20"/>
                <w:color w:val="auto"/>
              </w:rPr>
            </w:pPr>
            <w:r>
              <w:rPr>
                <w:rFonts w:ascii="Times New Roman" w:cs="Times New Roman" w:eastAsia="Times New Roman" w:hAnsi="Times New Roman"/>
                <w:sz w:val="18"/>
                <w:szCs w:val="18"/>
                <w:color w:val="FF0000"/>
                <w:strike w:val="1"/>
              </w:rPr>
              <w:t>CL</w:t>
            </w:r>
          </w:p>
        </w:tc>
        <w:tc>
          <w:tcPr>
            <w:tcW w:w="180" w:type="dxa"/>
            <w:vAlign w:val="bottom"/>
            <w:shd w:val="clear" w:color="auto" w:fill="FF00FF"/>
          </w:tcPr>
          <w:p>
            <w:pPr>
              <w:spacing w:after="0"/>
              <w:rPr>
                <w:sz w:val="21"/>
                <w:szCs w:val="21"/>
                <w:color w:val="auto"/>
              </w:rPr>
            </w:pPr>
          </w:p>
        </w:tc>
        <w:tc>
          <w:tcPr>
            <w:tcW w:w="200" w:type="dxa"/>
            <w:vAlign w:val="bottom"/>
            <w:shd w:val="clear" w:color="auto" w:fill="FF00FF"/>
          </w:tcPr>
          <w:p>
            <w:pPr>
              <w:spacing w:after="0"/>
              <w:rPr>
                <w:sz w:val="21"/>
                <w:szCs w:val="21"/>
                <w:color w:val="auto"/>
              </w:rPr>
            </w:pPr>
          </w:p>
        </w:tc>
        <w:tc>
          <w:tcPr>
            <w:tcW w:w="10600" w:type="dxa"/>
            <w:vAlign w:val="bottom"/>
            <w:gridSpan w:val="8"/>
            <w:shd w:val="clear" w:color="auto" w:fill="FF00FF"/>
          </w:tcPr>
          <w:p>
            <w:pPr>
              <w:spacing w:after="0"/>
              <w:rPr>
                <w:sz w:val="20"/>
                <w:szCs w:val="20"/>
                <w:color w:val="auto"/>
              </w:rPr>
            </w:pPr>
            <w:r>
              <w:rPr>
                <w:rFonts w:ascii="Times New Roman" w:cs="Times New Roman" w:eastAsia="Times New Roman" w:hAnsi="Times New Roman"/>
                <w:sz w:val="18"/>
                <w:szCs w:val="18"/>
                <w:color w:val="0000FF"/>
              </w:rPr>
              <w:t>/s/ Anthony Cappell</w:t>
            </w:r>
          </w:p>
        </w:tc>
      </w:tr>
      <w:tr>
        <w:trPr>
          <w:trHeight w:val="178"/>
        </w:trPr>
        <w:tc>
          <w:tcPr>
            <w:tcW w:w="440" w:type="dxa"/>
            <w:vAlign w:val="bottom"/>
            <w:tcBorders>
              <w:top w:val="single" w:sz="8" w:color="FF00FF"/>
            </w:tcBorders>
            <w:gridSpan w:val="2"/>
            <w:shd w:val="clear" w:color="auto" w:fill="FF00FF"/>
          </w:tcPr>
          <w:p>
            <w:pPr>
              <w:spacing w:after="0" w:line="178" w:lineRule="exact"/>
              <w:rPr>
                <w:sz w:val="20"/>
                <w:szCs w:val="20"/>
                <w:color w:val="auto"/>
              </w:rPr>
            </w:pPr>
            <w:r>
              <w:rPr>
                <w:rFonts w:ascii="Times New Roman" w:cs="Times New Roman" w:eastAsia="Times New Roman" w:hAnsi="Times New Roman"/>
                <w:sz w:val="18"/>
                <w:szCs w:val="18"/>
                <w:color w:val="FF0000"/>
                <w:strike w:val="1"/>
                <w:w w:val="95"/>
              </w:rPr>
              <w:t>Green</w:t>
            </w:r>
          </w:p>
        </w:tc>
        <w:tc>
          <w:tcPr>
            <w:tcW w:w="200" w:type="dxa"/>
            <w:vAlign w:val="bottom"/>
            <w:tcBorders>
              <w:top w:val="single" w:sz="8" w:color="FF00FF"/>
            </w:tcBorders>
            <w:shd w:val="clear" w:color="auto" w:fill="FF00FF"/>
          </w:tcPr>
          <w:p>
            <w:pPr>
              <w:spacing w:after="0"/>
              <w:rPr>
                <w:sz w:val="15"/>
                <w:szCs w:val="15"/>
                <w:color w:val="auto"/>
              </w:rPr>
            </w:pPr>
          </w:p>
        </w:tc>
        <w:tc>
          <w:tcPr>
            <w:tcW w:w="380" w:type="dxa"/>
            <w:vAlign w:val="bottom"/>
            <w:tcBorders>
              <w:top w:val="single" w:sz="8" w:color="0000FF"/>
            </w:tcBorders>
            <w:shd w:val="clear" w:color="auto" w:fill="FF00FF"/>
          </w:tcPr>
          <w:p>
            <w:pPr>
              <w:spacing w:after="0"/>
              <w:rPr>
                <w:sz w:val="15"/>
                <w:szCs w:val="15"/>
                <w:color w:val="auto"/>
              </w:rPr>
            </w:pPr>
          </w:p>
        </w:tc>
        <w:tc>
          <w:tcPr>
            <w:tcW w:w="100" w:type="dxa"/>
            <w:vAlign w:val="bottom"/>
            <w:tcBorders>
              <w:top w:val="single" w:sz="8" w:color="0000FF"/>
            </w:tcBorders>
            <w:shd w:val="clear" w:color="auto" w:fill="FF00FF"/>
          </w:tcPr>
          <w:p>
            <w:pPr>
              <w:spacing w:after="0"/>
              <w:rPr>
                <w:sz w:val="15"/>
                <w:szCs w:val="15"/>
                <w:color w:val="auto"/>
              </w:rPr>
            </w:pPr>
          </w:p>
        </w:tc>
        <w:tc>
          <w:tcPr>
            <w:tcW w:w="60" w:type="dxa"/>
            <w:vAlign w:val="bottom"/>
            <w:tcBorders>
              <w:top w:val="single" w:sz="8" w:color="0000FF"/>
            </w:tcBorders>
            <w:shd w:val="clear" w:color="auto" w:fill="FF00FF"/>
          </w:tcPr>
          <w:p>
            <w:pPr>
              <w:spacing w:after="0"/>
              <w:rPr>
                <w:sz w:val="15"/>
                <w:szCs w:val="15"/>
                <w:color w:val="auto"/>
              </w:rPr>
            </w:pPr>
          </w:p>
        </w:tc>
        <w:tc>
          <w:tcPr>
            <w:tcW w:w="920" w:type="dxa"/>
            <w:vAlign w:val="bottom"/>
            <w:tcBorders>
              <w:top w:val="single" w:sz="8" w:color="0000FF"/>
            </w:tcBorders>
            <w:shd w:val="clear" w:color="auto" w:fill="FF00FF"/>
          </w:tcPr>
          <w:p>
            <w:pPr>
              <w:spacing w:after="0"/>
              <w:rPr>
                <w:sz w:val="15"/>
                <w:szCs w:val="15"/>
                <w:color w:val="auto"/>
              </w:rPr>
            </w:pPr>
          </w:p>
        </w:tc>
        <w:tc>
          <w:tcPr>
            <w:tcW w:w="320" w:type="dxa"/>
            <w:vAlign w:val="bottom"/>
            <w:tcBorders>
              <w:top w:val="single" w:sz="8" w:color="FF00FF"/>
            </w:tcBorders>
            <w:shd w:val="clear" w:color="auto" w:fill="FF00FF"/>
          </w:tcPr>
          <w:p>
            <w:pPr>
              <w:spacing w:after="0"/>
              <w:rPr>
                <w:sz w:val="15"/>
                <w:szCs w:val="15"/>
                <w:color w:val="auto"/>
              </w:rPr>
            </w:pPr>
          </w:p>
        </w:tc>
        <w:tc>
          <w:tcPr>
            <w:tcW w:w="100" w:type="dxa"/>
            <w:vAlign w:val="bottom"/>
            <w:tcBorders>
              <w:top w:val="single" w:sz="8" w:color="FF00FF"/>
            </w:tcBorders>
            <w:shd w:val="clear" w:color="auto" w:fill="FF00FF"/>
          </w:tcPr>
          <w:p>
            <w:pPr>
              <w:spacing w:after="0"/>
              <w:rPr>
                <w:sz w:val="15"/>
                <w:szCs w:val="15"/>
                <w:color w:val="auto"/>
              </w:rPr>
            </w:pPr>
          </w:p>
        </w:tc>
        <w:tc>
          <w:tcPr>
            <w:tcW w:w="2180" w:type="dxa"/>
            <w:vAlign w:val="bottom"/>
            <w:tcBorders>
              <w:top w:val="single" w:sz="8" w:color="FF00FF"/>
            </w:tcBorders>
            <w:shd w:val="clear" w:color="auto" w:fill="FF00FF"/>
          </w:tcPr>
          <w:p>
            <w:pPr>
              <w:spacing w:after="0"/>
              <w:rPr>
                <w:sz w:val="15"/>
                <w:szCs w:val="15"/>
                <w:color w:val="auto"/>
              </w:rPr>
            </w:pPr>
          </w:p>
        </w:tc>
        <w:tc>
          <w:tcPr>
            <w:tcW w:w="6540" w:type="dxa"/>
            <w:vAlign w:val="bottom"/>
            <w:tcBorders>
              <w:top w:val="single" w:sz="8" w:color="FF00FF"/>
            </w:tcBorders>
            <w:shd w:val="clear" w:color="auto" w:fill="FF00FF"/>
          </w:tcPr>
          <w:p>
            <w:pPr>
              <w:spacing w:after="0"/>
              <w:rPr>
                <w:sz w:val="15"/>
                <w:szCs w:val="15"/>
                <w:color w:val="auto"/>
              </w:rPr>
            </w:pPr>
          </w:p>
        </w:tc>
      </w:tr>
      <w:tr>
        <w:trPr>
          <w:trHeight w:val="216"/>
        </w:trPr>
        <w:tc>
          <w:tcPr>
            <w:tcW w:w="440" w:type="dxa"/>
            <w:vAlign w:val="bottom"/>
            <w:gridSpan w:val="2"/>
            <w:shd w:val="clear" w:color="auto" w:fill="FF00FF"/>
          </w:tcPr>
          <w:p>
            <w:pPr>
              <w:spacing w:after="0"/>
              <w:rPr>
                <w:sz w:val="20"/>
                <w:szCs w:val="20"/>
                <w:color w:val="auto"/>
              </w:rPr>
            </w:pPr>
            <w:r>
              <w:rPr>
                <w:rFonts w:ascii="Times New Roman" w:cs="Times New Roman" w:eastAsia="Times New Roman" w:hAnsi="Times New Roman"/>
                <w:sz w:val="18"/>
                <w:szCs w:val="18"/>
                <w:color w:val="FF0000"/>
                <w:strike w:val="1"/>
              </w:rPr>
              <w:t>Park</w:t>
            </w:r>
          </w:p>
        </w:tc>
        <w:tc>
          <w:tcPr>
            <w:tcW w:w="200" w:type="dxa"/>
            <w:vAlign w:val="bottom"/>
            <w:shd w:val="clear" w:color="auto" w:fill="FF00FF"/>
          </w:tcPr>
          <w:p>
            <w:pPr>
              <w:spacing w:after="0"/>
              <w:rPr>
                <w:sz w:val="18"/>
                <w:szCs w:val="18"/>
                <w:color w:val="auto"/>
              </w:rPr>
            </w:pPr>
          </w:p>
        </w:tc>
        <w:tc>
          <w:tcPr>
            <w:tcW w:w="380" w:type="dxa"/>
            <w:vAlign w:val="bottom"/>
            <w:shd w:val="clear" w:color="auto" w:fill="FF00FF"/>
          </w:tcPr>
          <w:p>
            <w:pPr>
              <w:spacing w:after="0"/>
              <w:rPr>
                <w:sz w:val="18"/>
                <w:szCs w:val="18"/>
                <w:color w:val="auto"/>
              </w:rPr>
            </w:pPr>
          </w:p>
        </w:tc>
        <w:tc>
          <w:tcPr>
            <w:tcW w:w="100" w:type="dxa"/>
            <w:vAlign w:val="bottom"/>
            <w:shd w:val="clear" w:color="auto" w:fill="FF00FF"/>
          </w:tcPr>
          <w:p>
            <w:pPr>
              <w:spacing w:after="0"/>
              <w:rPr>
                <w:sz w:val="18"/>
                <w:szCs w:val="18"/>
                <w:color w:val="auto"/>
              </w:rPr>
            </w:pPr>
          </w:p>
        </w:tc>
        <w:tc>
          <w:tcPr>
            <w:tcW w:w="60" w:type="dxa"/>
            <w:vAlign w:val="bottom"/>
            <w:shd w:val="clear" w:color="auto" w:fill="FF00FF"/>
          </w:tcPr>
          <w:p>
            <w:pPr>
              <w:spacing w:after="0"/>
              <w:rPr>
                <w:sz w:val="18"/>
                <w:szCs w:val="18"/>
                <w:color w:val="auto"/>
              </w:rPr>
            </w:pPr>
          </w:p>
        </w:tc>
        <w:tc>
          <w:tcPr>
            <w:tcW w:w="920" w:type="dxa"/>
            <w:vAlign w:val="bottom"/>
            <w:shd w:val="clear" w:color="auto" w:fill="FF00FF"/>
          </w:tcPr>
          <w:p>
            <w:pPr>
              <w:spacing w:after="0"/>
              <w:rPr>
                <w:sz w:val="18"/>
                <w:szCs w:val="18"/>
                <w:color w:val="auto"/>
              </w:rPr>
            </w:pPr>
          </w:p>
        </w:tc>
        <w:tc>
          <w:tcPr>
            <w:tcW w:w="320" w:type="dxa"/>
            <w:vAlign w:val="bottom"/>
            <w:shd w:val="clear" w:color="auto" w:fill="FF00FF"/>
          </w:tcPr>
          <w:p>
            <w:pPr>
              <w:spacing w:after="0"/>
              <w:rPr>
                <w:sz w:val="18"/>
                <w:szCs w:val="18"/>
                <w:color w:val="auto"/>
              </w:rPr>
            </w:pPr>
          </w:p>
        </w:tc>
        <w:tc>
          <w:tcPr>
            <w:tcW w:w="100" w:type="dxa"/>
            <w:vAlign w:val="bottom"/>
            <w:shd w:val="clear" w:color="auto" w:fill="FF00FF"/>
          </w:tcPr>
          <w:p>
            <w:pPr>
              <w:spacing w:after="0"/>
              <w:rPr>
                <w:sz w:val="18"/>
                <w:szCs w:val="18"/>
                <w:color w:val="auto"/>
              </w:rPr>
            </w:pPr>
          </w:p>
        </w:tc>
        <w:tc>
          <w:tcPr>
            <w:tcW w:w="2180" w:type="dxa"/>
            <w:vAlign w:val="bottom"/>
            <w:shd w:val="clear" w:color="auto" w:fill="FF00FF"/>
          </w:tcPr>
          <w:p>
            <w:pPr>
              <w:spacing w:after="0"/>
              <w:rPr>
                <w:sz w:val="18"/>
                <w:szCs w:val="18"/>
                <w:color w:val="auto"/>
              </w:rPr>
            </w:pPr>
          </w:p>
        </w:tc>
        <w:tc>
          <w:tcPr>
            <w:tcW w:w="6540" w:type="dxa"/>
            <w:vAlign w:val="bottom"/>
            <w:shd w:val="clear" w:color="auto" w:fill="FF00FF"/>
          </w:tcPr>
          <w:p>
            <w:pPr>
              <w:spacing w:after="0"/>
              <w:rPr>
                <w:sz w:val="18"/>
                <w:szCs w:val="18"/>
                <w:color w:val="auto"/>
              </w:rPr>
            </w:pPr>
          </w:p>
        </w:tc>
      </w:tr>
      <w:tr>
        <w:trPr>
          <w:trHeight w:val="216"/>
        </w:trPr>
        <w:tc>
          <w:tcPr>
            <w:tcW w:w="640" w:type="dxa"/>
            <w:vAlign w:val="bottom"/>
            <w:gridSpan w:val="3"/>
            <w:shd w:val="clear" w:color="auto" w:fill="FF00FF"/>
          </w:tcPr>
          <w:p>
            <w:pPr>
              <w:spacing w:after="0"/>
              <w:rPr>
                <w:sz w:val="20"/>
                <w:szCs w:val="20"/>
                <w:color w:val="auto"/>
              </w:rPr>
            </w:pPr>
            <w:r>
              <w:rPr>
                <w:rFonts w:ascii="Times New Roman" w:cs="Times New Roman" w:eastAsia="Times New Roman" w:hAnsi="Times New Roman"/>
                <w:sz w:val="18"/>
                <w:szCs w:val="18"/>
                <w:color w:val="FF0000"/>
                <w:strike w:val="1"/>
              </w:rPr>
              <w:t>Holdco,</w:t>
            </w:r>
          </w:p>
        </w:tc>
        <w:tc>
          <w:tcPr>
            <w:tcW w:w="380" w:type="dxa"/>
            <w:vAlign w:val="bottom"/>
            <w:shd w:val="clear" w:color="auto" w:fill="FF00FF"/>
          </w:tcPr>
          <w:p>
            <w:pPr>
              <w:spacing w:after="0"/>
              <w:rPr>
                <w:sz w:val="18"/>
                <w:szCs w:val="18"/>
                <w:color w:val="auto"/>
              </w:rPr>
            </w:pPr>
          </w:p>
        </w:tc>
        <w:tc>
          <w:tcPr>
            <w:tcW w:w="100" w:type="dxa"/>
            <w:vAlign w:val="bottom"/>
            <w:shd w:val="clear" w:color="auto" w:fill="FF00FF"/>
          </w:tcPr>
          <w:p>
            <w:pPr>
              <w:spacing w:after="0"/>
              <w:rPr>
                <w:sz w:val="18"/>
                <w:szCs w:val="18"/>
                <w:color w:val="auto"/>
              </w:rPr>
            </w:pPr>
          </w:p>
        </w:tc>
        <w:tc>
          <w:tcPr>
            <w:tcW w:w="60" w:type="dxa"/>
            <w:vAlign w:val="bottom"/>
            <w:shd w:val="clear" w:color="auto" w:fill="FF00FF"/>
          </w:tcPr>
          <w:p>
            <w:pPr>
              <w:spacing w:after="0"/>
              <w:rPr>
                <w:sz w:val="18"/>
                <w:szCs w:val="18"/>
                <w:color w:val="auto"/>
              </w:rPr>
            </w:pPr>
          </w:p>
        </w:tc>
        <w:tc>
          <w:tcPr>
            <w:tcW w:w="920" w:type="dxa"/>
            <w:vAlign w:val="bottom"/>
            <w:shd w:val="clear" w:color="auto" w:fill="FF00FF"/>
          </w:tcPr>
          <w:p>
            <w:pPr>
              <w:spacing w:after="0"/>
              <w:rPr>
                <w:sz w:val="18"/>
                <w:szCs w:val="18"/>
                <w:color w:val="auto"/>
              </w:rPr>
            </w:pPr>
          </w:p>
        </w:tc>
        <w:tc>
          <w:tcPr>
            <w:tcW w:w="320" w:type="dxa"/>
            <w:vAlign w:val="bottom"/>
            <w:shd w:val="clear" w:color="auto" w:fill="FF00FF"/>
          </w:tcPr>
          <w:p>
            <w:pPr>
              <w:spacing w:after="0"/>
              <w:rPr>
                <w:sz w:val="18"/>
                <w:szCs w:val="18"/>
                <w:color w:val="auto"/>
              </w:rPr>
            </w:pPr>
          </w:p>
        </w:tc>
        <w:tc>
          <w:tcPr>
            <w:tcW w:w="100" w:type="dxa"/>
            <w:vAlign w:val="bottom"/>
            <w:shd w:val="clear" w:color="auto" w:fill="FF00FF"/>
          </w:tcPr>
          <w:p>
            <w:pPr>
              <w:spacing w:after="0"/>
              <w:rPr>
                <w:sz w:val="18"/>
                <w:szCs w:val="18"/>
                <w:color w:val="auto"/>
              </w:rPr>
            </w:pPr>
          </w:p>
        </w:tc>
        <w:tc>
          <w:tcPr>
            <w:tcW w:w="2180" w:type="dxa"/>
            <w:vAlign w:val="bottom"/>
            <w:shd w:val="clear" w:color="auto" w:fill="FF00FF"/>
          </w:tcPr>
          <w:p>
            <w:pPr>
              <w:spacing w:after="0"/>
              <w:rPr>
                <w:sz w:val="18"/>
                <w:szCs w:val="18"/>
                <w:color w:val="auto"/>
              </w:rPr>
            </w:pPr>
          </w:p>
        </w:tc>
        <w:tc>
          <w:tcPr>
            <w:tcW w:w="6540" w:type="dxa"/>
            <w:vAlign w:val="bottom"/>
            <w:shd w:val="clear" w:color="auto" w:fill="FF00FF"/>
          </w:tcPr>
          <w:p>
            <w:pPr>
              <w:spacing w:after="0"/>
              <w:rPr>
                <w:sz w:val="18"/>
                <w:szCs w:val="18"/>
                <w:color w:val="auto"/>
              </w:rPr>
            </w:pPr>
          </w:p>
        </w:tc>
      </w:tr>
      <w:tr>
        <w:trPr>
          <w:trHeight w:val="216"/>
        </w:trPr>
        <w:tc>
          <w:tcPr>
            <w:tcW w:w="440" w:type="dxa"/>
            <w:vAlign w:val="bottom"/>
            <w:gridSpan w:val="2"/>
            <w:shd w:val="clear" w:color="auto" w:fill="FF00FF"/>
          </w:tcPr>
          <w:p>
            <w:pPr>
              <w:spacing w:after="0"/>
              <w:rPr>
                <w:sz w:val="20"/>
                <w:szCs w:val="20"/>
                <w:color w:val="auto"/>
              </w:rPr>
            </w:pPr>
            <w:r>
              <w:rPr>
                <w:rFonts w:ascii="Times New Roman" w:cs="Times New Roman" w:eastAsia="Times New Roman" w:hAnsi="Times New Roman"/>
                <w:sz w:val="18"/>
                <w:szCs w:val="18"/>
                <w:color w:val="FF0000"/>
                <w:strike w:val="1"/>
              </w:rPr>
              <w:t>L.P.</w:t>
            </w:r>
          </w:p>
        </w:tc>
        <w:tc>
          <w:tcPr>
            <w:tcW w:w="200" w:type="dxa"/>
            <w:vAlign w:val="bottom"/>
            <w:shd w:val="clear" w:color="auto" w:fill="FF00FF"/>
          </w:tcPr>
          <w:p>
            <w:pPr>
              <w:spacing w:after="0"/>
              <w:rPr>
                <w:sz w:val="18"/>
                <w:szCs w:val="18"/>
                <w:color w:val="auto"/>
              </w:rPr>
            </w:pPr>
          </w:p>
        </w:tc>
        <w:tc>
          <w:tcPr>
            <w:tcW w:w="380" w:type="dxa"/>
            <w:vAlign w:val="bottom"/>
            <w:shd w:val="clear" w:color="auto" w:fill="FF00FF"/>
          </w:tcPr>
          <w:p>
            <w:pPr>
              <w:spacing w:after="0"/>
              <w:rPr>
                <w:sz w:val="18"/>
                <w:szCs w:val="18"/>
                <w:color w:val="auto"/>
              </w:rPr>
            </w:pPr>
          </w:p>
        </w:tc>
        <w:tc>
          <w:tcPr>
            <w:tcW w:w="100" w:type="dxa"/>
            <w:vAlign w:val="bottom"/>
            <w:shd w:val="clear" w:color="auto" w:fill="FF00FF"/>
          </w:tcPr>
          <w:p>
            <w:pPr>
              <w:spacing w:after="0"/>
              <w:rPr>
                <w:sz w:val="18"/>
                <w:szCs w:val="18"/>
                <w:color w:val="auto"/>
              </w:rPr>
            </w:pPr>
          </w:p>
        </w:tc>
        <w:tc>
          <w:tcPr>
            <w:tcW w:w="60" w:type="dxa"/>
            <w:vAlign w:val="bottom"/>
            <w:shd w:val="clear" w:color="auto" w:fill="FF00FF"/>
          </w:tcPr>
          <w:p>
            <w:pPr>
              <w:spacing w:after="0"/>
              <w:rPr>
                <w:sz w:val="18"/>
                <w:szCs w:val="18"/>
                <w:color w:val="auto"/>
              </w:rPr>
            </w:pPr>
          </w:p>
        </w:tc>
        <w:tc>
          <w:tcPr>
            <w:tcW w:w="920" w:type="dxa"/>
            <w:vAlign w:val="bottom"/>
            <w:shd w:val="clear" w:color="auto" w:fill="FF00FF"/>
          </w:tcPr>
          <w:p>
            <w:pPr>
              <w:spacing w:after="0"/>
              <w:rPr>
                <w:sz w:val="18"/>
                <w:szCs w:val="18"/>
                <w:color w:val="auto"/>
              </w:rPr>
            </w:pPr>
          </w:p>
        </w:tc>
        <w:tc>
          <w:tcPr>
            <w:tcW w:w="320" w:type="dxa"/>
            <w:vAlign w:val="bottom"/>
            <w:shd w:val="clear" w:color="auto" w:fill="FF00FF"/>
          </w:tcPr>
          <w:p>
            <w:pPr>
              <w:spacing w:after="0"/>
              <w:rPr>
                <w:sz w:val="18"/>
                <w:szCs w:val="18"/>
                <w:color w:val="auto"/>
              </w:rPr>
            </w:pPr>
          </w:p>
        </w:tc>
        <w:tc>
          <w:tcPr>
            <w:tcW w:w="100" w:type="dxa"/>
            <w:vAlign w:val="bottom"/>
            <w:shd w:val="clear" w:color="auto" w:fill="FF00FF"/>
          </w:tcPr>
          <w:p>
            <w:pPr>
              <w:spacing w:after="0"/>
              <w:rPr>
                <w:sz w:val="18"/>
                <w:szCs w:val="18"/>
                <w:color w:val="auto"/>
              </w:rPr>
            </w:pPr>
          </w:p>
        </w:tc>
        <w:tc>
          <w:tcPr>
            <w:tcW w:w="2180" w:type="dxa"/>
            <w:vAlign w:val="bottom"/>
            <w:shd w:val="clear" w:color="auto" w:fill="FF00FF"/>
          </w:tcPr>
          <w:p>
            <w:pPr>
              <w:spacing w:after="0"/>
              <w:rPr>
                <w:sz w:val="18"/>
                <w:szCs w:val="18"/>
                <w:color w:val="auto"/>
              </w:rPr>
            </w:pPr>
          </w:p>
        </w:tc>
        <w:tc>
          <w:tcPr>
            <w:tcW w:w="6540" w:type="dxa"/>
            <w:vAlign w:val="bottom"/>
            <w:shd w:val="clear" w:color="auto" w:fill="FF00FF"/>
          </w:tcPr>
          <w:p>
            <w:pPr>
              <w:spacing w:after="0"/>
              <w:rPr>
                <w:sz w:val="18"/>
                <w:szCs w:val="18"/>
                <w:color w:val="auto"/>
              </w:rPr>
            </w:pPr>
          </w:p>
        </w:tc>
      </w:tr>
      <w:tr>
        <w:trPr>
          <w:trHeight w:val="254"/>
        </w:trPr>
        <w:tc>
          <w:tcPr>
            <w:tcW w:w="640" w:type="dxa"/>
            <w:vAlign w:val="bottom"/>
            <w:gridSpan w:val="3"/>
            <w:shd w:val="clear" w:color="auto" w:fill="FF00FF"/>
          </w:tcPr>
          <w:p>
            <w:pPr>
              <w:spacing w:after="0" w:line="194" w:lineRule="exact"/>
              <w:rPr>
                <w:sz w:val="20"/>
                <w:szCs w:val="20"/>
                <w:color w:val="auto"/>
              </w:rPr>
            </w:pPr>
            <w:r>
              <w:rPr>
                <w:rFonts w:ascii="Times New Roman" w:cs="Times New Roman" w:eastAsia="Times New Roman" w:hAnsi="Times New Roman"/>
                <w:sz w:val="18"/>
                <w:szCs w:val="18"/>
                <w:color w:val="0000FF"/>
              </w:rPr>
              <w:t>By:</w:t>
            </w:r>
          </w:p>
        </w:tc>
        <w:tc>
          <w:tcPr>
            <w:tcW w:w="380" w:type="dxa"/>
            <w:vAlign w:val="bottom"/>
            <w:shd w:val="clear" w:color="auto" w:fill="FF00FF"/>
          </w:tcPr>
          <w:p>
            <w:pPr>
              <w:spacing w:after="0"/>
              <w:rPr>
                <w:sz w:val="22"/>
                <w:szCs w:val="22"/>
                <w:color w:val="auto"/>
              </w:rPr>
            </w:pPr>
          </w:p>
        </w:tc>
        <w:tc>
          <w:tcPr>
            <w:tcW w:w="100" w:type="dxa"/>
            <w:vAlign w:val="bottom"/>
            <w:shd w:val="clear" w:color="auto" w:fill="FF00FF"/>
          </w:tcPr>
          <w:p>
            <w:pPr>
              <w:spacing w:after="0"/>
              <w:rPr>
                <w:sz w:val="22"/>
                <w:szCs w:val="22"/>
                <w:color w:val="auto"/>
              </w:rPr>
            </w:pPr>
          </w:p>
        </w:tc>
        <w:tc>
          <w:tcPr>
            <w:tcW w:w="60" w:type="dxa"/>
            <w:vAlign w:val="bottom"/>
            <w:shd w:val="clear" w:color="auto" w:fill="FF00FF"/>
          </w:tcPr>
          <w:p>
            <w:pPr>
              <w:spacing w:after="0"/>
              <w:rPr>
                <w:sz w:val="22"/>
                <w:szCs w:val="22"/>
                <w:color w:val="auto"/>
              </w:rPr>
            </w:pPr>
          </w:p>
        </w:tc>
        <w:tc>
          <w:tcPr>
            <w:tcW w:w="920" w:type="dxa"/>
            <w:vAlign w:val="bottom"/>
            <w:shd w:val="clear" w:color="auto" w:fill="FF00FF"/>
          </w:tcPr>
          <w:p>
            <w:pPr>
              <w:spacing w:after="0"/>
              <w:rPr>
                <w:sz w:val="22"/>
                <w:szCs w:val="22"/>
                <w:color w:val="auto"/>
              </w:rPr>
            </w:pPr>
          </w:p>
        </w:tc>
        <w:tc>
          <w:tcPr>
            <w:tcW w:w="320" w:type="dxa"/>
            <w:vAlign w:val="bottom"/>
            <w:shd w:val="clear" w:color="auto" w:fill="FF00FF"/>
          </w:tcPr>
          <w:p>
            <w:pPr>
              <w:spacing w:after="0"/>
              <w:rPr>
                <w:sz w:val="22"/>
                <w:szCs w:val="22"/>
                <w:color w:val="auto"/>
              </w:rPr>
            </w:pPr>
          </w:p>
        </w:tc>
        <w:tc>
          <w:tcPr>
            <w:tcW w:w="100" w:type="dxa"/>
            <w:vAlign w:val="bottom"/>
            <w:shd w:val="clear" w:color="auto" w:fill="FF00FF"/>
          </w:tcPr>
          <w:p>
            <w:pPr>
              <w:spacing w:after="0"/>
              <w:rPr>
                <w:sz w:val="22"/>
                <w:szCs w:val="22"/>
                <w:color w:val="auto"/>
              </w:rPr>
            </w:pPr>
          </w:p>
        </w:tc>
        <w:tc>
          <w:tcPr>
            <w:tcW w:w="2180" w:type="dxa"/>
            <w:vAlign w:val="bottom"/>
            <w:shd w:val="clear" w:color="auto" w:fill="FF00FF"/>
          </w:tcPr>
          <w:p>
            <w:pPr>
              <w:spacing w:after="0"/>
              <w:rPr>
                <w:sz w:val="22"/>
                <w:szCs w:val="22"/>
                <w:color w:val="auto"/>
              </w:rPr>
            </w:pPr>
          </w:p>
        </w:tc>
        <w:tc>
          <w:tcPr>
            <w:tcW w:w="6540" w:type="dxa"/>
            <w:vAlign w:val="bottom"/>
            <w:shd w:val="clear" w:color="auto" w:fill="FF00FF"/>
          </w:tcPr>
          <w:p>
            <w:pPr>
              <w:spacing w:after="0"/>
              <w:rPr>
                <w:sz w:val="22"/>
                <w:szCs w:val="22"/>
                <w:color w:val="auto"/>
              </w:rPr>
            </w:pPr>
          </w:p>
        </w:tc>
      </w:tr>
      <w:tr>
        <w:trPr>
          <w:trHeight w:val="189"/>
        </w:trPr>
        <w:tc>
          <w:tcPr>
            <w:tcW w:w="260" w:type="dxa"/>
            <w:vAlign w:val="bottom"/>
            <w:tcBorders>
              <w:top w:val="single" w:sz="8" w:color="0000FF"/>
            </w:tcBorders>
            <w:shd w:val="clear" w:color="auto" w:fill="FF00FF"/>
          </w:tcPr>
          <w:p>
            <w:pPr>
              <w:spacing w:after="0" w:line="150" w:lineRule="exact"/>
              <w:rPr>
                <w:sz w:val="20"/>
                <w:szCs w:val="20"/>
                <w:color w:val="auto"/>
              </w:rPr>
            </w:pPr>
            <w:r>
              <w:rPr>
                <w:rFonts w:ascii="Times New Roman" w:cs="Times New Roman" w:eastAsia="Times New Roman" w:hAnsi="Times New Roman"/>
                <w:sz w:val="17"/>
                <w:szCs w:val="17"/>
                <w:color w:val="FF0000"/>
                <w:strike w:val="1"/>
              </w:rPr>
              <w:t>CL</w:t>
            </w:r>
          </w:p>
        </w:tc>
        <w:tc>
          <w:tcPr>
            <w:tcW w:w="180" w:type="dxa"/>
            <w:vAlign w:val="bottom"/>
            <w:tcBorders>
              <w:top w:val="single" w:sz="8" w:color="FF00FF"/>
            </w:tcBorders>
            <w:shd w:val="clear" w:color="auto" w:fill="FF00FF"/>
          </w:tcPr>
          <w:p>
            <w:pPr>
              <w:spacing w:after="0"/>
              <w:rPr>
                <w:sz w:val="16"/>
                <w:szCs w:val="16"/>
                <w:color w:val="auto"/>
              </w:rPr>
            </w:pPr>
          </w:p>
        </w:tc>
        <w:tc>
          <w:tcPr>
            <w:tcW w:w="200" w:type="dxa"/>
            <w:vAlign w:val="bottom"/>
            <w:tcBorders>
              <w:top w:val="single" w:sz="8" w:color="FF00FF"/>
            </w:tcBorders>
            <w:shd w:val="clear" w:color="auto" w:fill="FF00FF"/>
          </w:tcPr>
          <w:p>
            <w:pPr>
              <w:spacing w:after="0"/>
              <w:rPr>
                <w:sz w:val="16"/>
                <w:szCs w:val="16"/>
                <w:color w:val="auto"/>
              </w:rPr>
            </w:pPr>
          </w:p>
        </w:tc>
        <w:tc>
          <w:tcPr>
            <w:tcW w:w="4060" w:type="dxa"/>
            <w:vAlign w:val="bottom"/>
            <w:tcBorders>
              <w:top w:val="single" w:sz="8" w:color="auto"/>
            </w:tcBorders>
            <w:gridSpan w:val="7"/>
            <w:shd w:val="clear" w:color="auto" w:fill="FF00FF"/>
          </w:tcPr>
          <w:p>
            <w:pPr>
              <w:spacing w:after="0" w:line="150" w:lineRule="exact"/>
              <w:rPr>
                <w:sz w:val="20"/>
                <w:szCs w:val="20"/>
                <w:color w:val="auto"/>
              </w:rPr>
            </w:pPr>
            <w:r>
              <w:rPr>
                <w:rFonts w:ascii="Times New Roman" w:cs="Times New Roman" w:eastAsia="Times New Roman" w:hAnsi="Times New Roman"/>
                <w:sz w:val="17"/>
                <w:szCs w:val="17"/>
                <w:color w:val="0000FF"/>
              </w:rPr>
              <w:t>Name: Anthony Cappell</w:t>
            </w:r>
          </w:p>
        </w:tc>
        <w:tc>
          <w:tcPr>
            <w:tcW w:w="6540" w:type="dxa"/>
            <w:vAlign w:val="bottom"/>
            <w:tcBorders>
              <w:top w:val="single" w:sz="8" w:color="FF00FF"/>
            </w:tcBorders>
            <w:shd w:val="clear" w:color="auto" w:fill="FF00FF"/>
          </w:tcPr>
          <w:p>
            <w:pPr>
              <w:spacing w:after="0"/>
              <w:rPr>
                <w:sz w:val="16"/>
                <w:szCs w:val="16"/>
                <w:color w:val="auto"/>
              </w:rPr>
            </w:pPr>
          </w:p>
        </w:tc>
      </w:tr>
      <w:tr>
        <w:trPr>
          <w:trHeight w:val="165"/>
        </w:trPr>
        <w:tc>
          <w:tcPr>
            <w:tcW w:w="640" w:type="dxa"/>
            <w:vAlign w:val="bottom"/>
            <w:tcBorders>
              <w:top w:val="single" w:sz="8" w:color="FF00FF"/>
            </w:tcBorders>
            <w:gridSpan w:val="3"/>
            <w:shd w:val="clear" w:color="auto" w:fill="FF00FF"/>
          </w:tcPr>
          <w:p>
            <w:pPr>
              <w:spacing w:after="0" w:line="164" w:lineRule="exact"/>
              <w:rPr>
                <w:sz w:val="20"/>
                <w:szCs w:val="20"/>
                <w:color w:val="auto"/>
              </w:rPr>
            </w:pPr>
            <w:r>
              <w:rPr>
                <w:rFonts w:ascii="Times New Roman" w:cs="Times New Roman" w:eastAsia="Times New Roman" w:hAnsi="Times New Roman"/>
                <w:sz w:val="18"/>
                <w:szCs w:val="18"/>
                <w:color w:val="FF0000"/>
                <w:strike w:val="1"/>
                <w:w w:val="99"/>
              </w:rPr>
              <w:t>Impulse,</w:t>
            </w:r>
          </w:p>
        </w:tc>
        <w:tc>
          <w:tcPr>
            <w:tcW w:w="380" w:type="dxa"/>
            <w:vAlign w:val="bottom"/>
            <w:tcBorders>
              <w:top w:val="single" w:sz="8" w:color="0000FF"/>
            </w:tcBorders>
            <w:shd w:val="clear" w:color="auto" w:fill="FF00FF"/>
          </w:tcPr>
          <w:p>
            <w:pPr>
              <w:spacing w:after="0"/>
              <w:rPr>
                <w:sz w:val="14"/>
                <w:szCs w:val="14"/>
                <w:color w:val="auto"/>
              </w:rPr>
            </w:pPr>
          </w:p>
        </w:tc>
        <w:tc>
          <w:tcPr>
            <w:tcW w:w="100" w:type="dxa"/>
            <w:vAlign w:val="bottom"/>
            <w:tcBorders>
              <w:top w:val="single" w:sz="8" w:color="0000FF"/>
            </w:tcBorders>
            <w:shd w:val="clear" w:color="auto" w:fill="FF00FF"/>
          </w:tcPr>
          <w:p>
            <w:pPr>
              <w:spacing w:after="0"/>
              <w:rPr>
                <w:sz w:val="14"/>
                <w:szCs w:val="14"/>
                <w:color w:val="auto"/>
              </w:rPr>
            </w:pPr>
          </w:p>
        </w:tc>
        <w:tc>
          <w:tcPr>
            <w:tcW w:w="60" w:type="dxa"/>
            <w:vAlign w:val="bottom"/>
            <w:tcBorders>
              <w:top w:val="single" w:sz="8" w:color="FF00FF"/>
            </w:tcBorders>
            <w:shd w:val="clear" w:color="auto" w:fill="FF00FF"/>
          </w:tcPr>
          <w:p>
            <w:pPr>
              <w:spacing w:after="0"/>
              <w:rPr>
                <w:sz w:val="14"/>
                <w:szCs w:val="14"/>
                <w:color w:val="auto"/>
              </w:rPr>
            </w:pPr>
          </w:p>
        </w:tc>
        <w:tc>
          <w:tcPr>
            <w:tcW w:w="920" w:type="dxa"/>
            <w:vAlign w:val="bottom"/>
            <w:tcBorders>
              <w:top w:val="single" w:sz="8" w:color="0000FF"/>
            </w:tcBorders>
            <w:shd w:val="clear" w:color="auto" w:fill="FF00FF"/>
          </w:tcPr>
          <w:p>
            <w:pPr>
              <w:spacing w:after="0"/>
              <w:rPr>
                <w:sz w:val="14"/>
                <w:szCs w:val="14"/>
                <w:color w:val="auto"/>
              </w:rPr>
            </w:pPr>
          </w:p>
        </w:tc>
        <w:tc>
          <w:tcPr>
            <w:tcW w:w="320" w:type="dxa"/>
            <w:vAlign w:val="bottom"/>
            <w:tcBorders>
              <w:top w:val="single" w:sz="8" w:color="0000FF"/>
            </w:tcBorders>
            <w:shd w:val="clear" w:color="auto" w:fill="FF00FF"/>
          </w:tcPr>
          <w:p>
            <w:pPr>
              <w:spacing w:after="0"/>
              <w:rPr>
                <w:sz w:val="14"/>
                <w:szCs w:val="14"/>
                <w:color w:val="auto"/>
              </w:rPr>
            </w:pPr>
          </w:p>
        </w:tc>
        <w:tc>
          <w:tcPr>
            <w:tcW w:w="100" w:type="dxa"/>
            <w:vAlign w:val="bottom"/>
            <w:tcBorders>
              <w:top w:val="single" w:sz="8" w:color="FF00FF"/>
            </w:tcBorders>
            <w:shd w:val="clear" w:color="auto" w:fill="FF00FF"/>
          </w:tcPr>
          <w:p>
            <w:pPr>
              <w:spacing w:after="0"/>
              <w:rPr>
                <w:sz w:val="14"/>
                <w:szCs w:val="14"/>
                <w:color w:val="auto"/>
              </w:rPr>
            </w:pPr>
          </w:p>
        </w:tc>
        <w:tc>
          <w:tcPr>
            <w:tcW w:w="2180" w:type="dxa"/>
            <w:vAlign w:val="bottom"/>
            <w:tcBorders>
              <w:top w:val="single" w:sz="8" w:color="FF00FF"/>
            </w:tcBorders>
            <w:shd w:val="clear" w:color="auto" w:fill="FF00FF"/>
          </w:tcPr>
          <w:p>
            <w:pPr>
              <w:spacing w:after="0"/>
              <w:rPr>
                <w:sz w:val="14"/>
                <w:szCs w:val="14"/>
                <w:color w:val="auto"/>
              </w:rPr>
            </w:pPr>
          </w:p>
        </w:tc>
        <w:tc>
          <w:tcPr>
            <w:tcW w:w="6540" w:type="dxa"/>
            <w:vAlign w:val="bottom"/>
            <w:tcBorders>
              <w:top w:val="single" w:sz="8" w:color="FF00FF"/>
            </w:tcBorders>
            <w:shd w:val="clear" w:color="auto" w:fill="FF00FF"/>
          </w:tcPr>
          <w:p>
            <w:pPr>
              <w:spacing w:after="0"/>
              <w:rPr>
                <w:sz w:val="14"/>
                <w:szCs w:val="14"/>
                <w:color w:val="auto"/>
              </w:rPr>
            </w:pPr>
          </w:p>
        </w:tc>
      </w:tr>
      <w:tr>
        <w:trPr>
          <w:trHeight w:val="234"/>
        </w:trPr>
        <w:tc>
          <w:tcPr>
            <w:tcW w:w="440" w:type="dxa"/>
            <w:vAlign w:val="bottom"/>
            <w:gridSpan w:val="2"/>
            <w:shd w:val="clear" w:color="auto" w:fill="FF00FF"/>
          </w:tcPr>
          <w:p>
            <w:pPr>
              <w:spacing w:after="0"/>
              <w:rPr>
                <w:sz w:val="20"/>
                <w:szCs w:val="20"/>
                <w:color w:val="auto"/>
              </w:rPr>
            </w:pPr>
            <w:r>
              <w:rPr>
                <w:rFonts w:ascii="Times New Roman" w:cs="Times New Roman" w:eastAsia="Times New Roman" w:hAnsi="Times New Roman"/>
                <w:sz w:val="18"/>
                <w:szCs w:val="18"/>
                <w:color w:val="FF0000"/>
                <w:strike w:val="1"/>
              </w:rPr>
              <w:t>L.P.</w:t>
            </w:r>
          </w:p>
        </w:tc>
        <w:tc>
          <w:tcPr>
            <w:tcW w:w="200" w:type="dxa"/>
            <w:vAlign w:val="bottom"/>
            <w:shd w:val="clear" w:color="auto" w:fill="FF00FF"/>
          </w:tcPr>
          <w:p>
            <w:pPr>
              <w:spacing w:after="0"/>
              <w:rPr>
                <w:sz w:val="20"/>
                <w:szCs w:val="20"/>
                <w:color w:val="auto"/>
              </w:rPr>
            </w:pPr>
          </w:p>
        </w:tc>
        <w:tc>
          <w:tcPr>
            <w:tcW w:w="380" w:type="dxa"/>
            <w:vAlign w:val="bottom"/>
            <w:shd w:val="clear" w:color="auto" w:fill="FF00FF"/>
          </w:tcPr>
          <w:p>
            <w:pPr>
              <w:spacing w:after="0"/>
              <w:rPr>
                <w:sz w:val="20"/>
                <w:szCs w:val="20"/>
                <w:color w:val="auto"/>
              </w:rPr>
            </w:pPr>
          </w:p>
        </w:tc>
        <w:tc>
          <w:tcPr>
            <w:tcW w:w="100" w:type="dxa"/>
            <w:vAlign w:val="bottom"/>
            <w:shd w:val="clear" w:color="auto" w:fill="FF00FF"/>
          </w:tcPr>
          <w:p>
            <w:pPr>
              <w:spacing w:after="0"/>
              <w:rPr>
                <w:sz w:val="20"/>
                <w:szCs w:val="20"/>
                <w:color w:val="auto"/>
              </w:rPr>
            </w:pPr>
          </w:p>
        </w:tc>
        <w:tc>
          <w:tcPr>
            <w:tcW w:w="60" w:type="dxa"/>
            <w:vAlign w:val="bottom"/>
            <w:shd w:val="clear" w:color="auto" w:fill="FF00FF"/>
          </w:tcPr>
          <w:p>
            <w:pPr>
              <w:spacing w:after="0"/>
              <w:rPr>
                <w:sz w:val="20"/>
                <w:szCs w:val="20"/>
                <w:color w:val="auto"/>
              </w:rPr>
            </w:pPr>
          </w:p>
        </w:tc>
        <w:tc>
          <w:tcPr>
            <w:tcW w:w="920" w:type="dxa"/>
            <w:vAlign w:val="bottom"/>
            <w:shd w:val="clear" w:color="auto" w:fill="FF00FF"/>
          </w:tcPr>
          <w:p>
            <w:pPr>
              <w:spacing w:after="0"/>
              <w:rPr>
                <w:sz w:val="20"/>
                <w:szCs w:val="20"/>
                <w:color w:val="auto"/>
              </w:rPr>
            </w:pPr>
          </w:p>
        </w:tc>
        <w:tc>
          <w:tcPr>
            <w:tcW w:w="320" w:type="dxa"/>
            <w:vAlign w:val="bottom"/>
            <w:shd w:val="clear" w:color="auto" w:fill="FF00FF"/>
          </w:tcPr>
          <w:p>
            <w:pPr>
              <w:spacing w:after="0"/>
              <w:rPr>
                <w:sz w:val="20"/>
                <w:szCs w:val="20"/>
                <w:color w:val="auto"/>
              </w:rPr>
            </w:pPr>
          </w:p>
        </w:tc>
        <w:tc>
          <w:tcPr>
            <w:tcW w:w="100" w:type="dxa"/>
            <w:vAlign w:val="bottom"/>
            <w:shd w:val="clear" w:color="auto" w:fill="FF00FF"/>
          </w:tcPr>
          <w:p>
            <w:pPr>
              <w:spacing w:after="0"/>
              <w:rPr>
                <w:sz w:val="20"/>
                <w:szCs w:val="20"/>
                <w:color w:val="auto"/>
              </w:rPr>
            </w:pPr>
          </w:p>
        </w:tc>
        <w:tc>
          <w:tcPr>
            <w:tcW w:w="2180" w:type="dxa"/>
            <w:vAlign w:val="bottom"/>
            <w:shd w:val="clear" w:color="auto" w:fill="FF00FF"/>
          </w:tcPr>
          <w:p>
            <w:pPr>
              <w:spacing w:after="0"/>
              <w:rPr>
                <w:sz w:val="20"/>
                <w:szCs w:val="20"/>
                <w:color w:val="auto"/>
              </w:rPr>
            </w:pPr>
          </w:p>
        </w:tc>
        <w:tc>
          <w:tcPr>
            <w:tcW w:w="6540" w:type="dxa"/>
            <w:vAlign w:val="bottom"/>
            <w:shd w:val="clear" w:color="auto" w:fill="FF00FF"/>
          </w:tcPr>
          <w:p>
            <w:pPr>
              <w:spacing w:after="0"/>
              <w:rPr>
                <w:sz w:val="20"/>
                <w:szCs w:val="20"/>
                <w:color w:val="auto"/>
              </w:rPr>
            </w:pPr>
          </w:p>
        </w:tc>
      </w:tr>
      <w:tr>
        <w:trPr>
          <w:trHeight w:val="216"/>
        </w:trPr>
        <w:tc>
          <w:tcPr>
            <w:tcW w:w="260" w:type="dxa"/>
            <w:vAlign w:val="bottom"/>
            <w:shd w:val="clear" w:color="auto" w:fill="FF00FF"/>
          </w:tcPr>
          <w:p>
            <w:pPr>
              <w:spacing w:after="0"/>
              <w:rPr>
                <w:sz w:val="18"/>
                <w:szCs w:val="18"/>
                <w:color w:val="auto"/>
              </w:rPr>
            </w:pPr>
          </w:p>
        </w:tc>
        <w:tc>
          <w:tcPr>
            <w:tcW w:w="180" w:type="dxa"/>
            <w:vAlign w:val="bottom"/>
            <w:shd w:val="clear" w:color="auto" w:fill="FF00FF"/>
          </w:tcPr>
          <w:p>
            <w:pPr>
              <w:spacing w:after="0"/>
              <w:rPr>
                <w:sz w:val="18"/>
                <w:szCs w:val="18"/>
                <w:color w:val="auto"/>
              </w:rPr>
            </w:pPr>
          </w:p>
        </w:tc>
        <w:tc>
          <w:tcPr>
            <w:tcW w:w="200" w:type="dxa"/>
            <w:vAlign w:val="bottom"/>
            <w:shd w:val="clear" w:color="auto" w:fill="FF00FF"/>
          </w:tcPr>
          <w:p>
            <w:pPr>
              <w:spacing w:after="0"/>
              <w:rPr>
                <w:sz w:val="18"/>
                <w:szCs w:val="18"/>
                <w:color w:val="auto"/>
              </w:rPr>
            </w:pPr>
          </w:p>
        </w:tc>
        <w:tc>
          <w:tcPr>
            <w:tcW w:w="380" w:type="dxa"/>
            <w:vAlign w:val="bottom"/>
            <w:shd w:val="clear" w:color="auto" w:fill="FF00FF"/>
          </w:tcPr>
          <w:p>
            <w:pPr>
              <w:spacing w:after="0"/>
              <w:rPr>
                <w:sz w:val="18"/>
                <w:szCs w:val="18"/>
                <w:color w:val="auto"/>
              </w:rPr>
            </w:pPr>
          </w:p>
        </w:tc>
        <w:tc>
          <w:tcPr>
            <w:tcW w:w="100" w:type="dxa"/>
            <w:vAlign w:val="bottom"/>
            <w:shd w:val="clear" w:color="auto" w:fill="FF00FF"/>
          </w:tcPr>
          <w:p>
            <w:pPr>
              <w:spacing w:after="0"/>
              <w:rPr>
                <w:sz w:val="18"/>
                <w:szCs w:val="18"/>
                <w:color w:val="auto"/>
              </w:rPr>
            </w:pPr>
          </w:p>
        </w:tc>
        <w:tc>
          <w:tcPr>
            <w:tcW w:w="60" w:type="dxa"/>
            <w:vAlign w:val="bottom"/>
            <w:shd w:val="clear" w:color="auto" w:fill="FF00FF"/>
          </w:tcPr>
          <w:p>
            <w:pPr>
              <w:spacing w:after="0"/>
              <w:rPr>
                <w:sz w:val="18"/>
                <w:szCs w:val="18"/>
                <w:color w:val="auto"/>
              </w:rPr>
            </w:pPr>
          </w:p>
        </w:tc>
        <w:tc>
          <w:tcPr>
            <w:tcW w:w="920" w:type="dxa"/>
            <w:vAlign w:val="bottom"/>
            <w:shd w:val="clear" w:color="auto" w:fill="FF00FF"/>
          </w:tcPr>
          <w:p>
            <w:pPr>
              <w:spacing w:after="0"/>
              <w:rPr>
                <w:sz w:val="18"/>
                <w:szCs w:val="18"/>
                <w:color w:val="auto"/>
              </w:rPr>
            </w:pPr>
          </w:p>
        </w:tc>
        <w:tc>
          <w:tcPr>
            <w:tcW w:w="320" w:type="dxa"/>
            <w:vAlign w:val="bottom"/>
            <w:shd w:val="clear" w:color="auto" w:fill="FF00FF"/>
          </w:tcPr>
          <w:p>
            <w:pPr>
              <w:spacing w:after="0"/>
              <w:rPr>
                <w:sz w:val="18"/>
                <w:szCs w:val="18"/>
                <w:color w:val="auto"/>
              </w:rPr>
            </w:pPr>
          </w:p>
        </w:tc>
        <w:tc>
          <w:tcPr>
            <w:tcW w:w="100" w:type="dxa"/>
            <w:vAlign w:val="bottom"/>
            <w:shd w:val="clear" w:color="auto" w:fill="FF00FF"/>
          </w:tcPr>
          <w:p>
            <w:pPr>
              <w:spacing w:after="0"/>
              <w:rPr>
                <w:sz w:val="18"/>
                <w:szCs w:val="18"/>
                <w:color w:val="auto"/>
              </w:rPr>
            </w:pPr>
          </w:p>
        </w:tc>
        <w:tc>
          <w:tcPr>
            <w:tcW w:w="2180" w:type="dxa"/>
            <w:vAlign w:val="bottom"/>
            <w:shd w:val="clear" w:color="auto" w:fill="FF00FF"/>
          </w:tcPr>
          <w:p>
            <w:pPr>
              <w:spacing w:after="0"/>
              <w:rPr>
                <w:sz w:val="18"/>
                <w:szCs w:val="18"/>
                <w:color w:val="auto"/>
              </w:rPr>
            </w:pPr>
          </w:p>
        </w:tc>
        <w:tc>
          <w:tcPr>
            <w:tcW w:w="6540" w:type="dxa"/>
            <w:vAlign w:val="bottom"/>
            <w:shd w:val="clear" w:color="auto" w:fill="FF00FF"/>
          </w:tcPr>
          <w:p>
            <w:pPr>
              <w:spacing w:after="0"/>
              <w:rPr>
                <w:sz w:val="18"/>
                <w:szCs w:val="18"/>
                <w:color w:val="auto"/>
              </w:rPr>
            </w:pPr>
          </w:p>
        </w:tc>
      </w:tr>
      <w:tr>
        <w:trPr>
          <w:trHeight w:val="216"/>
        </w:trPr>
        <w:tc>
          <w:tcPr>
            <w:tcW w:w="2100" w:type="dxa"/>
            <w:vAlign w:val="bottom"/>
            <w:gridSpan w:val="7"/>
            <w:shd w:val="clear" w:color="auto" w:fill="FFDEAD"/>
          </w:tcPr>
          <w:p>
            <w:pPr>
              <w:spacing w:after="0"/>
              <w:rPr>
                <w:sz w:val="20"/>
                <w:szCs w:val="20"/>
                <w:color w:val="auto"/>
              </w:rPr>
            </w:pPr>
            <w:r>
              <w:rPr>
                <w:rFonts w:ascii="Times New Roman" w:cs="Times New Roman" w:eastAsia="Times New Roman" w:hAnsi="Times New Roman"/>
                <w:sz w:val="18"/>
                <w:szCs w:val="18"/>
                <w:color w:val="FF0000"/>
                <w:strike w:val="1"/>
              </w:rPr>
              <w:t>CL Panoramic, L.P.</w:t>
            </w:r>
          </w:p>
        </w:tc>
        <w:tc>
          <w:tcPr>
            <w:tcW w:w="420" w:type="dxa"/>
            <w:vAlign w:val="bottom"/>
            <w:gridSpan w:val="2"/>
            <w:shd w:val="clear" w:color="auto" w:fill="FFDEAD"/>
          </w:tcPr>
          <w:p>
            <w:pPr>
              <w:spacing w:after="0"/>
              <w:rPr>
                <w:sz w:val="18"/>
                <w:szCs w:val="18"/>
                <w:color w:val="auto"/>
              </w:rPr>
            </w:pPr>
          </w:p>
        </w:tc>
        <w:tc>
          <w:tcPr>
            <w:tcW w:w="8720" w:type="dxa"/>
            <w:vAlign w:val="bottom"/>
            <w:gridSpan w:val="2"/>
            <w:shd w:val="clear" w:color="auto" w:fill="FFDEAD"/>
          </w:tcPr>
          <w:p>
            <w:pPr>
              <w:spacing w:after="0"/>
              <w:rPr>
                <w:sz w:val="18"/>
                <w:szCs w:val="18"/>
                <w:color w:val="auto"/>
              </w:rPr>
            </w:pPr>
          </w:p>
        </w:tc>
      </w:tr>
      <w:tr>
        <w:trPr>
          <w:trHeight w:val="216"/>
        </w:trPr>
        <w:tc>
          <w:tcPr>
            <w:tcW w:w="260" w:type="dxa"/>
            <w:vAlign w:val="bottom"/>
            <w:shd w:val="clear" w:color="auto" w:fill="FF00FF"/>
          </w:tcPr>
          <w:p>
            <w:pPr>
              <w:spacing w:after="0" w:line="176" w:lineRule="exact"/>
              <w:rPr>
                <w:sz w:val="20"/>
                <w:szCs w:val="20"/>
                <w:color w:val="auto"/>
              </w:rPr>
            </w:pPr>
            <w:r>
              <w:rPr>
                <w:rFonts w:ascii="Times New Roman" w:cs="Times New Roman" w:eastAsia="Times New Roman" w:hAnsi="Times New Roman"/>
                <w:sz w:val="18"/>
                <w:szCs w:val="18"/>
                <w:color w:val="FF0000"/>
                <w:strike w:val="1"/>
              </w:rPr>
              <w:t>CL</w:t>
            </w:r>
          </w:p>
        </w:tc>
        <w:tc>
          <w:tcPr>
            <w:tcW w:w="180" w:type="dxa"/>
            <w:vAlign w:val="bottom"/>
            <w:shd w:val="clear" w:color="auto" w:fill="FF00FF"/>
          </w:tcPr>
          <w:p>
            <w:pPr>
              <w:spacing w:after="0"/>
              <w:rPr>
                <w:sz w:val="18"/>
                <w:szCs w:val="18"/>
                <w:color w:val="auto"/>
              </w:rPr>
            </w:pPr>
          </w:p>
        </w:tc>
        <w:tc>
          <w:tcPr>
            <w:tcW w:w="200" w:type="dxa"/>
            <w:vAlign w:val="bottom"/>
            <w:shd w:val="clear" w:color="auto" w:fill="FF00FF"/>
          </w:tcPr>
          <w:p>
            <w:pPr>
              <w:spacing w:after="0"/>
              <w:rPr>
                <w:sz w:val="18"/>
                <w:szCs w:val="18"/>
                <w:color w:val="auto"/>
              </w:rPr>
            </w:pPr>
          </w:p>
        </w:tc>
        <w:tc>
          <w:tcPr>
            <w:tcW w:w="10600" w:type="dxa"/>
            <w:vAlign w:val="bottom"/>
            <w:gridSpan w:val="8"/>
            <w:shd w:val="clear" w:color="auto" w:fill="FF00FF"/>
          </w:tcPr>
          <w:p>
            <w:pPr>
              <w:spacing w:after="0" w:line="176" w:lineRule="exact"/>
              <w:rPr>
                <w:sz w:val="20"/>
                <w:szCs w:val="20"/>
                <w:color w:val="auto"/>
              </w:rPr>
            </w:pPr>
            <w:r>
              <w:rPr>
                <w:rFonts w:ascii="Times New Roman" w:cs="Times New Roman" w:eastAsia="Times New Roman" w:hAnsi="Times New Roman"/>
                <w:sz w:val="18"/>
                <w:szCs w:val="18"/>
                <w:color w:val="0000FF"/>
              </w:rPr>
              <w:t>Title:  Authorized Person</w:t>
            </w:r>
          </w:p>
        </w:tc>
      </w:tr>
      <w:tr>
        <w:trPr>
          <w:trHeight w:val="178"/>
        </w:trPr>
        <w:tc>
          <w:tcPr>
            <w:tcW w:w="640" w:type="dxa"/>
            <w:vAlign w:val="bottom"/>
            <w:tcBorders>
              <w:top w:val="single" w:sz="8" w:color="FF00FF"/>
            </w:tcBorders>
            <w:gridSpan w:val="3"/>
            <w:shd w:val="clear" w:color="auto" w:fill="FF00FF"/>
          </w:tcPr>
          <w:p>
            <w:pPr>
              <w:spacing w:after="0" w:line="178" w:lineRule="exact"/>
              <w:rPr>
                <w:sz w:val="20"/>
                <w:szCs w:val="20"/>
                <w:color w:val="auto"/>
              </w:rPr>
            </w:pPr>
            <w:r>
              <w:rPr>
                <w:rFonts w:ascii="Times New Roman" w:cs="Times New Roman" w:eastAsia="Times New Roman" w:hAnsi="Times New Roman"/>
                <w:sz w:val="18"/>
                <w:szCs w:val="18"/>
                <w:color w:val="FF0000"/>
                <w:strike w:val="1"/>
              </w:rPr>
              <w:t>Trading,</w:t>
            </w:r>
          </w:p>
        </w:tc>
        <w:tc>
          <w:tcPr>
            <w:tcW w:w="380" w:type="dxa"/>
            <w:vAlign w:val="bottom"/>
            <w:tcBorders>
              <w:top w:val="single" w:sz="8" w:color="0000FF"/>
            </w:tcBorders>
            <w:shd w:val="clear" w:color="auto" w:fill="FF00FF"/>
          </w:tcPr>
          <w:p>
            <w:pPr>
              <w:spacing w:after="0"/>
              <w:rPr>
                <w:sz w:val="15"/>
                <w:szCs w:val="15"/>
                <w:color w:val="auto"/>
              </w:rPr>
            </w:pPr>
          </w:p>
        </w:tc>
        <w:tc>
          <w:tcPr>
            <w:tcW w:w="100" w:type="dxa"/>
            <w:vAlign w:val="bottom"/>
            <w:tcBorders>
              <w:top w:val="single" w:sz="8" w:color="FF00FF"/>
            </w:tcBorders>
            <w:shd w:val="clear" w:color="auto" w:fill="FF00FF"/>
          </w:tcPr>
          <w:p>
            <w:pPr>
              <w:spacing w:after="0"/>
              <w:rPr>
                <w:sz w:val="15"/>
                <w:szCs w:val="15"/>
                <w:color w:val="auto"/>
              </w:rPr>
            </w:pPr>
          </w:p>
        </w:tc>
        <w:tc>
          <w:tcPr>
            <w:tcW w:w="60" w:type="dxa"/>
            <w:vAlign w:val="bottom"/>
            <w:tcBorders>
              <w:top w:val="single" w:sz="8" w:color="FF00FF"/>
            </w:tcBorders>
            <w:shd w:val="clear" w:color="auto" w:fill="FF00FF"/>
          </w:tcPr>
          <w:p>
            <w:pPr>
              <w:spacing w:after="0"/>
              <w:rPr>
                <w:sz w:val="15"/>
                <w:szCs w:val="15"/>
                <w:color w:val="auto"/>
              </w:rPr>
            </w:pPr>
          </w:p>
        </w:tc>
        <w:tc>
          <w:tcPr>
            <w:tcW w:w="920" w:type="dxa"/>
            <w:vAlign w:val="bottom"/>
            <w:tcBorders>
              <w:top w:val="single" w:sz="8" w:color="0000FF"/>
            </w:tcBorders>
            <w:shd w:val="clear" w:color="auto" w:fill="FF00FF"/>
          </w:tcPr>
          <w:p>
            <w:pPr>
              <w:spacing w:after="0"/>
              <w:rPr>
                <w:sz w:val="15"/>
                <w:szCs w:val="15"/>
                <w:color w:val="auto"/>
              </w:rPr>
            </w:pPr>
          </w:p>
        </w:tc>
        <w:tc>
          <w:tcPr>
            <w:tcW w:w="320" w:type="dxa"/>
            <w:vAlign w:val="bottom"/>
            <w:tcBorders>
              <w:top w:val="single" w:sz="8" w:color="0000FF"/>
            </w:tcBorders>
            <w:shd w:val="clear" w:color="auto" w:fill="FF00FF"/>
          </w:tcPr>
          <w:p>
            <w:pPr>
              <w:spacing w:after="0"/>
              <w:rPr>
                <w:sz w:val="15"/>
                <w:szCs w:val="15"/>
                <w:color w:val="auto"/>
              </w:rPr>
            </w:pPr>
          </w:p>
        </w:tc>
        <w:tc>
          <w:tcPr>
            <w:tcW w:w="100" w:type="dxa"/>
            <w:vAlign w:val="bottom"/>
            <w:tcBorders>
              <w:top w:val="single" w:sz="8" w:color="0000FF"/>
            </w:tcBorders>
            <w:shd w:val="clear" w:color="auto" w:fill="FF00FF"/>
          </w:tcPr>
          <w:p>
            <w:pPr>
              <w:spacing w:after="0"/>
              <w:rPr>
                <w:sz w:val="15"/>
                <w:szCs w:val="15"/>
                <w:color w:val="auto"/>
              </w:rPr>
            </w:pPr>
          </w:p>
        </w:tc>
        <w:tc>
          <w:tcPr>
            <w:tcW w:w="2180" w:type="dxa"/>
            <w:vAlign w:val="bottom"/>
            <w:tcBorders>
              <w:top w:val="single" w:sz="8" w:color="FF00FF"/>
            </w:tcBorders>
            <w:shd w:val="clear" w:color="auto" w:fill="FF00FF"/>
          </w:tcPr>
          <w:p>
            <w:pPr>
              <w:spacing w:after="0"/>
              <w:rPr>
                <w:sz w:val="15"/>
                <w:szCs w:val="15"/>
                <w:color w:val="auto"/>
              </w:rPr>
            </w:pPr>
          </w:p>
        </w:tc>
        <w:tc>
          <w:tcPr>
            <w:tcW w:w="6540" w:type="dxa"/>
            <w:vAlign w:val="bottom"/>
            <w:tcBorders>
              <w:top w:val="single" w:sz="8" w:color="FF00FF"/>
            </w:tcBorders>
            <w:shd w:val="clear" w:color="auto" w:fill="FF00FF"/>
          </w:tcPr>
          <w:p>
            <w:pPr>
              <w:spacing w:after="0"/>
              <w:rPr>
                <w:sz w:val="15"/>
                <w:szCs w:val="15"/>
                <w:color w:val="auto"/>
              </w:rPr>
            </w:pPr>
          </w:p>
        </w:tc>
      </w:tr>
      <w:tr>
        <w:trPr>
          <w:trHeight w:val="234"/>
        </w:trPr>
        <w:tc>
          <w:tcPr>
            <w:tcW w:w="440" w:type="dxa"/>
            <w:vAlign w:val="bottom"/>
            <w:gridSpan w:val="2"/>
            <w:shd w:val="clear" w:color="auto" w:fill="FF00FF"/>
          </w:tcPr>
          <w:p>
            <w:pPr>
              <w:spacing w:after="0"/>
              <w:rPr>
                <w:sz w:val="20"/>
                <w:szCs w:val="20"/>
                <w:color w:val="auto"/>
              </w:rPr>
            </w:pPr>
            <w:r>
              <w:rPr>
                <w:rFonts w:ascii="Times New Roman" w:cs="Times New Roman" w:eastAsia="Times New Roman" w:hAnsi="Times New Roman"/>
                <w:sz w:val="18"/>
                <w:szCs w:val="18"/>
                <w:color w:val="FF0000"/>
                <w:strike w:val="1"/>
              </w:rPr>
              <w:t>L.P.</w:t>
            </w:r>
          </w:p>
        </w:tc>
        <w:tc>
          <w:tcPr>
            <w:tcW w:w="200" w:type="dxa"/>
            <w:vAlign w:val="bottom"/>
            <w:shd w:val="clear" w:color="auto" w:fill="FF00FF"/>
          </w:tcPr>
          <w:p>
            <w:pPr>
              <w:spacing w:after="0"/>
              <w:rPr>
                <w:sz w:val="20"/>
                <w:szCs w:val="20"/>
                <w:color w:val="auto"/>
              </w:rPr>
            </w:pPr>
          </w:p>
        </w:tc>
        <w:tc>
          <w:tcPr>
            <w:tcW w:w="380" w:type="dxa"/>
            <w:vAlign w:val="bottom"/>
            <w:shd w:val="clear" w:color="auto" w:fill="FF00FF"/>
          </w:tcPr>
          <w:p>
            <w:pPr>
              <w:spacing w:after="0"/>
              <w:rPr>
                <w:sz w:val="20"/>
                <w:szCs w:val="20"/>
                <w:color w:val="auto"/>
              </w:rPr>
            </w:pPr>
          </w:p>
        </w:tc>
        <w:tc>
          <w:tcPr>
            <w:tcW w:w="100" w:type="dxa"/>
            <w:vAlign w:val="bottom"/>
            <w:shd w:val="clear" w:color="auto" w:fill="FF00FF"/>
          </w:tcPr>
          <w:p>
            <w:pPr>
              <w:spacing w:after="0"/>
              <w:rPr>
                <w:sz w:val="20"/>
                <w:szCs w:val="20"/>
                <w:color w:val="auto"/>
              </w:rPr>
            </w:pPr>
          </w:p>
        </w:tc>
        <w:tc>
          <w:tcPr>
            <w:tcW w:w="60" w:type="dxa"/>
            <w:vAlign w:val="bottom"/>
            <w:shd w:val="clear" w:color="auto" w:fill="FF00FF"/>
          </w:tcPr>
          <w:p>
            <w:pPr>
              <w:spacing w:after="0"/>
              <w:rPr>
                <w:sz w:val="20"/>
                <w:szCs w:val="20"/>
                <w:color w:val="auto"/>
              </w:rPr>
            </w:pPr>
          </w:p>
        </w:tc>
        <w:tc>
          <w:tcPr>
            <w:tcW w:w="920" w:type="dxa"/>
            <w:vAlign w:val="bottom"/>
            <w:shd w:val="clear" w:color="auto" w:fill="FF00FF"/>
          </w:tcPr>
          <w:p>
            <w:pPr>
              <w:spacing w:after="0"/>
              <w:rPr>
                <w:sz w:val="20"/>
                <w:szCs w:val="20"/>
                <w:color w:val="auto"/>
              </w:rPr>
            </w:pPr>
          </w:p>
        </w:tc>
        <w:tc>
          <w:tcPr>
            <w:tcW w:w="320" w:type="dxa"/>
            <w:vAlign w:val="bottom"/>
            <w:shd w:val="clear" w:color="auto" w:fill="FF00FF"/>
          </w:tcPr>
          <w:p>
            <w:pPr>
              <w:spacing w:after="0"/>
              <w:rPr>
                <w:sz w:val="20"/>
                <w:szCs w:val="20"/>
                <w:color w:val="auto"/>
              </w:rPr>
            </w:pPr>
          </w:p>
        </w:tc>
        <w:tc>
          <w:tcPr>
            <w:tcW w:w="100" w:type="dxa"/>
            <w:vAlign w:val="bottom"/>
            <w:shd w:val="clear" w:color="auto" w:fill="FF00FF"/>
          </w:tcPr>
          <w:p>
            <w:pPr>
              <w:spacing w:after="0"/>
              <w:rPr>
                <w:sz w:val="20"/>
                <w:szCs w:val="20"/>
                <w:color w:val="auto"/>
              </w:rPr>
            </w:pPr>
          </w:p>
        </w:tc>
        <w:tc>
          <w:tcPr>
            <w:tcW w:w="2180" w:type="dxa"/>
            <w:vAlign w:val="bottom"/>
            <w:shd w:val="clear" w:color="auto" w:fill="FF00FF"/>
          </w:tcPr>
          <w:p>
            <w:pPr>
              <w:spacing w:after="0"/>
              <w:rPr>
                <w:sz w:val="20"/>
                <w:szCs w:val="20"/>
                <w:color w:val="auto"/>
              </w:rPr>
            </w:pPr>
          </w:p>
        </w:tc>
        <w:tc>
          <w:tcPr>
            <w:tcW w:w="6540" w:type="dxa"/>
            <w:vAlign w:val="bottom"/>
            <w:shd w:val="clear" w:color="auto" w:fill="FF00FF"/>
          </w:tcPr>
          <w:p>
            <w:pPr>
              <w:spacing w:after="0"/>
              <w:rPr>
                <w:sz w:val="20"/>
                <w:szCs w:val="20"/>
                <w:color w:val="auto"/>
              </w:rPr>
            </w:pPr>
          </w:p>
        </w:tc>
      </w:tr>
      <w:tr>
        <w:trPr>
          <w:trHeight w:val="216"/>
        </w:trPr>
        <w:tc>
          <w:tcPr>
            <w:tcW w:w="260" w:type="dxa"/>
            <w:vAlign w:val="bottom"/>
            <w:shd w:val="clear" w:color="auto" w:fill="FF00FF"/>
          </w:tcPr>
          <w:p>
            <w:pPr>
              <w:spacing w:after="0"/>
              <w:rPr>
                <w:sz w:val="18"/>
                <w:szCs w:val="18"/>
                <w:color w:val="auto"/>
              </w:rPr>
            </w:pPr>
          </w:p>
        </w:tc>
        <w:tc>
          <w:tcPr>
            <w:tcW w:w="180" w:type="dxa"/>
            <w:vAlign w:val="bottom"/>
            <w:shd w:val="clear" w:color="auto" w:fill="FF00FF"/>
          </w:tcPr>
          <w:p>
            <w:pPr>
              <w:spacing w:after="0"/>
              <w:rPr>
                <w:sz w:val="18"/>
                <w:szCs w:val="18"/>
                <w:color w:val="auto"/>
              </w:rPr>
            </w:pPr>
          </w:p>
        </w:tc>
        <w:tc>
          <w:tcPr>
            <w:tcW w:w="200" w:type="dxa"/>
            <w:vAlign w:val="bottom"/>
            <w:shd w:val="clear" w:color="auto" w:fill="FF00FF"/>
          </w:tcPr>
          <w:p>
            <w:pPr>
              <w:spacing w:after="0"/>
              <w:rPr>
                <w:sz w:val="18"/>
                <w:szCs w:val="18"/>
                <w:color w:val="auto"/>
              </w:rPr>
            </w:pPr>
          </w:p>
        </w:tc>
        <w:tc>
          <w:tcPr>
            <w:tcW w:w="380" w:type="dxa"/>
            <w:vAlign w:val="bottom"/>
            <w:shd w:val="clear" w:color="auto" w:fill="FF00FF"/>
          </w:tcPr>
          <w:p>
            <w:pPr>
              <w:spacing w:after="0"/>
              <w:rPr>
                <w:sz w:val="18"/>
                <w:szCs w:val="18"/>
                <w:color w:val="auto"/>
              </w:rPr>
            </w:pPr>
          </w:p>
        </w:tc>
        <w:tc>
          <w:tcPr>
            <w:tcW w:w="100" w:type="dxa"/>
            <w:vAlign w:val="bottom"/>
            <w:shd w:val="clear" w:color="auto" w:fill="FF00FF"/>
          </w:tcPr>
          <w:p>
            <w:pPr>
              <w:spacing w:after="0"/>
              <w:rPr>
                <w:sz w:val="18"/>
                <w:szCs w:val="18"/>
                <w:color w:val="auto"/>
              </w:rPr>
            </w:pPr>
          </w:p>
        </w:tc>
        <w:tc>
          <w:tcPr>
            <w:tcW w:w="60" w:type="dxa"/>
            <w:vAlign w:val="bottom"/>
            <w:shd w:val="clear" w:color="auto" w:fill="FF00FF"/>
          </w:tcPr>
          <w:p>
            <w:pPr>
              <w:spacing w:after="0"/>
              <w:rPr>
                <w:sz w:val="18"/>
                <w:szCs w:val="18"/>
                <w:color w:val="auto"/>
              </w:rPr>
            </w:pPr>
          </w:p>
        </w:tc>
        <w:tc>
          <w:tcPr>
            <w:tcW w:w="920" w:type="dxa"/>
            <w:vAlign w:val="bottom"/>
            <w:shd w:val="clear" w:color="auto" w:fill="FF00FF"/>
          </w:tcPr>
          <w:p>
            <w:pPr>
              <w:spacing w:after="0"/>
              <w:rPr>
                <w:sz w:val="18"/>
                <w:szCs w:val="18"/>
                <w:color w:val="auto"/>
              </w:rPr>
            </w:pPr>
          </w:p>
        </w:tc>
        <w:tc>
          <w:tcPr>
            <w:tcW w:w="320" w:type="dxa"/>
            <w:vAlign w:val="bottom"/>
            <w:shd w:val="clear" w:color="auto" w:fill="FF00FF"/>
          </w:tcPr>
          <w:p>
            <w:pPr>
              <w:spacing w:after="0"/>
              <w:rPr>
                <w:sz w:val="18"/>
                <w:szCs w:val="18"/>
                <w:color w:val="auto"/>
              </w:rPr>
            </w:pPr>
          </w:p>
        </w:tc>
        <w:tc>
          <w:tcPr>
            <w:tcW w:w="100" w:type="dxa"/>
            <w:vAlign w:val="bottom"/>
            <w:shd w:val="clear" w:color="auto" w:fill="FF00FF"/>
          </w:tcPr>
          <w:p>
            <w:pPr>
              <w:spacing w:after="0"/>
              <w:rPr>
                <w:sz w:val="18"/>
                <w:szCs w:val="18"/>
                <w:color w:val="auto"/>
              </w:rPr>
            </w:pPr>
          </w:p>
        </w:tc>
        <w:tc>
          <w:tcPr>
            <w:tcW w:w="2180" w:type="dxa"/>
            <w:vAlign w:val="bottom"/>
            <w:shd w:val="clear" w:color="auto" w:fill="FF00FF"/>
          </w:tcPr>
          <w:p>
            <w:pPr>
              <w:spacing w:after="0"/>
              <w:rPr>
                <w:sz w:val="18"/>
                <w:szCs w:val="18"/>
                <w:color w:val="auto"/>
              </w:rPr>
            </w:pPr>
          </w:p>
        </w:tc>
        <w:tc>
          <w:tcPr>
            <w:tcW w:w="6540" w:type="dxa"/>
            <w:vAlign w:val="bottom"/>
            <w:shd w:val="clear" w:color="auto" w:fill="FF00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FF0000"/>
          <w:strike w:val="1"/>
        </w:rPr>
        <w:t>CL Utilities,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 AK Advisory Investments III, L.P.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 Direct Lending IV, SCSp</w:t>
      </w:r>
      <w:r>
        <w:rPr>
          <w:rFonts w:ascii="Times New Roman" w:cs="Times New Roman" w:eastAsia="Times New Roman" w:hAnsi="Times New Roman"/>
          <w:sz w:val="18"/>
          <w:szCs w:val="18"/>
          <w:b w:val="1"/>
          <w:bCs w:val="1"/>
          <w:u w:val="single" w:color="auto"/>
          <w:color w:val="0000FF"/>
          <w:strike w:val="1"/>
        </w:rPr>
        <w:t>CA CO SPV,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3317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233172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 Direct Lending UL Master Fund, SCSp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 Eagle Creek,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w:t>
      </w:r>
      <w:r>
        <w:rPr>
          <w:rFonts w:ascii="Times New Roman" w:cs="Times New Roman" w:eastAsia="Times New Roman" w:hAnsi="Times New Roman"/>
          <w:sz w:val="18"/>
          <w:szCs w:val="18"/>
          <w:u w:val="single" w:color="auto"/>
          <w:color w:val="0000FF"/>
          <w:strike w:val="1"/>
        </w:rPr>
        <w:t>/s/ Anthony Cappell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Mini-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Master,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w:t>
      </w:r>
      <w:r>
        <w:rPr>
          <w:rFonts w:ascii="Times New Roman" w:cs="Times New Roman" w:eastAsia="Times New Roman" w:hAnsi="Times New Roman"/>
          <w:sz w:val="18"/>
          <w:szCs w:val="18"/>
          <w:u w:val="single" w:color="auto"/>
          <w:color w:val="0000FF"/>
          <w:strike w:val="1"/>
        </w:rPr>
        <w:t>Name: Anthony Cappell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Makena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 Maple Operating Trust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47"/>
        </w:trPr>
        <w:tc>
          <w:tcPr>
            <w:tcW w:w="1000" w:type="dxa"/>
            <w:vAlign w:val="bottom"/>
            <w:shd w:val="clear" w:color="auto" w:fill="FF00FF"/>
          </w:tcPr>
          <w:p>
            <w:pPr>
              <w:spacing w:after="0"/>
              <w:rPr>
                <w:sz w:val="20"/>
                <w:szCs w:val="20"/>
                <w:color w:val="auto"/>
              </w:rPr>
            </w:pPr>
            <w:r>
              <w:rPr>
                <w:rFonts w:ascii="Times New Roman" w:cs="Times New Roman" w:eastAsia="Times New Roman" w:hAnsi="Times New Roman"/>
                <w:sz w:val="18"/>
                <w:szCs w:val="18"/>
                <w:color w:val="FF0000"/>
                <w:strike w:val="1"/>
              </w:rPr>
              <w:t>Crestline</w:t>
            </w:r>
          </w:p>
        </w:tc>
        <w:tc>
          <w:tcPr>
            <w:tcW w:w="10240" w:type="dxa"/>
            <w:vAlign w:val="bottom"/>
            <w:gridSpan w:val="4"/>
            <w:shd w:val="clear" w:color="auto" w:fill="FF00FF"/>
          </w:tcPr>
          <w:p>
            <w:pPr>
              <w:spacing w:after="0"/>
              <w:rPr>
                <w:sz w:val="20"/>
                <w:szCs w:val="20"/>
                <w:color w:val="auto"/>
              </w:rPr>
            </w:pPr>
            <w:r>
              <w:rPr>
                <w:rFonts w:ascii="Times New Roman" w:cs="Times New Roman" w:eastAsia="Times New Roman" w:hAnsi="Times New Roman"/>
                <w:sz w:val="18"/>
                <w:szCs w:val="18"/>
                <w:color w:val="0000FF"/>
              </w:rPr>
              <w:t>Title:  Authorized Person</w:t>
            </w:r>
          </w:p>
        </w:tc>
      </w:tr>
      <w:tr>
        <w:trPr>
          <w:trHeight w:val="178"/>
        </w:trPr>
        <w:tc>
          <w:tcPr>
            <w:tcW w:w="1000" w:type="dxa"/>
            <w:vAlign w:val="bottom"/>
            <w:tcBorders>
              <w:top w:val="single" w:sz="8" w:color="FF00FF"/>
            </w:tcBorders>
            <w:shd w:val="clear" w:color="auto" w:fill="FF00FF"/>
          </w:tcPr>
          <w:p>
            <w:pPr>
              <w:spacing w:after="0" w:line="178" w:lineRule="exact"/>
              <w:rPr>
                <w:sz w:val="20"/>
                <w:szCs w:val="20"/>
                <w:color w:val="auto"/>
              </w:rPr>
            </w:pPr>
            <w:r>
              <w:rPr>
                <w:rFonts w:ascii="Times New Roman" w:cs="Times New Roman" w:eastAsia="Times New Roman" w:hAnsi="Times New Roman"/>
                <w:sz w:val="18"/>
                <w:szCs w:val="18"/>
                <w:color w:val="FF0000"/>
                <w:strike w:val="1"/>
                <w:w w:val="98"/>
              </w:rPr>
              <w:t>Opportunistic</w:t>
            </w:r>
          </w:p>
        </w:tc>
        <w:tc>
          <w:tcPr>
            <w:tcW w:w="400" w:type="dxa"/>
            <w:vAlign w:val="bottom"/>
            <w:tcBorders>
              <w:top w:val="single" w:sz="8" w:color="0000FF"/>
            </w:tcBorders>
            <w:shd w:val="clear" w:color="auto" w:fill="FF00FF"/>
          </w:tcPr>
          <w:p>
            <w:pPr>
              <w:spacing w:after="0"/>
              <w:rPr>
                <w:sz w:val="15"/>
                <w:szCs w:val="15"/>
                <w:color w:val="auto"/>
              </w:rPr>
            </w:pPr>
          </w:p>
        </w:tc>
        <w:tc>
          <w:tcPr>
            <w:tcW w:w="140" w:type="dxa"/>
            <w:vAlign w:val="bottom"/>
            <w:tcBorders>
              <w:top w:val="single" w:sz="8" w:color="FF00FF"/>
            </w:tcBorders>
            <w:shd w:val="clear" w:color="auto" w:fill="FF00FF"/>
          </w:tcPr>
          <w:p>
            <w:pPr>
              <w:spacing w:after="0"/>
              <w:rPr>
                <w:sz w:val="15"/>
                <w:szCs w:val="15"/>
                <w:color w:val="auto"/>
              </w:rPr>
            </w:pPr>
          </w:p>
        </w:tc>
        <w:tc>
          <w:tcPr>
            <w:tcW w:w="1360" w:type="dxa"/>
            <w:vAlign w:val="bottom"/>
            <w:tcBorders>
              <w:top w:val="single" w:sz="8" w:color="0000FF"/>
            </w:tcBorders>
            <w:shd w:val="clear" w:color="auto" w:fill="FF00FF"/>
          </w:tcPr>
          <w:p>
            <w:pPr>
              <w:spacing w:after="0"/>
              <w:rPr>
                <w:sz w:val="15"/>
                <w:szCs w:val="15"/>
                <w:color w:val="auto"/>
              </w:rPr>
            </w:pPr>
          </w:p>
        </w:tc>
        <w:tc>
          <w:tcPr>
            <w:tcW w:w="8340" w:type="dxa"/>
            <w:vAlign w:val="bottom"/>
            <w:tcBorders>
              <w:top w:val="single" w:sz="8" w:color="FF00FF"/>
            </w:tcBorders>
            <w:shd w:val="clear" w:color="auto" w:fill="FF00FF"/>
          </w:tcPr>
          <w:p>
            <w:pPr>
              <w:spacing w:after="0"/>
              <w:rPr>
                <w:sz w:val="15"/>
                <w:szCs w:val="15"/>
                <w:color w:val="auto"/>
              </w:rPr>
            </w:pPr>
          </w:p>
        </w:tc>
      </w:tr>
      <w:tr>
        <w:trPr>
          <w:trHeight w:val="216"/>
        </w:trPr>
        <w:tc>
          <w:tcPr>
            <w:tcW w:w="1000" w:type="dxa"/>
            <w:vAlign w:val="bottom"/>
            <w:shd w:val="clear" w:color="auto" w:fill="FF00FF"/>
          </w:tcPr>
          <w:p>
            <w:pPr>
              <w:spacing w:after="0"/>
              <w:rPr>
                <w:sz w:val="20"/>
                <w:szCs w:val="20"/>
                <w:color w:val="auto"/>
              </w:rPr>
            </w:pPr>
            <w:r>
              <w:rPr>
                <w:rFonts w:ascii="Times New Roman" w:cs="Times New Roman" w:eastAsia="Times New Roman" w:hAnsi="Times New Roman"/>
                <w:sz w:val="18"/>
                <w:szCs w:val="18"/>
                <w:color w:val="FF0000"/>
                <w:strike w:val="1"/>
              </w:rPr>
              <w:t>Credit IA</w:t>
            </w:r>
          </w:p>
        </w:tc>
        <w:tc>
          <w:tcPr>
            <w:tcW w:w="400" w:type="dxa"/>
            <w:vAlign w:val="bottom"/>
            <w:shd w:val="clear" w:color="auto" w:fill="FF00FF"/>
          </w:tcPr>
          <w:p>
            <w:pPr>
              <w:spacing w:after="0"/>
              <w:rPr>
                <w:sz w:val="18"/>
                <w:szCs w:val="18"/>
                <w:color w:val="auto"/>
              </w:rPr>
            </w:pPr>
          </w:p>
        </w:tc>
        <w:tc>
          <w:tcPr>
            <w:tcW w:w="140" w:type="dxa"/>
            <w:vAlign w:val="bottom"/>
            <w:shd w:val="clear" w:color="auto" w:fill="FF00FF"/>
          </w:tcPr>
          <w:p>
            <w:pPr>
              <w:spacing w:after="0"/>
              <w:rPr>
                <w:sz w:val="18"/>
                <w:szCs w:val="18"/>
                <w:color w:val="auto"/>
              </w:rPr>
            </w:pPr>
          </w:p>
        </w:tc>
        <w:tc>
          <w:tcPr>
            <w:tcW w:w="1360" w:type="dxa"/>
            <w:vAlign w:val="bottom"/>
            <w:shd w:val="clear" w:color="auto" w:fill="FF00FF"/>
          </w:tcPr>
          <w:p>
            <w:pPr>
              <w:spacing w:after="0"/>
              <w:rPr>
                <w:sz w:val="18"/>
                <w:szCs w:val="18"/>
                <w:color w:val="auto"/>
              </w:rPr>
            </w:pPr>
          </w:p>
        </w:tc>
        <w:tc>
          <w:tcPr>
            <w:tcW w:w="8340" w:type="dxa"/>
            <w:vAlign w:val="bottom"/>
            <w:shd w:val="clear" w:color="auto" w:fill="FF00FF"/>
          </w:tcPr>
          <w:p>
            <w:pPr>
              <w:spacing w:after="0"/>
              <w:rPr>
                <w:sz w:val="18"/>
                <w:szCs w:val="18"/>
                <w:color w:val="auto"/>
              </w:rPr>
            </w:pPr>
          </w:p>
        </w:tc>
      </w:tr>
      <w:tr>
        <w:trPr>
          <w:trHeight w:val="234"/>
        </w:trPr>
        <w:tc>
          <w:tcPr>
            <w:tcW w:w="1000" w:type="dxa"/>
            <w:vAlign w:val="bottom"/>
            <w:shd w:val="clear" w:color="auto" w:fill="FF00FF"/>
          </w:tcPr>
          <w:p>
            <w:pPr>
              <w:spacing w:after="0"/>
              <w:rPr>
                <w:sz w:val="20"/>
                <w:szCs w:val="20"/>
                <w:color w:val="auto"/>
              </w:rPr>
            </w:pPr>
            <w:r>
              <w:rPr>
                <w:rFonts w:ascii="Times New Roman" w:cs="Times New Roman" w:eastAsia="Times New Roman" w:hAnsi="Times New Roman"/>
                <w:sz w:val="18"/>
                <w:szCs w:val="18"/>
                <w:color w:val="FF0000"/>
                <w:strike w:val="1"/>
              </w:rPr>
              <w:t>Fund, L.P.</w:t>
            </w:r>
          </w:p>
        </w:tc>
        <w:tc>
          <w:tcPr>
            <w:tcW w:w="400" w:type="dxa"/>
            <w:vAlign w:val="bottom"/>
            <w:shd w:val="clear" w:color="auto" w:fill="FF00FF"/>
          </w:tcPr>
          <w:p>
            <w:pPr>
              <w:spacing w:after="0"/>
              <w:rPr>
                <w:sz w:val="20"/>
                <w:szCs w:val="20"/>
                <w:color w:val="auto"/>
              </w:rPr>
            </w:pPr>
          </w:p>
        </w:tc>
        <w:tc>
          <w:tcPr>
            <w:tcW w:w="140" w:type="dxa"/>
            <w:vAlign w:val="bottom"/>
            <w:shd w:val="clear" w:color="auto" w:fill="FF00FF"/>
          </w:tcPr>
          <w:p>
            <w:pPr>
              <w:spacing w:after="0"/>
              <w:rPr>
                <w:sz w:val="20"/>
                <w:szCs w:val="20"/>
                <w:color w:val="auto"/>
              </w:rPr>
            </w:pPr>
          </w:p>
        </w:tc>
        <w:tc>
          <w:tcPr>
            <w:tcW w:w="1360" w:type="dxa"/>
            <w:vAlign w:val="bottom"/>
            <w:shd w:val="clear" w:color="auto" w:fill="FF00FF"/>
          </w:tcPr>
          <w:p>
            <w:pPr>
              <w:spacing w:after="0"/>
              <w:rPr>
                <w:sz w:val="20"/>
                <w:szCs w:val="20"/>
                <w:color w:val="auto"/>
              </w:rPr>
            </w:pPr>
          </w:p>
        </w:tc>
        <w:tc>
          <w:tcPr>
            <w:tcW w:w="8340" w:type="dxa"/>
            <w:vAlign w:val="bottom"/>
            <w:shd w:val="clear" w:color="auto" w:fill="FF00FF"/>
          </w:tcPr>
          <w:p>
            <w:pPr>
              <w:spacing w:after="0"/>
              <w:rPr>
                <w:sz w:val="20"/>
                <w:szCs w:val="20"/>
                <w:color w:val="auto"/>
              </w:rPr>
            </w:pPr>
          </w:p>
        </w:tc>
      </w:tr>
      <w:tr>
        <w:trPr>
          <w:trHeight w:val="216"/>
        </w:trPr>
        <w:tc>
          <w:tcPr>
            <w:tcW w:w="1000" w:type="dxa"/>
            <w:vAlign w:val="bottom"/>
            <w:shd w:val="clear" w:color="auto" w:fill="FF00FF"/>
          </w:tcPr>
          <w:p>
            <w:pPr>
              <w:spacing w:after="0"/>
              <w:rPr>
                <w:sz w:val="18"/>
                <w:szCs w:val="18"/>
                <w:color w:val="auto"/>
              </w:rPr>
            </w:pPr>
          </w:p>
        </w:tc>
        <w:tc>
          <w:tcPr>
            <w:tcW w:w="400" w:type="dxa"/>
            <w:vAlign w:val="bottom"/>
            <w:shd w:val="clear" w:color="auto" w:fill="FF00FF"/>
          </w:tcPr>
          <w:p>
            <w:pPr>
              <w:spacing w:after="0"/>
              <w:rPr>
                <w:sz w:val="18"/>
                <w:szCs w:val="18"/>
                <w:color w:val="auto"/>
              </w:rPr>
            </w:pPr>
          </w:p>
        </w:tc>
        <w:tc>
          <w:tcPr>
            <w:tcW w:w="140" w:type="dxa"/>
            <w:vAlign w:val="bottom"/>
            <w:shd w:val="clear" w:color="auto" w:fill="FF00FF"/>
          </w:tcPr>
          <w:p>
            <w:pPr>
              <w:spacing w:after="0"/>
              <w:rPr>
                <w:sz w:val="18"/>
                <w:szCs w:val="18"/>
                <w:color w:val="auto"/>
              </w:rPr>
            </w:pPr>
          </w:p>
        </w:tc>
        <w:tc>
          <w:tcPr>
            <w:tcW w:w="1360" w:type="dxa"/>
            <w:vAlign w:val="bottom"/>
            <w:shd w:val="clear" w:color="auto" w:fill="FF00FF"/>
          </w:tcPr>
          <w:p>
            <w:pPr>
              <w:spacing w:after="0"/>
              <w:rPr>
                <w:sz w:val="18"/>
                <w:szCs w:val="18"/>
                <w:color w:val="auto"/>
              </w:rPr>
            </w:pPr>
          </w:p>
        </w:tc>
        <w:tc>
          <w:tcPr>
            <w:tcW w:w="8340" w:type="dxa"/>
            <w:vAlign w:val="bottom"/>
            <w:shd w:val="clear" w:color="auto" w:fill="FF00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34290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3429000"/>
                    </a:xfrm>
                    <a:prstGeom prst="rect">
                      <a:avLst/>
                    </a:prstGeom>
                    <a:noFill/>
                  </pic:spPr>
                </pic:pic>
              </a:graphicData>
            </a:graphic>
          </wp:anchor>
        </w:drawing>
        <w:t>Crestline Opportunity V Master Fund 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 Opportunity V Master Fund 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 Opportunity V Master Fund III,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 PF Sentry Fund, SCSp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 Portfolio Financing Fund 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 Praeter, L.P. - Schooner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 Specialty Lending III,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 StepStone Opportunistic Credit Master Fund 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 StepStone Opportunistic Credit Master Fund II, LP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 Structured Note Issuer I LLC</w:t>
      </w:r>
      <w:r>
        <w:rPr>
          <w:rFonts w:ascii="Times New Roman" w:cs="Times New Roman" w:eastAsia="Times New Roman" w:hAnsi="Times New Roman"/>
          <w:sz w:val="18"/>
          <w:szCs w:val="18"/>
          <w:b w:val="1"/>
          <w:bCs w:val="1"/>
          <w:u w:val="single" w:color="auto"/>
          <w:color w:val="0000FF"/>
          <w:strike w:val="1"/>
        </w:rPr>
        <w:t>CA CREDIT SPV, LLC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0" w:type="dxa"/>
            <w:vAlign w:val="bottom"/>
            <w:gridSpan w:val="2"/>
            <w:shd w:val="clear" w:color="auto" w:fill="FF00FF"/>
          </w:tcPr>
          <w:p>
            <w:pPr>
              <w:spacing w:after="0"/>
              <w:rPr>
                <w:sz w:val="20"/>
                <w:szCs w:val="20"/>
                <w:color w:val="auto"/>
              </w:rPr>
            </w:pPr>
            <w:r>
              <w:rPr>
                <w:rFonts w:ascii="Times New Roman" w:cs="Times New Roman" w:eastAsia="Times New Roman" w:hAnsi="Times New Roman"/>
                <w:sz w:val="18"/>
                <w:szCs w:val="18"/>
                <w:color w:val="FF0000"/>
                <w:strike w:val="1"/>
              </w:rPr>
              <w:t>Crestline</w:t>
            </w:r>
          </w:p>
        </w:tc>
        <w:tc>
          <w:tcPr>
            <w:tcW w:w="300" w:type="dxa"/>
            <w:vAlign w:val="bottom"/>
            <w:shd w:val="clear" w:color="auto" w:fill="FF00FF"/>
          </w:tcPr>
          <w:p>
            <w:pPr>
              <w:spacing w:after="0"/>
              <w:rPr>
                <w:sz w:val="21"/>
                <w:szCs w:val="21"/>
                <w:color w:val="auto"/>
              </w:rPr>
            </w:pPr>
          </w:p>
        </w:tc>
        <w:tc>
          <w:tcPr>
            <w:tcW w:w="10240" w:type="dxa"/>
            <w:vAlign w:val="bottom"/>
            <w:gridSpan w:val="2"/>
            <w:shd w:val="clear" w:color="auto" w:fill="FF00FF"/>
          </w:tcPr>
          <w:p>
            <w:pPr>
              <w:spacing w:after="0"/>
              <w:rPr>
                <w:sz w:val="20"/>
                <w:szCs w:val="20"/>
                <w:color w:val="auto"/>
              </w:rPr>
            </w:pPr>
            <w:r>
              <w:rPr>
                <w:rFonts w:ascii="Times New Roman" w:cs="Times New Roman" w:eastAsia="Times New Roman" w:hAnsi="Times New Roman"/>
                <w:sz w:val="18"/>
                <w:szCs w:val="18"/>
                <w:color w:val="0000FF"/>
              </w:rPr>
              <w:t>/s/ Anthony Cappell</w:t>
            </w:r>
          </w:p>
        </w:tc>
      </w:tr>
      <w:tr>
        <w:trPr>
          <w:trHeight w:val="178"/>
        </w:trPr>
        <w:tc>
          <w:tcPr>
            <w:tcW w:w="700" w:type="dxa"/>
            <w:vAlign w:val="bottom"/>
            <w:tcBorders>
              <w:top w:val="single" w:sz="8" w:color="FF00FF"/>
            </w:tcBorders>
            <w:gridSpan w:val="2"/>
            <w:shd w:val="clear" w:color="auto" w:fill="FF00FF"/>
          </w:tcPr>
          <w:p>
            <w:pPr>
              <w:spacing w:after="0" w:line="178" w:lineRule="exact"/>
              <w:rPr>
                <w:sz w:val="20"/>
                <w:szCs w:val="20"/>
                <w:color w:val="auto"/>
              </w:rPr>
            </w:pPr>
            <w:r>
              <w:rPr>
                <w:rFonts w:ascii="Times New Roman" w:cs="Times New Roman" w:eastAsia="Times New Roman" w:hAnsi="Times New Roman"/>
                <w:sz w:val="18"/>
                <w:szCs w:val="18"/>
                <w:color w:val="FF0000"/>
                <w:strike w:val="1"/>
                <w:w w:val="97"/>
              </w:rPr>
              <w:t>Sundance</w:t>
            </w:r>
          </w:p>
        </w:tc>
        <w:tc>
          <w:tcPr>
            <w:tcW w:w="300" w:type="dxa"/>
            <w:vAlign w:val="bottom"/>
            <w:tcBorders>
              <w:top w:val="single" w:sz="8" w:color="FF00FF"/>
            </w:tcBorders>
            <w:shd w:val="clear" w:color="auto" w:fill="FF00FF"/>
          </w:tcPr>
          <w:p>
            <w:pPr>
              <w:spacing w:after="0"/>
              <w:rPr>
                <w:sz w:val="15"/>
                <w:szCs w:val="15"/>
                <w:color w:val="auto"/>
              </w:rPr>
            </w:pPr>
          </w:p>
        </w:tc>
        <w:tc>
          <w:tcPr>
            <w:tcW w:w="1460" w:type="dxa"/>
            <w:vAlign w:val="bottom"/>
            <w:tcBorders>
              <w:top w:val="single" w:sz="8" w:color="0000FF"/>
            </w:tcBorders>
            <w:shd w:val="clear" w:color="auto" w:fill="FF00FF"/>
          </w:tcPr>
          <w:p>
            <w:pPr>
              <w:spacing w:after="0"/>
              <w:rPr>
                <w:sz w:val="15"/>
                <w:szCs w:val="15"/>
                <w:color w:val="auto"/>
              </w:rPr>
            </w:pPr>
          </w:p>
        </w:tc>
        <w:tc>
          <w:tcPr>
            <w:tcW w:w="8780" w:type="dxa"/>
            <w:vAlign w:val="bottom"/>
            <w:tcBorders>
              <w:top w:val="single" w:sz="8" w:color="FF00FF"/>
            </w:tcBorders>
            <w:shd w:val="clear" w:color="auto" w:fill="FF00FF"/>
          </w:tcPr>
          <w:p>
            <w:pPr>
              <w:spacing w:after="0"/>
              <w:rPr>
                <w:sz w:val="15"/>
                <w:szCs w:val="15"/>
                <w:color w:val="auto"/>
              </w:rPr>
            </w:pPr>
          </w:p>
        </w:tc>
      </w:tr>
      <w:tr>
        <w:trPr>
          <w:trHeight w:val="216"/>
        </w:trPr>
        <w:tc>
          <w:tcPr>
            <w:tcW w:w="1000" w:type="dxa"/>
            <w:vAlign w:val="bottom"/>
            <w:gridSpan w:val="3"/>
            <w:shd w:val="clear" w:color="auto" w:fill="FF00FF"/>
          </w:tcPr>
          <w:p>
            <w:pPr>
              <w:spacing w:after="0"/>
              <w:rPr>
                <w:sz w:val="20"/>
                <w:szCs w:val="20"/>
                <w:color w:val="auto"/>
              </w:rPr>
            </w:pPr>
            <w:r>
              <w:rPr>
                <w:rFonts w:ascii="Times New Roman" w:cs="Times New Roman" w:eastAsia="Times New Roman" w:hAnsi="Times New Roman"/>
                <w:sz w:val="18"/>
                <w:szCs w:val="18"/>
                <w:color w:val="FF0000"/>
                <w:strike w:val="1"/>
              </w:rPr>
              <w:t>Fund, L.P.</w:t>
            </w:r>
          </w:p>
        </w:tc>
        <w:tc>
          <w:tcPr>
            <w:tcW w:w="1460" w:type="dxa"/>
            <w:vAlign w:val="bottom"/>
            <w:shd w:val="clear" w:color="auto" w:fill="FF00FF"/>
          </w:tcPr>
          <w:p>
            <w:pPr>
              <w:spacing w:after="0"/>
              <w:rPr>
                <w:sz w:val="18"/>
                <w:szCs w:val="18"/>
                <w:color w:val="auto"/>
              </w:rPr>
            </w:pPr>
          </w:p>
        </w:tc>
        <w:tc>
          <w:tcPr>
            <w:tcW w:w="8780" w:type="dxa"/>
            <w:vAlign w:val="bottom"/>
            <w:shd w:val="clear" w:color="auto" w:fill="FF00FF"/>
          </w:tcPr>
          <w:p>
            <w:pPr>
              <w:spacing w:after="0"/>
              <w:rPr>
                <w:sz w:val="18"/>
                <w:szCs w:val="18"/>
                <w:color w:val="auto"/>
              </w:rPr>
            </w:pPr>
          </w:p>
        </w:tc>
      </w:tr>
      <w:tr>
        <w:trPr>
          <w:trHeight w:val="214"/>
        </w:trPr>
        <w:tc>
          <w:tcPr>
            <w:tcW w:w="1000" w:type="dxa"/>
            <w:vAlign w:val="bottom"/>
            <w:gridSpan w:val="3"/>
            <w:shd w:val="clear" w:color="auto" w:fill="FF00FF"/>
          </w:tcPr>
          <w:p>
            <w:pPr>
              <w:spacing w:after="0" w:line="194" w:lineRule="exact"/>
              <w:rPr>
                <w:sz w:val="20"/>
                <w:szCs w:val="20"/>
                <w:color w:val="auto"/>
              </w:rPr>
            </w:pPr>
            <w:r>
              <w:rPr>
                <w:rFonts w:ascii="Times New Roman" w:cs="Times New Roman" w:eastAsia="Times New Roman" w:hAnsi="Times New Roman"/>
                <w:sz w:val="18"/>
                <w:szCs w:val="18"/>
                <w:color w:val="0000FF"/>
              </w:rPr>
              <w:t>By:</w:t>
            </w:r>
          </w:p>
        </w:tc>
        <w:tc>
          <w:tcPr>
            <w:tcW w:w="1460" w:type="dxa"/>
            <w:vAlign w:val="bottom"/>
            <w:shd w:val="clear" w:color="auto" w:fill="FF00FF"/>
          </w:tcPr>
          <w:p>
            <w:pPr>
              <w:spacing w:after="0"/>
              <w:rPr>
                <w:sz w:val="18"/>
                <w:szCs w:val="18"/>
                <w:color w:val="auto"/>
              </w:rPr>
            </w:pPr>
          </w:p>
        </w:tc>
        <w:tc>
          <w:tcPr>
            <w:tcW w:w="8780" w:type="dxa"/>
            <w:vAlign w:val="bottom"/>
            <w:shd w:val="clear" w:color="auto" w:fill="FF00FF"/>
          </w:tcPr>
          <w:p>
            <w:pPr>
              <w:spacing w:after="0"/>
              <w:rPr>
                <w:sz w:val="18"/>
                <w:szCs w:val="18"/>
                <w:color w:val="auto"/>
              </w:rPr>
            </w:pPr>
          </w:p>
        </w:tc>
      </w:tr>
      <w:tr>
        <w:trPr>
          <w:trHeight w:val="20"/>
        </w:trPr>
        <w:tc>
          <w:tcPr>
            <w:tcW w:w="260" w:type="dxa"/>
            <w:vAlign w:val="bottom"/>
            <w:tcBorders>
              <w:top w:val="single" w:sz="8" w:color="0000FF"/>
            </w:tcBorders>
            <w:shd w:val="clear" w:color="auto" w:fill="0000FF"/>
          </w:tcPr>
          <w:p>
            <w:pPr>
              <w:spacing w:after="0" w:line="20" w:lineRule="exact"/>
              <w:rPr>
                <w:sz w:val="1"/>
                <w:szCs w:val="1"/>
                <w:color w:val="auto"/>
              </w:rPr>
            </w:pPr>
          </w:p>
        </w:tc>
        <w:tc>
          <w:tcPr>
            <w:tcW w:w="440" w:type="dxa"/>
            <w:vAlign w:val="bottom"/>
            <w:tcBorders>
              <w:top w:val="single" w:sz="8" w:color="FF00FF"/>
            </w:tcBorders>
            <w:shd w:val="clear" w:color="auto" w:fill="FF00FF"/>
          </w:tcPr>
          <w:p>
            <w:pPr>
              <w:spacing w:after="0" w:line="20" w:lineRule="exact"/>
              <w:rPr>
                <w:sz w:val="1"/>
                <w:szCs w:val="1"/>
                <w:color w:val="auto"/>
              </w:rPr>
            </w:pPr>
          </w:p>
        </w:tc>
        <w:tc>
          <w:tcPr>
            <w:tcW w:w="300" w:type="dxa"/>
            <w:vAlign w:val="bottom"/>
            <w:tcBorders>
              <w:top w:val="single" w:sz="8" w:color="FF00FF"/>
            </w:tcBorders>
            <w:shd w:val="clear" w:color="auto" w:fill="FF00FF"/>
          </w:tcPr>
          <w:p>
            <w:pPr>
              <w:spacing w:after="0" w:line="20" w:lineRule="exact"/>
              <w:rPr>
                <w:sz w:val="1"/>
                <w:szCs w:val="1"/>
                <w:color w:val="auto"/>
              </w:rPr>
            </w:pPr>
          </w:p>
        </w:tc>
        <w:tc>
          <w:tcPr>
            <w:tcW w:w="1460" w:type="dxa"/>
            <w:vAlign w:val="bottom"/>
            <w:tcBorders>
              <w:top w:val="single" w:sz="8" w:color="FF00FF"/>
            </w:tcBorders>
            <w:shd w:val="clear" w:color="auto" w:fill="FF00FF"/>
          </w:tcPr>
          <w:p>
            <w:pPr>
              <w:spacing w:after="0" w:line="20" w:lineRule="exact"/>
              <w:rPr>
                <w:sz w:val="1"/>
                <w:szCs w:val="1"/>
                <w:color w:val="auto"/>
              </w:rPr>
            </w:pPr>
          </w:p>
        </w:tc>
        <w:tc>
          <w:tcPr>
            <w:tcW w:w="8780" w:type="dxa"/>
            <w:vAlign w:val="bottom"/>
            <w:tcBorders>
              <w:top w:val="single" w:sz="8" w:color="FF00FF"/>
            </w:tcBorders>
            <w:shd w:val="clear" w:color="auto" w:fill="FF00FF"/>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FF0000"/>
          <w:strike w:val="1"/>
        </w:rPr>
        <w:t xml:space="preserve">TL Managed </w:t>
      </w:r>
      <w:r>
        <w:rPr>
          <w:rFonts w:ascii="Times New Roman" w:cs="Times New Roman" w:eastAsia="Times New Roman" w:hAnsi="Times New Roman"/>
          <w:sz w:val="18"/>
          <w:szCs w:val="18"/>
          <w:u w:val="single" w:color="auto"/>
          <w:color w:val="0000FF"/>
          <w:strike w:val="1"/>
        </w:rPr>
        <w:t>Name: Anthony Cappell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Investments,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L.P.</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tabs>
          <w:tab w:leader="none" w:pos="1260" w:val="left"/>
        </w:tabs>
        <w:rPr>
          <w:sz w:val="20"/>
          <w:szCs w:val="20"/>
          <w:color w:val="auto"/>
        </w:rPr>
      </w:pPr>
      <w:r>
        <w:rPr>
          <w:rFonts w:ascii="Times New Roman" w:cs="Times New Roman" w:eastAsia="Times New Roman" w:hAnsi="Times New Roman"/>
          <w:sz w:val="18"/>
          <w:szCs w:val="18"/>
          <w:color w:val="FF0000"/>
          <w:strike w:val="1"/>
        </w:rPr>
        <w:t xml:space="preserve">Crestline </w:t>
      </w:r>
      <w:r>
        <w:rPr>
          <w:rFonts w:ascii="Times New Roman" w:cs="Times New Roman" w:eastAsia="Times New Roman" w:hAnsi="Times New Roman"/>
          <w:sz w:val="18"/>
          <w:szCs w:val="18"/>
          <w:u w:val="single" w:color="auto"/>
          <w:color w:val="0000FF"/>
          <w:strike w:val="1"/>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830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Fund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SCSp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CL FLS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1, L.P.</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 Direct Lending CLO 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Crestline European Capital Solutions Fund II, SCSp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CL Trading II, L.P.</w:t>
      </w:r>
    </w:p>
    <w:p>
      <w:pPr>
        <w:spacing w:after="0" w:line="200" w:lineRule="exact"/>
        <w:rPr>
          <w:sz w:val="20"/>
          <w:szCs w:val="20"/>
          <w:color w:val="auto"/>
        </w:rPr>
      </w:pPr>
    </w:p>
    <w:p>
      <w:pPr>
        <w:spacing w:after="0" w:line="22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FF0000"/>
        </w:rPr>
        <w:t>[Different first page setting changed from off in original to on in modified.].</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Exhibit</w:t>
      </w:r>
      <w:r>
        <w:rPr>
          <w:rFonts w:ascii="Times New Roman" w:cs="Times New Roman" w:eastAsia="Times New Roman" w:hAnsi="Times New Roman"/>
          <w:sz w:val="18"/>
          <w:szCs w:val="18"/>
          <w:b w:val="1"/>
          <w:bCs w:val="1"/>
          <w:u w:val="single" w:color="auto"/>
          <w:color w:val="0000FF"/>
        </w:rPr>
        <w:t>Appendix</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B</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Resolutions of the </w:t>
      </w:r>
      <w:r>
        <w:rPr>
          <w:rFonts w:ascii="Times New Roman" w:cs="Times New Roman" w:eastAsia="Times New Roman" w:hAnsi="Times New Roman"/>
          <w:sz w:val="18"/>
          <w:szCs w:val="18"/>
          <w:b w:val="1"/>
          <w:bCs w:val="1"/>
          <w:color w:val="FF0000"/>
          <w:strike w:val="1"/>
        </w:rPr>
        <w:t>Initial Director of Crestline Lending Solutions, LLC</w:t>
      </w:r>
      <w:r>
        <w:rPr>
          <w:rFonts w:ascii="Times New Roman" w:cs="Times New Roman" w:eastAsia="Times New Roman" w:hAnsi="Times New Roman"/>
          <w:sz w:val="18"/>
          <w:szCs w:val="18"/>
          <w:b w:val="1"/>
          <w:bCs w:val="1"/>
          <w:u w:val="single" w:color="auto"/>
          <w:color w:val="0000FF"/>
        </w:rPr>
        <w:t>Board of Directors of Chicago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Atlantic BDC, Inc. (the “Fund”)</w:t>
      </w:r>
    </w:p>
    <w:p>
      <w:pPr>
        <w:spacing w:after="0" w:line="203"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000"/>
          <w:strike w:val="1"/>
        </w:rPr>
        <w:t>initial director (the “</w:t>
      </w:r>
      <w:r>
        <w:rPr>
          <w:rFonts w:ascii="Times New Roman" w:cs="Times New Roman" w:eastAsia="Times New Roman" w:hAnsi="Times New Roman"/>
          <w:sz w:val="18"/>
          <w:szCs w:val="18"/>
          <w:b w:val="1"/>
          <w:bCs w:val="1"/>
          <w:i w:val="1"/>
          <w:iCs w:val="1"/>
          <w:color w:val="FF0000"/>
          <w:strike w:val="1"/>
        </w:rPr>
        <w:t>Board</w:t>
      </w:r>
      <w:r>
        <w:rPr>
          <w:rFonts w:ascii="Times New Roman" w:cs="Times New Roman" w:eastAsia="Times New Roman" w:hAnsi="Times New Roman"/>
          <w:sz w:val="18"/>
          <w:szCs w:val="18"/>
          <w:color w:val="FF0000"/>
          <w:strike w:val="1"/>
        </w:rPr>
        <w:t>”) of Crestline Lending Solutions, LLC (the “</w:t>
      </w:r>
      <w:r>
        <w:rPr>
          <w:rFonts w:ascii="Times New Roman" w:cs="Times New Roman" w:eastAsia="Times New Roman" w:hAnsi="Times New Roman"/>
          <w:sz w:val="18"/>
          <w:szCs w:val="18"/>
          <w:b w:val="1"/>
          <w:bCs w:val="1"/>
          <w:i w:val="1"/>
          <w:iCs w:val="1"/>
          <w:color w:val="FF0000"/>
          <w:strike w:val="1"/>
        </w:rPr>
        <w:t>Fund</w:t>
      </w:r>
      <w:r>
        <w:rPr>
          <w:rFonts w:ascii="Times New Roman" w:cs="Times New Roman" w:eastAsia="Times New Roman" w:hAnsi="Times New Roman"/>
          <w:sz w:val="18"/>
          <w:szCs w:val="18"/>
          <w:color w:val="FF0000"/>
          <w:strike w:val="1"/>
        </w:rPr>
        <w:t>”) has reviewed the Fund’s Co-Investment Exemptive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000"/>
          <w:strike w:val="1"/>
        </w:rPr>
        <w:t>Application (the “</w:t>
      </w:r>
      <w:r>
        <w:rPr>
          <w:rFonts w:ascii="Times New Roman" w:cs="Times New Roman" w:eastAsia="Times New Roman" w:hAnsi="Times New Roman"/>
          <w:sz w:val="18"/>
          <w:szCs w:val="18"/>
          <w:b w:val="1"/>
          <w:bCs w:val="1"/>
          <w:i w:val="1"/>
          <w:iCs w:val="1"/>
          <w:color w:val="FF0000"/>
          <w:strike w:val="1"/>
        </w:rPr>
        <w:t>Exemptive Application</w:t>
      </w:r>
      <w:r>
        <w:rPr>
          <w:rFonts w:ascii="Times New Roman" w:cs="Times New Roman" w:eastAsia="Times New Roman" w:hAnsi="Times New Roman"/>
          <w:sz w:val="18"/>
          <w:szCs w:val="18"/>
          <w:color w:val="FF0000"/>
          <w:strike w:val="1"/>
        </w:rPr>
        <w:t xml:space="preserve">”) involving the Fund and certain affiliates thereof as specified in the Exemptive Application, a copy of which is attached hereto as </w:t>
      </w:r>
      <w:r>
        <w:rPr>
          <w:rFonts w:ascii="Times New Roman" w:cs="Times New Roman" w:eastAsia="Times New Roman" w:hAnsi="Times New Roman"/>
          <w:sz w:val="18"/>
          <w:szCs w:val="18"/>
          <w:u w:val="single" w:color="auto"/>
          <w:color w:val="FF0000"/>
          <w:strike w:val="1"/>
        </w:rPr>
        <w:t>Appendix A</w:t>
      </w:r>
      <w:r>
        <w:rPr>
          <w:rFonts w:ascii="Times New Roman" w:cs="Times New Roman" w:eastAsia="Times New Roman" w:hAnsi="Times New Roman"/>
          <w:sz w:val="18"/>
          <w:szCs w:val="18"/>
          <w:color w:val="FF0000"/>
          <w:strike w:val="1"/>
        </w:rPr>
        <w:t>, for an order of</w:t>
      </w:r>
      <w:r>
        <w:rPr>
          <w:rFonts w:ascii="Times New Roman" w:cs="Times New Roman" w:eastAsia="Times New Roman" w:hAnsi="Times New Roman"/>
          <w:sz w:val="18"/>
          <w:szCs w:val="18"/>
          <w:u w:val="single" w:color="auto"/>
          <w:color w:val="0000FF"/>
          <w:strike w:val="1"/>
        </w:rPr>
        <w:t>Board deems it advisable and in the best interest of the Fund to file with</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the U.S. Securities and Exchange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Commission (the “Commission”) </w:t>
      </w:r>
      <w:r>
        <w:rPr>
          <w:rFonts w:ascii="Times New Roman" w:cs="Times New Roman" w:eastAsia="Times New Roman" w:hAnsi="Times New Roman"/>
          <w:sz w:val="18"/>
          <w:szCs w:val="18"/>
          <w:u w:val="single" w:color="auto"/>
          <w:color w:val="0000FF"/>
          <w:strike w:val="1"/>
        </w:rPr>
        <w:t>an application for an order</w:t>
      </w:r>
      <w:r>
        <w:rPr>
          <w:rFonts w:ascii="Times New Roman" w:cs="Times New Roman" w:eastAsia="Times New Roman" w:hAnsi="Times New Roman"/>
          <w:sz w:val="18"/>
          <w:szCs w:val="18"/>
          <w:color w:val="000000"/>
          <w:strike w:val="1"/>
        </w:rPr>
        <w:t xml:space="preserve"> pursuant to </w:t>
      </w:r>
      <w:r>
        <w:rPr>
          <w:rFonts w:ascii="Times New Roman" w:cs="Times New Roman" w:eastAsia="Times New Roman" w:hAnsi="Times New Roman"/>
          <w:sz w:val="18"/>
          <w:szCs w:val="18"/>
          <w:color w:val="FF0000"/>
          <w:strike w:val="1"/>
        </w:rPr>
        <w:t>Section</w:t>
      </w:r>
      <w:r>
        <w:rPr>
          <w:rFonts w:ascii="Times New Roman" w:cs="Times New Roman" w:eastAsia="Times New Roman" w:hAnsi="Times New Roman"/>
          <w:sz w:val="18"/>
          <w:szCs w:val="18"/>
          <w:u w:val="single" w:color="auto"/>
          <w:color w:val="0000FF"/>
          <w:strike w:val="1"/>
        </w:rPr>
        <w:t>Sections 17(d) and</w:t>
      </w:r>
      <w:r>
        <w:rPr>
          <w:rFonts w:ascii="Times New Roman" w:cs="Times New Roman" w:eastAsia="Times New Roman" w:hAnsi="Times New Roman"/>
          <w:sz w:val="18"/>
          <w:szCs w:val="18"/>
          <w:color w:val="000000"/>
          <w:strike w:val="1"/>
        </w:rPr>
        <w:t xml:space="preserve"> 57(i) of the Investment Company Act of 1940, as amended (the “1940 Act”), and Rule 17d-1 promulgated </w:t>
      </w:r>
      <w:r>
        <w:rPr>
          <w:rFonts w:ascii="Times New Roman" w:cs="Times New Roman" w:eastAsia="Times New Roman" w:hAnsi="Times New Roman"/>
          <w:sz w:val="18"/>
          <w:szCs w:val="18"/>
          <w:color w:val="FF0000"/>
          <w:strike w:val="1"/>
        </w:rPr>
        <w:t>under the 1940 Act, permitting</w:t>
      </w:r>
      <w:r>
        <w:rPr>
          <w:rFonts w:ascii="Times New Roman" w:cs="Times New Roman" w:eastAsia="Times New Roman" w:hAnsi="Times New Roman"/>
          <w:sz w:val="18"/>
          <w:szCs w:val="18"/>
          <w:u w:val="single" w:color="auto"/>
          <w:color w:val="0000FF"/>
          <w:strike w:val="1"/>
        </w:rPr>
        <w:t>thereunder (the “Application”), to authorize the entering into of</w:t>
      </w:r>
      <w:r>
        <w:rPr>
          <w:rFonts w:ascii="Times New Roman" w:cs="Times New Roman" w:eastAsia="Times New Roman" w:hAnsi="Times New Roman"/>
          <w:sz w:val="18"/>
          <w:szCs w:val="18"/>
          <w:color w:val="000000"/>
          <w:strike w:val="1"/>
        </w:rPr>
        <w:t xml:space="preserve"> certain joint transactions that otherwise may be prohibited by </w:t>
      </w:r>
      <w:r>
        <w:rPr>
          <w:rFonts w:ascii="Times New Roman" w:cs="Times New Roman" w:eastAsia="Times New Roman" w:hAnsi="Times New Roman"/>
          <w:sz w:val="18"/>
          <w:szCs w:val="18"/>
          <w:color w:val="FF0000"/>
          <w:strike w:val="1"/>
        </w:rPr>
        <w:t>Section</w:t>
      </w:r>
      <w:r>
        <w:rPr>
          <w:rFonts w:ascii="Times New Roman" w:cs="Times New Roman" w:eastAsia="Times New Roman" w:hAnsi="Times New Roman"/>
          <w:sz w:val="18"/>
          <w:szCs w:val="18"/>
          <w:u w:val="single" w:color="auto"/>
          <w:color w:val="0000FF"/>
          <w:strike w:val="1"/>
        </w:rPr>
        <w:t>Sections</w:t>
      </w:r>
      <w:r>
        <w:rPr>
          <w:rFonts w:ascii="Times New Roman" w:cs="Times New Roman" w:eastAsia="Times New Roman" w:hAnsi="Times New Roman"/>
          <w:sz w:val="18"/>
          <w:szCs w:val="18"/>
          <w:color w:val="000000"/>
          <w:strike w:val="1"/>
        </w:rPr>
        <w:t xml:space="preserve"> 17(d) and </w:t>
      </w:r>
      <w:r>
        <w:rPr>
          <w:rFonts w:ascii="Times New Roman" w:cs="Times New Roman" w:eastAsia="Times New Roman" w:hAnsi="Times New Roman"/>
          <w:sz w:val="18"/>
          <w:szCs w:val="18"/>
          <w:color w:val="FF0000"/>
          <w:strike w:val="1"/>
        </w:rPr>
        <w:t>Section</w:t>
      </w:r>
      <w:r>
        <w:rPr>
          <w:rFonts w:ascii="Times New Roman" w:cs="Times New Roman" w:eastAsia="Times New Roman" w:hAnsi="Times New Roman"/>
          <w:sz w:val="18"/>
          <w:szCs w:val="18"/>
          <w:color w:val="000000"/>
          <w:strike w:val="1"/>
        </w:rPr>
        <w:t xml:space="preserve"> 57(a)(4) of the 1940 Act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and Rule 17d-1 promulgated</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thereunder; now therefore be it</w:t>
      </w:r>
    </w:p>
    <w:p>
      <w:pPr>
        <w:spacing w:after="0" w:line="183"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color w:val="FF0000"/>
          <w:strike w:val="1"/>
        </w:rPr>
        <w:t>NOW, THEREFORE, BE IT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00"/>
        </w:rPr>
        <w:t>RESOLVED</w:t>
      </w:r>
      <w:r>
        <w:rPr>
          <w:rFonts w:ascii="Times New Roman" w:cs="Times New Roman" w:eastAsia="Times New Roman" w:hAnsi="Times New Roman"/>
          <w:sz w:val="18"/>
          <w:szCs w:val="18"/>
          <w:color w:val="000000"/>
        </w:rPr>
        <w:t>, that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Authorized Officers (as defined below), shall</w:t>
      </w:r>
      <w:r>
        <w:rPr>
          <w:rFonts w:ascii="Times New Roman" w:cs="Times New Roman" w:eastAsia="Times New Roman" w:hAnsi="Times New Roman"/>
          <w:sz w:val="18"/>
          <w:szCs w:val="18"/>
          <w:u w:val="single" w:color="auto"/>
          <w:color w:val="0000FF"/>
        </w:rPr>
        <w:t>officers of the Fund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be, and each of them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individually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hereby is, authorized</w:t>
      </w:r>
      <w:r>
        <w:rPr>
          <w:rFonts w:ascii="Times New Roman" w:cs="Times New Roman" w:eastAsia="Times New Roman" w:hAnsi="Times New Roman"/>
          <w:sz w:val="18"/>
          <w:szCs w:val="18"/>
          <w:color w:val="FF0000"/>
          <w:strike w:val="1"/>
        </w:rPr>
        <w:t>, empowered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directed</w:t>
      </w:r>
      <w:r>
        <w:rPr>
          <w:rFonts w:ascii="Times New Roman" w:cs="Times New Roman" w:eastAsia="Times New Roman" w:hAnsi="Times New Roman"/>
          <w:sz w:val="18"/>
          <w:szCs w:val="18"/>
          <w:color w:val="FF0000"/>
          <w:strike w:val="1"/>
        </w:rPr>
        <w:t>, in the name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on behalf of the Fund</w:t>
      </w:r>
      <w:r>
        <w:rPr>
          <w:rFonts w:ascii="Times New Roman" w:cs="Times New Roman" w:eastAsia="Times New Roman" w:hAnsi="Times New Roman"/>
          <w:sz w:val="18"/>
          <w:szCs w:val="18"/>
          <w:color w:val="FF0000"/>
          <w:strike w:val="1"/>
        </w:rPr>
        <w: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and in its name to prepare, execute,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cause to be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executed, delivered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filed with the Commission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the Exemptive</w:t>
      </w:r>
      <w:r>
        <w:rPr>
          <w:rFonts w:ascii="Times New Roman" w:cs="Times New Roman" w:eastAsia="Times New Roman" w:hAnsi="Times New Roman"/>
          <w:sz w:val="18"/>
          <w:szCs w:val="18"/>
          <w:u w:val="single" w:color="auto"/>
          <w:color w:val="0000FF"/>
        </w:rPr>
        <w:t>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Application</w:t>
      </w:r>
      <w:r>
        <w:rPr>
          <w:rFonts w:ascii="Times New Roman" w:cs="Times New Roman" w:eastAsia="Times New Roman" w:hAnsi="Times New Roman"/>
          <w:sz w:val="18"/>
          <w:szCs w:val="18"/>
          <w:color w:val="FF0000"/>
          <w:strike w:val="1"/>
        </w:rPr>
        <w:t>,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for an order of exemption,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substantially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form attached hereto as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Appendix</w:t>
      </w:r>
      <w:r>
        <w:rPr>
          <w:rFonts w:ascii="Times New Roman" w:cs="Times New Roman" w:eastAsia="Times New Roman" w:hAnsi="Times New Roman"/>
          <w:sz w:val="18"/>
          <w:szCs w:val="18"/>
          <w:u w:val="single" w:color="auto"/>
          <w:color w:val="0000FF"/>
        </w:rPr>
        <w:t>Exhibit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color w:val="FF0000"/>
          <w:strike w:val="1"/>
        </w:rPr>
        <w:t>;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 and any amendments thereto, pursuant to Section 17(d) of the 1940 Act; and be it further</w:t>
      </w:r>
    </w:p>
    <w:p>
      <w:pPr>
        <w:spacing w:after="0" w:line="176" w:lineRule="exact"/>
        <w:rPr>
          <w:sz w:val="20"/>
          <w:szCs w:val="20"/>
          <w:color w:val="auto"/>
        </w:rPr>
      </w:pPr>
    </w:p>
    <w:p>
      <w:pPr>
        <w:jc w:val="both"/>
        <w:ind w:firstLine="441"/>
        <w:spacing w:after="0" w:line="259" w:lineRule="auto"/>
        <w:rPr>
          <w:sz w:val="20"/>
          <w:szCs w:val="20"/>
          <w:color w:val="auto"/>
        </w:rPr>
      </w:pPr>
      <w:r>
        <w:rPr>
          <w:rFonts w:ascii="Times New Roman" w:cs="Times New Roman" w:eastAsia="Times New Roman" w:hAnsi="Times New Roman"/>
          <w:sz w:val="18"/>
          <w:szCs w:val="18"/>
          <w:color w:val="FF0000"/>
          <w:strike w:val="1"/>
        </w:rPr>
        <w:t>FURTHER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00"/>
        </w:rPr>
        <w:t>RESOLVED</w:t>
      </w:r>
      <w:r>
        <w:rPr>
          <w:rFonts w:ascii="Times New Roman" w:cs="Times New Roman" w:eastAsia="Times New Roman" w:hAnsi="Times New Roman"/>
          <w:sz w:val="18"/>
          <w:szCs w:val="18"/>
          <w:color w:val="000000"/>
        </w:rPr>
        <w:t>, that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Authorized Officers shall</w:t>
      </w:r>
      <w:r>
        <w:rPr>
          <w:rFonts w:ascii="Times New Roman" w:cs="Times New Roman" w:eastAsia="Times New Roman" w:hAnsi="Times New Roman"/>
          <w:sz w:val="18"/>
          <w:szCs w:val="18"/>
          <w:u w:val="single" w:color="auto"/>
          <w:color w:val="0000FF"/>
        </w:rPr>
        <w:t>officers of the Fund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be, and each of them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individually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hereby is, authorized</w:t>
      </w:r>
      <w:r>
        <w:rPr>
          <w:rFonts w:ascii="Times New Roman" w:cs="Times New Roman" w:eastAsia="Times New Roman" w:hAnsi="Times New Roman"/>
          <w:sz w:val="18"/>
          <w:szCs w:val="18"/>
          <w:color w:val="FF0000"/>
          <w:strike w:val="1"/>
        </w:rPr>
        <w:t>, empowered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directed</w:t>
      </w:r>
      <w:r>
        <w:rPr>
          <w:rFonts w:ascii="Times New Roman" w:cs="Times New Roman" w:eastAsia="Times New Roman" w:hAnsi="Times New Roman"/>
          <w:sz w:val="18"/>
          <w:szCs w:val="18"/>
          <w:color w:val="FF0000"/>
          <w:strike w:val="1"/>
        </w:rPr>
        <w:t>, in the name and on behalf of the Fund, to cause to be made, executed, delivered and filed with the Commission any amendments to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 xml:space="preserve">Exemptive Application and any additional applications for exemptive relief as are determined necessary, advisable or appropriate by any such officers </w:t>
      </w:r>
      <w:r>
        <w:rPr>
          <w:rFonts w:ascii="Times New Roman" w:cs="Times New Roman" w:eastAsia="Times New Roman" w:hAnsi="Times New Roman"/>
          <w:sz w:val="18"/>
          <w:szCs w:val="18"/>
          <w:u w:val="single" w:color="auto"/>
          <w:color w:val="0000FF"/>
          <w:strike w:val="1"/>
        </w:rPr>
        <w:t>to</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take such further action and execute such other documents as such officer or officers shall deem necessary or advisable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in order to effectuate the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intent of</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the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foregoing</w:t>
      </w:r>
      <w:r>
        <w:rPr>
          <w:rFonts w:ascii="Times New Roman" w:cs="Times New Roman" w:eastAsia="Times New Roman" w:hAnsi="Times New Roman"/>
          <w:sz w:val="18"/>
          <w:szCs w:val="18"/>
          <w:color w:val="FF0000"/>
          <w:strike w:val="1"/>
        </w:rPr>
        <w:t>, such determination to be conclusively evidenced by the taking of any such action; and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resolution; and be it further</w:t>
      </w:r>
    </w:p>
    <w:p>
      <w:pPr>
        <w:spacing w:after="0" w:line="179"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color w:val="FF0000"/>
          <w:strike w:val="1"/>
        </w:rPr>
        <w:t>FURTHER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b w:val="1"/>
          <w:bCs w:val="1"/>
          <w:color w:val="000000"/>
        </w:rPr>
        <w:t>RESOLVED</w:t>
      </w:r>
      <w:r>
        <w:rPr>
          <w:rFonts w:ascii="Times New Roman" w:cs="Times New Roman" w:eastAsia="Times New Roman" w:hAnsi="Times New Roman"/>
          <w:sz w:val="18"/>
          <w:szCs w:val="18"/>
          <w:color w:val="000000"/>
        </w:rPr>
        <w:t>, that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all acts and things</w:t>
      </w:r>
      <w:r>
        <w:rPr>
          <w:rFonts w:ascii="Times New Roman" w:cs="Times New Roman" w:eastAsia="Times New Roman" w:hAnsi="Times New Roman"/>
          <w:sz w:val="18"/>
          <w:szCs w:val="18"/>
          <w:u w:val="single" w:color="auto"/>
          <w:color w:val="0000FF"/>
        </w:rPr>
        <w:t>any and all actions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done by any of the Authorized Officers, on or prior to the date hereof,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in the name and on behalf of</w:t>
      </w:r>
      <w:r>
        <w:rPr>
          <w:rFonts w:ascii="Times New Roman" w:cs="Times New Roman" w:eastAsia="Times New Roman" w:hAnsi="Times New Roman"/>
          <w:sz w:val="18"/>
          <w:szCs w:val="18"/>
          <w:u w:val="single" w:color="auto"/>
          <w:color w:val="0000FF"/>
        </w:rPr>
        <w:t>taken by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Fund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or any of its directors or officers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connection with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actions contemplated by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foregoing resolutions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are in all respects authorized</w:t>
      </w:r>
      <w:r>
        <w:rPr>
          <w:rFonts w:ascii="Times New Roman" w:cs="Times New Roman" w:eastAsia="Times New Roman" w:hAnsi="Times New Roman"/>
          <w:sz w:val="18"/>
          <w:szCs w:val="18"/>
          <w:u w:val="single" w:color="auto"/>
          <w:color w:val="008000"/>
        </w:rPr>
        <w:t>be, and each of them hereby is</w:t>
      </w:r>
      <w:r>
        <w:rPr>
          <w:rFonts w:ascii="Times New Roman" w:cs="Times New Roman" w:eastAsia="Times New Roman" w:hAnsi="Times New Roman"/>
          <w:sz w:val="18"/>
          <w:szCs w:val="18"/>
          <w:color w:val="000000"/>
        </w:rPr>
        <w:t>, ratified,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approved,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confirmed</w:t>
      </w:r>
      <w:r>
        <w:rPr>
          <w:rFonts w:ascii="Times New Roman" w:cs="Times New Roman" w:eastAsia="Times New Roman" w:hAnsi="Times New Roman"/>
          <w:sz w:val="18"/>
          <w:szCs w:val="18"/>
          <w:u w:val="single" w:color="auto"/>
          <w:color w:val="0000FF"/>
        </w:rPr>
        <w:t>, approved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adopted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in all respects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and for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acts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deeds </w:t>
      </w:r>
      <w:r>
        <w:rPr>
          <w:rFonts w:ascii="Times New Roman" w:cs="Times New Roman" w:eastAsia="Times New Roman" w:hAnsi="Times New Roman"/>
          <w:sz w:val="18"/>
          <w:szCs w:val="18"/>
          <w:color w:val="FF0000"/>
          <w:strike w:val="1"/>
        </w:rPr>
        <w:t>by and on behalf</w:t>
      </w:r>
      <w:r>
        <w:rPr>
          <w:rFonts w:ascii="Times New Roman" w:cs="Times New Roman" w:eastAsia="Times New Roman" w:hAnsi="Times New Roman"/>
          <w:sz w:val="18"/>
          <w:szCs w:val="18"/>
          <w:color w:val="000000"/>
        </w:rPr>
        <w:t xml:space="preserve"> of the Fund</w:t>
      </w:r>
      <w:r>
        <w:rPr>
          <w:rFonts w:ascii="Times New Roman" w:cs="Times New Roman" w:eastAsia="Times New Roman" w:hAnsi="Times New Roman"/>
          <w:sz w:val="18"/>
          <w:szCs w:val="18"/>
          <w:color w:val="FF0000"/>
          <w:strike w:val="1"/>
        </w:rPr>
        <w:t>;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w:t>
      </w:r>
    </w:p>
    <w:p>
      <w:pPr>
        <w:spacing w:after="0" w:line="18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FF0000"/>
          <w:strike w:val="1"/>
        </w:rPr>
        <w:t xml:space="preserve">FURTHER RESOLVED, that any officer of the Fund </w:t>
      </w:r>
      <w:r>
        <w:rPr>
          <w:rFonts w:ascii="Times New Roman" w:cs="Times New Roman" w:eastAsia="Times New Roman" w:hAnsi="Times New Roman"/>
          <w:sz w:val="18"/>
          <w:szCs w:val="18"/>
          <w:color w:val="008000"/>
          <w:strike w:val="1"/>
        </w:rPr>
        <w:t>be, and each of them hereby is</w:t>
      </w:r>
      <w:r>
        <w:rPr>
          <w:rFonts w:ascii="Times New Roman" w:cs="Times New Roman" w:eastAsia="Times New Roman" w:hAnsi="Times New Roman"/>
          <w:sz w:val="18"/>
          <w:szCs w:val="18"/>
          <w:color w:val="FF0000"/>
          <w:strike w:val="1"/>
        </w:rPr>
        <w:t>, authorized, empowered and directed to certify and deliver copies of these resolutions to such governmental bodies, agencies, persons, firms or corporations as such officer may deem necessary and to identify by such officer’s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 and</w:t>
      </w:r>
    </w:p>
    <w:p>
      <w:pPr>
        <w:spacing w:after="0" w:line="18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FF0000"/>
          <w:strike w:val="1"/>
        </w:rPr>
        <w:t>FURTHER RESOLVED, that for purposes of the foregoing resolutions, the Authorized Officers of the Fund shall be the Chief Executive Officer, the President, Chief Financial Officer, and the Secretary of the Fund or any other authorized signatories designated by the directors of the Fund from time to time (collectively, the “</w:t>
      </w:r>
      <w:r>
        <w:rPr>
          <w:rFonts w:ascii="Times New Roman" w:cs="Times New Roman" w:eastAsia="Times New Roman" w:hAnsi="Times New Roman"/>
          <w:sz w:val="18"/>
          <w:szCs w:val="18"/>
          <w:b w:val="1"/>
          <w:bCs w:val="1"/>
          <w:i w:val="1"/>
          <w:iCs w:val="1"/>
          <w:color w:val="FF0000"/>
          <w:strike w:val="1"/>
        </w:rPr>
        <w:t>Authorized Officers</w:t>
      </w:r>
      <w:r>
        <w:rPr>
          <w:rFonts w:ascii="Times New Roman" w:cs="Times New Roman" w:eastAsia="Times New Roman" w:hAnsi="Times New Roman"/>
          <w:sz w:val="18"/>
          <w:szCs w:val="18"/>
          <w:color w:val="FF0000"/>
          <w:strike w:val="1"/>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(Adopted by the Board on September 13,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Adopted March 14,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FF0000"/>
        </w:rPr>
        <w:t>[Different first page setting changed from off in original to on in modified.].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FF0000"/>
        </w:rPr>
        <w:t>[Different first page link-to-previous setting changed from off in original to on in modified.].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FF0000"/>
        </w:rPr>
        <w:t>[Different first page setting changed from off in original to on in modified.].</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Appendix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Marked Copies of the Application Showing Changes from the Final Versions of the Two Applications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Identified as Substantially Identical Under Rule 0-5(e)(3)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FF0000"/>
        </w:rPr>
        <w:t>[Different first page setting changed from off in original to on in modified.].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5" w:name="page46"/>
    <w:bookmarkEnd w:id="45"/>
    <w:p>
      <w:pPr>
        <w:ind w:left="9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File No. </w:t>
      </w:r>
      <w:r>
        <w:rPr>
          <w:rFonts w:ascii="Times New Roman" w:cs="Times New Roman" w:eastAsia="Times New Roman" w:hAnsi="Times New Roman"/>
          <w:sz w:val="18"/>
          <w:szCs w:val="18"/>
          <w:color w:val="0000FF"/>
        </w:rPr>
        <w:t>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6731000</wp:posOffset>
            </wp:positionH>
            <wp:positionV relativeFrom="paragraph">
              <wp:posOffset>-7620</wp:posOffset>
            </wp:positionV>
            <wp:extent cx="3810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1000" cy="8255"/>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8890</wp:posOffset>
            </wp:positionV>
            <wp:extent cx="3810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142875</wp:posOffset>
            </wp:positionV>
            <wp:extent cx="178308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EXPEDITED REVIEW REQUESTED UNDER 17 CFR 270.0-5(d)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154305</wp:posOffset>
            </wp:positionV>
            <wp:extent cx="178308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the Matter of the Application of:</w:t>
      </w:r>
    </w:p>
    <w:p>
      <w:pPr>
        <w:spacing w:after="0" w:line="22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0000FF"/>
        </w:rPr>
        <w:t>CHICAGO ATLANTIC BDC, INC., CHICAGO ATLANTIC BDC ADVISERS, LLC, CHICAGO ATLANTIC ADVISERS, LLC, CHICAGO ATLANTIC EQUITY ADVISERS, LLC, CHICAGO ATLANTIC CO3 ADVISERS, LLC, CHICAGO ATLANTIC INVESTMENT MANAGEMENT, LLC, CHICAGO ATLANTIC REIT MANAGER, LLC, CHICAGO ATLANTIC PORTFOLIO, LP, CHICAGO ATLANTIC EQUITY FUND,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-683260</wp:posOffset>
            </wp:positionV>
            <wp:extent cx="7132320" cy="2194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OPPORTUNITY PORTFOLIO, LP, CHICAGO ATLANTIC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OPPORTUNITY FINANCE,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CREDIT OPPORTUNITIES III, LP, CHICAGO ATLANTIC CO3</w:t>
      </w:r>
    </w:p>
    <w:p>
      <w:pPr>
        <w:spacing w:after="0" w:line="9"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u w:val="single" w:color="auto"/>
          <w:color w:val="0000FF"/>
        </w:rPr>
        <w:t>(OFFSHORE), LP, CHICAGO ATLANTIC CO3 FEEDER, LP, CHICAGO ATLANTIC CREDIT OPPORTUNITIES, LLC, CHICAGO ATLANTIC REAL ESTATE FINANCE, INC., CHICAGO ATLANTIC CREDIT COMPANY, LLC,</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CA CO SPV, LLC, AND CA CREDIT SPV, LLC</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t>600 Madison Avenue, Suite 1800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New York, NY 10022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(212) 905-4923</w:t>
      </w:r>
    </w:p>
    <w:p>
      <w:pPr>
        <w:spacing w:after="0" w:line="9"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18"/>
          <w:szCs w:val="18"/>
          <w:b w:val="1"/>
          <w:bCs w:val="1"/>
          <w:color w:val="FF0000"/>
          <w:strike w:val="1"/>
        </w:rPr>
        <w:t>LAGO EVERGREEN CREDIT, LAGO ASSET MANAGEMENT, LLC, LAGO INNOVATION FUND I, LP, LAGO INNOVATION FUND I-QP, LP, LAGO INNOVATION FUND, LLC, LAGO INNOVATION FUND II-AI, LP, LAGO INNOVATION FUND II-QP, LP, LAGO INNOVATION FUND II, LLC, LAGO DELTA NINE FUND, LP, LAGO DELTA NINE FUND QP, LP, LAGO DELTA NINE, LLC, LAGO D9 EQUITY FUND I, LP, LAGO D9 EQUITY FUND I-QP, LP, LAGO INNOVATION FUND III-AI, LP, LAGO INNOVATION FUND III-QP, LP, LAGO INNOVATION FUND III, LLC, LAGO ACCELERATION FUND I, LP, LAGO ACCELERATION FUND I-QP, LP, LAGO APEX CREDIT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132080</wp:posOffset>
            </wp:positionV>
            <wp:extent cx="178308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10 S. Wacker Drive, Suite 3540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Chicago, Illinois 60606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APPLICATION FOR AN ORDER PURSUANT TO</w:t>
      </w:r>
    </w:p>
    <w:p>
      <w:pPr>
        <w:spacing w:after="0" w:line="27" w:lineRule="exact"/>
        <w:rPr>
          <w:sz w:val="20"/>
          <w:szCs w:val="20"/>
          <w:color w:val="auto"/>
        </w:rPr>
      </w:pPr>
    </w:p>
    <w:p>
      <w:pPr>
        <w:ind w:left="20" w:right="40" w:firstLine="59"/>
        <w:spacing w:after="0" w:line="265" w:lineRule="auto"/>
        <w:rPr>
          <w:sz w:val="20"/>
          <w:szCs w:val="20"/>
          <w:color w:val="auto"/>
        </w:rPr>
      </w:pPr>
      <w:r>
        <w:rPr>
          <w:rFonts w:ascii="Times New Roman" w:cs="Times New Roman" w:eastAsia="Times New Roman" w:hAnsi="Times New Roman"/>
          <w:sz w:val="17"/>
          <w:szCs w:val="17"/>
          <w:color w:val="auto"/>
        </w:rPr>
        <w:t>SECTIONS 17(d) AND 57(i) OF THE INVESTMENT COMPANY ACT OF 1940 AND RULE 17d-1 UNDER THE INVESTMENT COMPANY ACT OF 1940 PERMITTING CERTAIN JOINT TRANSACTIONS OTHERWISE PROHIBITED BY SECTIONS 17(d) AND 57(a)(4) OF AND RULE 17d-1</w:t>
      </w:r>
    </w:p>
    <w:p>
      <w:pPr>
        <w:jc w:val="center"/>
        <w:spacing w:after="0"/>
        <w:rPr>
          <w:sz w:val="20"/>
          <w:szCs w:val="20"/>
          <w:color w:val="auto"/>
        </w:rPr>
      </w:pPr>
      <w:r>
        <w:rPr>
          <w:rFonts w:ascii="Times New Roman" w:cs="Times New Roman" w:eastAsia="Times New Roman" w:hAnsi="Times New Roman"/>
          <w:sz w:val="18"/>
          <w:szCs w:val="18"/>
          <w:color w:val="auto"/>
        </w:rPr>
        <w:t>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142875</wp:posOffset>
            </wp:positionV>
            <wp:extent cx="178308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u w:val="single" w:color="auto"/>
          <w:color w:val="0000FF"/>
        </w:rPr>
        <w:t>All Communications, Notices and Orders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-118110</wp:posOffset>
            </wp:positionV>
            <wp:extent cx="7132320" cy="10972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9"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8"/>
          <w:szCs w:val="18"/>
          <w:b w:val="1"/>
          <w:bCs w:val="1"/>
          <w:u w:val="single" w:color="auto"/>
          <w:color w:val="0000FF"/>
        </w:rPr>
        <w:t>Scott Gordon</w:t>
      </w:r>
    </w:p>
    <w:p>
      <w:pPr>
        <w:spacing w:after="0" w:line="9"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8"/>
          <w:szCs w:val="18"/>
          <w:b w:val="1"/>
          <w:bCs w:val="1"/>
          <w:u w:val="single" w:color="auto"/>
          <w:color w:val="0000FF"/>
        </w:rPr>
        <w:t>Umesh Mahajan</w:t>
      </w:r>
    </w:p>
    <w:p>
      <w:pPr>
        <w:spacing w:after="0" w:line="9"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8"/>
          <w:szCs w:val="18"/>
          <w:b w:val="1"/>
          <w:bCs w:val="1"/>
          <w:u w:val="single" w:color="auto"/>
          <w:color w:val="0000FF"/>
        </w:rPr>
        <w:t>Peter Sack</w:t>
      </w:r>
    </w:p>
    <w:p>
      <w:pPr>
        <w:spacing w:after="0" w:line="9"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BDC, Inc.</w:t>
      </w:r>
    </w:p>
    <w:p>
      <w:pPr>
        <w:spacing w:after="0" w:line="9"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8"/>
          <w:szCs w:val="18"/>
          <w:b w:val="1"/>
          <w:bCs w:val="1"/>
          <w:u w:val="single" w:color="auto"/>
          <w:color w:val="0000FF"/>
        </w:rPr>
        <w:t>600 Madison Avenue, Suite 1800</w:t>
      </w:r>
    </w:p>
    <w:p>
      <w:pPr>
        <w:spacing w:after="0" w:line="9"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8"/>
          <w:szCs w:val="18"/>
          <w:b w:val="1"/>
          <w:bCs w:val="1"/>
          <w:u w:val="single" w:color="auto"/>
          <w:color w:val="0000FF"/>
        </w:rPr>
        <w:t>New York, NY 10022</w:t>
      </w:r>
    </w:p>
    <w:p>
      <w:pPr>
        <w:spacing w:after="0" w:line="9"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8"/>
          <w:szCs w:val="18"/>
          <w:b w:val="1"/>
          <w:bCs w:val="1"/>
          <w:u w:val="single" w:color="auto"/>
          <w:color w:val="0000FF"/>
        </w:rPr>
        <w:t>(212) 905-4923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FF0000"/>
          <w:strike w:val="1"/>
        </w:rPr>
        <w:t>All Communications, Notices and Orders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Tim Gottfried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LAGO Asset Management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10 S. Wacker Drive, Suite 3540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Chicago, Illinois 60606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FF0000"/>
          <w:strike w:val="1"/>
        </w:rPr>
        <w:t>tim@lagoinnovation.com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Telephone 773-417-5246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142875</wp:posOffset>
            </wp:positionV>
            <wp:extent cx="178308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u w:val="single" w:color="auto"/>
          <w:color w:val="0000FF"/>
        </w:rPr>
        <w:t>Copies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-118110</wp:posOffset>
            </wp:positionV>
            <wp:extent cx="7132320" cy="12344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u w:val="single" w:color="auto"/>
          <w:color w:val="0000FF"/>
        </w:rPr>
        <w:t>Anne G. Oberndorf, Esq.</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u w:val="single" w:color="auto"/>
          <w:color w:val="0000FF"/>
        </w:rPr>
        <w:t>Owen J. Pinkerton, Esq.</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u w:val="single" w:color="auto"/>
          <w:color w:val="0000FF"/>
        </w:rPr>
        <w:t>Eversheds Sutherland (US) LLP</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u w:val="single" w:color="auto"/>
          <w:color w:val="0000FF"/>
        </w:rPr>
        <w:t>700 Sixth Street, N.W., Suite 700</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u w:val="single" w:color="auto"/>
          <w:color w:val="0000FF"/>
        </w:rPr>
        <w:t>Washington, D.C. 20001</w:t>
      </w:r>
    </w:p>
    <w:p>
      <w:pPr>
        <w:spacing w:after="0" w:line="9" w:lineRule="exact"/>
        <w:rPr>
          <w:sz w:val="20"/>
          <w:szCs w:val="20"/>
          <w:color w:val="auto"/>
        </w:rPr>
      </w:pPr>
    </w:p>
    <w:p>
      <w:pPr>
        <w:ind w:left="5400" w:hanging="430"/>
        <w:spacing w:after="0"/>
        <w:tabs>
          <w:tab w:leader="none" w:pos="5400" w:val="left"/>
        </w:tabs>
        <w:numPr>
          <w:ilvl w:val="0"/>
          <w:numId w:val="51"/>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383-0100</w:t>
      </w:r>
    </w:p>
    <w:p>
      <w:pPr>
        <w:spacing w:after="0" w:line="9" w:lineRule="exact"/>
        <w:rPr>
          <w:rFonts w:ascii="Times New Roman" w:cs="Times New Roman" w:eastAsia="Times New Roman" w:hAnsi="Times New Roman"/>
          <w:sz w:val="18"/>
          <w:szCs w:val="18"/>
          <w:b w:val="1"/>
          <w:bCs w:val="1"/>
          <w:u w:val="single" w:color="auto"/>
          <w:color w:val="0000FF"/>
        </w:rPr>
      </w:pPr>
    </w:p>
    <w:p>
      <w:pPr>
        <w:jc w:val="both"/>
        <w:ind w:left="3860" w:right="3980" w:firstLine="5"/>
        <w:spacing w:after="0" w:line="260" w:lineRule="auto"/>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anneoberndorf@eversheds-sutherland.com owenpinkerton@eversheds-sutherland.com</w:t>
      </w:r>
    </w:p>
    <w:p>
      <w:pPr>
        <w:sectPr>
          <w:pgSz w:w="11900" w:h="16838" w:orient="portrait"/>
          <w:cols w:equalWidth="0" w:num="1">
            <w:col w:w="11180"/>
          </w:cols>
          <w:pgMar w:left="360" w:top="1242" w:right="359" w:bottom="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FF0000"/>
          <w:strike w:val="1"/>
        </w:rPr>
        <w:t>Copies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strike w:val="1"/>
        </w:rPr>
        <w:t>Anne G. Oberndorf, Esq.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strike w:val="1"/>
        </w:rPr>
        <w:t>Stephani M. Hildebrandt, Esq.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strike w:val="1"/>
        </w:rPr>
        <w:t>Dwaune Dupree, Esq.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strike w:val="1"/>
        </w:rPr>
        <w:t>Eversheds Sutherland (US) LLP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strike w:val="1"/>
        </w:rPr>
        <w:t>700 Sixth Street, NW, Suite 700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strike w:val="1"/>
        </w:rPr>
        <w:t>Washington, DC 20001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FF0000"/>
          <w:strike w:val="1"/>
        </w:rPr>
        <w:t>anneoberndorf@eversheds-sutherland.com</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strike w:val="1"/>
        </w:rPr>
        <w:t>Telephone (202) 383-0100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strike w:val="1"/>
        </w:rPr>
        <w:t>May 9</w:t>
      </w:r>
      <w:r>
        <w:rPr>
          <w:rFonts w:ascii="Times New Roman" w:cs="Times New Roman" w:eastAsia="Times New Roman" w:hAnsi="Times New Roman"/>
          <w:sz w:val="18"/>
          <w:szCs w:val="18"/>
          <w:u w:val="single" w:color="auto"/>
          <w:color w:val="0000FF"/>
        </w:rPr>
        <w:t>March 18</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2025</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u w:val="single" w:color="auto"/>
          <w:color w:val="0000FF"/>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182880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611505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BEFORE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580390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57" w:right="1440" w:bottom="1440" w:gutter="0" w:footer="0" w:header="0"/>
        </w:sectPr>
      </w:pPr>
    </w:p>
    <w:bookmarkStart w:id="48" w:name="page49"/>
    <w:bookmarkEnd w:id="48"/>
    <w:tbl>
      <w:tblPr>
        <w:tblLayout w:type="fixed"/>
        <w:tblInd w:w="10" w:type="dxa"/>
        <w:tblCellMar>
          <w:top w:w="0" w:type="dxa"/>
          <w:left w:w="0" w:type="dxa"/>
          <w:bottom w:w="0" w:type="dxa"/>
          <w:right w:w="0" w:type="dxa"/>
        </w:tblCellMar>
      </w:tblPr>
      <w:tr>
        <w:trPr>
          <w:trHeight w:val="207"/>
        </w:trPr>
        <w:tc>
          <w:tcPr>
            <w:tcW w:w="120" w:type="dxa"/>
            <w:vAlign w:val="bottom"/>
            <w:tcBorders>
              <w:top w:val="single" w:sz="8" w:color="auto"/>
              <w:left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FFDEAD"/>
              <w:right w:val="single" w:sz="8" w:color="auto"/>
            </w:tcBorders>
            <w:shd w:val="clear" w:color="auto" w:fill="FFDEAD"/>
          </w:tcPr>
          <w:p>
            <w:pPr>
              <w:spacing w:after="0"/>
              <w:rPr>
                <w:sz w:val="18"/>
                <w:szCs w:val="18"/>
                <w:color w:val="auto"/>
              </w:rPr>
            </w:pPr>
          </w:p>
        </w:tc>
        <w:tc>
          <w:tcPr>
            <w:tcW w:w="28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top w:val="single" w:sz="8" w:color="FFDEAD"/>
              <w:right w:val="single" w:sz="8" w:color="auto"/>
            </w:tcBorders>
            <w:shd w:val="clear" w:color="auto" w:fill="FFDEAD"/>
          </w:tcPr>
          <w:p>
            <w:pPr>
              <w:spacing w:after="0"/>
              <w:rPr>
                <w:sz w:val="18"/>
                <w:szCs w:val="18"/>
                <w:color w:val="auto"/>
              </w:rPr>
            </w:pPr>
          </w:p>
        </w:tc>
        <w:tc>
          <w:tcPr>
            <w:tcW w:w="49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APPLICATION FOR AN ORDER</w:t>
            </w:r>
          </w:p>
        </w:tc>
        <w:tc>
          <w:tcPr>
            <w:tcW w:w="20" w:type="dxa"/>
            <w:vAlign w:val="bottom"/>
            <w:tcBorders>
              <w:top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720" w:type="dxa"/>
            <w:vAlign w:val="bottom"/>
            <w:tcBorders>
              <w:right w:val="single" w:sz="8" w:color="auto"/>
            </w:tcBorders>
            <w:gridSpan w:val="29"/>
          </w:tcPr>
          <w:p>
            <w:pPr>
              <w:spacing w:after="0"/>
              <w:rPr>
                <w:sz w:val="20"/>
                <w:szCs w:val="20"/>
                <w:color w:val="auto"/>
              </w:rPr>
            </w:pPr>
            <w:r>
              <w:rPr>
                <w:rFonts w:ascii="Times New Roman" w:cs="Times New Roman" w:eastAsia="Times New Roman" w:hAnsi="Times New Roman"/>
                <w:sz w:val="18"/>
                <w:szCs w:val="18"/>
                <w:b w:val="1"/>
                <w:bCs w:val="1"/>
                <w:color w:val="auto"/>
              </w:rPr>
              <w:t>IN THE MATTER OF</w:t>
            </w: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PURSUANT TO SECTIONS 17(d) AND 57(i)</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29"/>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CHICAGO ATLANTIC BDC, INC., AND CHICAGO ATLANTIC BDC</w:t>
            </w:r>
          </w:p>
        </w:tc>
        <w:tc>
          <w:tcPr>
            <w:tcW w:w="100" w:type="dxa"/>
            <w:vAlign w:val="bottom"/>
            <w:tcBorders>
              <w:right w:val="single" w:sz="8" w:color="auto"/>
            </w:tcBorders>
            <w:shd w:val="clear" w:color="auto" w:fill="FFDEAD"/>
          </w:tcPr>
          <w:p>
            <w:pPr>
              <w:spacing w:after="0"/>
              <w:rPr>
                <w:sz w:val="17"/>
                <w:szCs w:val="17"/>
                <w:color w:val="auto"/>
              </w:rPr>
            </w:pPr>
          </w:p>
        </w:tc>
        <w:tc>
          <w:tcPr>
            <w:tcW w:w="280" w:type="dxa"/>
            <w:vAlign w:val="bottom"/>
            <w:tcBorders>
              <w:right w:val="single" w:sz="8" w:color="auto"/>
            </w:tcBorders>
          </w:tcPr>
          <w:p>
            <w:pPr>
              <w:jc w:val="right"/>
              <w:ind w:right="30"/>
              <w:spacing w:after="0" w:line="198" w:lineRule="exact"/>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right w:val="single" w:sz="8" w:color="auto"/>
            </w:tcBorders>
            <w:shd w:val="clear" w:color="auto" w:fill="FFDEAD"/>
          </w:tcPr>
          <w:p>
            <w:pPr>
              <w:spacing w:after="0"/>
              <w:rPr>
                <w:sz w:val="17"/>
                <w:szCs w:val="17"/>
                <w:color w:val="auto"/>
              </w:rPr>
            </w:pPr>
          </w:p>
        </w:tc>
        <w:tc>
          <w:tcPr>
            <w:tcW w:w="49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OF THE INVESTMENT COMPANY ACT OF</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96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1940 AND RULE 17d-1 UNDER THE</w:t>
            </w: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Borders>
              <w:left w:val="single" w:sz="8" w:color="auto"/>
            </w:tcBorders>
          </w:tcPr>
          <w:p>
            <w:pPr>
              <w:spacing w:after="0"/>
              <w:rPr>
                <w:sz w:val="13"/>
                <w:szCs w:val="13"/>
                <w:color w:val="auto"/>
              </w:rPr>
            </w:pPr>
          </w:p>
        </w:tc>
        <w:tc>
          <w:tcPr>
            <w:tcW w:w="5560" w:type="dxa"/>
            <w:vAlign w:val="bottom"/>
            <w:gridSpan w:val="26"/>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ADVISERS, LLC, AND CHICAGO ATLANTIC ADVISERS, LLC,</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shd w:val="clear" w:color="auto" w:fill="FFDEAD"/>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shd w:val="clear" w:color="auto" w:fill="FFDEAD"/>
          </w:tcPr>
          <w:p>
            <w:pPr>
              <w:spacing w:after="0"/>
              <w:rPr>
                <w:sz w:val="13"/>
                <w:szCs w:val="13"/>
                <w:color w:val="auto"/>
              </w:rPr>
            </w:pPr>
          </w:p>
        </w:tc>
        <w:tc>
          <w:tcPr>
            <w:tcW w:w="490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96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INVESTMENT COMPANY ACT OF 1940</w:t>
            </w: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Borders>
              <w:left w:val="single" w:sz="8" w:color="auto"/>
            </w:tcBorders>
          </w:tcPr>
          <w:p>
            <w:pPr>
              <w:spacing w:after="0"/>
              <w:rPr>
                <w:sz w:val="13"/>
                <w:szCs w:val="13"/>
                <w:color w:val="auto"/>
              </w:rPr>
            </w:pPr>
          </w:p>
        </w:tc>
        <w:tc>
          <w:tcPr>
            <w:tcW w:w="5220" w:type="dxa"/>
            <w:vAlign w:val="bottom"/>
            <w:gridSpan w:val="20"/>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AND CHICAGO ATLANTIC EQUITY ADVISERS, LLC, AND</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shd w:val="clear" w:color="auto" w:fill="FFDEAD"/>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shd w:val="clear" w:color="auto" w:fill="FFDEAD"/>
          </w:tcPr>
          <w:p>
            <w:pPr>
              <w:spacing w:after="0"/>
              <w:rPr>
                <w:sz w:val="13"/>
                <w:szCs w:val="13"/>
                <w:color w:val="auto"/>
              </w:rPr>
            </w:pPr>
          </w:p>
        </w:tc>
        <w:tc>
          <w:tcPr>
            <w:tcW w:w="490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96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PERMITTING CERTAIN JOINT</w:t>
            </w: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Borders>
              <w:left w:val="single" w:sz="8" w:color="auto"/>
            </w:tcBorders>
          </w:tcPr>
          <w:p>
            <w:pPr>
              <w:spacing w:after="0"/>
              <w:rPr>
                <w:sz w:val="13"/>
                <w:szCs w:val="13"/>
                <w:color w:val="auto"/>
              </w:rPr>
            </w:pPr>
          </w:p>
        </w:tc>
        <w:tc>
          <w:tcPr>
            <w:tcW w:w="4940" w:type="dxa"/>
            <w:vAlign w:val="bottom"/>
            <w:tcBorders>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6"/>
              </w:rPr>
              <w:t>CHICAGO ATLANTIC CO3 ADVISERS, LLC, AND CHICAGO</w:t>
            </w:r>
          </w:p>
        </w:tc>
        <w:tc>
          <w:tcPr>
            <w:tcW w:w="20" w:type="dxa"/>
            <w:vAlign w:val="bottom"/>
            <w:tcBorders>
              <w:bottom w:val="single" w:sz="8" w:color="0000FF"/>
            </w:tcBorders>
            <w:vMerge w:val="continue"/>
          </w:tcPr>
          <w:p>
            <w:pPr>
              <w:spacing w:after="0"/>
              <w:rPr>
                <w:sz w:val="13"/>
                <w:szCs w:val="13"/>
                <w:color w:val="auto"/>
              </w:rPr>
            </w:pPr>
          </w:p>
        </w:tc>
        <w:tc>
          <w:tcPr>
            <w:tcW w:w="80" w:type="dxa"/>
            <w:vAlign w:val="bottom"/>
            <w:tcBorders>
              <w:bottom w:val="single" w:sz="8" w:color="0000FF"/>
            </w:tcBorders>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tcBorders>
              <w:right w:val="single" w:sz="8" w:color="auto"/>
            </w:tcBorders>
            <w:vMerge w:val="continue"/>
          </w:tcPr>
          <w:p>
            <w:pPr>
              <w:spacing w:after="0"/>
              <w:rPr>
                <w:sz w:val="13"/>
                <w:szCs w:val="13"/>
                <w:color w:val="auto"/>
              </w:rPr>
            </w:pPr>
          </w:p>
        </w:tc>
        <w:tc>
          <w:tcPr>
            <w:tcW w:w="100" w:type="dxa"/>
            <w:vAlign w:val="bottom"/>
            <w:tcBorders>
              <w:bottom w:val="single" w:sz="8" w:color="FFDEAD"/>
              <w:right w:val="single" w:sz="8" w:color="auto"/>
            </w:tcBorders>
            <w:shd w:val="clear" w:color="auto" w:fill="FFDEAD"/>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100" w:type="dxa"/>
            <w:vAlign w:val="bottom"/>
            <w:tcBorders>
              <w:bottom w:val="single" w:sz="8" w:color="FFDEAD"/>
              <w:right w:val="single" w:sz="8" w:color="auto"/>
            </w:tcBorders>
            <w:shd w:val="clear" w:color="auto" w:fill="FFDEAD"/>
          </w:tcPr>
          <w:p>
            <w:pPr>
              <w:spacing w:after="0"/>
              <w:rPr>
                <w:sz w:val="13"/>
                <w:szCs w:val="13"/>
                <w:color w:val="auto"/>
              </w:rPr>
            </w:pPr>
          </w:p>
        </w:tc>
        <w:tc>
          <w:tcPr>
            <w:tcW w:w="490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8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96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TRANSACTIONS OTHERWISE</w:t>
            </w: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Borders>
              <w:left w:val="single" w:sz="8" w:color="auto"/>
            </w:tcBorders>
          </w:tcPr>
          <w:p>
            <w:pPr>
              <w:spacing w:after="0"/>
              <w:rPr>
                <w:sz w:val="13"/>
                <w:szCs w:val="13"/>
                <w:color w:val="auto"/>
              </w:rPr>
            </w:pPr>
          </w:p>
        </w:tc>
        <w:tc>
          <w:tcPr>
            <w:tcW w:w="5720" w:type="dxa"/>
            <w:vAlign w:val="bottom"/>
            <w:tcBorders>
              <w:right w:val="single" w:sz="8" w:color="auto"/>
            </w:tcBorders>
            <w:gridSpan w:val="29"/>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ATLANTIC INVESTMENT MANAGEMENT, LLC, AND CHICAGO</w:t>
            </w:r>
          </w:p>
        </w:tc>
        <w:tc>
          <w:tcPr>
            <w:tcW w:w="100" w:type="dxa"/>
            <w:vAlign w:val="bottom"/>
            <w:tcBorders>
              <w:right w:val="single" w:sz="8" w:color="auto"/>
            </w:tcBorders>
            <w:shd w:val="clear" w:color="auto" w:fill="FFDEAD"/>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shd w:val="clear" w:color="auto" w:fill="FFDEAD"/>
          </w:tcPr>
          <w:p>
            <w:pPr>
              <w:spacing w:after="0"/>
              <w:rPr>
                <w:sz w:val="13"/>
                <w:szCs w:val="13"/>
                <w:color w:val="auto"/>
              </w:rPr>
            </w:pPr>
          </w:p>
        </w:tc>
        <w:tc>
          <w:tcPr>
            <w:tcW w:w="490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96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PROHIBITED BY SECTIONS 17(d) AND</w:t>
            </w: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Borders>
              <w:left w:val="single" w:sz="8" w:color="auto"/>
            </w:tcBorders>
          </w:tcPr>
          <w:p>
            <w:pPr>
              <w:spacing w:after="0"/>
              <w:rPr>
                <w:sz w:val="13"/>
                <w:szCs w:val="13"/>
                <w:color w:val="auto"/>
              </w:rPr>
            </w:pPr>
          </w:p>
        </w:tc>
        <w:tc>
          <w:tcPr>
            <w:tcW w:w="5280" w:type="dxa"/>
            <w:vAlign w:val="bottom"/>
            <w:tcBorders>
              <w:bottom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ATLANTIC REIT MANAGER, LLC, AND CHICAGO ATLANTIC</w:t>
            </w:r>
          </w:p>
        </w:tc>
        <w:tc>
          <w:tcPr>
            <w:tcW w:w="1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tcBorders>
              <w:right w:val="single" w:sz="8" w:color="auto"/>
            </w:tcBorders>
            <w:vMerge w:val="continue"/>
          </w:tcPr>
          <w:p>
            <w:pPr>
              <w:spacing w:after="0"/>
              <w:rPr>
                <w:sz w:val="13"/>
                <w:szCs w:val="13"/>
                <w:color w:val="auto"/>
              </w:rPr>
            </w:pPr>
          </w:p>
        </w:tc>
        <w:tc>
          <w:tcPr>
            <w:tcW w:w="100" w:type="dxa"/>
            <w:vAlign w:val="bottom"/>
            <w:tcBorders>
              <w:bottom w:val="single" w:sz="8" w:color="FFDEAD"/>
              <w:right w:val="single" w:sz="8" w:color="auto"/>
            </w:tcBorders>
            <w:shd w:val="clear" w:color="auto" w:fill="FFDEAD"/>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100" w:type="dxa"/>
            <w:vAlign w:val="bottom"/>
            <w:tcBorders>
              <w:bottom w:val="single" w:sz="8" w:color="FFDEAD"/>
              <w:right w:val="single" w:sz="8" w:color="auto"/>
            </w:tcBorders>
            <w:shd w:val="clear" w:color="auto" w:fill="FFDEAD"/>
          </w:tcPr>
          <w:p>
            <w:pPr>
              <w:spacing w:after="0"/>
              <w:rPr>
                <w:sz w:val="13"/>
                <w:szCs w:val="13"/>
                <w:color w:val="auto"/>
              </w:rPr>
            </w:pPr>
          </w:p>
        </w:tc>
        <w:tc>
          <w:tcPr>
            <w:tcW w:w="490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8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96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57(a)(4) OF AND RULE 17d-1 UNDER THE</w:t>
            </w: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Borders>
              <w:left w:val="single" w:sz="8" w:color="auto"/>
            </w:tcBorders>
          </w:tcPr>
          <w:p>
            <w:pPr>
              <w:spacing w:after="0"/>
              <w:rPr>
                <w:sz w:val="13"/>
                <w:szCs w:val="13"/>
                <w:color w:val="auto"/>
              </w:rPr>
            </w:pPr>
          </w:p>
        </w:tc>
        <w:tc>
          <w:tcPr>
            <w:tcW w:w="5720" w:type="dxa"/>
            <w:vAlign w:val="bottom"/>
            <w:tcBorders>
              <w:right w:val="single" w:sz="8" w:color="auto"/>
            </w:tcBorders>
            <w:gridSpan w:val="29"/>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PORTFOLIO, LP, AND CHICAGO ATLANTIC EQUITY FUND, LLC,</w:t>
            </w:r>
          </w:p>
        </w:tc>
        <w:tc>
          <w:tcPr>
            <w:tcW w:w="100" w:type="dxa"/>
            <w:vAlign w:val="bottom"/>
            <w:tcBorders>
              <w:right w:val="single" w:sz="8" w:color="auto"/>
            </w:tcBorders>
            <w:shd w:val="clear" w:color="auto" w:fill="FFDEAD"/>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shd w:val="clear" w:color="auto" w:fill="FFDEAD"/>
          </w:tcPr>
          <w:p>
            <w:pPr>
              <w:spacing w:after="0"/>
              <w:rPr>
                <w:sz w:val="13"/>
                <w:szCs w:val="13"/>
                <w:color w:val="auto"/>
              </w:rPr>
            </w:pPr>
          </w:p>
        </w:tc>
        <w:tc>
          <w:tcPr>
            <w:tcW w:w="490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96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4"/>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INVESTMENT COMPANY ACT OF 1940</w:t>
            </w: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Borders>
              <w:left w:val="single" w:sz="8" w:color="auto"/>
            </w:tcBorders>
          </w:tcPr>
          <w:p>
            <w:pPr>
              <w:spacing w:after="0"/>
              <w:rPr>
                <w:sz w:val="13"/>
                <w:szCs w:val="13"/>
                <w:color w:val="auto"/>
              </w:rPr>
            </w:pPr>
          </w:p>
        </w:tc>
        <w:tc>
          <w:tcPr>
            <w:tcW w:w="5600" w:type="dxa"/>
            <w:vAlign w:val="bottom"/>
            <w:gridSpan w:val="28"/>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AND CHICAGO ATLANTIC OPPORTUNITY PORTFOLIO, LP, AND</w:t>
            </w:r>
          </w:p>
        </w:tc>
        <w:tc>
          <w:tcPr>
            <w:tcW w:w="12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shd w:val="clear" w:color="auto" w:fill="FFDEAD"/>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shd w:val="clear" w:color="auto" w:fill="FFDEAD"/>
          </w:tcPr>
          <w:p>
            <w:pPr>
              <w:spacing w:after="0"/>
              <w:rPr>
                <w:sz w:val="13"/>
                <w:szCs w:val="13"/>
                <w:color w:val="auto"/>
              </w:rPr>
            </w:pPr>
          </w:p>
        </w:tc>
        <w:tc>
          <w:tcPr>
            <w:tcW w:w="490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96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4"/>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140" w:type="dxa"/>
            <w:vAlign w:val="bottom"/>
            <w:tcBorders>
              <w:right w:val="single" w:sz="8" w:color="auto"/>
            </w:tcBorders>
            <w:gridSpan w:val="2"/>
            <w:vMerge w:val="restart"/>
          </w:tcPr>
          <w:p>
            <w:pPr>
              <w:spacing w:after="0" w:line="20" w:lineRule="exact"/>
              <w:rPr>
                <w:sz w:val="1"/>
                <w:szCs w:val="1"/>
                <w:color w:val="auto"/>
              </w:rPr>
            </w:pP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Borders>
              <w:left w:val="single" w:sz="8" w:color="auto"/>
            </w:tcBorders>
          </w:tcPr>
          <w:p>
            <w:pPr>
              <w:spacing w:after="0"/>
              <w:rPr>
                <w:sz w:val="13"/>
                <w:szCs w:val="13"/>
                <w:color w:val="auto"/>
              </w:rPr>
            </w:pPr>
          </w:p>
        </w:tc>
        <w:tc>
          <w:tcPr>
            <w:tcW w:w="5060" w:type="dxa"/>
            <w:vAlign w:val="bottom"/>
            <w:tcBorders>
              <w:bottom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CHICAGO ATLANTIC OPPORTUNITY FINANCE, LLC, AND</w:t>
            </w:r>
          </w:p>
        </w:tc>
        <w:tc>
          <w:tcPr>
            <w:tcW w:w="520" w:type="dxa"/>
            <w:vAlign w:val="bottom"/>
            <w:gridSpan w:val="14"/>
          </w:tcPr>
          <w:p>
            <w:pPr>
              <w:spacing w:after="0"/>
              <w:rPr>
                <w:sz w:val="13"/>
                <w:szCs w:val="13"/>
                <w:color w:val="auto"/>
              </w:rPr>
            </w:pPr>
          </w:p>
        </w:tc>
        <w:tc>
          <w:tcPr>
            <w:tcW w:w="140" w:type="dxa"/>
            <w:vAlign w:val="bottom"/>
            <w:tcBorders>
              <w:right w:val="single" w:sz="8" w:color="auto"/>
            </w:tcBorders>
            <w:gridSpan w:val="2"/>
            <w:vMerge w:val="continue"/>
          </w:tcPr>
          <w:p>
            <w:pPr>
              <w:spacing w:after="0"/>
              <w:rPr>
                <w:sz w:val="13"/>
                <w:szCs w:val="13"/>
                <w:color w:val="auto"/>
              </w:rPr>
            </w:pPr>
          </w:p>
        </w:tc>
        <w:tc>
          <w:tcPr>
            <w:tcW w:w="100" w:type="dxa"/>
            <w:vAlign w:val="bottom"/>
            <w:tcBorders>
              <w:bottom w:val="single" w:sz="8" w:color="FFDEAD"/>
              <w:right w:val="single" w:sz="8" w:color="auto"/>
            </w:tcBorders>
            <w:shd w:val="clear" w:color="auto" w:fill="FFDEAD"/>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100" w:type="dxa"/>
            <w:vAlign w:val="bottom"/>
            <w:tcBorders>
              <w:bottom w:val="single" w:sz="8" w:color="FFDEAD"/>
              <w:right w:val="single" w:sz="8" w:color="auto"/>
            </w:tcBorders>
            <w:shd w:val="clear" w:color="auto" w:fill="FFDEAD"/>
          </w:tcPr>
          <w:p>
            <w:pPr>
              <w:spacing w:after="0"/>
              <w:rPr>
                <w:sz w:val="13"/>
                <w:szCs w:val="13"/>
                <w:color w:val="auto"/>
              </w:rPr>
            </w:pPr>
          </w:p>
        </w:tc>
        <w:tc>
          <w:tcPr>
            <w:tcW w:w="490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8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96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tcBorders>
              <w:right w:val="single" w:sz="8" w:color="auto"/>
            </w:tcBorders>
            <w:gridSpan w:val="4"/>
          </w:tcPr>
          <w:p>
            <w:pPr>
              <w:spacing w:after="0" w:line="20" w:lineRule="exact"/>
              <w:rPr>
                <w:sz w:val="1"/>
                <w:szCs w:val="1"/>
                <w:color w:val="auto"/>
              </w:rPr>
            </w:pPr>
          </w:p>
        </w:tc>
        <w:tc>
          <w:tcPr>
            <w:tcW w:w="100" w:type="dxa"/>
            <w:vAlign w:val="bottom"/>
            <w:tcBorders>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Borders>
              <w:left w:val="single" w:sz="8" w:color="auto"/>
            </w:tcBorders>
          </w:tcPr>
          <w:p>
            <w:pPr>
              <w:spacing w:after="0"/>
              <w:rPr>
                <w:sz w:val="13"/>
                <w:szCs w:val="13"/>
                <w:color w:val="auto"/>
              </w:rPr>
            </w:pPr>
          </w:p>
        </w:tc>
        <w:tc>
          <w:tcPr>
            <w:tcW w:w="5720" w:type="dxa"/>
            <w:vAlign w:val="bottom"/>
            <w:tcBorders>
              <w:right w:val="single" w:sz="8" w:color="auto"/>
            </w:tcBorders>
            <w:gridSpan w:val="29"/>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CHICAGO ATLANTIC CREDIT OPPORTUNITIES III, LP, AND</w:t>
            </w:r>
          </w:p>
        </w:tc>
        <w:tc>
          <w:tcPr>
            <w:tcW w:w="100" w:type="dxa"/>
            <w:vAlign w:val="bottom"/>
            <w:tcBorders>
              <w:right w:val="single" w:sz="8" w:color="auto"/>
            </w:tcBorders>
            <w:shd w:val="clear" w:color="auto" w:fill="FFDEAD"/>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shd w:val="clear" w:color="auto" w:fill="FFDEAD"/>
          </w:tcPr>
          <w:p>
            <w:pPr>
              <w:spacing w:after="0"/>
              <w:rPr>
                <w:sz w:val="13"/>
                <w:szCs w:val="13"/>
                <w:color w:val="auto"/>
              </w:rPr>
            </w:pPr>
          </w:p>
        </w:tc>
        <w:tc>
          <w:tcPr>
            <w:tcW w:w="490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96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300" w:type="dxa"/>
            <w:vAlign w:val="bottom"/>
            <w:gridSpan w:val="4"/>
            <w:vMerge w:val="restart"/>
          </w:tcPr>
          <w:p>
            <w:pPr>
              <w:spacing w:after="0" w:line="20" w:lineRule="exact"/>
              <w:rPr>
                <w:sz w:val="1"/>
                <w:szCs w:val="1"/>
                <w:color w:val="auto"/>
              </w:rPr>
            </w:pPr>
          </w:p>
        </w:tc>
        <w:tc>
          <w:tcPr>
            <w:tcW w:w="180" w:type="dxa"/>
            <w:vAlign w:val="bottom"/>
            <w:tcBorders>
              <w:right w:val="single" w:sz="8" w:color="auto"/>
            </w:tcBorders>
            <w:gridSpan w:val="4"/>
            <w:vMerge w:val="restart"/>
          </w:tcPr>
          <w:p>
            <w:pPr>
              <w:spacing w:after="0" w:line="20" w:lineRule="exact"/>
              <w:rPr>
                <w:sz w:val="1"/>
                <w:szCs w:val="1"/>
                <w:color w:val="auto"/>
              </w:rPr>
            </w:pP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Borders>
              <w:left w:val="single" w:sz="8" w:color="auto"/>
            </w:tcBorders>
          </w:tcPr>
          <w:p>
            <w:pPr>
              <w:spacing w:after="0"/>
              <w:rPr>
                <w:sz w:val="13"/>
                <w:szCs w:val="13"/>
                <w:color w:val="auto"/>
              </w:rPr>
            </w:pPr>
          </w:p>
        </w:tc>
        <w:tc>
          <w:tcPr>
            <w:tcW w:w="5180" w:type="dxa"/>
            <w:vAlign w:val="bottom"/>
            <w:gridSpan w:val="18"/>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CHICAGO ATLANTIC CO3 (OFFSHORE), LP, AND CHICAGO</w:t>
            </w: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300" w:type="dxa"/>
            <w:vAlign w:val="bottom"/>
            <w:gridSpan w:val="4"/>
            <w:vMerge w:val="continue"/>
          </w:tcPr>
          <w:p>
            <w:pPr>
              <w:spacing w:after="0"/>
              <w:rPr>
                <w:sz w:val="13"/>
                <w:szCs w:val="13"/>
                <w:color w:val="auto"/>
              </w:rPr>
            </w:pPr>
          </w:p>
        </w:tc>
        <w:tc>
          <w:tcPr>
            <w:tcW w:w="180" w:type="dxa"/>
            <w:vAlign w:val="bottom"/>
            <w:tcBorders>
              <w:right w:val="single" w:sz="8" w:color="auto"/>
            </w:tcBorders>
            <w:gridSpan w:val="4"/>
            <w:vMerge w:val="continue"/>
          </w:tcPr>
          <w:p>
            <w:pPr>
              <w:spacing w:after="0"/>
              <w:rPr>
                <w:sz w:val="13"/>
                <w:szCs w:val="13"/>
                <w:color w:val="auto"/>
              </w:rPr>
            </w:pPr>
          </w:p>
        </w:tc>
        <w:tc>
          <w:tcPr>
            <w:tcW w:w="100" w:type="dxa"/>
            <w:vAlign w:val="bottom"/>
            <w:tcBorders>
              <w:right w:val="single" w:sz="8" w:color="auto"/>
            </w:tcBorders>
            <w:shd w:val="clear" w:color="auto" w:fill="FFDEAD"/>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shd w:val="clear" w:color="auto" w:fill="FFDEAD"/>
          </w:tcPr>
          <w:p>
            <w:pPr>
              <w:spacing w:after="0"/>
              <w:rPr>
                <w:sz w:val="13"/>
                <w:szCs w:val="13"/>
                <w:color w:val="auto"/>
              </w:rPr>
            </w:pPr>
          </w:p>
        </w:tc>
        <w:tc>
          <w:tcPr>
            <w:tcW w:w="490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96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tcBorders>
              <w:right w:val="single" w:sz="8" w:color="auto"/>
            </w:tcBorders>
            <w:gridSpan w:val="4"/>
          </w:tcPr>
          <w:p>
            <w:pPr>
              <w:spacing w:after="0" w:line="20" w:lineRule="exact"/>
              <w:rPr>
                <w:sz w:val="1"/>
                <w:szCs w:val="1"/>
                <w:color w:val="auto"/>
              </w:rPr>
            </w:pP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Borders>
              <w:left w:val="single" w:sz="8" w:color="auto"/>
            </w:tcBorders>
          </w:tcPr>
          <w:p>
            <w:pPr>
              <w:spacing w:after="0"/>
              <w:rPr>
                <w:sz w:val="13"/>
                <w:szCs w:val="13"/>
                <w:color w:val="auto"/>
              </w:rPr>
            </w:pPr>
          </w:p>
        </w:tc>
        <w:tc>
          <w:tcPr>
            <w:tcW w:w="5720" w:type="dxa"/>
            <w:vAlign w:val="bottom"/>
            <w:tcBorders>
              <w:right w:val="single" w:sz="8" w:color="auto"/>
            </w:tcBorders>
            <w:gridSpan w:val="29"/>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ATLANTIC CO3 FEEDER, LP, AND CHICAGO ATLANTIC CREDIT</w:t>
            </w:r>
          </w:p>
        </w:tc>
        <w:tc>
          <w:tcPr>
            <w:tcW w:w="100" w:type="dxa"/>
            <w:vAlign w:val="bottom"/>
            <w:tcBorders>
              <w:right w:val="single" w:sz="8" w:color="auto"/>
            </w:tcBorders>
            <w:shd w:val="clear" w:color="auto" w:fill="FFDEAD"/>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shd w:val="clear" w:color="auto" w:fill="FFDEAD"/>
          </w:tcPr>
          <w:p>
            <w:pPr>
              <w:spacing w:after="0"/>
              <w:rPr>
                <w:sz w:val="13"/>
                <w:szCs w:val="13"/>
                <w:color w:val="auto"/>
              </w:rPr>
            </w:pPr>
          </w:p>
        </w:tc>
        <w:tc>
          <w:tcPr>
            <w:tcW w:w="490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96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gridSpan w:val="5"/>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300" w:type="dxa"/>
            <w:vAlign w:val="bottom"/>
            <w:tcBorders>
              <w:top w:val="single" w:sz="8" w:color="0000FF"/>
              <w:bottom w:val="single" w:sz="8" w:color="0000FF"/>
            </w:tcBorders>
            <w:gridSpan w:val="4"/>
          </w:tcPr>
          <w:p>
            <w:pPr>
              <w:spacing w:after="0" w:line="20" w:lineRule="exact"/>
              <w:rPr>
                <w:sz w:val="1"/>
                <w:szCs w:val="1"/>
                <w:color w:val="auto"/>
              </w:rPr>
            </w:pPr>
          </w:p>
        </w:tc>
        <w:tc>
          <w:tcPr>
            <w:tcW w:w="180" w:type="dxa"/>
            <w:vAlign w:val="bottom"/>
            <w:tcBorders>
              <w:right w:val="single" w:sz="8" w:color="auto"/>
            </w:tcBorders>
            <w:gridSpan w:val="4"/>
            <w:vMerge w:val="restart"/>
          </w:tcPr>
          <w:p>
            <w:pPr>
              <w:spacing w:after="0" w:line="20" w:lineRule="exact"/>
              <w:rPr>
                <w:sz w:val="1"/>
                <w:szCs w:val="1"/>
                <w:color w:val="auto"/>
              </w:rPr>
            </w:pP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Borders>
              <w:left w:val="single" w:sz="8" w:color="auto"/>
            </w:tcBorders>
          </w:tcPr>
          <w:p>
            <w:pPr>
              <w:spacing w:after="0"/>
              <w:rPr>
                <w:sz w:val="13"/>
                <w:szCs w:val="13"/>
                <w:color w:val="auto"/>
              </w:rPr>
            </w:pPr>
          </w:p>
        </w:tc>
        <w:tc>
          <w:tcPr>
            <w:tcW w:w="5540" w:type="dxa"/>
            <w:vAlign w:val="bottom"/>
            <w:gridSpan w:val="25"/>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OPPORTUNITIES, LLC, AND CHICAGO ATLANTIC REAL</w:t>
            </w:r>
          </w:p>
        </w:tc>
        <w:tc>
          <w:tcPr>
            <w:tcW w:w="180" w:type="dxa"/>
            <w:vAlign w:val="bottom"/>
            <w:tcBorders>
              <w:right w:val="single" w:sz="8" w:color="auto"/>
            </w:tcBorders>
            <w:gridSpan w:val="4"/>
            <w:vMerge w:val="continue"/>
          </w:tcPr>
          <w:p>
            <w:pPr>
              <w:spacing w:after="0"/>
              <w:rPr>
                <w:sz w:val="13"/>
                <w:szCs w:val="13"/>
                <w:color w:val="auto"/>
              </w:rPr>
            </w:pPr>
          </w:p>
        </w:tc>
        <w:tc>
          <w:tcPr>
            <w:tcW w:w="100" w:type="dxa"/>
            <w:vAlign w:val="bottom"/>
            <w:tcBorders>
              <w:right w:val="single" w:sz="8" w:color="auto"/>
            </w:tcBorders>
            <w:shd w:val="clear" w:color="auto" w:fill="FFDEAD"/>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shd w:val="clear" w:color="auto" w:fill="FFDEAD"/>
          </w:tcPr>
          <w:p>
            <w:pPr>
              <w:spacing w:after="0"/>
              <w:rPr>
                <w:sz w:val="13"/>
                <w:szCs w:val="13"/>
                <w:color w:val="auto"/>
              </w:rPr>
            </w:pPr>
          </w:p>
        </w:tc>
        <w:tc>
          <w:tcPr>
            <w:tcW w:w="490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8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96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tcBorders>
              <w:right w:val="single" w:sz="8" w:color="auto"/>
            </w:tcBorders>
            <w:gridSpan w:val="8"/>
          </w:tcPr>
          <w:p>
            <w:pPr>
              <w:spacing w:after="0" w:line="20" w:lineRule="exact"/>
              <w:rPr>
                <w:sz w:val="1"/>
                <w:szCs w:val="1"/>
                <w:color w:val="auto"/>
              </w:rPr>
            </w:pP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Borders>
              <w:left w:val="single" w:sz="8" w:color="auto"/>
            </w:tcBorders>
          </w:tcPr>
          <w:p>
            <w:pPr>
              <w:spacing w:after="0"/>
              <w:rPr>
                <w:sz w:val="13"/>
                <w:szCs w:val="13"/>
                <w:color w:val="auto"/>
              </w:rPr>
            </w:pPr>
          </w:p>
        </w:tc>
        <w:tc>
          <w:tcPr>
            <w:tcW w:w="5160" w:type="dxa"/>
            <w:vAlign w:val="bottom"/>
            <w:tcBorders>
              <w:bottom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9"/>
              </w:rPr>
              <w:t>ESTATE FINANCE, INC., AND CHICAGO ATLANTIC CREDIT</w:t>
            </w:r>
          </w:p>
        </w:tc>
        <w:tc>
          <w:tcPr>
            <w:tcW w:w="560" w:type="dxa"/>
            <w:vAlign w:val="bottom"/>
            <w:tcBorders>
              <w:right w:val="single" w:sz="8" w:color="auto"/>
            </w:tcBorders>
            <w:gridSpan w:val="12"/>
          </w:tcPr>
          <w:p>
            <w:pPr>
              <w:spacing w:after="0"/>
              <w:rPr>
                <w:sz w:val="13"/>
                <w:szCs w:val="13"/>
                <w:color w:val="auto"/>
              </w:rPr>
            </w:pPr>
          </w:p>
        </w:tc>
        <w:tc>
          <w:tcPr>
            <w:tcW w:w="100" w:type="dxa"/>
            <w:vAlign w:val="bottom"/>
            <w:tcBorders>
              <w:bottom w:val="single" w:sz="8" w:color="FFDEAD"/>
              <w:right w:val="single" w:sz="8" w:color="auto"/>
            </w:tcBorders>
            <w:shd w:val="clear" w:color="auto" w:fill="FFDEAD"/>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100" w:type="dxa"/>
            <w:vAlign w:val="bottom"/>
            <w:tcBorders>
              <w:bottom w:val="single" w:sz="8" w:color="FFDEAD"/>
              <w:right w:val="single" w:sz="8" w:color="auto"/>
            </w:tcBorders>
            <w:shd w:val="clear" w:color="auto" w:fill="FFDEAD"/>
          </w:tcPr>
          <w:p>
            <w:pPr>
              <w:spacing w:after="0"/>
              <w:rPr>
                <w:sz w:val="13"/>
                <w:szCs w:val="13"/>
                <w:color w:val="auto"/>
              </w:rPr>
            </w:pPr>
          </w:p>
        </w:tc>
        <w:tc>
          <w:tcPr>
            <w:tcW w:w="490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8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96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5"/>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80" w:type="dxa"/>
            <w:vAlign w:val="bottom"/>
            <w:tcBorders>
              <w:right w:val="single" w:sz="8" w:color="auto"/>
            </w:tcBorders>
            <w:gridSpan w:val="8"/>
            <w:vMerge w:val="restart"/>
          </w:tcPr>
          <w:p>
            <w:pPr>
              <w:spacing w:after="0" w:line="20" w:lineRule="exact"/>
              <w:rPr>
                <w:sz w:val="1"/>
                <w:szCs w:val="1"/>
                <w:color w:val="auto"/>
              </w:rPr>
            </w:pPr>
          </w:p>
        </w:tc>
        <w:tc>
          <w:tcPr>
            <w:tcW w:w="100" w:type="dxa"/>
            <w:vAlign w:val="bottom"/>
            <w:tcBorders>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Borders>
              <w:left w:val="single" w:sz="8" w:color="auto"/>
            </w:tcBorders>
          </w:tcPr>
          <w:p>
            <w:pPr>
              <w:spacing w:after="0"/>
              <w:rPr>
                <w:sz w:val="13"/>
                <w:szCs w:val="13"/>
                <w:color w:val="auto"/>
              </w:rPr>
            </w:pPr>
          </w:p>
        </w:tc>
        <w:tc>
          <w:tcPr>
            <w:tcW w:w="5140" w:type="dxa"/>
            <w:vAlign w:val="bottom"/>
            <w:tcBorders>
              <w:bottom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6"/>
              </w:rPr>
              <w:t>COMPANY, LLC, AND CA CO SPV, LLC, AND CA CREDIT SPV,</w:t>
            </w:r>
          </w:p>
        </w:tc>
        <w:tc>
          <w:tcPr>
            <w:tcW w:w="60" w:type="dxa"/>
            <w:vAlign w:val="bottom"/>
            <w:tcBorders>
              <w:bottom w:val="single" w:sz="8" w:color="0000FF"/>
            </w:tcBorders>
            <w:gridSpan w:val="3"/>
            <w:vMerge w:val="continue"/>
          </w:tcPr>
          <w:p>
            <w:pPr>
              <w:spacing w:after="0"/>
              <w:rPr>
                <w:sz w:val="13"/>
                <w:szCs w:val="13"/>
                <w:color w:val="auto"/>
              </w:rPr>
            </w:pPr>
          </w:p>
        </w:tc>
        <w:tc>
          <w:tcPr>
            <w:tcW w:w="40" w:type="dxa"/>
            <w:vAlign w:val="bottom"/>
            <w:tcBorders>
              <w:bottom w:val="single" w:sz="8" w:color="0000FF"/>
            </w:tcBorders>
            <w:gridSpan w:val="2"/>
            <w:vMerge w:val="continue"/>
          </w:tcPr>
          <w:p>
            <w:pPr>
              <w:spacing w:after="0"/>
              <w:rPr>
                <w:sz w:val="13"/>
                <w:szCs w:val="13"/>
                <w:color w:val="auto"/>
              </w:rPr>
            </w:pPr>
          </w:p>
        </w:tc>
        <w:tc>
          <w:tcPr>
            <w:tcW w:w="480" w:type="dxa"/>
            <w:vAlign w:val="bottom"/>
            <w:tcBorders>
              <w:right w:val="single" w:sz="8" w:color="auto"/>
            </w:tcBorders>
            <w:gridSpan w:val="8"/>
            <w:vMerge w:val="continue"/>
          </w:tcPr>
          <w:p>
            <w:pPr>
              <w:spacing w:after="0"/>
              <w:rPr>
                <w:sz w:val="13"/>
                <w:szCs w:val="13"/>
                <w:color w:val="auto"/>
              </w:rPr>
            </w:pPr>
          </w:p>
        </w:tc>
        <w:tc>
          <w:tcPr>
            <w:tcW w:w="100" w:type="dxa"/>
            <w:vAlign w:val="bottom"/>
            <w:tcBorders>
              <w:bottom w:val="single" w:sz="8" w:color="FFDEAD"/>
              <w:right w:val="single" w:sz="8" w:color="auto"/>
            </w:tcBorders>
            <w:shd w:val="clear" w:color="auto" w:fill="FFDEAD"/>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100" w:type="dxa"/>
            <w:vAlign w:val="bottom"/>
            <w:tcBorders>
              <w:bottom w:val="single" w:sz="8" w:color="FFDEAD"/>
              <w:right w:val="single" w:sz="8" w:color="auto"/>
            </w:tcBorders>
            <w:shd w:val="clear" w:color="auto" w:fill="FFDEAD"/>
          </w:tcPr>
          <w:p>
            <w:pPr>
              <w:spacing w:after="0"/>
              <w:rPr>
                <w:sz w:val="13"/>
                <w:szCs w:val="13"/>
                <w:color w:val="auto"/>
              </w:rPr>
            </w:pPr>
          </w:p>
        </w:tc>
        <w:tc>
          <w:tcPr>
            <w:tcW w:w="490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8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96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8"/>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480" w:type="dxa"/>
            <w:vAlign w:val="bottom"/>
            <w:tcBorders>
              <w:right w:val="single" w:sz="8" w:color="auto"/>
            </w:tcBorders>
            <w:gridSpan w:val="8"/>
            <w:vMerge w:val="restart"/>
          </w:tcPr>
          <w:p>
            <w:pPr>
              <w:spacing w:after="0" w:line="20" w:lineRule="exact"/>
              <w:rPr>
                <w:sz w:val="1"/>
                <w:szCs w:val="1"/>
                <w:color w:val="auto"/>
              </w:rPr>
            </w:pPr>
          </w:p>
        </w:tc>
        <w:tc>
          <w:tcPr>
            <w:tcW w:w="100" w:type="dxa"/>
            <w:vAlign w:val="bottom"/>
            <w:tcBorders>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Borders>
              <w:left w:val="single" w:sz="8" w:color="auto"/>
            </w:tcBorders>
          </w:tcPr>
          <w:p>
            <w:pPr>
              <w:spacing w:after="0"/>
              <w:rPr>
                <w:sz w:val="13"/>
                <w:szCs w:val="13"/>
                <w:color w:val="auto"/>
              </w:rPr>
            </w:pPr>
          </w:p>
        </w:tc>
        <w:tc>
          <w:tcPr>
            <w:tcW w:w="5240" w:type="dxa"/>
            <w:vAlign w:val="bottom"/>
            <w:gridSpan w:val="21"/>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LLC</w:t>
            </w:r>
          </w:p>
        </w:tc>
        <w:tc>
          <w:tcPr>
            <w:tcW w:w="480" w:type="dxa"/>
            <w:vAlign w:val="bottom"/>
            <w:tcBorders>
              <w:right w:val="single" w:sz="8" w:color="auto"/>
            </w:tcBorders>
            <w:gridSpan w:val="8"/>
            <w:vMerge w:val="continue"/>
          </w:tcPr>
          <w:p>
            <w:pPr>
              <w:spacing w:after="0"/>
              <w:rPr>
                <w:sz w:val="13"/>
                <w:szCs w:val="13"/>
                <w:color w:val="auto"/>
              </w:rPr>
            </w:pPr>
          </w:p>
        </w:tc>
        <w:tc>
          <w:tcPr>
            <w:tcW w:w="100" w:type="dxa"/>
            <w:vAlign w:val="bottom"/>
            <w:tcBorders>
              <w:right w:val="single" w:sz="8" w:color="auto"/>
            </w:tcBorders>
            <w:shd w:val="clear" w:color="auto" w:fill="FFDEAD"/>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shd w:val="clear" w:color="auto" w:fill="FFDEAD"/>
          </w:tcPr>
          <w:p>
            <w:pPr>
              <w:spacing w:after="0"/>
              <w:rPr>
                <w:sz w:val="13"/>
                <w:szCs w:val="13"/>
                <w:color w:val="auto"/>
              </w:rPr>
            </w:pPr>
          </w:p>
        </w:tc>
        <w:tc>
          <w:tcPr>
            <w:tcW w:w="490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Borders>
              <w:right w:val="single" w:sz="8" w:color="auto"/>
            </w:tcBorders>
            <w:shd w:val="clear" w:color="auto" w:fill="FFDEAD"/>
          </w:tcPr>
          <w:p>
            <w:pPr>
              <w:spacing w:after="0"/>
              <w:rPr>
                <w:sz w:val="15"/>
                <w:szCs w:val="15"/>
                <w:color w:val="auto"/>
              </w:rPr>
            </w:pPr>
          </w:p>
        </w:tc>
        <w:tc>
          <w:tcPr>
            <w:tcW w:w="280" w:type="dxa"/>
            <w:vAlign w:val="bottom"/>
            <w:tcBorders>
              <w:right w:val="single" w:sz="8" w:color="auto"/>
            </w:tcBorders>
            <w:vMerge w:val="continue"/>
          </w:tcPr>
          <w:p>
            <w:pPr>
              <w:spacing w:after="0"/>
              <w:rPr>
                <w:sz w:val="15"/>
                <w:szCs w:val="15"/>
                <w:color w:val="auto"/>
              </w:rPr>
            </w:pPr>
          </w:p>
        </w:tc>
        <w:tc>
          <w:tcPr>
            <w:tcW w:w="100" w:type="dxa"/>
            <w:vAlign w:val="bottom"/>
            <w:tcBorders>
              <w:right w:val="single" w:sz="8" w:color="auto"/>
            </w:tcBorders>
            <w:shd w:val="clear" w:color="auto" w:fill="FFDEAD"/>
          </w:tcPr>
          <w:p>
            <w:pPr>
              <w:spacing w:after="0"/>
              <w:rPr>
                <w:sz w:val="15"/>
                <w:szCs w:val="15"/>
                <w:color w:val="auto"/>
              </w:rPr>
            </w:pPr>
          </w:p>
        </w:tc>
        <w:tc>
          <w:tcPr>
            <w:tcW w:w="49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8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FF0000"/>
                <w:strike w:val="1"/>
              </w:rPr>
              <w:t>LAGO EVERGREEN CREDIT, LAGO ASSET</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8"/>
          </w:tcPr>
          <w:p>
            <w:pPr>
              <w:spacing w:after="0"/>
              <w:rPr>
                <w:sz w:val="18"/>
                <w:szCs w:val="18"/>
                <w:color w:val="auto"/>
              </w:rPr>
            </w:pPr>
          </w:p>
        </w:tc>
        <w:tc>
          <w:tcPr>
            <w:tcW w:w="520" w:type="dxa"/>
            <w:vAlign w:val="bottom"/>
            <w:tcBorders>
              <w:right w:val="single" w:sz="8" w:color="auto"/>
            </w:tcBorders>
            <w:gridSpan w:val="10"/>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8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FF0000"/>
                <w:strike w:val="1"/>
              </w:rPr>
              <w:t>MANAGEMENT, LLC, LAGO INNOVATION FUND I, LP,</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8"/>
          </w:tcPr>
          <w:p>
            <w:pPr>
              <w:spacing w:after="0"/>
              <w:rPr>
                <w:sz w:val="18"/>
                <w:szCs w:val="18"/>
                <w:color w:val="auto"/>
              </w:rPr>
            </w:pPr>
          </w:p>
        </w:tc>
        <w:tc>
          <w:tcPr>
            <w:tcW w:w="520" w:type="dxa"/>
            <w:vAlign w:val="bottom"/>
            <w:tcBorders>
              <w:right w:val="single" w:sz="8" w:color="auto"/>
            </w:tcBorders>
            <w:gridSpan w:val="10"/>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8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FF0000"/>
                <w:strike w:val="1"/>
                <w:w w:val="98"/>
              </w:rPr>
              <w:t>LAGO INNOVATION FUND I-QP, LP, LAGO INNOVATION</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8"/>
          </w:tcPr>
          <w:p>
            <w:pPr>
              <w:spacing w:after="0"/>
              <w:rPr>
                <w:sz w:val="18"/>
                <w:szCs w:val="18"/>
                <w:color w:val="auto"/>
              </w:rPr>
            </w:pPr>
          </w:p>
        </w:tc>
        <w:tc>
          <w:tcPr>
            <w:tcW w:w="520" w:type="dxa"/>
            <w:vAlign w:val="bottom"/>
            <w:tcBorders>
              <w:right w:val="single" w:sz="8" w:color="auto"/>
            </w:tcBorders>
            <w:gridSpan w:val="10"/>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FF0000"/>
                <w:strike w:val="1"/>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8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FF0000"/>
                <w:strike w:val="1"/>
              </w:rPr>
              <w:t>FUND, LLC, LAGO INNOVATION FUND II-AI, LP, LAGO</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8"/>
          </w:tcPr>
          <w:p>
            <w:pPr>
              <w:spacing w:after="0"/>
              <w:rPr>
                <w:sz w:val="18"/>
                <w:szCs w:val="18"/>
                <w:color w:val="auto"/>
              </w:rPr>
            </w:pPr>
          </w:p>
        </w:tc>
        <w:tc>
          <w:tcPr>
            <w:tcW w:w="520" w:type="dxa"/>
            <w:vAlign w:val="bottom"/>
            <w:tcBorders>
              <w:right w:val="single" w:sz="8" w:color="auto"/>
            </w:tcBorders>
            <w:gridSpan w:val="10"/>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8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FF0000"/>
                <w:strike w:val="1"/>
                <w:w w:val="97"/>
              </w:rPr>
              <w:t>INNOVATION FUND II-QP, LP, LAGO INNOVATION FUND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8"/>
          </w:tcPr>
          <w:p>
            <w:pPr>
              <w:spacing w:after="0"/>
              <w:rPr>
                <w:sz w:val="18"/>
                <w:szCs w:val="18"/>
                <w:color w:val="auto"/>
              </w:rPr>
            </w:pPr>
          </w:p>
        </w:tc>
        <w:tc>
          <w:tcPr>
            <w:tcW w:w="520" w:type="dxa"/>
            <w:vAlign w:val="bottom"/>
            <w:tcBorders>
              <w:right w:val="single" w:sz="8" w:color="auto"/>
            </w:tcBorders>
            <w:gridSpan w:val="10"/>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9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FF0000"/>
                <w:strike w:val="1"/>
                <w:w w:val="98"/>
              </w:rPr>
              <w:t>II, LLC, LAGO DELTA NINE FUND, LP, LAGO DELTA NINE</w:t>
            </w:r>
          </w:p>
        </w:tc>
        <w:tc>
          <w:tcPr>
            <w:tcW w:w="240" w:type="dxa"/>
            <w:vAlign w:val="bottom"/>
            <w:gridSpan w:val="8"/>
          </w:tcPr>
          <w:p>
            <w:pPr>
              <w:spacing w:after="0"/>
              <w:rPr>
                <w:sz w:val="18"/>
                <w:szCs w:val="18"/>
                <w:color w:val="auto"/>
              </w:rPr>
            </w:pPr>
          </w:p>
        </w:tc>
        <w:tc>
          <w:tcPr>
            <w:tcW w:w="520" w:type="dxa"/>
            <w:vAlign w:val="bottom"/>
            <w:tcBorders>
              <w:right w:val="single" w:sz="8" w:color="auto"/>
            </w:tcBorders>
            <w:gridSpan w:val="10"/>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9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FF0000"/>
                <w:strike w:val="1"/>
                <w:w w:val="98"/>
              </w:rPr>
              <w:t>FUND QP, LP, LAGO DELTA NINE, LLC, LAGO D9 EQUITY</w:t>
            </w:r>
          </w:p>
        </w:tc>
        <w:tc>
          <w:tcPr>
            <w:tcW w:w="260" w:type="dxa"/>
            <w:vAlign w:val="bottom"/>
            <w:gridSpan w:val="9"/>
          </w:tcPr>
          <w:p>
            <w:pPr>
              <w:spacing w:after="0"/>
              <w:rPr>
                <w:sz w:val="18"/>
                <w:szCs w:val="18"/>
                <w:color w:val="auto"/>
              </w:rPr>
            </w:pPr>
          </w:p>
        </w:tc>
        <w:tc>
          <w:tcPr>
            <w:tcW w:w="520" w:type="dxa"/>
            <w:vAlign w:val="bottom"/>
            <w:tcBorders>
              <w:right w:val="single" w:sz="8" w:color="auto"/>
            </w:tcBorders>
            <w:gridSpan w:val="10"/>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FF0000"/>
                <w:strike w:val="1"/>
                <w:w w:val="99"/>
              </w:rPr>
              <w:t>FUND I, LP, LAGO D9 EQUITY FUND I-QP, LP, LAGO</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10"/>
          </w:tcPr>
          <w:p>
            <w:pPr>
              <w:spacing w:after="0"/>
              <w:rPr>
                <w:sz w:val="18"/>
                <w:szCs w:val="18"/>
                <w:color w:val="auto"/>
              </w:rPr>
            </w:pPr>
          </w:p>
        </w:tc>
        <w:tc>
          <w:tcPr>
            <w:tcW w:w="520" w:type="dxa"/>
            <w:vAlign w:val="bottom"/>
            <w:tcBorders>
              <w:right w:val="single" w:sz="8" w:color="auto"/>
            </w:tcBorders>
            <w:gridSpan w:val="10"/>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FF0000"/>
                <w:strike w:val="1"/>
                <w:w w:val="97"/>
              </w:rPr>
              <w:t>INNOVATION FUND III-AI, LP, LAGO INNOVATION FUND</w:t>
            </w:r>
          </w:p>
        </w:tc>
        <w:tc>
          <w:tcPr>
            <w:tcW w:w="320" w:type="dxa"/>
            <w:vAlign w:val="bottom"/>
            <w:gridSpan w:val="10"/>
          </w:tcPr>
          <w:p>
            <w:pPr>
              <w:spacing w:after="0"/>
              <w:rPr>
                <w:sz w:val="18"/>
                <w:szCs w:val="18"/>
                <w:color w:val="auto"/>
              </w:rPr>
            </w:pPr>
          </w:p>
        </w:tc>
        <w:tc>
          <w:tcPr>
            <w:tcW w:w="520" w:type="dxa"/>
            <w:vAlign w:val="bottom"/>
            <w:tcBorders>
              <w:right w:val="single" w:sz="8" w:color="auto"/>
            </w:tcBorders>
            <w:gridSpan w:val="10"/>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8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FF0000"/>
                <w:strike w:val="1"/>
              </w:rPr>
              <w:t>III-QP, LP, LAGO INNOVATION FUND III, LLC, LAGO</w:t>
            </w:r>
          </w:p>
        </w:tc>
        <w:tc>
          <w:tcPr>
            <w:tcW w:w="360" w:type="dxa"/>
            <w:vAlign w:val="bottom"/>
            <w:gridSpan w:val="11"/>
          </w:tcPr>
          <w:p>
            <w:pPr>
              <w:spacing w:after="0"/>
              <w:rPr>
                <w:sz w:val="18"/>
                <w:szCs w:val="18"/>
                <w:color w:val="auto"/>
              </w:rPr>
            </w:pPr>
          </w:p>
        </w:tc>
        <w:tc>
          <w:tcPr>
            <w:tcW w:w="520" w:type="dxa"/>
            <w:vAlign w:val="bottom"/>
            <w:tcBorders>
              <w:right w:val="single" w:sz="8" w:color="auto"/>
            </w:tcBorders>
            <w:gridSpan w:val="10"/>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8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FF0000"/>
                <w:strike w:val="1"/>
              </w:rPr>
              <w:t>ACCELERATION FUND I, LP, LAGO ACCELERATION</w:t>
            </w:r>
          </w:p>
        </w:tc>
        <w:tc>
          <w:tcPr>
            <w:tcW w:w="360" w:type="dxa"/>
            <w:vAlign w:val="bottom"/>
            <w:gridSpan w:val="11"/>
          </w:tcPr>
          <w:p>
            <w:pPr>
              <w:spacing w:after="0"/>
              <w:rPr>
                <w:sz w:val="18"/>
                <w:szCs w:val="18"/>
                <w:color w:val="auto"/>
              </w:rPr>
            </w:pPr>
          </w:p>
        </w:tc>
        <w:tc>
          <w:tcPr>
            <w:tcW w:w="520" w:type="dxa"/>
            <w:vAlign w:val="bottom"/>
            <w:tcBorders>
              <w:right w:val="single" w:sz="8" w:color="auto"/>
            </w:tcBorders>
            <w:gridSpan w:val="10"/>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48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FF0000"/>
                <w:strike w:val="1"/>
              </w:rPr>
              <w:t>FUND I-QP, LP, LAGO APEX CREDIT CORPORATION</w:t>
            </w:r>
          </w:p>
        </w:tc>
        <w:tc>
          <w:tcPr>
            <w:tcW w:w="360" w:type="dxa"/>
            <w:vAlign w:val="bottom"/>
            <w:gridSpan w:val="11"/>
          </w:tcPr>
          <w:p>
            <w:pPr>
              <w:spacing w:after="0"/>
              <w:rPr>
                <w:sz w:val="18"/>
                <w:szCs w:val="18"/>
                <w:color w:val="auto"/>
              </w:rPr>
            </w:pPr>
          </w:p>
        </w:tc>
        <w:tc>
          <w:tcPr>
            <w:tcW w:w="520" w:type="dxa"/>
            <w:vAlign w:val="bottom"/>
            <w:tcBorders>
              <w:right w:val="single" w:sz="8" w:color="auto"/>
            </w:tcBorders>
            <w:gridSpan w:val="10"/>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Borders>
              <w:left w:val="single" w:sz="8" w:color="auto"/>
            </w:tcBorders>
          </w:tcPr>
          <w:p>
            <w:pPr>
              <w:spacing w:after="0"/>
              <w:rPr>
                <w:sz w:val="17"/>
                <w:szCs w:val="17"/>
                <w:color w:val="auto"/>
              </w:rPr>
            </w:pPr>
          </w:p>
        </w:tc>
        <w:tc>
          <w:tcPr>
            <w:tcW w:w="18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7"/>
              </w:rPr>
              <w:t>10 S. WACKER DRIVE</w:t>
            </w:r>
          </w:p>
        </w:tc>
        <w:tc>
          <w:tcPr>
            <w:tcW w:w="26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0000FF"/>
                <w:w w:val="99"/>
              </w:rPr>
              <w:t>600 MADISON AVENUE</w:t>
            </w:r>
            <w:r>
              <w:rPr>
                <w:rFonts w:ascii="Times New Roman" w:cs="Times New Roman" w:eastAsia="Times New Roman" w:hAnsi="Times New Roman"/>
                <w:sz w:val="18"/>
                <w:szCs w:val="18"/>
                <w:b w:val="1"/>
                <w:bCs w:val="1"/>
                <w:color w:val="000000"/>
                <w:w w:val="99"/>
              </w:rPr>
              <w:t>, SUITE</w:t>
            </w:r>
          </w:p>
        </w:tc>
        <w:tc>
          <w:tcPr>
            <w:tcW w:w="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4"/>
              </w:rPr>
              <w:t>3540</w:t>
            </w:r>
          </w:p>
        </w:tc>
        <w:tc>
          <w:tcPr>
            <w:tcW w:w="360" w:type="dxa"/>
            <w:vAlign w:val="bottom"/>
            <w:gridSpan w:val="11"/>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0000FF"/>
                <w:w w:val="94"/>
              </w:rPr>
              <w:t>1800</w:t>
            </w:r>
          </w:p>
        </w:tc>
        <w:tc>
          <w:tcPr>
            <w:tcW w:w="520" w:type="dxa"/>
            <w:vAlign w:val="bottom"/>
            <w:tcBorders>
              <w:right w:val="single" w:sz="8" w:color="auto"/>
            </w:tcBorders>
            <w:gridSpan w:val="10"/>
          </w:tcPr>
          <w:p>
            <w:pPr>
              <w:spacing w:after="0"/>
              <w:rPr>
                <w:sz w:val="17"/>
                <w:szCs w:val="17"/>
                <w:color w:val="auto"/>
              </w:rPr>
            </w:pPr>
          </w:p>
        </w:tc>
        <w:tc>
          <w:tcPr>
            <w:tcW w:w="100" w:type="dxa"/>
            <w:vAlign w:val="bottom"/>
            <w:tcBorders>
              <w:right w:val="single" w:sz="8" w:color="auto"/>
            </w:tcBorders>
            <w:shd w:val="clear" w:color="auto" w:fill="FFDEAD"/>
          </w:tcPr>
          <w:p>
            <w:pPr>
              <w:spacing w:after="0"/>
              <w:rPr>
                <w:sz w:val="17"/>
                <w:szCs w:val="17"/>
                <w:color w:val="auto"/>
              </w:rPr>
            </w:pPr>
          </w:p>
        </w:tc>
        <w:tc>
          <w:tcPr>
            <w:tcW w:w="280" w:type="dxa"/>
            <w:vAlign w:val="bottom"/>
            <w:tcBorders>
              <w:right w:val="single" w:sz="8" w:color="auto"/>
            </w:tcBorders>
          </w:tcPr>
          <w:p>
            <w:pPr>
              <w:jc w:val="right"/>
              <w:ind w:right="30"/>
              <w:spacing w:after="0" w:line="198" w:lineRule="exact"/>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7"/>
                <w:szCs w:val="17"/>
                <w:color w:val="auto"/>
              </w:rPr>
            </w:pPr>
          </w:p>
        </w:tc>
        <w:tc>
          <w:tcPr>
            <w:tcW w:w="49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84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7"/>
              </w:rPr>
              <w:t>NEW YORK, NY 10022</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96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60" w:type="dxa"/>
            <w:vAlign w:val="bottom"/>
            <w:tcBorders>
              <w:top w:val="single" w:sz="8" w:color="0000FF"/>
              <w:bottom w:val="single" w:sz="8" w:color="0000FF"/>
            </w:tcBorders>
            <w:gridSpan w:val="11"/>
          </w:tcPr>
          <w:p>
            <w:pPr>
              <w:spacing w:after="0" w:line="20" w:lineRule="exact"/>
              <w:rPr>
                <w:sz w:val="1"/>
                <w:szCs w:val="1"/>
                <w:color w:val="auto"/>
              </w:rPr>
            </w:pPr>
          </w:p>
        </w:tc>
        <w:tc>
          <w:tcPr>
            <w:tcW w:w="520" w:type="dxa"/>
            <w:vAlign w:val="bottom"/>
            <w:tcBorders>
              <w:right w:val="single" w:sz="8" w:color="auto"/>
            </w:tcBorders>
            <w:gridSpan w:val="10"/>
            <w:vMerge w:val="restart"/>
          </w:tcPr>
          <w:p>
            <w:pPr>
              <w:spacing w:after="0" w:line="20" w:lineRule="exact"/>
              <w:rPr>
                <w:sz w:val="1"/>
                <w:szCs w:val="1"/>
                <w:color w:val="auto"/>
              </w:rPr>
            </w:pP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Borders>
              <w:left w:val="single" w:sz="8" w:color="auto"/>
            </w:tcBorders>
          </w:tcPr>
          <w:p>
            <w:pPr>
              <w:spacing w:after="0"/>
              <w:rPr>
                <w:sz w:val="13"/>
                <w:szCs w:val="13"/>
                <w:color w:val="auto"/>
              </w:rPr>
            </w:pPr>
          </w:p>
        </w:tc>
        <w:tc>
          <w:tcPr>
            <w:tcW w:w="1840" w:type="dxa"/>
            <w:vAlign w:val="bottom"/>
            <w:tcBorders>
              <w:bottom w:val="single" w:sz="8" w:color="0000FF"/>
            </w:tcBorders>
            <w:gridSpan w:val="4"/>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9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360" w:type="dxa"/>
            <w:vAlign w:val="bottom"/>
            <w:gridSpan w:val="11"/>
          </w:tcPr>
          <w:p>
            <w:pPr>
              <w:spacing w:after="0"/>
              <w:rPr>
                <w:sz w:val="13"/>
                <w:szCs w:val="13"/>
                <w:color w:val="auto"/>
              </w:rPr>
            </w:pPr>
          </w:p>
        </w:tc>
        <w:tc>
          <w:tcPr>
            <w:tcW w:w="520" w:type="dxa"/>
            <w:vAlign w:val="bottom"/>
            <w:tcBorders>
              <w:right w:val="single" w:sz="8" w:color="auto"/>
            </w:tcBorders>
            <w:gridSpan w:val="10"/>
            <w:vMerge w:val="continue"/>
          </w:tcPr>
          <w:p>
            <w:pPr>
              <w:spacing w:after="0"/>
              <w:rPr>
                <w:sz w:val="13"/>
                <w:szCs w:val="13"/>
                <w:color w:val="auto"/>
              </w:rPr>
            </w:pPr>
          </w:p>
        </w:tc>
        <w:tc>
          <w:tcPr>
            <w:tcW w:w="100" w:type="dxa"/>
            <w:vAlign w:val="bottom"/>
            <w:tcBorders>
              <w:bottom w:val="single" w:sz="8" w:color="FFDEAD"/>
              <w:right w:val="single" w:sz="8" w:color="auto"/>
            </w:tcBorders>
            <w:shd w:val="clear" w:color="auto" w:fill="FFDEAD"/>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100" w:type="dxa"/>
            <w:vAlign w:val="bottom"/>
            <w:tcBorders>
              <w:bottom w:val="single" w:sz="8" w:color="FFDEAD"/>
              <w:right w:val="single" w:sz="8" w:color="auto"/>
            </w:tcBorders>
            <w:shd w:val="clear" w:color="auto" w:fill="FFDEAD"/>
          </w:tcPr>
          <w:p>
            <w:pPr>
              <w:spacing w:after="0"/>
              <w:rPr>
                <w:sz w:val="13"/>
                <w:szCs w:val="13"/>
                <w:color w:val="auto"/>
              </w:rPr>
            </w:pPr>
          </w:p>
        </w:tc>
        <w:tc>
          <w:tcPr>
            <w:tcW w:w="490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8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Borders>
              <w:right w:val="single" w:sz="8" w:color="auto"/>
            </w:tcBorders>
            <w:shd w:val="clear" w:color="auto" w:fill="FFDEAD"/>
          </w:tcPr>
          <w:p>
            <w:pPr>
              <w:spacing w:after="0"/>
              <w:rPr>
                <w:sz w:val="15"/>
                <w:szCs w:val="15"/>
                <w:color w:val="auto"/>
              </w:rPr>
            </w:pPr>
          </w:p>
        </w:tc>
        <w:tc>
          <w:tcPr>
            <w:tcW w:w="280" w:type="dxa"/>
            <w:vAlign w:val="bottom"/>
            <w:tcBorders>
              <w:right w:val="single" w:sz="8" w:color="auto"/>
            </w:tcBorders>
            <w:vMerge w:val="continue"/>
          </w:tcPr>
          <w:p>
            <w:pPr>
              <w:spacing w:after="0"/>
              <w:rPr>
                <w:sz w:val="15"/>
                <w:szCs w:val="15"/>
                <w:color w:val="auto"/>
              </w:rPr>
            </w:pPr>
          </w:p>
        </w:tc>
        <w:tc>
          <w:tcPr>
            <w:tcW w:w="100" w:type="dxa"/>
            <w:vAlign w:val="bottom"/>
            <w:tcBorders>
              <w:right w:val="single" w:sz="8" w:color="auto"/>
            </w:tcBorders>
            <w:shd w:val="clear" w:color="auto" w:fill="FFDEAD"/>
          </w:tcPr>
          <w:p>
            <w:pPr>
              <w:spacing w:after="0"/>
              <w:rPr>
                <w:sz w:val="15"/>
                <w:szCs w:val="15"/>
                <w:color w:val="auto"/>
              </w:rPr>
            </w:pPr>
          </w:p>
        </w:tc>
        <w:tc>
          <w:tcPr>
            <w:tcW w:w="49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8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FF0000"/>
                <w:strike w:val="1"/>
              </w:rPr>
              <w:t>CHICAGO, ILLINOIS 60606</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Borders>
              <w:right w:val="single" w:sz="8" w:color="auto"/>
            </w:tcBorders>
            <w:gridSpan w:val="21"/>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29"/>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File No. </w:t>
            </w:r>
            <w:r>
              <w:rPr>
                <w:rFonts w:ascii="Times New Roman" w:cs="Times New Roman" w:eastAsia="Times New Roman" w:hAnsi="Times New Roman"/>
                <w:sz w:val="18"/>
                <w:szCs w:val="18"/>
                <w:b w:val="1"/>
                <w:bCs w:val="1"/>
                <w:color w:val="0000FF"/>
              </w:rPr>
              <w:t>812-</w:t>
            </w:r>
          </w:p>
        </w:tc>
        <w:tc>
          <w:tcPr>
            <w:tcW w:w="100" w:type="dxa"/>
            <w:vAlign w:val="bottom"/>
            <w:tcBorders>
              <w:right w:val="single" w:sz="8" w:color="auto"/>
            </w:tcBorders>
            <w:shd w:val="clear" w:color="auto" w:fill="FFDEAD"/>
          </w:tcPr>
          <w:p>
            <w:pPr>
              <w:spacing w:after="0"/>
              <w:rPr>
                <w:sz w:val="17"/>
                <w:szCs w:val="17"/>
                <w:color w:val="auto"/>
              </w:rPr>
            </w:pPr>
          </w:p>
        </w:tc>
        <w:tc>
          <w:tcPr>
            <w:tcW w:w="280" w:type="dxa"/>
            <w:vAlign w:val="bottom"/>
            <w:tcBorders>
              <w:right w:val="single" w:sz="8" w:color="auto"/>
            </w:tcBorders>
          </w:tcPr>
          <w:p>
            <w:pPr>
              <w:jc w:val="right"/>
              <w:ind w:right="30"/>
              <w:spacing w:after="0" w:line="198" w:lineRule="exact"/>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7"/>
                <w:szCs w:val="17"/>
                <w:color w:val="auto"/>
              </w:rPr>
            </w:pPr>
          </w:p>
        </w:tc>
        <w:tc>
          <w:tcPr>
            <w:tcW w:w="49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top w:val="single" w:sz="8" w:color="FFDEAD"/>
              <w:bottom w:val="single" w:sz="8" w:color="FFDEAD"/>
              <w:right w:val="single" w:sz="8" w:color="auto"/>
            </w:tcBorders>
            <w:shd w:val="clear" w:color="auto" w:fill="FFDEAD"/>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0" w:type="dxa"/>
            <w:vAlign w:val="bottom"/>
            <w:tcBorders>
              <w:lef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Borders>
              <w:right w:val="single" w:sz="8" w:color="auto"/>
            </w:tcBorders>
            <w:shd w:val="clear" w:color="auto" w:fill="FFDEAD"/>
          </w:tcPr>
          <w:p>
            <w:pPr>
              <w:spacing w:after="0"/>
              <w:rPr>
                <w:sz w:val="15"/>
                <w:szCs w:val="15"/>
                <w:color w:val="auto"/>
              </w:rPr>
            </w:pPr>
          </w:p>
        </w:tc>
        <w:tc>
          <w:tcPr>
            <w:tcW w:w="280" w:type="dxa"/>
            <w:vAlign w:val="bottom"/>
            <w:tcBorders>
              <w:right w:val="single" w:sz="8" w:color="auto"/>
            </w:tcBorders>
            <w:vMerge w:val="continue"/>
          </w:tcPr>
          <w:p>
            <w:pPr>
              <w:spacing w:after="0"/>
              <w:rPr>
                <w:sz w:val="15"/>
                <w:szCs w:val="15"/>
                <w:color w:val="auto"/>
              </w:rPr>
            </w:pPr>
          </w:p>
        </w:tc>
        <w:tc>
          <w:tcPr>
            <w:tcW w:w="100" w:type="dxa"/>
            <w:vAlign w:val="bottom"/>
            <w:tcBorders>
              <w:right w:val="single" w:sz="8" w:color="auto"/>
            </w:tcBorders>
            <w:shd w:val="clear" w:color="auto" w:fill="FFDEAD"/>
          </w:tcPr>
          <w:p>
            <w:pPr>
              <w:spacing w:after="0"/>
              <w:rPr>
                <w:sz w:val="15"/>
                <w:szCs w:val="15"/>
                <w:color w:val="auto"/>
              </w:rPr>
            </w:pPr>
          </w:p>
        </w:tc>
        <w:tc>
          <w:tcPr>
            <w:tcW w:w="49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shd w:val="clear" w:color="auto" w:fill="FFDEAD"/>
          </w:tcPr>
          <w:p>
            <w:pPr>
              <w:spacing w:after="0"/>
              <w:rPr>
                <w:sz w:val="18"/>
                <w:szCs w:val="18"/>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tc>
        <w:tc>
          <w:tcPr>
            <w:tcW w:w="100" w:type="dxa"/>
            <w:vAlign w:val="bottom"/>
            <w:tcBorders>
              <w:right w:val="single" w:sz="8" w:color="auto"/>
            </w:tcBorders>
            <w:shd w:val="clear" w:color="auto" w:fill="FFDEAD"/>
          </w:tcPr>
          <w:p>
            <w:pPr>
              <w:spacing w:after="0"/>
              <w:rPr>
                <w:sz w:val="18"/>
                <w:szCs w:val="18"/>
                <w:color w:val="auto"/>
              </w:rPr>
            </w:pPr>
          </w:p>
        </w:tc>
        <w:tc>
          <w:tcPr>
            <w:tcW w:w="49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right w:val="single" w:sz="8" w:color="auto"/>
            </w:tcBorders>
            <w:shd w:val="clear" w:color="auto" w:fill="FFDEAD"/>
          </w:tcPr>
          <w:p>
            <w:pPr>
              <w:spacing w:after="0"/>
              <w:rPr>
                <w:sz w:val="20"/>
                <w:szCs w:val="20"/>
                <w:color w:val="auto"/>
              </w:rPr>
            </w:pPr>
          </w:p>
        </w:tc>
        <w:tc>
          <w:tcPr>
            <w:tcW w:w="2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right w:val="single" w:sz="8" w:color="auto"/>
            </w:tcBorders>
            <w:shd w:val="clear" w:color="auto" w:fill="FFDEAD"/>
          </w:tcPr>
          <w:p>
            <w:pPr>
              <w:spacing w:after="0"/>
              <w:rPr>
                <w:sz w:val="20"/>
                <w:szCs w:val="20"/>
                <w:color w:val="auto"/>
              </w:rPr>
            </w:pPr>
          </w:p>
        </w:tc>
        <w:tc>
          <w:tcPr>
            <w:tcW w:w="4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Borders>
              <w:left w:val="single" w:sz="8" w:color="E6E6FA"/>
            </w:tcBorders>
            <w:shd w:val="clear" w:color="auto" w:fill="E6E6FA"/>
          </w:tcPr>
          <w:p>
            <w:pPr>
              <w:spacing w:after="0"/>
              <w:rPr>
                <w:sz w:val="18"/>
                <w:szCs w:val="18"/>
                <w:color w:val="auto"/>
              </w:rPr>
            </w:pPr>
          </w:p>
        </w:tc>
        <w:tc>
          <w:tcPr>
            <w:tcW w:w="360" w:type="dxa"/>
            <w:vAlign w:val="bottom"/>
            <w:shd w:val="clear" w:color="auto" w:fill="E6E6FA"/>
          </w:tcPr>
          <w:p>
            <w:pPr>
              <w:spacing w:after="0"/>
              <w:rPr>
                <w:sz w:val="18"/>
                <w:szCs w:val="18"/>
                <w:color w:val="auto"/>
              </w:rPr>
            </w:pPr>
          </w:p>
        </w:tc>
        <w:tc>
          <w:tcPr>
            <w:tcW w:w="280" w:type="dxa"/>
            <w:vAlign w:val="bottom"/>
            <w:shd w:val="clear" w:color="auto" w:fill="E6E6FA"/>
          </w:tcPr>
          <w:p>
            <w:pPr>
              <w:spacing w:after="0"/>
              <w:rPr>
                <w:sz w:val="18"/>
                <w:szCs w:val="18"/>
                <w:color w:val="auto"/>
              </w:rPr>
            </w:pPr>
          </w:p>
        </w:tc>
        <w:tc>
          <w:tcPr>
            <w:tcW w:w="340" w:type="dxa"/>
            <w:vAlign w:val="bottom"/>
            <w:shd w:val="clear" w:color="auto" w:fill="E6E6FA"/>
          </w:tcPr>
          <w:p>
            <w:pPr>
              <w:spacing w:after="0"/>
              <w:rPr>
                <w:sz w:val="18"/>
                <w:szCs w:val="18"/>
                <w:color w:val="auto"/>
              </w:rPr>
            </w:pPr>
          </w:p>
        </w:tc>
        <w:tc>
          <w:tcPr>
            <w:tcW w:w="86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1960" w:type="dxa"/>
            <w:vAlign w:val="bottom"/>
            <w:shd w:val="clear" w:color="auto" w:fill="E6E6FA"/>
          </w:tcPr>
          <w:p>
            <w:pPr>
              <w:spacing w:after="0"/>
              <w:rPr>
                <w:sz w:val="18"/>
                <w:szCs w:val="18"/>
                <w:color w:val="auto"/>
              </w:rPr>
            </w:pPr>
          </w:p>
        </w:tc>
        <w:tc>
          <w:tcPr>
            <w:tcW w:w="660" w:type="dxa"/>
            <w:vAlign w:val="bottom"/>
            <w:shd w:val="clear" w:color="auto" w:fill="E6E6FA"/>
          </w:tcPr>
          <w:p>
            <w:pPr>
              <w:spacing w:after="0"/>
              <w:rPr>
                <w:sz w:val="18"/>
                <w:szCs w:val="18"/>
                <w:color w:val="auto"/>
              </w:rPr>
            </w:pPr>
          </w:p>
        </w:tc>
        <w:tc>
          <w:tcPr>
            <w:tcW w:w="360" w:type="dxa"/>
            <w:vAlign w:val="bottom"/>
            <w:shd w:val="clear" w:color="auto" w:fill="E6E6FA"/>
          </w:tcPr>
          <w:p>
            <w:pPr>
              <w:spacing w:after="0"/>
              <w:rPr>
                <w:sz w:val="18"/>
                <w:szCs w:val="18"/>
                <w:color w:val="auto"/>
              </w:rPr>
            </w:pPr>
          </w:p>
        </w:tc>
        <w:tc>
          <w:tcPr>
            <w:tcW w:w="40" w:type="dxa"/>
            <w:vAlign w:val="bottom"/>
            <w:shd w:val="clear" w:color="auto" w:fill="E6E6FA"/>
          </w:tcPr>
          <w:p>
            <w:pPr>
              <w:spacing w:after="0"/>
              <w:rPr>
                <w:sz w:val="18"/>
                <w:szCs w:val="18"/>
                <w:color w:val="auto"/>
              </w:rPr>
            </w:pPr>
          </w:p>
        </w:tc>
        <w:tc>
          <w:tcPr>
            <w:tcW w:w="6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8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4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160" w:type="dxa"/>
            <w:vAlign w:val="bottom"/>
            <w:shd w:val="clear" w:color="auto" w:fill="E6E6FA"/>
          </w:tcPr>
          <w:p>
            <w:pPr>
              <w:spacing w:after="0"/>
              <w:rPr>
                <w:sz w:val="18"/>
                <w:szCs w:val="18"/>
                <w:color w:val="auto"/>
              </w:rPr>
            </w:pPr>
          </w:p>
        </w:tc>
        <w:tc>
          <w:tcPr>
            <w:tcW w:w="10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120" w:type="dxa"/>
            <w:vAlign w:val="bottom"/>
            <w:tcBorders>
              <w:right w:val="single" w:sz="8" w:color="E6E6FA"/>
            </w:tcBorders>
            <w:shd w:val="clear" w:color="auto" w:fill="E6E6FA"/>
          </w:tcPr>
          <w:p>
            <w:pPr>
              <w:spacing w:after="0"/>
              <w:rPr>
                <w:sz w:val="18"/>
                <w:szCs w:val="18"/>
                <w:color w:val="auto"/>
              </w:rPr>
            </w:pPr>
          </w:p>
        </w:tc>
        <w:tc>
          <w:tcPr>
            <w:tcW w:w="100" w:type="dxa"/>
            <w:vAlign w:val="bottom"/>
            <w:tcBorders>
              <w:right w:val="single" w:sz="8" w:color="E6E6FA"/>
            </w:tcBorders>
            <w:shd w:val="clear" w:color="auto" w:fill="E6E6FA"/>
          </w:tcPr>
          <w:p>
            <w:pPr>
              <w:spacing w:after="0"/>
              <w:rPr>
                <w:sz w:val="18"/>
                <w:szCs w:val="18"/>
                <w:color w:val="auto"/>
              </w:rPr>
            </w:pPr>
          </w:p>
        </w:tc>
        <w:tc>
          <w:tcPr>
            <w:tcW w:w="280" w:type="dxa"/>
            <w:vAlign w:val="bottom"/>
            <w:tcBorders>
              <w:right w:val="single" w:sz="8" w:color="E6E6FA"/>
            </w:tcBorders>
            <w:shd w:val="clear" w:color="auto" w:fill="E6E6FA"/>
          </w:tcPr>
          <w:p>
            <w:pPr>
              <w:spacing w:after="0"/>
              <w:rPr>
                <w:sz w:val="18"/>
                <w:szCs w:val="18"/>
                <w:color w:val="auto"/>
              </w:rPr>
            </w:pPr>
          </w:p>
        </w:tc>
        <w:tc>
          <w:tcPr>
            <w:tcW w:w="100" w:type="dxa"/>
            <w:vAlign w:val="bottom"/>
            <w:tcBorders>
              <w:right w:val="single" w:sz="8" w:color="E6E6FA"/>
            </w:tcBorders>
            <w:shd w:val="clear" w:color="auto" w:fill="E6E6FA"/>
          </w:tcPr>
          <w:p>
            <w:pPr>
              <w:spacing w:after="0"/>
              <w:rPr>
                <w:sz w:val="18"/>
                <w:szCs w:val="18"/>
                <w:color w:val="auto"/>
              </w:rPr>
            </w:pPr>
          </w:p>
        </w:tc>
        <w:tc>
          <w:tcPr>
            <w:tcW w:w="4900" w:type="dxa"/>
            <w:vAlign w:val="bottom"/>
            <w:shd w:val="clear" w:color="auto" w:fill="E6E6F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5680" w:type="dxa"/>
            <w:vAlign w:val="bottom"/>
            <w:tcBorders>
              <w:bottom w:val="single" w:sz="8" w:color="auto"/>
            </w:tcBorders>
            <w:gridSpan w:val="27"/>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9" w:name="page50"/>
    <w:bookmarkEnd w:id="49"/>
    <w:p>
      <w:pPr>
        <w:ind w:left="340" w:hanging="332"/>
        <w:spacing w:after="0"/>
        <w:tabs>
          <w:tab w:leader="none" w:pos="3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APPLICATION</w:t>
      </w:r>
    </w:p>
    <w:p>
      <w:pPr>
        <w:spacing w:after="0" w:line="225" w:lineRule="exact"/>
        <w:rPr>
          <w:sz w:val="20"/>
          <w:szCs w:val="20"/>
          <w:color w:val="auto"/>
        </w:rPr>
      </w:pPr>
    </w:p>
    <w:p>
      <w:pPr>
        <w:jc w:val="both"/>
        <w:ind w:firstLine="324"/>
        <w:spacing w:after="0" w:line="228" w:lineRule="auto"/>
        <w:rPr>
          <w:sz w:val="20"/>
          <w:szCs w:val="20"/>
          <w:color w:val="auto"/>
        </w:rPr>
      </w:pPr>
      <w:r>
        <w:rPr>
          <w:rFonts w:ascii="Times New Roman" w:cs="Times New Roman" w:eastAsia="Times New Roman" w:hAnsi="Times New Roman"/>
          <w:sz w:val="18"/>
          <w:szCs w:val="18"/>
          <w:color w:val="auto"/>
        </w:rPr>
        <w:t>The following entities hereby request an order (the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color w:val="FF0000"/>
          <w:strike w:val="1"/>
        </w:rPr>
        <w:t>Section</w:t>
      </w:r>
      <w:r>
        <w:rPr>
          <w:rFonts w:ascii="Times New Roman" w:cs="Times New Roman" w:eastAsia="Times New Roman" w:hAnsi="Times New Roman"/>
          <w:sz w:val="18"/>
          <w:szCs w:val="18"/>
          <w:u w:val="single" w:color="auto"/>
          <w:color w:val="0000FF"/>
        </w:rPr>
        <w:t>Sections 17(d)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57(i) of the Investment Company Act of 1940, as amended (the “</w:t>
      </w:r>
      <w:r>
        <w:rPr>
          <w:rFonts w:ascii="Times New Roman" w:cs="Times New Roman" w:eastAsia="Times New Roman" w:hAnsi="Times New Roman"/>
          <w:sz w:val="18"/>
          <w:szCs w:val="18"/>
          <w:b w:val="1"/>
          <w:bCs w:val="1"/>
          <w:i w:val="1"/>
          <w:iCs w:val="1"/>
          <w:color w:val="000000"/>
        </w:rPr>
        <w:t>1940 Act</w:t>
      </w:r>
      <w:r>
        <w:rPr>
          <w:rFonts w:ascii="Times New Roman" w:cs="Times New Roman" w:eastAsia="Times New Roman" w:hAnsi="Times New Roman"/>
          <w:sz w:val="18"/>
          <w:szCs w:val="18"/>
          <w:color w:val="000000"/>
        </w:rPr>
        <w:t>”),</w:t>
      </w:r>
      <w:r>
        <w:rPr>
          <w:rFonts w:ascii="Times New Roman" w:cs="Times New Roman" w:eastAsia="Times New Roman" w:hAnsi="Times New Roman"/>
          <w:sz w:val="29"/>
          <w:szCs w:val="29"/>
          <w:color w:val="000000"/>
          <w:vertAlign w:val="superscript"/>
        </w:rPr>
        <w:t>1</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Rule 17d-1, permitting certain joint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transactions otherwise prohibited by Sections 17(d) and 57(a)(4) of the 1940 Act and Rule 17d-1 thereunder. The Order would supersede the exemptive</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 xml:space="preserve">order issued by the Commission on </w:t>
      </w:r>
      <w:r>
        <w:rPr>
          <w:rFonts w:ascii="Times New Roman" w:cs="Times New Roman" w:eastAsia="Times New Roman" w:hAnsi="Times New Roman"/>
          <w:sz w:val="18"/>
          <w:szCs w:val="18"/>
          <w:color w:val="FF0000"/>
          <w:strike w:val="1"/>
        </w:rPr>
        <w:t>April 23</w:t>
      </w:r>
      <w:r>
        <w:rPr>
          <w:rFonts w:ascii="Times New Roman" w:cs="Times New Roman" w:eastAsia="Times New Roman" w:hAnsi="Times New Roman"/>
          <w:sz w:val="18"/>
          <w:szCs w:val="18"/>
          <w:u w:val="single" w:color="auto"/>
          <w:color w:val="0000FF"/>
        </w:rPr>
        <w:t>January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2025</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Prior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that was granted pursuant to Sections 57(a)(4), 57(i) and Rule 17d-1, with the result that no person will continue to rely on the Prior Order if the Order is granted.</w:t>
      </w:r>
    </w:p>
    <w:p>
      <w:pPr>
        <w:spacing w:after="0" w:line="196" w:lineRule="exact"/>
        <w:rPr>
          <w:sz w:val="20"/>
          <w:szCs w:val="20"/>
          <w:color w:val="auto"/>
        </w:rPr>
      </w:pPr>
    </w:p>
    <w:p>
      <w:pPr>
        <w:jc w:val="both"/>
        <w:ind w:left="660" w:hanging="328"/>
        <w:spacing w:after="0" w:line="268"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LAGO Evergreen Credit</w:t>
      </w:r>
      <w:r>
        <w:rPr>
          <w:rFonts w:ascii="Times New Roman" w:cs="Times New Roman" w:eastAsia="Times New Roman" w:hAnsi="Times New Roman"/>
          <w:sz w:val="18"/>
          <w:szCs w:val="18"/>
          <w:u w:val="single" w:color="auto"/>
          <w:color w:val="0000FF"/>
        </w:rPr>
        <w:t>Chicago Atlantic BDC, Inc. (formerly, Silver Spike Investment Corp.)</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b w:val="1"/>
          <w:bCs w:val="1"/>
          <w:i w:val="1"/>
          <w:iCs w:val="1"/>
          <w:color w:val="000000"/>
        </w:rPr>
        <w:t>Existing Regulated Fund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an externally-managed,</w:t>
      </w:r>
      <w:r>
        <w:rPr>
          <w:rFonts w:ascii="Times New Roman" w:cs="Times New Roman" w:eastAsia="Times New Roman" w:hAnsi="Times New Roman"/>
          <w:sz w:val="18"/>
          <w:szCs w:val="18"/>
          <w:u w:val="single" w:color="auto"/>
          <w:color w:val="0000FF"/>
        </w:rPr>
        <w:t>a closed-end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non-diversified</w:t>
      </w:r>
      <w:r>
        <w:rPr>
          <w:rFonts w:ascii="Times New Roman" w:cs="Times New Roman" w:eastAsia="Times New Roman" w:hAnsi="Times New Roman"/>
          <w:sz w:val="18"/>
          <w:szCs w:val="18"/>
          <w:color w:val="FF0000"/>
          <w:strike w:val="1"/>
        </w:rPr>
        <w:t>, closed-end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management investment company that has elected to be regulated as a business development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company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i w:val="1"/>
          <w:iCs w:val="1"/>
          <w:u w:val="single" w:color="auto"/>
          <w:color w:val="0000FF"/>
        </w:rPr>
        <w:t>BDC</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under the </w:t>
      </w:r>
      <w:r>
        <w:rPr>
          <w:rFonts w:ascii="Times New Roman" w:cs="Times New Roman" w:eastAsia="Times New Roman" w:hAnsi="Times New Roman"/>
          <w:sz w:val="18"/>
          <w:szCs w:val="18"/>
          <w:u w:val="single" w:color="auto"/>
          <w:color w:val="0000FF"/>
        </w:rPr>
        <w:t>1940</w:t>
      </w:r>
      <w:r>
        <w:rPr>
          <w:rFonts w:ascii="Times New Roman" w:cs="Times New Roman" w:eastAsia="Times New Roman" w:hAnsi="Times New Roman"/>
          <w:sz w:val="18"/>
          <w:szCs w:val="18"/>
          <w:color w:val="000000"/>
        </w:rPr>
        <w:t xml:space="preserve"> Act; </w:t>
      </w:r>
      <w:r>
        <w:rPr>
          <w:rFonts w:ascii="Times New Roman" w:cs="Times New Roman" w:eastAsia="Times New Roman" w:hAnsi="Times New Roman"/>
          <w:sz w:val="18"/>
          <w:szCs w:val="18"/>
          <w:color w:val="FF0000"/>
          <w:strike w:val="1"/>
        </w:rPr>
        <w:t>and</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78"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LAGO Asset Management, LLC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Chicago Atlantic BDC Advisers, LLC (formerly, Silver Spike Capital, LLC)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BDC Adviser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 Delaware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limited liability company that is registered as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 investment adviser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registered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under the Investment Advisers Act of 1940</w:t>
      </w:r>
      <w:r>
        <w:rPr>
          <w:rFonts w:ascii="Times New Roman" w:cs="Times New Roman" w:eastAsia="Times New Roman" w:hAnsi="Times New Roman"/>
          <w:sz w:val="18"/>
          <w:szCs w:val="18"/>
          <w:color w:val="FF0000"/>
          <w:strike w:val="1"/>
        </w:rPr>
        <w:t>, as amended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Advisers Act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and serves as the investment adviser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8000"/>
          <w:strike w:val="1"/>
        </w:rPr>
        <w:t>to the Existing Regulated Fund</w:t>
      </w:r>
      <w:r>
        <w:rPr>
          <w:rFonts w:ascii="Times New Roman" w:cs="Times New Roman" w:eastAsia="Times New Roman" w:hAnsi="Times New Roman"/>
          <w:sz w:val="18"/>
          <w:szCs w:val="18"/>
          <w:color w:val="000000"/>
        </w:rPr>
        <w:t>, on behalf of itself and its successors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29"/>
          <w:szCs w:val="29"/>
          <w:color w:val="000000"/>
          <w:vertAlign w:val="superscript"/>
        </w:rPr>
        <w:t>3</w:t>
      </w:r>
      <w:r>
        <w:rPr>
          <w:rFonts w:ascii="Times New Roman" w:cs="Times New Roman" w:eastAsia="Times New Roman" w:hAnsi="Times New Roman"/>
          <w:sz w:val="18"/>
          <w:szCs w:val="18"/>
          <w:color w:val="FF0000"/>
          <w:strike w:val="1"/>
        </w:rPr>
        <w:t>; and</w:t>
      </w:r>
    </w:p>
    <w:p>
      <w:pPr>
        <w:spacing w:after="0" w:line="4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LAGO Apex Credit Corporation, an affiliate of the BDC Adviser, that </w:t>
      </w:r>
      <w:r>
        <w:rPr>
          <w:rFonts w:ascii="Times New Roman" w:cs="Times New Roman" w:eastAsia="Times New Roman" w:hAnsi="Times New Roman"/>
          <w:sz w:val="18"/>
          <w:szCs w:val="18"/>
          <w:color w:val="008000"/>
          <w:strike w:val="1"/>
        </w:rPr>
        <w:t>will hold various financial assets in a principal capacity and</w:t>
      </w:r>
      <w:r>
        <w:rPr>
          <w:rFonts w:ascii="Times New Roman" w:cs="Times New Roman" w:eastAsia="Times New Roman" w:hAnsi="Times New Roman"/>
          <w:sz w:val="18"/>
          <w:szCs w:val="18"/>
          <w:color w:val="FF0000"/>
          <w:strike w:val="1"/>
        </w:rPr>
        <w:t xml:space="preserve"> intends </w:t>
      </w:r>
      <w:r>
        <w:rPr>
          <w:rFonts w:ascii="Times New Roman" w:cs="Times New Roman" w:eastAsia="Times New Roman" w:hAnsi="Times New Roman"/>
          <w:sz w:val="18"/>
          <w:szCs w:val="18"/>
          <w:color w:val="008000"/>
          <w:strike w:val="1"/>
        </w:rPr>
        <w:t>to</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8000"/>
          <w:strike w:val="1"/>
        </w:rPr>
        <w:t>participate in Co-Investment Transactions (</w:t>
      </w:r>
      <w:r>
        <w:rPr>
          <w:rFonts w:ascii="Times New Roman" w:cs="Times New Roman" w:eastAsia="Times New Roman" w:hAnsi="Times New Roman"/>
          <w:sz w:val="18"/>
          <w:szCs w:val="18"/>
          <w:color w:val="FF0000"/>
          <w:strike w:val="1"/>
        </w:rPr>
        <w:t>the “</w:t>
      </w:r>
      <w:r>
        <w:rPr>
          <w:rFonts w:ascii="Times New Roman" w:cs="Times New Roman" w:eastAsia="Times New Roman" w:hAnsi="Times New Roman"/>
          <w:sz w:val="18"/>
          <w:szCs w:val="18"/>
          <w:b w:val="1"/>
          <w:bCs w:val="1"/>
          <w:i w:val="1"/>
          <w:iCs w:val="1"/>
          <w:color w:val="FF0000"/>
          <w:strike w:val="1"/>
        </w:rPr>
        <w:t>Existing Proprietary Account</w:t>
      </w:r>
      <w:r>
        <w:rPr>
          <w:rFonts w:ascii="Times New Roman" w:cs="Times New Roman" w:eastAsia="Times New Roman" w:hAnsi="Times New Roman"/>
          <w:sz w:val="18"/>
          <w:szCs w:val="18"/>
          <w:color w:val="FF0000"/>
          <w:strike w:val="1"/>
        </w:rPr>
        <w:t>”); and</w:t>
      </w:r>
    </w:p>
    <w:p>
      <w:pPr>
        <w:spacing w:after="0" w:line="157" w:lineRule="exact"/>
        <w:rPr>
          <w:rFonts w:ascii="Times New Roman" w:cs="Times New Roman" w:eastAsia="Times New Roman" w:hAnsi="Times New Roman"/>
          <w:sz w:val="18"/>
          <w:szCs w:val="18"/>
          <w:color w:val="FF0000"/>
          <w:strike w:val="1"/>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Chicago Atlantic Advisers, LLC (“</w:t>
      </w:r>
      <w:r>
        <w:rPr>
          <w:rFonts w:ascii="Times New Roman" w:cs="Times New Roman" w:eastAsia="Times New Roman" w:hAnsi="Times New Roman"/>
          <w:sz w:val="18"/>
          <w:szCs w:val="18"/>
          <w:b w:val="1"/>
          <w:bCs w:val="1"/>
          <w:i w:val="1"/>
          <w:iCs w:val="1"/>
          <w:u w:val="single" w:color="auto"/>
          <w:color w:val="0000FF"/>
        </w:rPr>
        <w:t>CAA</w:t>
      </w:r>
      <w:r>
        <w:rPr>
          <w:rFonts w:ascii="Times New Roman" w:cs="Times New Roman" w:eastAsia="Times New Roman" w:hAnsi="Times New Roman"/>
          <w:sz w:val="18"/>
          <w:szCs w:val="18"/>
          <w:u w:val="single" w:color="auto"/>
          <w:color w:val="0000FF"/>
        </w:rPr>
        <w:t>”), an investment adviser registered under the Advisers Act, on behalf of itself and its successors;</w:t>
      </w:r>
    </w:p>
    <w:p>
      <w:pPr>
        <w:spacing w:after="0" w:line="225" w:lineRule="exact"/>
        <w:rPr>
          <w:rFonts w:ascii="Times New Roman" w:cs="Times New Roman" w:eastAsia="Times New Roman" w:hAnsi="Times New Roman"/>
          <w:sz w:val="18"/>
          <w:szCs w:val="18"/>
          <w:color w:val="0000FF"/>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Chicago Atlantic Equity Advisers, LLC (“</w:t>
      </w:r>
      <w:r>
        <w:rPr>
          <w:rFonts w:ascii="Times New Roman" w:cs="Times New Roman" w:eastAsia="Times New Roman" w:hAnsi="Times New Roman"/>
          <w:sz w:val="18"/>
          <w:szCs w:val="18"/>
          <w:b w:val="1"/>
          <w:bCs w:val="1"/>
          <w:i w:val="1"/>
          <w:iCs w:val="1"/>
          <w:u w:val="single" w:color="auto"/>
          <w:color w:val="0000FF"/>
        </w:rPr>
        <w:t>CAEA</w:t>
      </w:r>
      <w:r>
        <w:rPr>
          <w:rFonts w:ascii="Times New Roman" w:cs="Times New Roman" w:eastAsia="Times New Roman" w:hAnsi="Times New Roman"/>
          <w:sz w:val="18"/>
          <w:szCs w:val="18"/>
          <w:u w:val="single" w:color="auto"/>
          <w:color w:val="0000FF"/>
        </w:rPr>
        <w:t>”), a relying adviser of CAA, on behalf of itself and its successors;</w:t>
      </w:r>
    </w:p>
    <w:p>
      <w:pPr>
        <w:spacing w:after="0" w:line="225" w:lineRule="exact"/>
        <w:rPr>
          <w:rFonts w:ascii="Times New Roman" w:cs="Times New Roman" w:eastAsia="Times New Roman" w:hAnsi="Times New Roman"/>
          <w:sz w:val="18"/>
          <w:szCs w:val="18"/>
          <w:color w:val="0000FF"/>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Chicago Atlantic CO3 Advisers, LLC (“</w:t>
      </w:r>
      <w:r>
        <w:rPr>
          <w:rFonts w:ascii="Times New Roman" w:cs="Times New Roman" w:eastAsia="Times New Roman" w:hAnsi="Times New Roman"/>
          <w:sz w:val="18"/>
          <w:szCs w:val="18"/>
          <w:b w:val="1"/>
          <w:bCs w:val="1"/>
          <w:i w:val="1"/>
          <w:iCs w:val="1"/>
          <w:u w:val="single" w:color="auto"/>
          <w:color w:val="0000FF"/>
        </w:rPr>
        <w:t>CO3 Advisers</w:t>
      </w:r>
      <w:r>
        <w:rPr>
          <w:rFonts w:ascii="Times New Roman" w:cs="Times New Roman" w:eastAsia="Times New Roman" w:hAnsi="Times New Roman"/>
          <w:sz w:val="18"/>
          <w:szCs w:val="18"/>
          <w:u w:val="single" w:color="auto"/>
          <w:color w:val="0000FF"/>
        </w:rPr>
        <w:t>”), a relying adviser of CAA, on behalf of itself and its successors;</w:t>
      </w:r>
    </w:p>
    <w:p>
      <w:pPr>
        <w:spacing w:after="0" w:line="225" w:lineRule="exact"/>
        <w:rPr>
          <w:rFonts w:ascii="Times New Roman" w:cs="Times New Roman" w:eastAsia="Times New Roman" w:hAnsi="Times New Roman"/>
          <w:sz w:val="18"/>
          <w:szCs w:val="18"/>
          <w:color w:val="0000FF"/>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Chicago Atlantic Investment Management, LLC (“</w:t>
      </w:r>
      <w:r>
        <w:rPr>
          <w:rFonts w:ascii="Times New Roman" w:cs="Times New Roman" w:eastAsia="Times New Roman" w:hAnsi="Times New Roman"/>
          <w:sz w:val="18"/>
          <w:szCs w:val="18"/>
          <w:b w:val="1"/>
          <w:bCs w:val="1"/>
          <w:i w:val="1"/>
          <w:iCs w:val="1"/>
          <w:u w:val="single" w:color="auto"/>
          <w:color w:val="0000FF"/>
        </w:rPr>
        <w:t>CAIM</w:t>
      </w:r>
      <w:r>
        <w:rPr>
          <w:rFonts w:ascii="Times New Roman" w:cs="Times New Roman" w:eastAsia="Times New Roman" w:hAnsi="Times New Roman"/>
          <w:sz w:val="18"/>
          <w:szCs w:val="18"/>
          <w:u w:val="single" w:color="auto"/>
          <w:color w:val="0000FF"/>
        </w:rPr>
        <w:t>”), a relying adviser of CAA, on behalf of itself and its successors;</w:t>
      </w:r>
    </w:p>
    <w:p>
      <w:pPr>
        <w:spacing w:after="0" w:line="225" w:lineRule="exact"/>
        <w:rPr>
          <w:rFonts w:ascii="Times New Roman" w:cs="Times New Roman" w:eastAsia="Times New Roman" w:hAnsi="Times New Roman"/>
          <w:sz w:val="18"/>
          <w:szCs w:val="18"/>
          <w:color w:val="0000FF"/>
        </w:rPr>
      </w:pPr>
    </w:p>
    <w:p>
      <w:pPr>
        <w:jc w:val="both"/>
        <w:ind w:left="660" w:hanging="328"/>
        <w:spacing w:after="0" w:line="268" w:lineRule="auto"/>
        <w:tabs>
          <w:tab w:leader="none" w:pos="660" w:val="left"/>
        </w:tabs>
        <w:numPr>
          <w:ilvl w:val="0"/>
          <w:numId w:val="53"/>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Chicago Atlantic REIT Manager, LLC (“</w:t>
      </w:r>
      <w:r>
        <w:rPr>
          <w:rFonts w:ascii="Times New Roman" w:cs="Times New Roman" w:eastAsia="Times New Roman" w:hAnsi="Times New Roman"/>
          <w:sz w:val="18"/>
          <w:szCs w:val="18"/>
          <w:b w:val="1"/>
          <w:bCs w:val="1"/>
          <w:i w:val="1"/>
          <w:iCs w:val="1"/>
          <w:u w:val="single" w:color="auto"/>
          <w:color w:val="0000FF"/>
        </w:rPr>
        <w:t>CARM</w:t>
      </w:r>
      <w:r>
        <w:rPr>
          <w:rFonts w:ascii="Times New Roman" w:cs="Times New Roman" w:eastAsia="Times New Roman" w:hAnsi="Times New Roman"/>
          <w:sz w:val="18"/>
          <w:szCs w:val="18"/>
          <w:u w:val="single" w:color="auto"/>
          <w:color w:val="0000FF"/>
        </w:rPr>
        <w:t>,” and, together with BDC Adviser, CAA, CAEA, CO3 Advisers, and CAIM, the “</w:t>
      </w:r>
      <w:r>
        <w:rPr>
          <w:rFonts w:ascii="Times New Roman" w:cs="Times New Roman" w:eastAsia="Times New Roman" w:hAnsi="Times New Roman"/>
          <w:sz w:val="18"/>
          <w:szCs w:val="18"/>
          <w:b w:val="1"/>
          <w:bCs w:val="1"/>
          <w:i w:val="1"/>
          <w:iCs w:val="1"/>
          <w:u w:val="single" w:color="auto"/>
          <w:color w:val="0000FF"/>
        </w:rPr>
        <w:t>Existing</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b w:val="1"/>
          <w:bCs w:val="1"/>
          <w:i w:val="1"/>
          <w:iCs w:val="1"/>
          <w:u w:val="single" w:color="auto"/>
          <w:color w:val="0000FF"/>
        </w:rPr>
        <w:t>Advisers</w:t>
      </w:r>
      <w:r>
        <w:rPr>
          <w:rFonts w:ascii="Times New Roman" w:cs="Times New Roman" w:eastAsia="Times New Roman" w:hAnsi="Times New Roman"/>
          <w:sz w:val="18"/>
          <w:szCs w:val="18"/>
          <w:u w:val="single" w:color="auto"/>
          <w:color w:val="0000FF"/>
        </w:rPr>
        <w:t>”), which does not provide advice with regard to securities, and is therefore not registered under the Advisers Act, on behalf of itself and</w:t>
      </w:r>
      <w:r>
        <w:rPr>
          <w:rFonts w:ascii="Times New Roman" w:cs="Times New Roman" w:eastAsia="Times New Roman" w:hAnsi="Times New Roman"/>
          <w:sz w:val="18"/>
          <w:szCs w:val="18"/>
          <w:b w:val="1"/>
          <w:bCs w:val="1"/>
          <w:i w:val="1"/>
          <w:iCs w:val="1"/>
          <w:u w:val="single" w:color="auto"/>
          <w:color w:val="0000FF"/>
        </w:rPr>
        <w:t xml:space="preserve"> </w:t>
      </w:r>
      <w:r>
        <w:rPr>
          <w:rFonts w:ascii="Times New Roman" w:cs="Times New Roman" w:eastAsia="Times New Roman" w:hAnsi="Times New Roman"/>
          <w:sz w:val="18"/>
          <w:szCs w:val="18"/>
          <w:u w:val="single" w:color="auto"/>
          <w:color w:val="0000FF"/>
        </w:rPr>
        <w:t>its successors;</w:t>
      </w:r>
    </w:p>
    <w:p>
      <w:pPr>
        <w:spacing w:after="0" w:line="174" w:lineRule="exact"/>
        <w:rPr>
          <w:rFonts w:ascii="Times New Roman" w:cs="Times New Roman" w:eastAsia="Times New Roman" w:hAnsi="Times New Roman"/>
          <w:sz w:val="18"/>
          <w:szCs w:val="18"/>
          <w:color w:val="0000FF"/>
        </w:rPr>
      </w:pPr>
    </w:p>
    <w:p>
      <w:pPr>
        <w:jc w:val="both"/>
        <w:ind w:left="660" w:hanging="328"/>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 xml:space="preserve">Chicago Atlantic Credit Company, LLC, CA CO SPV, LLC, and CA Credit SPV, LLC, each of which is an entity wholly owned by affiliates of CAA that, from time to time, </w:t>
      </w:r>
      <w:r>
        <w:rPr>
          <w:rFonts w:ascii="Times New Roman" w:cs="Times New Roman" w:eastAsia="Times New Roman" w:hAnsi="Times New Roman"/>
          <w:sz w:val="18"/>
          <w:szCs w:val="18"/>
          <w:u w:val="single" w:color="auto"/>
          <w:color w:val="008000"/>
        </w:rPr>
        <w:t>will hold various financial assets in a principal capacity and</w:t>
      </w:r>
      <w:r>
        <w:rPr>
          <w:rFonts w:ascii="Times New Roman" w:cs="Times New Roman" w:eastAsia="Times New Roman" w:hAnsi="Times New Roman"/>
          <w:sz w:val="18"/>
          <w:szCs w:val="18"/>
          <w:u w:val="single" w:color="auto"/>
          <w:color w:val="0000FF"/>
        </w:rPr>
        <w:t xml:space="preserve"> that currently intend </w:t>
      </w:r>
      <w:r>
        <w:rPr>
          <w:rFonts w:ascii="Times New Roman" w:cs="Times New Roman" w:eastAsia="Times New Roman" w:hAnsi="Times New Roman"/>
          <w:sz w:val="18"/>
          <w:szCs w:val="18"/>
          <w:u w:val="single" w:color="auto"/>
          <w:color w:val="008000"/>
        </w:rPr>
        <w:t>to participate in Co-Investment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Transactions (</w:t>
      </w:r>
      <w:r>
        <w:rPr>
          <w:rFonts w:ascii="Times New Roman" w:cs="Times New Roman" w:eastAsia="Times New Roman" w:hAnsi="Times New Roman"/>
          <w:sz w:val="18"/>
          <w:szCs w:val="18"/>
          <w:u w:val="single" w:color="auto"/>
          <w:color w:val="0000FF"/>
        </w:rPr>
        <w:t>together, in such capacity, the “</w:t>
      </w:r>
      <w:r>
        <w:rPr>
          <w:rFonts w:ascii="Times New Roman" w:cs="Times New Roman" w:eastAsia="Times New Roman" w:hAnsi="Times New Roman"/>
          <w:sz w:val="18"/>
          <w:szCs w:val="18"/>
          <w:b w:val="1"/>
          <w:bCs w:val="1"/>
          <w:i w:val="1"/>
          <w:iCs w:val="1"/>
          <w:u w:val="single" w:color="auto"/>
          <w:color w:val="0000FF"/>
        </w:rPr>
        <w:t>Existing Proprietary Accounts</w:t>
      </w:r>
      <w:r>
        <w:rPr>
          <w:rFonts w:ascii="Times New Roman" w:cs="Times New Roman" w:eastAsia="Times New Roman" w:hAnsi="Times New Roman"/>
          <w:sz w:val="18"/>
          <w:szCs w:val="18"/>
          <w:u w:val="single" w:color="auto"/>
          <w:color w:val="0000FF"/>
        </w:rPr>
        <w:t>”);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9"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investment vehicles identified on </w:t>
      </w:r>
      <w:r>
        <w:rPr>
          <w:rFonts w:ascii="Times New Roman" w:cs="Times New Roman" w:eastAsia="Times New Roman" w:hAnsi="Times New Roman"/>
          <w:sz w:val="18"/>
          <w:szCs w:val="18"/>
          <w:u w:val="single" w:color="auto"/>
          <w:color w:val="auto"/>
        </w:rPr>
        <w:t>Schedule A hereto</w:t>
      </w:r>
      <w:r>
        <w:rPr>
          <w:rFonts w:ascii="Times New Roman" w:cs="Times New Roman" w:eastAsia="Times New Roman" w:hAnsi="Times New Roman"/>
          <w:sz w:val="18"/>
          <w:szCs w:val="18"/>
          <w:color w:val="auto"/>
        </w:rPr>
        <w:t>, each of which is a separate and distinct legal entity and each of which would be an investment company but for Section 3(c)(</w:t>
      </w:r>
      <w:r>
        <w:rPr>
          <w:rFonts w:ascii="Times New Roman" w:cs="Times New Roman" w:eastAsia="Times New Roman" w:hAnsi="Times New Roman"/>
          <w:sz w:val="18"/>
          <w:szCs w:val="18"/>
          <w:u w:val="single" w:color="auto"/>
          <w:color w:val="0000FF"/>
        </w:rPr>
        <w:t>5) or 3(c)(</w:t>
      </w:r>
      <w:r>
        <w:rPr>
          <w:rFonts w:ascii="Times New Roman" w:cs="Times New Roman" w:eastAsia="Times New Roman" w:hAnsi="Times New Roman"/>
          <w:sz w:val="18"/>
          <w:szCs w:val="18"/>
          <w:color w:val="auto"/>
        </w:rPr>
        <w:t>7) of the 1940 Act (the “</w:t>
      </w:r>
      <w:r>
        <w:rPr>
          <w:rFonts w:ascii="Times New Roman" w:cs="Times New Roman" w:eastAsia="Times New Roman" w:hAnsi="Times New Roman"/>
          <w:sz w:val="18"/>
          <w:szCs w:val="18"/>
          <w:b w:val="1"/>
          <w:bCs w:val="1"/>
          <w:i w:val="1"/>
          <w:iCs w:val="1"/>
          <w:color w:val="auto"/>
        </w:rPr>
        <w:t>Existing Affiliated Funds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FF0000"/>
          <w:strike w:val="1"/>
        </w:rPr>
        <w:t>collectively</w:t>
      </w:r>
      <w:r>
        <w:rPr>
          <w:rFonts w:ascii="Times New Roman" w:cs="Times New Roman" w:eastAsia="Times New Roman" w:hAnsi="Times New Roman"/>
          <w:sz w:val="18"/>
          <w:szCs w:val="18"/>
          <w:u w:val="single" w:color="auto"/>
          <w:color w:val="0000FF"/>
        </w:rPr>
        <w:t>, together</w:t>
      </w:r>
      <w:r>
        <w:rPr>
          <w:rFonts w:ascii="Times New Roman" w:cs="Times New Roman" w:eastAsia="Times New Roman" w:hAnsi="Times New Roman"/>
          <w:sz w:val="18"/>
          <w:szCs w:val="18"/>
          <w:color w:val="auto"/>
        </w:rPr>
        <w:t xml:space="preserve"> with </w:t>
      </w:r>
      <w:r>
        <w:rPr>
          <w:rFonts w:ascii="Times New Roman" w:cs="Times New Roman" w:eastAsia="Times New Roman" w:hAnsi="Times New Roman"/>
          <w:sz w:val="18"/>
          <w:szCs w:val="18"/>
          <w:color w:val="FF0000"/>
          <w:strike w:val="1"/>
        </w:rPr>
        <w:t>the BDC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Adviser,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Existing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Proprietary Account and the Existing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Regulated Fund,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Existing Advisers, and the Existing Proprietary Accounts,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Applicants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29"/>
          <w:szCs w:val="29"/>
          <w:color w:val="000000"/>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178308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ind w:left="660" w:hanging="652"/>
        <w:spacing w:after="0" w:line="226" w:lineRule="auto"/>
        <w:tabs>
          <w:tab w:leader="none" w:pos="66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Unless otherwise indicated, all section and rule references herein are to the 1940 Act and rules promulgated thereunder.</w:t>
      </w:r>
    </w:p>
    <w:p>
      <w:pPr>
        <w:spacing w:after="0" w:line="223" w:lineRule="exact"/>
        <w:rPr>
          <w:sz w:val="20"/>
          <w:szCs w:val="20"/>
          <w:color w:val="auto"/>
        </w:rPr>
      </w:pPr>
    </w:p>
    <w:p>
      <w:pPr>
        <w:jc w:val="both"/>
        <w:ind w:left="660" w:hanging="652"/>
        <w:spacing w:after="0" w:line="211" w:lineRule="auto"/>
        <w:tabs>
          <w:tab w:leader="none" w:pos="66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FF0000"/>
          <w:strike w:val="1"/>
        </w:rPr>
        <w:t>LAGO Evergreen Credit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u w:val="single" w:color="auto"/>
          <w:color w:val="0000FF"/>
        </w:rPr>
        <w:t>See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Silver Spike Investment Corp.</w:t>
      </w:r>
      <w:r>
        <w:rPr>
          <w:rFonts w:ascii="Times New Roman" w:cs="Times New Roman" w:eastAsia="Times New Roman" w:hAnsi="Times New Roman"/>
          <w:sz w:val="18"/>
          <w:szCs w:val="18"/>
          <w:color w:val="000000"/>
        </w:rPr>
        <w:t>, et al. (File No.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812-15660), Release No. IC-35512 (March 26, 2025) (notice), Release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No. IC-35554 (April 23, 2025</w:t>
      </w:r>
      <w:r>
        <w:rPr>
          <w:rFonts w:ascii="Times New Roman" w:cs="Times New Roman" w:eastAsia="Times New Roman" w:hAnsi="Times New Roman"/>
          <w:sz w:val="18"/>
          <w:szCs w:val="18"/>
          <w:u w:val="single" w:color="auto"/>
          <w:color w:val="0000FF"/>
        </w:rPr>
        <w:t>812-15339) Investment Company Act Rel. Nos. 34771 (December 12, 2022) (notice) and 34798 (January 9,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(order).</w:t>
      </w:r>
    </w:p>
    <w:p>
      <w:pPr>
        <w:spacing w:after="0" w:line="115"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term “successor” means an entity that results from a reorganization into another jurisdiction or change in the type of business organization.</w:t>
      </w:r>
    </w:p>
    <w:p>
      <w:pPr>
        <w:spacing w:after="0" w:line="225" w:lineRule="exact"/>
        <w:rPr>
          <w:sz w:val="20"/>
          <w:szCs w:val="20"/>
          <w:color w:val="auto"/>
        </w:rPr>
      </w:pPr>
    </w:p>
    <w:p>
      <w:pPr>
        <w:ind w:left="660" w:right="20" w:hanging="652"/>
        <w:spacing w:after="0" w:line="195" w:lineRule="auto"/>
        <w:tabs>
          <w:tab w:leader="none" w:pos="66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existing entities that currently intend to rely upon the requested Order have been named as Applicants. Any other existing or future entity that subsequently relies on the Order will comply with the terms and conditions of the Application.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ind w:firstLine="324"/>
        <w:spacing w:after="0" w:line="209" w:lineRule="auto"/>
        <w:rPr>
          <w:sz w:val="20"/>
          <w:szCs w:val="20"/>
          <w:color w:val="auto"/>
        </w:rPr>
      </w:pPr>
      <w:r>
        <w:rPr>
          <w:rFonts w:ascii="Times New Roman" w:cs="Times New Roman" w:eastAsia="Times New Roman" w:hAnsi="Times New Roman"/>
          <w:sz w:val="18"/>
          <w:szCs w:val="18"/>
          <w:color w:val="auto"/>
        </w:rPr>
        <w:t>The relief requested in this application for the Order (the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would allow a Regulated Fund</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and one or more Affiliated Entities</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to engage in Co-Investment Transactions</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subject to the terms and conditions described herein. The Regulated Funds and Affiliated Entities that participate in a Co-Investment Transaction are collectively referred to herein as “</w:t>
      </w:r>
      <w:r>
        <w:rPr>
          <w:rFonts w:ascii="Times New Roman" w:cs="Times New Roman" w:eastAsia="Times New Roman" w:hAnsi="Times New Roman"/>
          <w:sz w:val="18"/>
          <w:szCs w:val="18"/>
          <w:b w:val="1"/>
          <w:bCs w:val="1"/>
          <w:i w:val="1"/>
          <w:iCs w:val="1"/>
          <w:color w:val="auto"/>
        </w:rPr>
        <w:t>Participants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The Applicants do not seek relief for transactions effected consistent with Commission staff no-action positions.</w:t>
      </w:r>
      <w:r>
        <w:rPr>
          <w:rFonts w:ascii="Times New Roman" w:cs="Times New Roman" w:eastAsia="Times New Roman" w:hAnsi="Times New Roman"/>
          <w:sz w:val="29"/>
          <w:szCs w:val="29"/>
          <w:color w:val="auto"/>
          <w:vertAlign w:val="superscript"/>
        </w:rPr>
        <w:t>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380" w:type="dxa"/>
            <w:vAlign w:val="bottom"/>
            <w:shd w:val="clear" w:color="auto" w:fill="000000"/>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8420" w:type="dxa"/>
            <w:vAlign w:val="bottom"/>
          </w:tcPr>
          <w:p>
            <w:pPr>
              <w:spacing w:after="0"/>
              <w:rPr>
                <w:sz w:val="2"/>
                <w:szCs w:val="2"/>
                <w:color w:val="auto"/>
              </w:rPr>
            </w:pPr>
          </w:p>
        </w:tc>
      </w:tr>
      <w:tr>
        <w:trPr>
          <w:trHeight w:val="211"/>
        </w:trPr>
        <w:tc>
          <w:tcPr>
            <w:tcW w:w="38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rPr>
              <w:t>5</w:t>
            </w:r>
          </w:p>
        </w:tc>
        <w:tc>
          <w:tcPr>
            <w:tcW w:w="10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Regulated Fund</w:t>
            </w:r>
            <w:r>
              <w:rPr>
                <w:rFonts w:ascii="Times New Roman" w:cs="Times New Roman" w:eastAsia="Times New Roman" w:hAnsi="Times New Roman"/>
                <w:sz w:val="18"/>
                <w:szCs w:val="18"/>
                <w:color w:val="auto"/>
              </w:rPr>
              <w:t>” means the Existing Regulated Fund and any Future Regulated Funds. “</w:t>
            </w:r>
            <w:r>
              <w:rPr>
                <w:rFonts w:ascii="Times New Roman" w:cs="Times New Roman" w:eastAsia="Times New Roman" w:hAnsi="Times New Roman"/>
                <w:sz w:val="18"/>
                <w:szCs w:val="18"/>
                <w:b w:val="1"/>
                <w:bCs w:val="1"/>
                <w:i w:val="1"/>
                <w:iCs w:val="1"/>
                <w:color w:val="auto"/>
              </w:rPr>
              <w:t>Future Regulated Fund</w:t>
            </w:r>
            <w:r>
              <w:rPr>
                <w:rFonts w:ascii="Times New Roman" w:cs="Times New Roman" w:eastAsia="Times New Roman" w:hAnsi="Times New Roman"/>
                <w:sz w:val="18"/>
                <w:szCs w:val="18"/>
                <w:color w:val="auto"/>
              </w:rPr>
              <w:t>” means an entity (a) that is a</w:t>
            </w:r>
          </w:p>
        </w:tc>
      </w:tr>
      <w:tr>
        <w:trPr>
          <w:trHeight w:val="234"/>
        </w:trPr>
        <w:tc>
          <w:tcPr>
            <w:tcW w:w="380" w:type="dxa"/>
            <w:vAlign w:val="bottom"/>
          </w:tcPr>
          <w:p>
            <w:pPr>
              <w:spacing w:after="0"/>
              <w:rPr>
                <w:sz w:val="20"/>
                <w:szCs w:val="20"/>
                <w:color w:val="auto"/>
              </w:rPr>
            </w:pPr>
          </w:p>
        </w:tc>
        <w:tc>
          <w:tcPr>
            <w:tcW w:w="10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closed-end management investment company registered under the 1940 Act, or a closed-end management investment company that has elected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889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889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be regulated as a business development company under the 1940 Act,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p>
      <w:pPr>
        <w:spacing w:after="0" w:line="186"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 w:cs="Times New Roman" w:eastAsia="Times New Roman" w:hAnsi="Times New Roman"/>
          <w:sz w:val="18"/>
          <w:szCs w:val="18"/>
          <w:b w:val="1"/>
          <w:bCs w:val="1"/>
          <w:i w:val="1"/>
          <w:iCs w:val="1"/>
          <w:color w:val="auto"/>
        </w:rPr>
        <w:t>Wholly-Owned Investment Sub</w:t>
      </w:r>
      <w:r>
        <w:rPr>
          <w:rFonts w:ascii="Times New Roman" w:cs="Times New Roman" w:eastAsia="Times New Roman" w:hAnsi="Times New Roman"/>
          <w:sz w:val="18"/>
          <w:szCs w:val="18"/>
          <w:color w:val="auto"/>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 w:cs="Times New Roman" w:eastAsia="Times New Roman" w:hAnsi="Times New Roman"/>
          <w:sz w:val="18"/>
          <w:szCs w:val="18"/>
          <w:b w:val="1"/>
          <w:bCs w:val="1"/>
          <w:i w:val="1"/>
          <w:iCs w:val="1"/>
          <w:color w:val="auto"/>
        </w:rPr>
        <w:t>Joint Venture</w:t>
      </w:r>
      <w:r>
        <w:rPr>
          <w:rFonts w:ascii="Times New Roman" w:cs="Times New Roman" w:eastAsia="Times New Roman" w:hAnsi="Times New Roman"/>
          <w:sz w:val="18"/>
          <w:szCs w:val="18"/>
          <w:color w:val="auto"/>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 w:cs="Times New Roman" w:eastAsia="Times New Roman" w:hAnsi="Times New Roman"/>
          <w:sz w:val="18"/>
          <w:szCs w:val="18"/>
          <w:b w:val="1"/>
          <w:bCs w:val="1"/>
          <w:i w:val="1"/>
          <w:iCs w:val="1"/>
          <w:color w:val="auto"/>
        </w:rPr>
        <w:t>BDC Downstream Fund</w:t>
      </w:r>
      <w:r>
        <w:rPr>
          <w:rFonts w:ascii="Times New Roman" w:cs="Times New Roman" w:eastAsia="Times New Roman" w:hAnsi="Times New Roman"/>
          <w:sz w:val="18"/>
          <w:szCs w:val="18"/>
          <w:color w:val="auto"/>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w:t>
      </w:r>
    </w:p>
    <w:p>
      <w:pPr>
        <w:spacing w:after="0" w:line="19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p>
      <w:pPr>
        <w:spacing w:after="0" w:line="179" w:lineRule="exact"/>
        <w:rPr>
          <w:sz w:val="20"/>
          <w:szCs w:val="20"/>
          <w:color w:val="auto"/>
        </w:rPr>
      </w:pPr>
    </w:p>
    <w:p>
      <w:pPr>
        <w:jc w:val="both"/>
        <w:ind w:left="660" w:hanging="652"/>
        <w:spacing w:after="0" w:line="225" w:lineRule="auto"/>
        <w:tabs>
          <w:tab w:leader="none" w:pos="66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Affiliated Entity</w:t>
      </w:r>
      <w:r>
        <w:rPr>
          <w:rFonts w:ascii="Times New Roman" w:cs="Times New Roman" w:eastAsia="Times New Roman" w:hAnsi="Times New Roman"/>
          <w:sz w:val="18"/>
          <w:szCs w:val="18"/>
          <w:color w:val="auto"/>
        </w:rPr>
        <w:t>” means an entity not controlled by a Regulated Fund that intends to engage in Co-Investment Transactions and that is (a) with respect to a Regulated Fund, another Regulated Fund; (b) an Adviser or its affiliates (other than an open-end investment company registered under the 1940 Act), and any direct or indirect, wholly- or majority-owned subsidiary of an Adviser or its affiliates (other than of an open-end investment company registered under the 1940 Act), that is participating in a Co-Investment Transaction in a principal capacity; or (c) any entity that would be an investment company but for Section 3(c) of the 1940 Act or Rule 3a-7 thereunder and whose investment adviser is an Adviser.</w:t>
      </w:r>
    </w:p>
    <w:p>
      <w:pPr>
        <w:spacing w:after="0" w:line="20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To the extent that an entity described in clause (b) is not advised by an Adviser, such entity shall be deemed to be an Adviser for purposes of the conditions.</w:t>
      </w:r>
    </w:p>
    <w:p>
      <w:pPr>
        <w:spacing w:after="0" w:line="158" w:lineRule="exact"/>
        <w:rPr>
          <w:sz w:val="20"/>
          <w:szCs w:val="20"/>
          <w:color w:val="auto"/>
        </w:rPr>
      </w:pPr>
    </w:p>
    <w:p>
      <w:pPr>
        <w:ind w:left="660" w:hanging="652"/>
        <w:spacing w:after="0" w:line="197" w:lineRule="auto"/>
        <w:tabs>
          <w:tab w:leader="none" w:pos="66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Co-Investment Transaction</w:t>
      </w:r>
      <w:r>
        <w:rPr>
          <w:rFonts w:ascii="Times New Roman" w:cs="Times New Roman" w:eastAsia="Times New Roman" w:hAnsi="Times New Roman"/>
          <w:sz w:val="18"/>
          <w:szCs w:val="18"/>
          <w:color w:val="auto"/>
        </w:rPr>
        <w:t>” means the acquisition or Disposition of securities of an issuer in a transaction effected in reliance on the Order or previously granted relief.</w:t>
      </w:r>
    </w:p>
    <w:p>
      <w:pPr>
        <w:spacing w:after="0" w:line="195" w:lineRule="exact"/>
        <w:rPr>
          <w:sz w:val="20"/>
          <w:szCs w:val="20"/>
          <w:color w:val="auto"/>
        </w:rPr>
      </w:pPr>
    </w:p>
    <w:p>
      <w:pPr>
        <w:ind w:left="660" w:right="20" w:hanging="652"/>
        <w:spacing w:after="0" w:line="28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color w:val="FF0000"/>
          <w:strike w:val="1"/>
        </w:rPr>
        <w:t>BDC Adviser,</w:t>
      </w:r>
      <w:r>
        <w:rPr>
          <w:rFonts w:ascii="Times New Roman" w:cs="Times New Roman" w:eastAsia="Times New Roman" w:hAnsi="Times New Roman"/>
          <w:sz w:val="18"/>
          <w:szCs w:val="18"/>
          <w:u w:val="single" w:color="auto"/>
          <w:color w:val="0000FF"/>
        </w:rPr>
        <w:t>Existing Advisers</w:t>
      </w:r>
      <w:r>
        <w:rPr>
          <w:rFonts w:ascii="Times New Roman" w:cs="Times New Roman" w:eastAsia="Times New Roman" w:hAnsi="Times New Roman"/>
          <w:sz w:val="18"/>
          <w:szCs w:val="18"/>
          <w:color w:val="auto"/>
        </w:rPr>
        <w:t xml:space="preserve"> and any other investment adviser controlling, controlled by, or under common control with </w:t>
      </w:r>
      <w:r>
        <w:rPr>
          <w:rFonts w:ascii="Times New Roman" w:cs="Times New Roman" w:eastAsia="Times New Roman" w:hAnsi="Times New Roman"/>
          <w:sz w:val="18"/>
          <w:szCs w:val="18"/>
          <w:color w:val="FF0000"/>
          <w:strike w:val="1"/>
        </w:rPr>
        <w:t>the BDC</w:t>
      </w:r>
      <w:r>
        <w:rPr>
          <w:rFonts w:ascii="Times New Roman" w:cs="Times New Roman" w:eastAsia="Times New Roman" w:hAnsi="Times New Roman"/>
          <w:sz w:val="18"/>
          <w:szCs w:val="18"/>
          <w:u w:val="single" w:color="auto"/>
          <w:color w:val="0000FF"/>
        </w:rPr>
        <w:t>an Existing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Adviser. The term “Adviser” also includes any internally-managed Regulated Fund.</w:t>
      </w:r>
    </w:p>
    <w:p>
      <w:pPr>
        <w:spacing w:after="0" w:line="157" w:lineRule="exact"/>
        <w:rPr>
          <w:sz w:val="20"/>
          <w:szCs w:val="20"/>
          <w:color w:val="auto"/>
        </w:rPr>
      </w:pPr>
    </w:p>
    <w:p>
      <w:pPr>
        <w:ind w:left="660" w:hanging="652"/>
        <w:spacing w:after="0" w:line="284"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 Massachusetts Mutual Life Insurance Co. (pub. avail. June 7, 2000), Massachusetts Mutual Life Insurance Co. (pub. avail. July 28, 2000)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SMC Capital, Inc. (pub. avail. Sept. 5, 1995).</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II.  GENERAL DESCRIPTION OF THE APPLICANTS</w:t>
      </w:r>
    </w:p>
    <w:p>
      <w:pPr>
        <w:spacing w:after="0" w:line="229"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Existing Regulated Fund</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Existing Regulated Fund was </w:t>
      </w:r>
      <w:r>
        <w:rPr>
          <w:rFonts w:ascii="Times New Roman" w:cs="Times New Roman" w:eastAsia="Times New Roman" w:hAnsi="Times New Roman"/>
          <w:sz w:val="18"/>
          <w:szCs w:val="18"/>
          <w:u w:val="single" w:color="auto"/>
          <w:color w:val="FF0000"/>
          <w:strike w:val="1"/>
        </w:rPr>
        <w:t>formed as a Delaware statutory trust under the Delaware Statutory Trust Act on October 30, 2024, for the purpose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operating as an externally-managed, non-diversified,</w:t>
      </w:r>
      <w:r>
        <w:rPr>
          <w:rFonts w:ascii="Times New Roman" w:cs="Times New Roman" w:eastAsia="Times New Roman" w:hAnsi="Times New Roman"/>
          <w:sz w:val="18"/>
          <w:szCs w:val="18"/>
          <w:u w:val="single" w:color="auto"/>
          <w:color w:val="0000FF"/>
        </w:rPr>
        <w:t>incorporated in Maryland on January 25, 2021. The Existing Regulated Fund is 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closed-end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management investment company that has elected to be regulated as a </w:t>
      </w:r>
      <w:r>
        <w:rPr>
          <w:rFonts w:ascii="Times New Roman" w:cs="Times New Roman" w:eastAsia="Times New Roman" w:hAnsi="Times New Roman"/>
          <w:sz w:val="18"/>
          <w:szCs w:val="18"/>
          <w:u w:val="single" w:color="auto"/>
          <w:color w:val="FF0000"/>
          <w:strike w:val="1"/>
        </w:rPr>
        <w:t>business development company</w:t>
      </w:r>
      <w:r>
        <w:rPr>
          <w:rFonts w:ascii="Times New Roman" w:cs="Times New Roman" w:eastAsia="Times New Roman" w:hAnsi="Times New Roman"/>
          <w:sz w:val="18"/>
          <w:szCs w:val="18"/>
          <w:u w:val="single" w:color="auto"/>
          <w:color w:val="0000FF"/>
        </w:rPr>
        <w:t>BDC</w:t>
      </w:r>
      <w:r>
        <w:rPr>
          <w:rFonts w:ascii="Times New Roman" w:cs="Times New Roman" w:eastAsia="Times New Roman" w:hAnsi="Times New Roman"/>
          <w:sz w:val="18"/>
          <w:szCs w:val="18"/>
          <w:color w:val="000000"/>
        </w:rPr>
        <w:t xml:space="preserve"> under the 1940 Act. The Existing Regulated Fund commenced </w:t>
      </w:r>
      <w:r>
        <w:rPr>
          <w:rFonts w:ascii="Times New Roman" w:cs="Times New Roman" w:eastAsia="Times New Roman" w:hAnsi="Times New Roman"/>
          <w:sz w:val="18"/>
          <w:szCs w:val="18"/>
          <w:u w:val="single" w:color="auto"/>
          <w:color w:val="FF0000"/>
          <w:strike w:val="1"/>
        </w:rPr>
        <w:t>investment</w:t>
      </w:r>
      <w:r>
        <w:rPr>
          <w:rFonts w:ascii="Times New Roman" w:cs="Times New Roman" w:eastAsia="Times New Roman" w:hAnsi="Times New Roman"/>
          <w:sz w:val="18"/>
          <w:szCs w:val="18"/>
          <w:color w:val="000000"/>
        </w:rPr>
        <w:t xml:space="preserve"> operations on </w:t>
      </w:r>
      <w:r>
        <w:rPr>
          <w:rFonts w:ascii="Times New Roman" w:cs="Times New Roman" w:eastAsia="Times New Roman" w:hAnsi="Times New Roman"/>
          <w:sz w:val="18"/>
          <w:szCs w:val="18"/>
          <w:u w:val="single" w:color="auto"/>
          <w:color w:val="FF0000"/>
          <w:strike w:val="1"/>
        </w:rPr>
        <w:t>March 3</w:t>
      </w:r>
      <w:r>
        <w:rPr>
          <w:rFonts w:ascii="Times New Roman" w:cs="Times New Roman" w:eastAsia="Times New Roman" w:hAnsi="Times New Roman"/>
          <w:sz w:val="18"/>
          <w:szCs w:val="18"/>
          <w:color w:val="0000FF"/>
        </w:rPr>
        <w:t>February 8</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FF0000"/>
          <w:strike w:val="1"/>
        </w:rPr>
        <w:t>2025</w:t>
      </w:r>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color w:val="000000"/>
        </w:rPr>
        <w:t xml:space="preserve"> The Existing Regulated Fund intends to qualify annually </w:t>
      </w:r>
      <w:r>
        <w:rPr>
          <w:rFonts w:ascii="Times New Roman" w:cs="Times New Roman" w:eastAsia="Times New Roman" w:hAnsi="Times New Roman"/>
          <w:sz w:val="18"/>
          <w:szCs w:val="18"/>
          <w:u w:val="single" w:color="auto"/>
          <w:color w:val="FF0000"/>
          <w:strike w:val="1"/>
        </w:rPr>
        <w:t>to be treated</w:t>
      </w:r>
      <w:r>
        <w:rPr>
          <w:rFonts w:ascii="Times New Roman" w:cs="Times New Roman" w:eastAsia="Times New Roman" w:hAnsi="Times New Roman"/>
          <w:sz w:val="18"/>
          <w:szCs w:val="18"/>
          <w:color w:val="000000"/>
        </w:rPr>
        <w:t xml:space="preserve"> as a regulated investment company under </w:t>
      </w:r>
      <w:r>
        <w:rPr>
          <w:rFonts w:ascii="Times New Roman" w:cs="Times New Roman" w:eastAsia="Times New Roman" w:hAnsi="Times New Roman"/>
          <w:sz w:val="18"/>
          <w:szCs w:val="18"/>
          <w:u w:val="single" w:color="auto"/>
          <w:color w:val="FF0000"/>
          <w:strike w:val="1"/>
        </w:rPr>
        <w:t>Sub-Chapter</w:t>
      </w:r>
      <w:r>
        <w:rPr>
          <w:rFonts w:ascii="Times New Roman" w:cs="Times New Roman" w:eastAsia="Times New Roman" w:hAnsi="Times New Roman"/>
          <w:sz w:val="18"/>
          <w:szCs w:val="18"/>
          <w:u w:val="single" w:color="auto"/>
          <w:color w:val="0000FF"/>
        </w:rPr>
        <w:t>Subchapter</w:t>
      </w:r>
      <w:r>
        <w:rPr>
          <w:rFonts w:ascii="Times New Roman" w:cs="Times New Roman" w:eastAsia="Times New Roman" w:hAnsi="Times New Roman"/>
          <w:sz w:val="18"/>
          <w:szCs w:val="18"/>
          <w:color w:val="000000"/>
        </w:rPr>
        <w:t xml:space="preserve"> M of the Internal Revenue Code of 1986, as amended. The Existing Regulated Fund’s principal place of business is </w:t>
      </w:r>
      <w:r>
        <w:rPr>
          <w:rFonts w:ascii="Times New Roman" w:cs="Times New Roman" w:eastAsia="Times New Roman" w:hAnsi="Times New Roman"/>
          <w:sz w:val="18"/>
          <w:szCs w:val="18"/>
          <w:u w:val="single" w:color="auto"/>
          <w:color w:val="FF0000"/>
          <w:strike w:val="1"/>
        </w:rPr>
        <w:t>10 S. Wacker Drive, Suite 3540, Chicago, Illinois 60606.</w:t>
      </w:r>
      <w:r>
        <w:rPr>
          <w:rFonts w:ascii="Times New Roman" w:cs="Times New Roman" w:eastAsia="Times New Roman" w:hAnsi="Times New Roman"/>
          <w:sz w:val="18"/>
          <w:szCs w:val="18"/>
          <w:u w:val="single" w:color="auto"/>
          <w:color w:val="0000FF"/>
        </w:rPr>
        <w:t>600 Madison Avenue, Suite 1800, New York, NY 10022.</w:t>
      </w:r>
    </w:p>
    <w:p>
      <w:pPr>
        <w:spacing w:after="0" w:line="18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8"/>
          <w:szCs w:val="18"/>
          <w:color w:val="auto"/>
        </w:rPr>
        <w:t xml:space="preserve">The Existing Regulated Fund’s investment objective is to maximize </w:t>
      </w:r>
      <w:r>
        <w:rPr>
          <w:rFonts w:ascii="Times New Roman" w:cs="Times New Roman" w:eastAsia="Times New Roman" w:hAnsi="Times New Roman"/>
          <w:sz w:val="18"/>
          <w:szCs w:val="18"/>
          <w:u w:val="single" w:color="auto"/>
          <w:color w:val="FF0000"/>
          <w:strike w:val="1"/>
        </w:rPr>
        <w:t>capital appreciation by investing in a portfolio primarily consisting of secured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investments in target U.S.-based portfolio companies, which are qualifying as “eligible portfolio companies” under the Investment Company Act. The Existing Regulated Fund may also invest on an opportunistic basis in “non-qualifying” investments, such as investments in non-U.S. companies that otherwise meet the Existing Regulated Fund’s objectives and strategies</w:t>
      </w:r>
      <w:r>
        <w:rPr>
          <w:rFonts w:ascii="Times New Roman" w:cs="Times New Roman" w:eastAsia="Times New Roman" w:hAnsi="Times New Roman"/>
          <w:sz w:val="18"/>
          <w:szCs w:val="18"/>
          <w:u w:val="single" w:color="auto"/>
          <w:color w:val="0000FF"/>
          <w:strike w:val="1"/>
        </w:rPr>
        <w:t>risk-adjusted returns on equity for its shareholders</w:t>
      </w:r>
      <w:r>
        <w:rPr>
          <w:rFonts w:ascii="Times New Roman" w:cs="Times New Roman" w:eastAsia="Times New Roman" w:hAnsi="Times New Roman"/>
          <w:sz w:val="18"/>
          <w:szCs w:val="18"/>
          <w:u w:val="single" w:color="auto"/>
          <w:color w:val="000000"/>
          <w:strike w:val="1"/>
        </w:rPr>
        <w: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The Existing Regulated Fund has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a five member</w:t>
      </w:r>
      <w:r>
        <w:rPr>
          <w:rFonts w:ascii="Times New Roman" w:cs="Times New Roman" w:eastAsia="Times New Roman" w:hAnsi="Times New Roman"/>
          <w:sz w:val="18"/>
          <w:szCs w:val="18"/>
          <w:u w:val="single" w:color="auto"/>
          <w:color w:val="0000FF"/>
          <w:strike w:val="1"/>
        </w:rPr>
        <w:t>an eight-member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board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w:t>
      </w:r>
      <w:r>
        <w:rPr>
          <w:rFonts w:ascii="Times New Roman" w:cs="Times New Roman" w:eastAsia="Times New Roman" w:hAnsi="Times New Roman"/>
          <w:sz w:val="18"/>
          <w:szCs w:val="18"/>
          <w:b w:val="1"/>
          <w:bCs w:val="1"/>
          <w:i w:val="1"/>
          <w:iCs w:val="1"/>
          <w:u w:val="single" w:color="auto"/>
          <w:color w:val="0000FF"/>
          <w:strike w:val="1"/>
        </w:rPr>
        <w:t>Existing Regulated Fund Board</w:t>
      </w:r>
      <w:r>
        <w:rPr>
          <w:rFonts w:ascii="Times New Roman" w:cs="Times New Roman" w:eastAsia="Times New Roman" w:hAnsi="Times New Roman"/>
          <w:sz w:val="18"/>
          <w:szCs w:val="18"/>
          <w:u w:val="single" w:color="auto"/>
          <w:color w:val="0000FF"/>
          <w:strike w:val="1"/>
        </w:rPr>
        <w:t>” and together with any Future Regulated Fund’s board of directors,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b w:val="1"/>
          <w:bCs w:val="1"/>
          <w:i w:val="1"/>
          <w:iCs w:val="1"/>
          <w:color w:val="000000"/>
          <w:strike w:val="1"/>
        </w:rPr>
        <w:t>Board</w:t>
      </w:r>
      <w:r>
        <w:rPr>
          <w:rFonts w:ascii="Times New Roman" w:cs="Times New Roman" w:eastAsia="Times New Roman" w:hAnsi="Times New Roman"/>
          <w:sz w:val="18"/>
          <w:szCs w:val="18"/>
          <w:color w:val="000000"/>
          <w:strike w:val="1"/>
        </w:rPr>
        <w:t xml:space="preserve">”), of which </w:t>
      </w:r>
      <w:r>
        <w:rPr>
          <w:rFonts w:ascii="Times New Roman" w:cs="Times New Roman" w:eastAsia="Times New Roman" w:hAnsi="Times New Roman"/>
          <w:sz w:val="18"/>
          <w:szCs w:val="18"/>
          <w:u w:val="single" w:color="auto"/>
          <w:color w:val="FF0000"/>
          <w:strike w:val="1"/>
        </w:rPr>
        <w:t>three</w:t>
      </w:r>
      <w:r>
        <w:rPr>
          <w:rFonts w:ascii="Times New Roman" w:cs="Times New Roman" w:eastAsia="Times New Roman" w:hAnsi="Times New Roman"/>
          <w:sz w:val="18"/>
          <w:szCs w:val="18"/>
          <w:u w:val="single" w:color="auto"/>
          <w:color w:val="0000FF"/>
          <w:strike w:val="1"/>
        </w:rPr>
        <w:t>six members</w:t>
      </w:r>
      <w:r>
        <w:rPr>
          <w:rFonts w:ascii="Times New Roman" w:cs="Times New Roman" w:eastAsia="Times New Roman" w:hAnsi="Times New Roman"/>
          <w:sz w:val="18"/>
          <w:szCs w:val="18"/>
          <w:color w:val="000000"/>
          <w:strike w:val="1"/>
        </w:rPr>
        <w:t xml:space="preserve"> are not “interested” persons of the </w:t>
      </w:r>
      <w:r>
        <w:rPr>
          <w:rFonts w:ascii="Times New Roman" w:cs="Times New Roman" w:eastAsia="Times New Roman" w:hAnsi="Times New Roman"/>
          <w:sz w:val="18"/>
          <w:szCs w:val="18"/>
          <w:u w:val="single" w:color="auto"/>
          <w:color w:val="0000FF"/>
          <w:strike w:val="1"/>
        </w:rPr>
        <w:t>Existing Regulated</w:t>
      </w:r>
      <w:r>
        <w:rPr>
          <w:rFonts w:ascii="Times New Roman" w:cs="Times New Roman" w:eastAsia="Times New Roman" w:hAnsi="Times New Roman"/>
          <w:sz w:val="18"/>
          <w:szCs w:val="18"/>
          <w:color w:val="000000"/>
          <w:strike w:val="1"/>
        </w:rPr>
        <w:t xml:space="preserve"> Fund within the meaning of Section 2(a)(19) of the </w:t>
      </w:r>
      <w:r>
        <w:rPr>
          <w:rFonts w:ascii="Times New Roman" w:cs="Times New Roman" w:eastAsia="Times New Roman" w:hAnsi="Times New Roman"/>
          <w:sz w:val="18"/>
          <w:szCs w:val="18"/>
          <w:u w:val="single" w:color="auto"/>
          <w:color w:val="0000FF"/>
          <w:strike w:val="1"/>
        </w:rPr>
        <w:t>1940</w:t>
      </w:r>
      <w:r>
        <w:rPr>
          <w:rFonts w:ascii="Times New Roman" w:cs="Times New Roman" w:eastAsia="Times New Roman" w:hAnsi="Times New Roman"/>
          <w:sz w:val="18"/>
          <w:szCs w:val="18"/>
          <w:color w:val="000000"/>
          <w:strike w:val="1"/>
        </w:rPr>
        <w:t xml:space="preserve"> Act.</w:t>
      </w:r>
      <w:r>
        <w:rPr>
          <w:rFonts w:ascii="Times New Roman" w:cs="Times New Roman" w:eastAsia="Times New Roman" w:hAnsi="Times New Roman"/>
          <w:sz w:val="29"/>
          <w:szCs w:val="29"/>
          <w:color w:val="000000"/>
          <w:strike w:val="1"/>
          <w:vertAlign w:val="superscript"/>
        </w:rPr>
        <w:t>10</w:t>
      </w:r>
    </w:p>
    <w:p>
      <w:pPr>
        <w:spacing w:after="0" w:line="62" w:lineRule="exact"/>
        <w:rPr>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The Existing Affiliated Funds and the Existing Proprietary </w:t>
      </w:r>
      <w:r>
        <w:rPr>
          <w:rFonts w:ascii="Times New Roman" w:cs="Times New Roman" w:eastAsia="Times New Roman" w:hAnsi="Times New Roman"/>
          <w:sz w:val="18"/>
          <w:szCs w:val="18"/>
          <w:u w:val="single" w:color="auto"/>
          <w:color w:val="FF0000"/>
          <w:strike w:val="1"/>
        </w:rPr>
        <w:t>Account</w:t>
      </w:r>
      <w:r>
        <w:rPr>
          <w:rFonts w:ascii="Times New Roman" w:cs="Times New Roman" w:eastAsia="Times New Roman" w:hAnsi="Times New Roman"/>
          <w:sz w:val="18"/>
          <w:szCs w:val="18"/>
          <w:u w:val="single" w:color="auto"/>
          <w:color w:val="0000FF"/>
        </w:rPr>
        <w:t>Accounts</w:t>
      </w:r>
    </w:p>
    <w:p>
      <w:pPr>
        <w:spacing w:after="0" w:line="225"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The Existing Affiliated Funds are investment funds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each of whose investment adviser is an Adviser and each of which would be an investment company but for Section 3(c)(</w:t>
      </w:r>
      <w:r>
        <w:rPr>
          <w:rFonts w:ascii="Times New Roman" w:cs="Times New Roman" w:eastAsia="Times New Roman" w:hAnsi="Times New Roman"/>
          <w:sz w:val="18"/>
          <w:szCs w:val="18"/>
          <w:u w:val="single" w:color="auto"/>
          <w:color w:val="0000FF"/>
        </w:rPr>
        <w:t>5) or 3(c)(</w:t>
      </w:r>
      <w:r>
        <w:rPr>
          <w:rFonts w:ascii="Times New Roman" w:cs="Times New Roman" w:eastAsia="Times New Roman" w:hAnsi="Times New Roman"/>
          <w:sz w:val="18"/>
          <w:szCs w:val="18"/>
          <w:color w:val="auto"/>
        </w:rPr>
        <w:t xml:space="preserve">7) of the </w:t>
      </w:r>
      <w:r>
        <w:rPr>
          <w:rFonts w:ascii="Times New Roman" w:cs="Times New Roman" w:eastAsia="Times New Roman" w:hAnsi="Times New Roman"/>
          <w:sz w:val="18"/>
          <w:szCs w:val="18"/>
          <w:u w:val="single" w:color="auto"/>
          <w:color w:val="0000FF"/>
        </w:rPr>
        <w:t>1940</w:t>
      </w:r>
      <w:r>
        <w:rPr>
          <w:rFonts w:ascii="Times New Roman" w:cs="Times New Roman" w:eastAsia="Times New Roman" w:hAnsi="Times New Roman"/>
          <w:sz w:val="18"/>
          <w:szCs w:val="18"/>
          <w:color w:val="auto"/>
        </w:rPr>
        <w:t xml:space="preserve"> Act.</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A list of the Existing Affiliated Funds and their respective investment </w:t>
      </w:r>
      <w:r>
        <w:rPr>
          <w:rFonts w:ascii="Times New Roman" w:cs="Times New Roman" w:eastAsia="Times New Roman" w:hAnsi="Times New Roman"/>
          <w:sz w:val="18"/>
          <w:szCs w:val="18"/>
          <w:color w:val="FF0000"/>
          <w:strike w:val="1"/>
        </w:rPr>
        <w:t>advisers</w:t>
      </w:r>
      <w:r>
        <w:rPr>
          <w:rFonts w:ascii="Times New Roman" w:cs="Times New Roman" w:eastAsia="Times New Roman" w:hAnsi="Times New Roman"/>
          <w:sz w:val="18"/>
          <w:szCs w:val="18"/>
          <w:u w:val="single" w:color="auto"/>
          <w:color w:val="0000FF"/>
        </w:rPr>
        <w:t>adviser</w:t>
      </w:r>
      <w:r>
        <w:rPr>
          <w:rFonts w:ascii="Times New Roman" w:cs="Times New Roman" w:eastAsia="Times New Roman" w:hAnsi="Times New Roman"/>
          <w:sz w:val="18"/>
          <w:szCs w:val="18"/>
          <w:color w:val="auto"/>
        </w:rPr>
        <w:t xml:space="preserve"> is included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Existing Proprietary </w:t>
      </w:r>
      <w:r>
        <w:rPr>
          <w:rFonts w:ascii="Times New Roman" w:cs="Times New Roman" w:eastAsia="Times New Roman" w:hAnsi="Times New Roman"/>
          <w:sz w:val="18"/>
          <w:szCs w:val="18"/>
          <w:color w:val="FF0000"/>
          <w:strike w:val="1"/>
        </w:rPr>
        <w:t>Account</w:t>
      </w:r>
      <w:r>
        <w:rPr>
          <w:rFonts w:ascii="Times New Roman" w:cs="Times New Roman" w:eastAsia="Times New Roman" w:hAnsi="Times New Roman"/>
          <w:sz w:val="18"/>
          <w:szCs w:val="18"/>
          <w:u w:val="single" w:color="auto"/>
          <w:color w:val="0000FF"/>
        </w:rPr>
        <w:t>Accounts</w:t>
      </w:r>
      <w:r>
        <w:rPr>
          <w:rFonts w:ascii="Times New Roman" w:cs="Times New Roman" w:eastAsia="Times New Roman" w:hAnsi="Times New Roman"/>
          <w:sz w:val="18"/>
          <w:szCs w:val="18"/>
          <w:color w:val="auto"/>
        </w:rPr>
        <w:t xml:space="preserve"> will</w:t>
      </w:r>
      <w:r>
        <w:rPr>
          <w:rFonts w:ascii="Times New Roman" w:cs="Times New Roman" w:eastAsia="Times New Roman" w:hAnsi="Times New Roman"/>
          <w:sz w:val="18"/>
          <w:szCs w:val="18"/>
          <w:u w:val="single" w:color="auto"/>
          <w:color w:val="0000FF"/>
        </w:rPr>
        <w:t>, from time to time,</w:t>
      </w:r>
      <w:r>
        <w:rPr>
          <w:rFonts w:ascii="Times New Roman" w:cs="Times New Roman" w:eastAsia="Times New Roman" w:hAnsi="Times New Roman"/>
          <w:sz w:val="18"/>
          <w:szCs w:val="18"/>
          <w:color w:val="auto"/>
        </w:rPr>
        <w:t xml:space="preserve"> hold various financial assets in a principal capacity. The </w:t>
      </w:r>
      <w:r>
        <w:rPr>
          <w:rFonts w:ascii="Times New Roman" w:cs="Times New Roman" w:eastAsia="Times New Roman" w:hAnsi="Times New Roman"/>
          <w:sz w:val="18"/>
          <w:szCs w:val="18"/>
          <w:color w:val="FF0000"/>
          <w:strike w:val="1"/>
        </w:rPr>
        <w:t>BDC Adviser and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affiliates</w:t>
      </w:r>
      <w:r>
        <w:rPr>
          <w:rFonts w:ascii="Times New Roman" w:cs="Times New Roman" w:eastAsia="Times New Roman" w:hAnsi="Times New Roman"/>
          <w:sz w:val="18"/>
          <w:szCs w:val="18"/>
          <w:u w:val="single" w:color="auto"/>
          <w:color w:val="0000FF"/>
        </w:rPr>
        <w:t>Existing Advisers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operate various business lines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directly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through their wholly or majority owned subsidiaries, and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affiliate that exists</w:t>
      </w:r>
      <w:r>
        <w:rPr>
          <w:rFonts w:ascii="Times New Roman" w:cs="Times New Roman" w:eastAsia="Times New Roman" w:hAnsi="Times New Roman"/>
          <w:sz w:val="18"/>
          <w:szCs w:val="18"/>
          <w:u w:val="single" w:color="auto"/>
          <w:color w:val="0000FF"/>
        </w:rPr>
        <w:t>wholly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or majority owned subsidiaries that exist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currently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intends</w:t>
      </w:r>
      <w:r>
        <w:rPr>
          <w:rFonts w:ascii="Times New Roman" w:cs="Times New Roman" w:eastAsia="Times New Roman" w:hAnsi="Times New Roman"/>
          <w:sz w:val="18"/>
          <w:szCs w:val="18"/>
          <w:u w:val="single" w:color="auto"/>
          <w:color w:val="0000FF"/>
        </w:rPr>
        <w:t>intend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participate in Co-Investment Transactions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has</w:t>
      </w:r>
      <w:r>
        <w:rPr>
          <w:rFonts w:ascii="Times New Roman" w:cs="Times New Roman" w:eastAsia="Times New Roman" w:hAnsi="Times New Roman"/>
          <w:sz w:val="18"/>
          <w:szCs w:val="18"/>
          <w:u w:val="single" w:color="auto"/>
          <w:color w:val="0000FF"/>
        </w:rPr>
        <w:t>have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been included 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Applicant</w:t>
      </w:r>
      <w:r>
        <w:rPr>
          <w:rFonts w:ascii="Times New Roman" w:cs="Times New Roman" w:eastAsia="Times New Roman" w:hAnsi="Times New Roman"/>
          <w:sz w:val="18"/>
          <w:szCs w:val="18"/>
          <w:u w:val="single" w:color="auto"/>
          <w:color w:val="0000FF"/>
        </w:rPr>
        <w:t>Applicants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herein.</w:t>
      </w:r>
    </w:p>
    <w:p>
      <w:pPr>
        <w:spacing w:after="0" w:line="180" w:lineRule="exact"/>
        <w:rPr>
          <w:sz w:val="20"/>
          <w:szCs w:val="20"/>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The </w:t>
      </w:r>
      <w:r>
        <w:rPr>
          <w:rFonts w:ascii="Times New Roman" w:cs="Times New Roman" w:eastAsia="Times New Roman" w:hAnsi="Times New Roman"/>
          <w:sz w:val="18"/>
          <w:szCs w:val="18"/>
          <w:u w:val="single" w:color="auto"/>
          <w:color w:val="FF0000"/>
        </w:rPr>
        <w:t>BDC Adviser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FF"/>
        </w:rPr>
        <w:t>Existing Advisers</w:t>
      </w:r>
    </w:p>
    <w:p>
      <w:pPr>
        <w:spacing w:after="0" w:line="25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BDC Adviser serves as the investment adviser of the Existing Regulated Fund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CAA, CAEA, CO3 Advisers, CAIM, and CARM serve as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investment adviser of certain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Existing Affiliated Funds, 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applicable</w:t>
      </w:r>
      <w:r>
        <w:rPr>
          <w:rFonts w:ascii="Times New Roman" w:cs="Times New Roman" w:eastAsia="Times New Roman" w:hAnsi="Times New Roman"/>
          <w:sz w:val="18"/>
          <w:szCs w:val="18"/>
          <w:u w:val="single" w:color="auto"/>
          <w:color w:val="0000FF"/>
        </w:rPr>
        <w:t>noted on Schedule A</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either it</w:t>
      </w:r>
      <w:r>
        <w:rPr>
          <w:rFonts w:ascii="Times New Roman" w:cs="Times New Roman" w:eastAsia="Times New Roman" w:hAnsi="Times New Roman"/>
          <w:sz w:val="18"/>
          <w:szCs w:val="18"/>
          <w:u w:val="single" w:color="auto"/>
          <w:color w:val="0000FF"/>
        </w:rPr>
        <w:t>BDC Adviser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another Adviser will serve 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the investment adviser to any Future Regulated Fund. </w:t>
      </w:r>
      <w:r>
        <w:rPr>
          <w:rFonts w:ascii="Times New Roman" w:cs="Times New Roman" w:eastAsia="Times New Roman" w:hAnsi="Times New Roman"/>
          <w:sz w:val="18"/>
          <w:szCs w:val="18"/>
          <w:color w:val="FF0000"/>
          <w:strike w:val="1"/>
        </w:rPr>
        <w:t>The BDC Adviser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8000"/>
          <w:strike w:val="1"/>
        </w:rPr>
        <w:t>is a Delaware limited liability company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and is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8000"/>
          <w:strike w:val="1"/>
        </w:rPr>
        <w:t>a registered investment adviser with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8000"/>
          <w:strike w:val="1"/>
        </w:rPr>
        <w:t>the Commission under the Advisers Act.</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000000"/>
        </w:rPr>
        <w:t>On the date of this Application, the</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FF0000"/>
          <w:strike w:val="1"/>
        </w:rPr>
        <w:t>BDC Adviser’s sole</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000000"/>
        </w:rPr>
        <w:t>clients</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u w:val="single" w:color="auto"/>
          <w:color w:val="0000FF"/>
        </w:rPr>
        <w:t>of each Adviser</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000000"/>
        </w:rPr>
        <w:t>that intend to rely on this</w:t>
      </w:r>
      <w:r>
        <w:rPr>
          <w:rFonts w:ascii="Times New Roman" w:cs="Times New Roman" w:eastAsia="Times New Roman" w:hAnsi="Times New Roman"/>
          <w:sz w:val="18"/>
          <w:szCs w:val="18"/>
          <w:color w:val="008000"/>
        </w:rPr>
        <w:t xml:space="preserve"> </w:t>
      </w:r>
      <w:r>
        <w:rPr>
          <w:rFonts w:ascii="Times New Roman" w:cs="Times New Roman" w:eastAsia="Times New Roman" w:hAnsi="Times New Roman"/>
          <w:sz w:val="18"/>
          <w:szCs w:val="18"/>
          <w:color w:val="FF0000"/>
          <w:strike w:val="1"/>
        </w:rPr>
        <w:t>application</w:t>
      </w:r>
      <w:r>
        <w:rPr>
          <w:rFonts w:ascii="Times New Roman" w:cs="Times New Roman" w:eastAsia="Times New Roman" w:hAnsi="Times New Roman"/>
          <w:sz w:val="18"/>
          <w:szCs w:val="18"/>
          <w:u w:val="single" w:color="auto"/>
          <w:color w:val="0000FF"/>
        </w:rPr>
        <w:t>Application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are the Existing Regulated Fund and the Existing Affiliated Funds identified on Schedule A hereto.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BDC Adviser also provides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 xml:space="preserve">administrative services </w:t>
      </w:r>
      <w:r>
        <w:rPr>
          <w:rFonts w:ascii="Times New Roman" w:cs="Times New Roman" w:eastAsia="Times New Roman" w:hAnsi="Times New Roman"/>
          <w:sz w:val="18"/>
          <w:szCs w:val="18"/>
          <w:u w:val="single" w:color="auto"/>
          <w:color w:val="008000"/>
        </w:rPr>
        <w:t>to the Existing Regulated Fund</w:t>
      </w:r>
      <w:r>
        <w:rPr>
          <w:rFonts w:ascii="Times New Roman" w:cs="Times New Roman" w:eastAsia="Times New Roman" w:hAnsi="Times New Roman"/>
          <w:sz w:val="18"/>
          <w:szCs w:val="18"/>
          <w:u w:val="single" w:color="auto"/>
          <w:color w:val="0000FF"/>
        </w:rPr>
        <w:t xml:space="preserve"> under an administrative services agreement. Each of the Existing Advisers </w:t>
      </w:r>
      <w:r>
        <w:rPr>
          <w:rFonts w:ascii="Times New Roman" w:cs="Times New Roman" w:eastAsia="Times New Roman" w:hAnsi="Times New Roman"/>
          <w:sz w:val="18"/>
          <w:szCs w:val="18"/>
          <w:u w:val="single" w:color="auto"/>
          <w:color w:val="008000"/>
        </w:rPr>
        <w:t>is a Delaware limited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u w:val="single" w:color="auto"/>
          <w:color w:val="008000"/>
        </w:rPr>
        <w:t>liability company</w:t>
      </w:r>
      <w:r>
        <w:rPr>
          <w:rFonts w:ascii="Times New Roman" w:cs="Times New Roman" w:eastAsia="Times New Roman" w:hAnsi="Times New Roman"/>
          <w:sz w:val="18"/>
          <w:szCs w:val="18"/>
          <w:u w:val="single" w:color="auto"/>
          <w:color w:val="0000FF"/>
        </w:rPr>
        <w:t>. Each of BDC Adviser and CAA is</w:t>
      </w:r>
      <w:r>
        <w:rPr>
          <w:rFonts w:ascii="Times New Roman" w:cs="Times New Roman" w:eastAsia="Times New Roman" w:hAnsi="Times New Roman"/>
          <w:sz w:val="18"/>
          <w:szCs w:val="18"/>
          <w:u w:val="single" w:color="auto"/>
          <w:color w:val="008000"/>
        </w:rPr>
        <w:t xml:space="preserve"> a registered investment adviser with the Commission under the Advisers Act. </w:t>
      </w:r>
      <w:r>
        <w:rPr>
          <w:rFonts w:ascii="Times New Roman" w:cs="Times New Roman" w:eastAsia="Times New Roman" w:hAnsi="Times New Roman"/>
          <w:sz w:val="18"/>
          <w:szCs w:val="18"/>
          <w:u w:val="single" w:color="auto"/>
          <w:color w:val="0000FF"/>
        </w:rPr>
        <w:t>Each of CAEA, CO3</w:t>
      </w:r>
      <w:r>
        <w:rPr>
          <w:rFonts w:ascii="Times New Roman" w:cs="Times New Roman" w:eastAsia="Times New Roman" w:hAnsi="Times New Roman"/>
          <w:sz w:val="18"/>
          <w:szCs w:val="18"/>
          <w:u w:val="single" w:color="auto"/>
          <w:color w:val="008000"/>
        </w:rPr>
        <w:t xml:space="preserve"> </w:t>
      </w:r>
      <w:r>
        <w:rPr>
          <w:rFonts w:ascii="Times New Roman" w:cs="Times New Roman" w:eastAsia="Times New Roman" w:hAnsi="Times New Roman"/>
          <w:sz w:val="18"/>
          <w:szCs w:val="18"/>
          <w:u w:val="single" w:color="auto"/>
          <w:color w:val="0000FF"/>
        </w:rPr>
        <w:t>Advisers, and CAIM is a relying adviser of CAA.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8308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2" w:lineRule="exact"/>
        <w:rPr>
          <w:sz w:val="20"/>
          <w:szCs w:val="20"/>
          <w:color w:val="auto"/>
        </w:rPr>
      </w:pPr>
    </w:p>
    <w:p>
      <w:pPr>
        <w:ind w:left="660" w:hanging="652"/>
        <w:spacing w:after="0" w:line="195" w:lineRule="auto"/>
        <w:tabs>
          <w:tab w:leader="none" w:pos="66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Board of each Future Regulated Fund will consist of a majority of members who are not “interested persons” of such Future Regulated Fund within the meaning of Section 2(a)(19) of the </w:t>
      </w:r>
      <w:r>
        <w:rPr>
          <w:rFonts w:ascii="Times New Roman" w:cs="Times New Roman" w:eastAsia="Times New Roman" w:hAnsi="Times New Roman"/>
          <w:sz w:val="18"/>
          <w:szCs w:val="18"/>
          <w:u w:val="single" w:color="auto"/>
          <w:color w:val="0000FF"/>
        </w:rPr>
        <w:t>1940</w:t>
      </w:r>
      <w:r>
        <w:rPr>
          <w:rFonts w:ascii="Times New Roman" w:cs="Times New Roman" w:eastAsia="Times New Roman" w:hAnsi="Times New Roman"/>
          <w:sz w:val="18"/>
          <w:szCs w:val="18"/>
          <w:color w:val="auto"/>
        </w:rPr>
        <w:t xml:space="preserve"> Act.</w:t>
      </w:r>
    </w:p>
    <w:p>
      <w:pPr>
        <w:spacing w:after="0" w:line="199" w:lineRule="exact"/>
        <w:rPr>
          <w:rFonts w:ascii="Times New Roman" w:cs="Times New Roman" w:eastAsia="Times New Roman" w:hAnsi="Times New Roman"/>
          <w:sz w:val="30"/>
          <w:szCs w:val="30"/>
          <w:color w:val="auto"/>
          <w:vertAlign w:val="superscript"/>
        </w:rPr>
      </w:pPr>
    </w:p>
    <w:p>
      <w:pPr>
        <w:ind w:left="660" w:hanging="652"/>
        <w:spacing w:after="0" w:line="195" w:lineRule="auto"/>
        <w:tabs>
          <w:tab w:leader="none" w:pos="66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 the future,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an</w:t>
      </w:r>
      <w:r>
        <w:rPr>
          <w:rFonts w:ascii="Times New Roman" w:cs="Times New Roman" w:eastAsia="Times New Roman" w:hAnsi="Times New Roman"/>
          <w:sz w:val="18"/>
          <w:szCs w:val="18"/>
          <w:color w:val="auto"/>
        </w:rPr>
        <w:t xml:space="preserve"> Affiliated Fund may register as a closed-end management investment company under the Act and, if so registered, will be considered a Regulated Fund for purposes of this application.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ind w:firstLine="324"/>
        <w:spacing w:after="0" w:line="262" w:lineRule="auto"/>
        <w:rPr>
          <w:sz w:val="20"/>
          <w:szCs w:val="20"/>
          <w:color w:val="auto"/>
        </w:rPr>
      </w:pPr>
      <w:r>
        <w:rPr>
          <w:rFonts w:ascii="Times New Roman" w:cs="Times New Roman" w:eastAsia="Times New Roman" w:hAnsi="Times New Roman"/>
          <w:sz w:val="18"/>
          <w:szCs w:val="18"/>
          <w:u w:val="single" w:color="auto"/>
          <w:color w:val="0000FF"/>
        </w:rPr>
        <w:t>Each Existing Adviser is a direct or indirect majority-owned subsidiary of Chicago Atlantic Group, LP (“</w:t>
      </w:r>
      <w:r>
        <w:rPr>
          <w:rFonts w:ascii="Times New Roman" w:cs="Times New Roman" w:eastAsia="Times New Roman" w:hAnsi="Times New Roman"/>
          <w:sz w:val="18"/>
          <w:szCs w:val="18"/>
          <w:b w:val="1"/>
          <w:bCs w:val="1"/>
          <w:i w:val="1"/>
          <w:iCs w:val="1"/>
          <w:u w:val="single" w:color="auto"/>
          <w:color w:val="0000FF"/>
        </w:rPr>
        <w:t>CAG</w:t>
      </w:r>
      <w:r>
        <w:rPr>
          <w:rFonts w:ascii="Times New Roman" w:cs="Times New Roman" w:eastAsia="Times New Roman" w:hAnsi="Times New Roman"/>
          <w:sz w:val="18"/>
          <w:szCs w:val="18"/>
          <w:u w:val="single" w:color="auto"/>
          <w:color w:val="0000FF"/>
        </w:rPr>
        <w:t>”), a Delaware limited partnership. CAG is an alternative investment manager focused on industries and companies where demand for capital exceeds traditional supply. CAG’s investment strategies include opportunistic private credit and equity with focuses on loans to esoteric industries, specialty asset-based loans, liquidity solutions and growth and technology finance. CAG has offices in Chicago, Miami, New York and London.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Under the terms of an investment advisory agreement with the Existing Regulated Fund and each Existing Affiliated Fund, </w:t>
      </w:r>
      <w:r>
        <w:rPr>
          <w:rFonts w:ascii="Times New Roman" w:cs="Times New Roman" w:eastAsia="Times New Roman" w:hAnsi="Times New Roman"/>
          <w:sz w:val="18"/>
          <w:szCs w:val="18"/>
          <w:color w:val="FF0000"/>
          <w:strike w:val="1"/>
        </w:rPr>
        <w:t>respectively</w:t>
      </w:r>
      <w:r>
        <w:rPr>
          <w:rFonts w:ascii="Times New Roman" w:cs="Times New Roman" w:eastAsia="Times New Roman" w:hAnsi="Times New Roman"/>
          <w:sz w:val="18"/>
          <w:szCs w:val="18"/>
          <w:u w:val="single" w:color="auto"/>
          <w:color w:val="0000FF"/>
        </w:rPr>
        <w:t>as applicable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FF0000"/>
          <w:strike w:val="1"/>
        </w:rPr>
        <w:t>BDC Adviser</w:t>
      </w:r>
      <w:r>
        <w:rPr>
          <w:rFonts w:ascii="Times New Roman" w:cs="Times New Roman" w:eastAsia="Times New Roman" w:hAnsi="Times New Roman"/>
          <w:sz w:val="18"/>
          <w:szCs w:val="18"/>
          <w:u w:val="single" w:color="auto"/>
          <w:color w:val="0000FF"/>
        </w:rPr>
        <w:t>Existing Advisers</w:t>
      </w:r>
      <w:r>
        <w:rPr>
          <w:rFonts w:ascii="Times New Roman" w:cs="Times New Roman" w:eastAsia="Times New Roman" w:hAnsi="Times New Roman"/>
          <w:sz w:val="18"/>
          <w:szCs w:val="18"/>
          <w:color w:val="auto"/>
        </w:rPr>
        <w:t xml:space="preserve"> will, among other things, manage the investment portfolio, direct purchases and sales of portfolio securities and report thereon to </w:t>
      </w:r>
      <w:r>
        <w:rPr>
          <w:rFonts w:ascii="Times New Roman" w:cs="Times New Roman" w:eastAsia="Times New Roman" w:hAnsi="Times New Roman"/>
          <w:sz w:val="18"/>
          <w:szCs w:val="18"/>
          <w:color w:val="FF0000"/>
          <w:strike w:val="1"/>
        </w:rPr>
        <w:t>each</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Existing Regulated Fund’s and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each</w:t>
      </w:r>
      <w:r>
        <w:rPr>
          <w:rFonts w:ascii="Times New Roman" w:cs="Times New Roman" w:eastAsia="Times New Roman" w:hAnsi="Times New Roman"/>
          <w:sz w:val="18"/>
          <w:szCs w:val="18"/>
          <w:color w:val="auto"/>
        </w:rPr>
        <w:t xml:space="preserve"> Existing Affiliated Fund’s officers and directors/</w:t>
      </w:r>
      <w:r>
        <w:rPr>
          <w:rFonts w:ascii="Times New Roman" w:cs="Times New Roman" w:eastAsia="Times New Roman" w:hAnsi="Times New Roman"/>
          <w:sz w:val="18"/>
          <w:szCs w:val="18"/>
          <w:u w:val="single" w:color="auto"/>
          <w:color w:val="0000FF"/>
        </w:rPr>
        <w:t>trustees/</w:t>
      </w:r>
      <w:r>
        <w:rPr>
          <w:rFonts w:ascii="Times New Roman" w:cs="Times New Roman" w:eastAsia="Times New Roman" w:hAnsi="Times New Roman"/>
          <w:sz w:val="18"/>
          <w:szCs w:val="18"/>
          <w:color w:val="auto"/>
        </w:rPr>
        <w:t>manager regularly.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ORDER REQUESTED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Applicants request an Order of the Commission under Sections 17(d) and 57(i) of the 1940 Act and Rule 17d-1 thereunder to permit, subject to the terms and conditions set forth below in this Application (the “</w:t>
      </w: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 each Regulated Fund to be able to participate with one or more Affiliated Entities in Co-Investment Transactions otherwise prohibited by Sections 17(d) and 57(a)(4) of the 1940 Act and Rule 17d-1 thereunder.</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FF0000"/>
          <w:strike w:val="1"/>
        </w:rPr>
        <w:t>A.</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b w:val="1"/>
          <w:bCs w:val="1"/>
          <w:i w:val="1"/>
          <w:iCs w:val="1"/>
          <w:u w:val="single" w:color="auto"/>
          <w:color w:val="0000FF"/>
        </w:rPr>
        <w:t>A.</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b w:val="1"/>
          <w:bCs w:val="1"/>
          <w:i w:val="1"/>
          <w:iCs w:val="1"/>
          <w:color w:val="000000"/>
        </w:rPr>
        <w:t>Applicable Law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w:t>
      </w:r>
    </w:p>
    <w:p>
      <w:pPr>
        <w:spacing w:after="0" w:line="180"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in which the fund is a participant without first obtaining an order from the SEC.</w:t>
      </w:r>
    </w:p>
    <w:p>
      <w:pPr>
        <w:spacing w:after="0" w:line="20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178308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both"/>
        <w:ind w:left="660" w:hanging="652"/>
        <w:spacing w:after="0" w:line="219" w:lineRule="auto"/>
        <w:tabs>
          <w:tab w:leader="none" w:pos="66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FF0000"/>
          <w:strike w:val="1"/>
        </w:rPr>
        <w:t>B.</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b w:val="1"/>
          <w:bCs w:val="1"/>
          <w:i w:val="1"/>
          <w:iCs w:val="1"/>
          <w:u w:val="single" w:color="auto"/>
          <w:color w:val="0000FF"/>
        </w:rPr>
        <w:t>B.</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b w:val="1"/>
          <w:bCs w:val="1"/>
          <w:i w:val="1"/>
          <w:iCs w:val="1"/>
          <w:color w:val="000000"/>
        </w:rPr>
        <w:t>Need for Relief</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 closed-end fund or a business development company, respectively, including a sub-adviser. Thus, an Adviser and any Affiliated Entities that it advises could be deemed to be persons related to Regulated Funds in a manner described by Sections 17(d) and 57(b). </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Existing Advisers are under common control, and are thus affiliated persons of each other. Accordingly, with respect to the Existing Advisers and any other Advisers that are deemed to be affiliated persons of each other, Affiliated Entities advised by any of them could be deemed to be persons related to Regulated Funds (or a company controlled by a Regulated Fund) in a manner described by Sections 17(d) and 57(b).</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addition, any entities or accounts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controlled by or under common control with the </w:t>
      </w:r>
      <w:r>
        <w:rPr>
          <w:rFonts w:ascii="Times New Roman" w:cs="Times New Roman" w:eastAsia="Times New Roman" w:hAnsi="Times New Roman"/>
          <w:sz w:val="18"/>
          <w:szCs w:val="18"/>
          <w:color w:val="FF0000"/>
          <w:strike w:val="1"/>
        </w:rPr>
        <w:t>BDC Adviser,</w:t>
      </w:r>
      <w:r>
        <w:rPr>
          <w:rFonts w:ascii="Times New Roman" w:cs="Times New Roman" w:eastAsia="Times New Roman" w:hAnsi="Times New Roman"/>
          <w:sz w:val="18"/>
          <w:szCs w:val="18"/>
          <w:u w:val="single" w:color="auto"/>
          <w:color w:val="0000FF"/>
        </w:rPr>
        <w:t>Existing Advisers</w:t>
      </w:r>
      <w:r>
        <w:rPr>
          <w:rFonts w:ascii="Times New Roman" w:cs="Times New Roman" w:eastAsia="Times New Roman" w:hAnsi="Times New Roman"/>
          <w:sz w:val="18"/>
          <w:szCs w:val="18"/>
          <w:color w:val="000000"/>
        </w:rPr>
        <w:t xml:space="preserve">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17d-l under the 1940 Act.</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FF0000"/>
          <w:strike w:val="1"/>
        </w:rPr>
        <w:t>C.</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b w:val="1"/>
          <w:bCs w:val="1"/>
          <w:i w:val="1"/>
          <w:iCs w:val="1"/>
          <w:u w:val="single" w:color="auto"/>
          <w:color w:val="0000FF"/>
        </w:rPr>
        <w:t>C.</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b w:val="1"/>
          <w:bCs w:val="1"/>
          <w:i w:val="1"/>
          <w:iCs w:val="1"/>
          <w:color w:val="000000"/>
        </w:rPr>
        <w:t>Conditions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Applicants agree that any Order granting the requested relief will be subject to the following Conditions.</w:t>
      </w:r>
    </w:p>
    <w:p>
      <w:pPr>
        <w:spacing w:after="0" w:line="223" w:lineRule="exact"/>
        <w:rPr>
          <w:sz w:val="20"/>
          <w:szCs w:val="20"/>
          <w:color w:val="auto"/>
        </w:rPr>
      </w:pPr>
    </w:p>
    <w:p>
      <w:pPr>
        <w:jc w:val="both"/>
        <w:ind w:firstLine="332"/>
        <w:spacing w:after="0" w:line="261" w:lineRule="auto"/>
        <w:tabs>
          <w:tab w:leader="none" w:pos="53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Same Terms</w:t>
      </w:r>
      <w:r>
        <w:rPr>
          <w:rFonts w:ascii="Times New Roman" w:cs="Times New Roman" w:eastAsia="Times New Roman" w:hAnsi="Times New Roman"/>
          <w:sz w:val="18"/>
          <w:szCs w:val="18"/>
          <w:color w:val="auto"/>
        </w:rPr>
        <w:t>. With respect to any Co-Investment Transaction, each Regulated Fund, and Affiliated Entity participating in such transaction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w:t>
      </w:r>
      <w:r>
        <w:rPr>
          <w:rFonts w:ascii="Times New Roman" w:cs="Times New Roman" w:eastAsia="Times New Roman" w:hAnsi="Times New Roman"/>
          <w:sz w:val="29"/>
          <w:szCs w:val="29"/>
          <w:color w:val="auto"/>
          <w:vertAlign w:val="superscript"/>
        </w:rPr>
        <w:t>13</w:t>
      </w:r>
    </w:p>
    <w:p>
      <w:pPr>
        <w:spacing w:after="0" w:line="55" w:lineRule="exact"/>
        <w:rPr>
          <w:rFonts w:ascii="Times New Roman" w:cs="Times New Roman" w:eastAsia="Times New Roman" w:hAnsi="Times New Roman"/>
          <w:sz w:val="18"/>
          <w:szCs w:val="18"/>
          <w:color w:val="auto"/>
        </w:rPr>
      </w:pPr>
    </w:p>
    <w:p>
      <w:pPr>
        <w:jc w:val="both"/>
        <w:ind w:firstLine="332"/>
        <w:spacing w:after="0" w:line="219" w:lineRule="auto"/>
        <w:tabs>
          <w:tab w:leader="none" w:pos="50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Existing Investments in the Issuer</w:t>
      </w:r>
      <w:r>
        <w:rPr>
          <w:rFonts w:ascii="Times New Roman" w:cs="Times New Roman" w:eastAsia="Times New Roman" w:hAnsi="Times New Roman"/>
          <w:sz w:val="18"/>
          <w:szCs w:val="18"/>
          <w:color w:val="auto"/>
        </w:rPr>
        <w:t>. Prior to a Regulated Fund acquiring in a Co-Investment Transaction a security of an issuer in which an Affiliated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has an existing interest in such issuer, the “required majority,” as defined in Section 57(o) of the 1940 Act,</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of the Regulated Fund (“</w:t>
      </w:r>
      <w:r>
        <w:rPr>
          <w:rFonts w:ascii="Times New Roman" w:cs="Times New Roman" w:eastAsia="Times New Roman" w:hAnsi="Times New Roman"/>
          <w:sz w:val="18"/>
          <w:szCs w:val="18"/>
          <w:b w:val="1"/>
          <w:bCs w:val="1"/>
          <w:i w:val="1"/>
          <w:iCs w:val="1"/>
          <w:color w:val="auto"/>
        </w:rPr>
        <w:t>Required</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b w:val="1"/>
          <w:bCs w:val="1"/>
          <w:i w:val="1"/>
          <w:iCs w:val="1"/>
          <w:color w:val="auto"/>
        </w:rPr>
        <w:t>Majority</w:t>
      </w:r>
      <w:r>
        <w:rPr>
          <w:rFonts w:ascii="Times New Roman" w:cs="Times New Roman" w:eastAsia="Times New Roman" w:hAnsi="Times New Roman"/>
          <w:sz w:val="18"/>
          <w:szCs w:val="18"/>
          <w:color w:val="auto"/>
        </w:rPr>
        <w:t>”) will take the steps set forth in Section 57(f) of the 1940 Act,</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unless: (i) the Regulated Fund already holds the same security as each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Affiliated Entity; and (ii) the Regulated Fund and each other Affiliated Entity holding the security is participating in the acquisition in approximate proportion to its then-current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8308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0" w:lineRule="exact"/>
        <w:rPr>
          <w:sz w:val="20"/>
          <w:szCs w:val="20"/>
          <w:color w:val="auto"/>
        </w:rPr>
      </w:pPr>
    </w:p>
    <w:p>
      <w:pPr>
        <w:ind w:left="660" w:right="20" w:hanging="652"/>
        <w:spacing w:after="0" w:line="195" w:lineRule="auto"/>
        <w:tabs>
          <w:tab w:leader="none" w:pos="66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Such a Board can also, consistent with applicable fund documents, facilitate this opportunity by delegating the authority to veto the selection of such person to a committee of the Board.</w:t>
      </w:r>
    </w:p>
    <w:p>
      <w:pPr>
        <w:spacing w:after="0" w:line="199" w:lineRule="exact"/>
        <w:rPr>
          <w:rFonts w:ascii="Times New Roman" w:cs="Times New Roman" w:eastAsia="Times New Roman" w:hAnsi="Times New Roman"/>
          <w:sz w:val="30"/>
          <w:szCs w:val="30"/>
          <w:color w:val="auto"/>
          <w:vertAlign w:val="superscript"/>
        </w:rPr>
      </w:pPr>
    </w:p>
    <w:p>
      <w:pPr>
        <w:jc w:val="both"/>
        <w:ind w:left="660" w:hanging="652"/>
        <w:spacing w:after="0" w:line="219" w:lineRule="auto"/>
        <w:tabs>
          <w:tab w:leader="none" w:pos="66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w:t>
      </w:r>
    </w:p>
    <w:p>
      <w:pPr>
        <w:spacing w:after="0" w:line="198" w:lineRule="exact"/>
        <w:rPr>
          <w:rFonts w:ascii="Times New Roman" w:cs="Times New Roman" w:eastAsia="Times New Roman" w:hAnsi="Times New Roman"/>
          <w:sz w:val="30"/>
          <w:szCs w:val="30"/>
          <w:color w:val="auto"/>
          <w:vertAlign w:val="superscript"/>
        </w:rPr>
      </w:pPr>
    </w:p>
    <w:p>
      <w:pPr>
        <w:jc w:val="both"/>
        <w:ind w:left="660" w:hanging="652"/>
        <w:spacing w:after="0" w:line="230" w:lineRule="auto"/>
        <w:tabs>
          <w:tab w:leader="none" w:pos="660" w:val="left"/>
        </w:tabs>
        <w:numPr>
          <w:ilvl w:val="0"/>
          <w:numId w:val="6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w:t>
      </w:r>
    </w:p>
    <w:p>
      <w:pPr>
        <w:ind w:left="660" w:hanging="4"/>
        <w:spacing w:after="0" w:line="260" w:lineRule="auto"/>
        <w:tabs>
          <w:tab w:leader="none" w:pos="99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BDC’s directors record in their minutes and preserve in their records a description of the transaction, their findings, the information or materials upon which their findings were based, and the basis for their findings.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332"/>
        <w:spacing w:after="0" w:line="277" w:lineRule="auto"/>
        <w:tabs>
          <w:tab w:leader="none" w:pos="50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Related Expenses</w:t>
      </w:r>
      <w:r>
        <w:rPr>
          <w:rFonts w:ascii="Times New Roman" w:cs="Times New Roman" w:eastAsia="Times New Roman" w:hAnsi="Times New Roman"/>
          <w:sz w:val="18"/>
          <w:szCs w:val="18"/>
          <w:color w:val="auto"/>
        </w:rPr>
        <w:t>. Any expenses associated with acquiring, holding or disposing of any securities acquired in a Co-Investment Transaction,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not borne by the Adviser(s), will be shared among the Participants in proportion to the relative amounts of the securities being acquired, held or disposed of, as the case may be.</w:t>
      </w:r>
      <w:r>
        <w:rPr>
          <w:rFonts w:ascii="Times New Roman" w:cs="Times New Roman" w:eastAsia="Times New Roman" w:hAnsi="Times New Roman"/>
          <w:sz w:val="29"/>
          <w:szCs w:val="29"/>
          <w:color w:val="auto"/>
          <w:vertAlign w:val="superscript"/>
        </w:rPr>
        <w:t>16</w:t>
      </w:r>
    </w:p>
    <w:p>
      <w:pPr>
        <w:spacing w:after="0" w:line="47" w:lineRule="exact"/>
        <w:rPr>
          <w:rFonts w:ascii="Times New Roman" w:cs="Times New Roman" w:eastAsia="Times New Roman" w:hAnsi="Times New Roman"/>
          <w:sz w:val="18"/>
          <w:szCs w:val="18"/>
          <w:color w:val="auto"/>
        </w:rPr>
      </w:pPr>
    </w:p>
    <w:p>
      <w:pPr>
        <w:jc w:val="both"/>
        <w:ind w:firstLine="332"/>
        <w:spacing w:after="0" w:line="243" w:lineRule="auto"/>
        <w:tabs>
          <w:tab w:leader="none" w:pos="50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Remuneration</w:t>
      </w:r>
      <w:r>
        <w:rPr>
          <w:rFonts w:ascii="Times New Roman" w:cs="Times New Roman" w:eastAsia="Times New Roman" w:hAnsi="Times New Roman"/>
          <w:sz w:val="18"/>
          <w:szCs w:val="18"/>
          <w:color w:val="auto"/>
        </w:rPr>
        <w:t>. Any transaction fee</w:t>
      </w: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break-up, structuring, monitoring or commitment fees but excluding broker’s fees contemplated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spacing w:after="0" w:line="193" w:lineRule="exact"/>
        <w:rPr>
          <w:rFonts w:ascii="Times New Roman" w:cs="Times New Roman" w:eastAsia="Times New Roman" w:hAnsi="Times New Roman"/>
          <w:sz w:val="18"/>
          <w:szCs w:val="18"/>
          <w:color w:val="auto"/>
        </w:rPr>
      </w:pPr>
    </w:p>
    <w:p>
      <w:pPr>
        <w:jc w:val="both"/>
        <w:ind w:firstLine="332"/>
        <w:spacing w:after="0" w:line="265" w:lineRule="auto"/>
        <w:tabs>
          <w:tab w:leader="none" w:pos="53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Co-Investment Policies</w:t>
      </w:r>
      <w:r>
        <w:rPr>
          <w:rFonts w:ascii="Times New Roman" w:cs="Times New Roman" w:eastAsia="Times New Roman" w:hAnsi="Times New Roman"/>
          <w:sz w:val="18"/>
          <w:szCs w:val="18"/>
          <w:color w:val="auto"/>
        </w:rPr>
        <w:t>. Each Adviser (and each Affiliated Entity that is not advised by an Adviser) will adopt and implement policies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 w:cs="Times New Roman" w:eastAsia="Times New Roman" w:hAnsi="Times New Roman"/>
          <w:sz w:val="18"/>
          <w:szCs w:val="18"/>
          <w:b w:val="1"/>
          <w:bCs w:val="1"/>
          <w:i w:val="1"/>
          <w:iCs w:val="1"/>
          <w:color w:val="auto"/>
        </w:rPr>
        <w:t>Co-Investment Policies</w:t>
      </w:r>
      <w:r>
        <w:rPr>
          <w:rFonts w:ascii="Times New Roman" w:cs="Times New Roman" w:eastAsia="Times New Roman" w:hAnsi="Times New Roman"/>
          <w:sz w:val="18"/>
          <w:szCs w:val="18"/>
          <w:color w:val="auto"/>
        </w:rPr>
        <w:t>”). Each Adviser (and each Affiliated Entity that is not advised by an Adviser) will provide its Co-Investment Policies to the Regulated Funds and will notify the Regulated Funds of any material changes thereto.</w:t>
      </w:r>
      <w:r>
        <w:rPr>
          <w:rFonts w:ascii="Times New Roman" w:cs="Times New Roman" w:eastAsia="Times New Roman" w:hAnsi="Times New Roman"/>
          <w:sz w:val="29"/>
          <w:szCs w:val="29"/>
          <w:color w:val="auto"/>
          <w:vertAlign w:val="superscript"/>
        </w:rPr>
        <w:t>18</w:t>
      </w:r>
    </w:p>
    <w:p>
      <w:pPr>
        <w:spacing w:after="0" w:line="54"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Dispositions</w:t>
      </w:r>
      <w:r>
        <w:rPr>
          <w:rFonts w:ascii="Times New Roman" w:cs="Times New Roman" w:eastAsia="Times New Roman" w:hAnsi="Times New Roman"/>
          <w:sz w:val="18"/>
          <w:szCs w:val="18"/>
          <w:color w:val="auto"/>
        </w:rPr>
        <w:t>:</w:t>
      </w:r>
    </w:p>
    <w:p>
      <w:pPr>
        <w:spacing w:after="0" w:line="230" w:lineRule="exact"/>
        <w:rPr>
          <w:rFonts w:ascii="Times New Roman" w:cs="Times New Roman" w:eastAsia="Times New Roman" w:hAnsi="Times New Roman"/>
          <w:sz w:val="18"/>
          <w:szCs w:val="18"/>
          <w:color w:val="auto"/>
        </w:rPr>
      </w:pPr>
    </w:p>
    <w:p>
      <w:pPr>
        <w:jc w:val="both"/>
        <w:ind w:left="980" w:hanging="324"/>
        <w:spacing w:after="0" w:line="203" w:lineRule="auto"/>
        <w:tabs>
          <w:tab w:leader="none" w:pos="980" w:val="left"/>
        </w:tabs>
        <w:numPr>
          <w:ilvl w:val="1"/>
          <w:numId w:val="6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Prior to any Disposition</w:t>
      </w:r>
      <w:r>
        <w:rPr>
          <w:rFonts w:ascii="Times New Roman" w:cs="Times New Roman" w:eastAsia="Times New Roman" w:hAnsi="Times New Roman"/>
          <w:sz w:val="29"/>
          <w:szCs w:val="29"/>
          <w:color w:val="auto"/>
          <w:vertAlign w:val="superscript"/>
        </w:rPr>
        <w:t>19</w:t>
      </w:r>
      <w:r>
        <w:rPr>
          <w:rFonts w:ascii="Times New Roman" w:cs="Times New Roman" w:eastAsia="Times New Roman" w:hAnsi="Times New Roman"/>
          <w:sz w:val="18"/>
          <w:szCs w:val="18"/>
          <w:color w:val="auto"/>
        </w:rPr>
        <w:t xml:space="preserve">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p>
      <w:pPr>
        <w:spacing w:after="0" w:line="200" w:lineRule="exact"/>
        <w:rPr>
          <w:rFonts w:ascii="Times New Roman" w:cs="Times New Roman" w:eastAsia="Times New Roman" w:hAnsi="Times New Roman"/>
          <w:sz w:val="36"/>
          <w:szCs w:val="36"/>
          <w:color w:val="auto"/>
          <w:vertAlign w:val="superscript"/>
        </w:rPr>
      </w:pPr>
    </w:p>
    <w:p>
      <w:pPr>
        <w:jc w:val="both"/>
        <w:ind w:left="980" w:hanging="324"/>
        <w:spacing w:after="0" w:line="276"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w:t>
      </w:r>
      <w:r>
        <w:rPr>
          <w:rFonts w:ascii="Times New Roman" w:cs="Times New Roman" w:eastAsia="Times New Roman" w:hAnsi="Times New Roman"/>
          <w:sz w:val="29"/>
          <w:szCs w:val="29"/>
          <w:color w:val="auto"/>
          <w:vertAlign w:val="superscript"/>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178308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65" w:lineRule="exact"/>
        <w:rPr>
          <w:sz w:val="20"/>
          <w:szCs w:val="20"/>
          <w:color w:val="auto"/>
        </w:rPr>
      </w:pPr>
    </w:p>
    <w:p>
      <w:pPr>
        <w:ind w:left="660" w:right="20" w:hanging="652"/>
        <w:spacing w:after="0" w:line="195" w:lineRule="auto"/>
        <w:tabs>
          <w:tab w:leader="none" w:pos="66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Expenses of an individual Participant that are incurred solely by the Participant due to its unique circumstances (such as legal and compliance expenses) will be borne by such Participant.</w:t>
      </w:r>
    </w:p>
    <w:p>
      <w:pPr>
        <w:spacing w:after="0" w:line="199" w:lineRule="exact"/>
        <w:rPr>
          <w:rFonts w:ascii="Times New Roman" w:cs="Times New Roman" w:eastAsia="Times New Roman" w:hAnsi="Times New Roman"/>
          <w:sz w:val="30"/>
          <w:szCs w:val="30"/>
          <w:color w:val="auto"/>
          <w:vertAlign w:val="superscript"/>
        </w:rPr>
      </w:pPr>
    </w:p>
    <w:p>
      <w:pPr>
        <w:ind w:left="660" w:hanging="652"/>
        <w:spacing w:after="0" w:line="195" w:lineRule="auto"/>
        <w:tabs>
          <w:tab w:leader="none" w:pos="66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Applicants are not requesting and the Commission is not providing any relief for transaction fees received in connection with any Co-Investment Transaction.</w:t>
      </w:r>
    </w:p>
    <w:p>
      <w:pPr>
        <w:spacing w:after="0" w:line="88" w:lineRule="exact"/>
        <w:rPr>
          <w:rFonts w:ascii="Times New Roman" w:cs="Times New Roman" w:eastAsia="Times New Roman" w:hAnsi="Times New Roman"/>
          <w:sz w:val="30"/>
          <w:szCs w:val="30"/>
          <w:color w:val="auto"/>
          <w:vertAlign w:val="superscript"/>
        </w:rPr>
      </w:pPr>
    </w:p>
    <w:p>
      <w:pPr>
        <w:ind w:left="660" w:hanging="652"/>
        <w:spacing w:after="0"/>
        <w:tabs>
          <w:tab w:leader="none" w:pos="66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Affiliated Entities may adopt shared Co-Investment Policies.</w:t>
      </w:r>
    </w:p>
    <w:p>
      <w:pPr>
        <w:spacing w:after="0" w:line="163" w:lineRule="exact"/>
        <w:rPr>
          <w:rFonts w:ascii="Times New Roman" w:cs="Times New Roman" w:eastAsia="Times New Roman" w:hAnsi="Times New Roman"/>
          <w:sz w:val="30"/>
          <w:szCs w:val="30"/>
          <w:color w:val="auto"/>
          <w:vertAlign w:val="superscript"/>
        </w:rPr>
      </w:pPr>
    </w:p>
    <w:p>
      <w:pPr>
        <w:ind w:left="660" w:hanging="652"/>
        <w:spacing w:after="0" w:line="186" w:lineRule="auto"/>
        <w:tabs>
          <w:tab w:leader="none" w:pos="66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w:t>
      </w:r>
      <w:r>
        <w:rPr>
          <w:rFonts w:ascii="Times New Roman" w:cs="Times New Roman" w:eastAsia="Times New Roman" w:hAnsi="Times New Roman"/>
          <w:sz w:val="18"/>
          <w:szCs w:val="18"/>
          <w:color w:val="auto"/>
        </w:rPr>
        <w:t>” means the sale, exchange, transfer or other disposition of an interest in a security of an issuer.</w:t>
      </w:r>
    </w:p>
    <w:p>
      <w:pPr>
        <w:spacing w:after="0" w:line="194" w:lineRule="exact"/>
        <w:rPr>
          <w:rFonts w:ascii="Times New Roman" w:cs="Times New Roman" w:eastAsia="Times New Roman" w:hAnsi="Times New Roman"/>
          <w:sz w:val="30"/>
          <w:szCs w:val="30"/>
          <w:color w:val="auto"/>
          <w:vertAlign w:val="superscript"/>
        </w:rPr>
      </w:pPr>
    </w:p>
    <w:p>
      <w:pPr>
        <w:jc w:val="both"/>
        <w:ind w:left="660" w:hanging="652"/>
        <w:spacing w:after="0" w:line="220" w:lineRule="auto"/>
        <w:tabs>
          <w:tab w:leader="none" w:pos="66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Tradable Security</w:t>
      </w:r>
      <w:r>
        <w:rPr>
          <w:rFonts w:ascii="Times New Roman" w:cs="Times New Roman" w:eastAsia="Times New Roman" w:hAnsi="Times New Roman"/>
          <w:sz w:val="18"/>
          <w:szCs w:val="18"/>
          <w:color w:val="auto"/>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5" w:name="page56"/>
    <w:bookmarkEnd w:id="55"/>
    <w:p>
      <w:pPr>
        <w:ind w:left="520" w:hanging="188"/>
        <w:spacing w:after="0"/>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Oversight</w:t>
      </w:r>
    </w:p>
    <w:p>
      <w:pPr>
        <w:spacing w:after="0" w:line="22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Regulated Fund’s directors will oversee the Regulated Fund’s participation in the co-investment program in the exercise of their reasonable business judgment.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p>
      <w:pPr>
        <w:spacing w:after="0" w:line="173" w:lineRule="exact"/>
        <w:rPr>
          <w:rFonts w:ascii="Times New Roman" w:cs="Times New Roman" w:eastAsia="Times New Roman" w:hAnsi="Times New Roman"/>
          <w:sz w:val="18"/>
          <w:szCs w:val="18"/>
          <w:color w:val="auto"/>
        </w:rPr>
      </w:pPr>
    </w:p>
    <w:p>
      <w:pPr>
        <w:jc w:val="both"/>
        <w:ind w:firstLine="332"/>
        <w:spacing w:after="0" w:line="277" w:lineRule="auto"/>
        <w:tabs>
          <w:tab w:leader="none" w:pos="50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Recordkeeping</w:t>
      </w:r>
      <w:r>
        <w:rPr>
          <w:rFonts w:ascii="Times New Roman" w:cs="Times New Roman" w:eastAsia="Times New Roman" w:hAnsi="Times New Roman"/>
          <w:sz w:val="18"/>
          <w:szCs w:val="18"/>
          <w:color w:val="auto"/>
        </w:rPr>
        <w:t>. All information presented to the Board pursuant to the order will be kept for the life of the Regulated Fund and at least two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w:t>
      </w:r>
      <w:r>
        <w:rPr>
          <w:rFonts w:ascii="Times New Roman" w:cs="Times New Roman" w:eastAsia="Times New Roman" w:hAnsi="Times New Roman"/>
          <w:sz w:val="29"/>
          <w:szCs w:val="29"/>
          <w:color w:val="auto"/>
          <w:vertAlign w:val="superscript"/>
        </w:rPr>
        <w:t>21</w:t>
      </w:r>
    </w:p>
    <w:p>
      <w:pPr>
        <w:spacing w:after="0" w:line="43" w:lineRule="exact"/>
        <w:rPr>
          <w:rFonts w:ascii="Times New Roman" w:cs="Times New Roman" w:eastAsia="Times New Roman" w:hAnsi="Times New Roman"/>
          <w:sz w:val="18"/>
          <w:szCs w:val="18"/>
          <w:color w:val="auto"/>
        </w:rPr>
      </w:pPr>
    </w:p>
    <w:p>
      <w:pPr>
        <w:ind w:firstLine="332"/>
        <w:spacing w:after="0" w:line="282" w:lineRule="auto"/>
        <w:tabs>
          <w:tab w:leader="none" w:pos="52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Commission adopts a rule under the 1940 Act allowing co-investments of the type described in this Application, any relief granted by the Order will expire on the effective date of that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82" w:lineRule="exact"/>
        <w:rPr>
          <w:sz w:val="20"/>
          <w:szCs w:val="20"/>
          <w:color w:val="auto"/>
        </w:rPr>
      </w:pPr>
    </w:p>
    <w:p>
      <w:pPr>
        <w:jc w:val="both"/>
        <w:ind w:left="660" w:hanging="652"/>
        <w:spacing w:after="0" w:line="210" w:lineRule="auto"/>
        <w:tabs>
          <w:tab w:leader="none" w:pos="660" w:val="left"/>
        </w:tabs>
        <w:numPr>
          <w:ilvl w:val="0"/>
          <w:numId w:val="7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IV. STATEMENT IN SUPPORT OF RELIEF REQUESTED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IV. STATEMENT IN SUPPORT OF RELIEF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FF0000"/>
          <w:strike w:val="1"/>
        </w:rPr>
        <w:t>A.</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b w:val="1"/>
          <w:bCs w:val="1"/>
          <w:i w:val="1"/>
          <w:iCs w:val="1"/>
          <w:u w:val="single" w:color="auto"/>
          <w:color w:val="0000FF"/>
        </w:rPr>
        <w:t>A.</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b w:val="1"/>
          <w:bCs w:val="1"/>
          <w:i w:val="1"/>
          <w:iCs w:val="1"/>
          <w:color w:val="000000"/>
        </w:rPr>
        <w:t>Potential Benefits to the Regulated Funds and their Shareholders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Section 57(a)(4) and Rule 17d-1 (as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financing opportunities, including those involving issuers with better credit quality,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FF0000"/>
          <w:strike w:val="1"/>
        </w:rPr>
        <w:t>B.</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b w:val="1"/>
          <w:bCs w:val="1"/>
          <w:i w:val="1"/>
          <w:iCs w:val="1"/>
          <w:u w:val="single" w:color="auto"/>
          <w:color w:val="0000FF"/>
        </w:rPr>
        <w:t>B.</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b w:val="1"/>
          <w:bCs w:val="1"/>
          <w:i w:val="1"/>
          <w:iCs w:val="1"/>
          <w:color w:val="000000"/>
        </w:rPr>
        <w:t>Shareholder Protections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w:t>
      </w:r>
      <w:r>
        <w:rPr>
          <w:rFonts w:ascii="Times New Roman" w:cs="Times New Roman" w:eastAsia="Times New Roman" w:hAnsi="Times New Roman"/>
          <w:sz w:val="18"/>
          <w:szCs w:val="18"/>
          <w:color w:val="FF0000"/>
          <w:strike w:val="1"/>
        </w:rPr>
        <w:t>Co Investment</w:t>
      </w:r>
      <w:r>
        <w:rPr>
          <w:rFonts w:ascii="Times New Roman" w:cs="Times New Roman" w:eastAsia="Times New Roman" w:hAnsi="Times New Roman"/>
          <w:sz w:val="18"/>
          <w:szCs w:val="18"/>
          <w:u w:val="single" w:color="auto"/>
          <w:color w:val="0000FF"/>
        </w:rPr>
        <w:t>Co-Investment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Transaction considers the interest in the Transaction of any participating Regulated Fund. The Co-Investment Policies will require an Adviser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make an independent determination of the appropriateness of a Co-Investment Transaction and the proposed allocation size based on each Participant’s specific investment profile and other relevant characteristics.</w:t>
      </w:r>
    </w:p>
    <w:p>
      <w:pPr>
        <w:spacing w:after="0" w:line="18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V.</w:t>
      </w:r>
      <w:r>
        <w:rPr>
          <w:sz w:val="20"/>
          <w:szCs w:val="20"/>
          <w:color w:val="auto"/>
        </w:rPr>
        <w:tab/>
      </w:r>
      <w:r>
        <w:rPr>
          <w:rFonts w:ascii="Times New Roman" w:cs="Times New Roman" w:eastAsia="Times New Roman" w:hAnsi="Times New Roman"/>
          <w:sz w:val="17"/>
          <w:szCs w:val="17"/>
          <w:b w:val="1"/>
          <w:bCs w:val="1"/>
          <w:color w:val="auto"/>
        </w:rPr>
        <w:t>PRECEDENTS</w:t>
      </w:r>
    </w:p>
    <w:p>
      <w:pPr>
        <w:spacing w:after="0" w:line="229"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The Commission has previously issued orders permitting certain investment companies subject to regulation under the 1940 Act and their affiliated persons to be able to participate in Co-Investment Transactions (the “</w:t>
      </w:r>
      <w:r>
        <w:rPr>
          <w:rFonts w:ascii="Times New Roman" w:cs="Times New Roman" w:eastAsia="Times New Roman" w:hAnsi="Times New Roman"/>
          <w:sz w:val="18"/>
          <w:szCs w:val="18"/>
          <w:b w:val="1"/>
          <w:bCs w:val="1"/>
          <w:i w:val="1"/>
          <w:iCs w:val="1"/>
          <w:color w:val="auto"/>
        </w:rPr>
        <w:t>Existing Orders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22</w:t>
      </w:r>
      <w:r>
        <w:rPr>
          <w:rFonts w:ascii="Times New Roman" w:cs="Times New Roman" w:eastAsia="Times New Roman" w:hAnsi="Times New Roman"/>
          <w:sz w:val="18"/>
          <w:szCs w:val="18"/>
          <w:color w:val="auto"/>
        </w:rPr>
        <w:t xml:space="preserve">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jc w:val="both"/>
        <w:ind w:left="660" w:hanging="652"/>
        <w:spacing w:after="0" w:line="238" w:lineRule="auto"/>
        <w:tabs>
          <w:tab w:leader="none" w:pos="660" w:val="left"/>
        </w:tabs>
        <w:numPr>
          <w:ilvl w:val="0"/>
          <w:numId w:val="7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See, e.g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strike w:val="1"/>
        </w:rPr>
        <w:t>Polen</w:t>
      </w:r>
      <w:r>
        <w:rPr>
          <w:rFonts w:ascii="Times New Roman" w:cs="Times New Roman" w:eastAsia="Times New Roman" w:hAnsi="Times New Roman"/>
          <w:sz w:val="18"/>
          <w:szCs w:val="18"/>
          <w:u w:val="single" w:color="auto"/>
          <w:color w:val="0000FF"/>
        </w:rPr>
        <w:t>FS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Opportunities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strike w:val="1"/>
        </w:rPr>
        <w:t>Fund</w:t>
      </w:r>
      <w:r>
        <w:rPr>
          <w:rFonts w:ascii="Times New Roman" w:cs="Times New Roman" w:eastAsia="Times New Roman" w:hAnsi="Times New Roman"/>
          <w:sz w:val="18"/>
          <w:szCs w:val="18"/>
          <w:u w:val="single" w:color="auto"/>
          <w:color w:val="0000FF"/>
        </w:rPr>
        <w:t>Corp.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et al. </w:t>
      </w:r>
      <w:r>
        <w:rPr>
          <w:rFonts w:ascii="Times New Roman" w:cs="Times New Roman" w:eastAsia="Times New Roman" w:hAnsi="Times New Roman"/>
          <w:sz w:val="18"/>
          <w:szCs w:val="18"/>
          <w:color w:val="auto"/>
        </w:rPr>
        <w:t>(File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strike w:val="1"/>
        </w:rPr>
        <w:t>812-15457)</w:t>
      </w:r>
      <w:r>
        <w:rPr>
          <w:rFonts w:ascii="Times New Roman" w:cs="Times New Roman" w:eastAsia="Times New Roman" w:hAnsi="Times New Roman"/>
          <w:sz w:val="18"/>
          <w:szCs w:val="18"/>
          <w:u w:val="single" w:color="auto"/>
          <w:color w:val="0000FF"/>
        </w:rPr>
        <w:t>812-15706),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 No. IC</w:t>
      </w:r>
      <w:r>
        <w:rPr>
          <w:rFonts w:ascii="Times New Roman" w:cs="Times New Roman" w:eastAsia="Times New Roman" w:hAnsi="Times New Roman"/>
          <w:sz w:val="18"/>
          <w:szCs w:val="18"/>
          <w:color w:val="FF0000"/>
          <w:strike w:val="1"/>
        </w:rPr>
        <w:t>-35183 (May 2, 2024</w:t>
      </w:r>
      <w:r>
        <w:rPr>
          <w:rFonts w:ascii="Times New Roman" w:cs="Times New Roman" w:eastAsia="Times New Roman" w:hAnsi="Times New Roman"/>
          <w:sz w:val="18"/>
          <w:szCs w:val="18"/>
          <w:u w:val="single" w:color="auto"/>
          <w:color w:val="0000FF"/>
        </w:rPr>
        <w:t>-35520 (April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(notice), Release No. IC</w:t>
      </w:r>
      <w:r>
        <w:rPr>
          <w:rFonts w:ascii="Times New Roman" w:cs="Times New Roman" w:eastAsia="Times New Roman" w:hAnsi="Times New Roman"/>
          <w:sz w:val="18"/>
          <w:szCs w:val="18"/>
          <w:color w:val="FF0000"/>
          <w:strike w:val="1"/>
        </w:rPr>
        <w:t>-35206 (May 28, 2024) (Order); Sound Point Meridian Capital, Inc.,</w:t>
      </w:r>
      <w:r>
        <w:rPr>
          <w:rFonts w:ascii="Times New Roman" w:cs="Times New Roman" w:eastAsia="Times New Roman" w:hAnsi="Times New Roman"/>
          <w:sz w:val="18"/>
          <w:szCs w:val="18"/>
          <w:u w:val="single" w:color="auto"/>
          <w:color w:val="0000FF"/>
        </w:rPr>
        <w:t>-35561 (April 29, 2025) (order); Sixth Street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Specialty Lending, Inc.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et 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 No.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812-15476-01)</w:t>
      </w:r>
      <w:r>
        <w:rPr>
          <w:rFonts w:ascii="Times New Roman" w:cs="Times New Roman" w:eastAsia="Times New Roman" w:hAnsi="Times New Roman"/>
          <w:sz w:val="18"/>
          <w:szCs w:val="18"/>
          <w:u w:val="single" w:color="auto"/>
          <w:color w:val="0000FF"/>
        </w:rPr>
        <w:t>812-15729),</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Release No. IC</w:t>
      </w:r>
      <w:r>
        <w:rPr>
          <w:rFonts w:ascii="Times New Roman" w:cs="Times New Roman" w:eastAsia="Times New Roman" w:hAnsi="Times New Roman"/>
          <w:sz w:val="18"/>
          <w:szCs w:val="18"/>
          <w:color w:val="FF0000"/>
          <w:strike w:val="1"/>
        </w:rPr>
        <w:t>-35173</w:t>
      </w:r>
      <w:r>
        <w:rPr>
          <w:rFonts w:ascii="Times New Roman" w:cs="Times New Roman" w:eastAsia="Times New Roman" w:hAnsi="Times New Roman"/>
          <w:sz w:val="18"/>
          <w:szCs w:val="18"/>
          <w:u w:val="single" w:color="auto"/>
          <w:color w:val="0000FF"/>
        </w:rPr>
        <w:t>-35531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(April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19</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(notice), Release No. IC</w:t>
      </w:r>
      <w:r>
        <w:rPr>
          <w:rFonts w:ascii="Times New Roman" w:cs="Times New Roman" w:eastAsia="Times New Roman" w:hAnsi="Times New Roman"/>
          <w:sz w:val="18"/>
          <w:szCs w:val="18"/>
          <w:color w:val="FF0000"/>
          <w:strike w:val="1"/>
        </w:rPr>
        <w:t>-35192</w:t>
      </w:r>
      <w:r>
        <w:rPr>
          <w:rFonts w:ascii="Times New Roman" w:cs="Times New Roman" w:eastAsia="Times New Roman" w:hAnsi="Times New Roman"/>
          <w:sz w:val="18"/>
          <w:szCs w:val="18"/>
          <w:u w:val="single" w:color="auto"/>
          <w:color w:val="0000FF"/>
        </w:rPr>
        <w:t>-35570</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(May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15</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(order);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Brookfield Infrastructure Income Fund Inc.</w:t>
      </w:r>
      <w:r>
        <w:rPr>
          <w:rFonts w:ascii="Times New Roman" w:cs="Times New Roman" w:eastAsia="Times New Roman" w:hAnsi="Times New Roman"/>
          <w:sz w:val="18"/>
          <w:szCs w:val="18"/>
          <w:u w:val="single" w:color="auto"/>
          <w:color w:val="0000FF"/>
        </w:rPr>
        <w:t>Blue Owl Capital 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000000"/>
        </w:rPr>
        <w:t>et 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(File No.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812-15415</w:t>
      </w:r>
      <w:r>
        <w:rPr>
          <w:rFonts w:ascii="Times New Roman" w:cs="Times New Roman" w:eastAsia="Times New Roman" w:hAnsi="Times New Roman"/>
          <w:sz w:val="18"/>
          <w:szCs w:val="18"/>
          <w:u w:val="single" w:color="auto"/>
          <w:color w:val="0000FF"/>
        </w:rPr>
        <w:t>812-15715</w:t>
      </w:r>
      <w:r>
        <w:rPr>
          <w:rFonts w:ascii="Times New Roman" w:cs="Times New Roman" w:eastAsia="Times New Roman" w:hAnsi="Times New Roman"/>
          <w:sz w:val="18"/>
          <w:szCs w:val="18"/>
          <w:color w:val="000000"/>
        </w:rPr>
        <w:t>), Release No. IC</w:t>
      </w:r>
      <w:r>
        <w:rPr>
          <w:rFonts w:ascii="Times New Roman" w:cs="Times New Roman" w:eastAsia="Times New Roman" w:hAnsi="Times New Roman"/>
          <w:sz w:val="18"/>
          <w:szCs w:val="18"/>
          <w:color w:val="FF0000"/>
          <w:strike w:val="1"/>
        </w:rPr>
        <w:t>-35001 (September 20, 2022</w:t>
      </w:r>
      <w:r>
        <w:rPr>
          <w:rFonts w:ascii="Times New Roman" w:cs="Times New Roman" w:eastAsia="Times New Roman" w:hAnsi="Times New Roman"/>
          <w:sz w:val="18"/>
          <w:szCs w:val="18"/>
          <w:u w:val="single" w:color="auto"/>
          <w:color w:val="0000FF"/>
        </w:rPr>
        <w:t>-35530 (April 9, 2025</w:t>
      </w:r>
      <w:r>
        <w:rPr>
          <w:rFonts w:ascii="Times New Roman" w:cs="Times New Roman" w:eastAsia="Times New Roman" w:hAnsi="Times New Roman"/>
          <w:sz w:val="18"/>
          <w:szCs w:val="18"/>
          <w:color w:val="000000"/>
        </w:rPr>
        <w:t>) (notice), Release No. IC</w:t>
      </w:r>
      <w:r>
        <w:rPr>
          <w:rFonts w:ascii="Times New Roman" w:cs="Times New Roman" w:eastAsia="Times New Roman" w:hAnsi="Times New Roman"/>
          <w:sz w:val="18"/>
          <w:szCs w:val="18"/>
          <w:color w:val="FF0000"/>
          <w:strike w:val="1"/>
        </w:rPr>
        <w:t>-35032 (October 17, 2023</w:t>
      </w:r>
      <w:r>
        <w:rPr>
          <w:rFonts w:ascii="Times New Roman" w:cs="Times New Roman" w:eastAsia="Times New Roman" w:hAnsi="Times New Roman"/>
          <w:sz w:val="18"/>
          <w:szCs w:val="18"/>
          <w:u w:val="single" w:color="auto"/>
          <w:color w:val="0000FF"/>
        </w:rPr>
        <w:t>-35573</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(May 6, 2025</w:t>
      </w:r>
      <w:r>
        <w:rPr>
          <w:rFonts w:ascii="Times New Roman" w:cs="Times New Roman" w:eastAsia="Times New Roman" w:hAnsi="Times New Roman"/>
          <w:sz w:val="18"/>
          <w:szCs w:val="18"/>
          <w:color w:val="000000"/>
        </w:rPr>
        <w:t>) (order);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 Rowe Price OHA Select Private Credit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BlackRock Growth Equity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Fund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LP</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et 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 No.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812-15461</w:t>
      </w:r>
      <w:r>
        <w:rPr>
          <w:rFonts w:ascii="Times New Roman" w:cs="Times New Roman" w:eastAsia="Times New Roman" w:hAnsi="Times New Roman"/>
          <w:sz w:val="18"/>
          <w:szCs w:val="18"/>
          <w:u w:val="single" w:color="auto"/>
          <w:color w:val="0000FF"/>
        </w:rPr>
        <w:t>812-15712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Release No. IC</w:t>
      </w:r>
      <w:r>
        <w:rPr>
          <w:rFonts w:ascii="Times New Roman" w:cs="Times New Roman" w:eastAsia="Times New Roman" w:hAnsi="Times New Roman"/>
          <w:sz w:val="18"/>
          <w:szCs w:val="18"/>
          <w:color w:val="FF0000"/>
          <w:strike w:val="1"/>
        </w:rPr>
        <w:t>-34963 (July 24, 2023</w:t>
      </w:r>
      <w:r>
        <w:rPr>
          <w:rFonts w:ascii="Times New Roman" w:cs="Times New Roman" w:eastAsia="Times New Roman" w:hAnsi="Times New Roman"/>
          <w:sz w:val="18"/>
          <w:szCs w:val="18"/>
          <w:u w:val="single" w:color="auto"/>
          <w:color w:val="0000FF"/>
        </w:rPr>
        <w:t>-35525 (April 8, 2025</w:t>
      </w:r>
      <w:r>
        <w:rPr>
          <w:rFonts w:ascii="Times New Roman" w:cs="Times New Roman" w:eastAsia="Times New Roman" w:hAnsi="Times New Roman"/>
          <w:sz w:val="18"/>
          <w:szCs w:val="18"/>
          <w:color w:val="000000"/>
        </w:rPr>
        <w:t>) (notice), Release No. IC</w:t>
      </w:r>
      <w:r>
        <w:rPr>
          <w:rFonts w:ascii="Times New Roman" w:cs="Times New Roman" w:eastAsia="Times New Roman" w:hAnsi="Times New Roman"/>
          <w:sz w:val="18"/>
          <w:szCs w:val="18"/>
          <w:color w:val="FF0000"/>
          <w:strike w:val="1"/>
        </w:rPr>
        <w:t>-34987 (August 21, 2023) (order); KKR Real Estate Select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 xml:space="preserve">Trust Inc., </w:t>
      </w:r>
      <w:r>
        <w:rPr>
          <w:rFonts w:ascii="Times New Roman" w:cs="Times New Roman" w:eastAsia="Times New Roman" w:hAnsi="Times New Roman"/>
          <w:sz w:val="18"/>
          <w:szCs w:val="18"/>
          <w:i w:val="1"/>
          <w:iCs w:val="1"/>
          <w:color w:val="FF0000"/>
          <w:strike w:val="1"/>
        </w:rPr>
        <w:t>et al.</w:t>
      </w:r>
      <w:r>
        <w:rPr>
          <w:rFonts w:ascii="Times New Roman" w:cs="Times New Roman" w:eastAsia="Times New Roman" w:hAnsi="Times New Roman"/>
          <w:sz w:val="18"/>
          <w:szCs w:val="18"/>
          <w:color w:val="FF0000"/>
          <w:strike w:val="1"/>
        </w:rPr>
        <w:t xml:space="preserve"> (File No. 812-15181), Release No. IC-34962 (July 18, 2023) (notice), Release No. IC-34985 (August 15, 2023) (order); MBC Total Private Markets Access Fund, </w:t>
      </w:r>
      <w:r>
        <w:rPr>
          <w:rFonts w:ascii="Times New Roman" w:cs="Times New Roman" w:eastAsia="Times New Roman" w:hAnsi="Times New Roman"/>
          <w:sz w:val="18"/>
          <w:szCs w:val="18"/>
          <w:i w:val="1"/>
          <w:iCs w:val="1"/>
          <w:color w:val="FF0000"/>
          <w:strike w:val="1"/>
        </w:rPr>
        <w:t>et al.</w:t>
      </w:r>
      <w:r>
        <w:rPr>
          <w:rFonts w:ascii="Times New Roman" w:cs="Times New Roman" w:eastAsia="Times New Roman" w:hAnsi="Times New Roman"/>
          <w:sz w:val="18"/>
          <w:szCs w:val="18"/>
          <w:color w:val="FF0000"/>
          <w:strike w:val="1"/>
        </w:rPr>
        <w:t xml:space="preserve"> (File No. 812-15422), Release No. IC-34953 (June 28, 2023) (notice), Release No. IC-34965 (July 25, 2023) (order); Vista Credit Strategic Lending Corp. </w:t>
      </w:r>
      <w:r>
        <w:rPr>
          <w:rFonts w:ascii="Times New Roman" w:cs="Times New Roman" w:eastAsia="Times New Roman" w:hAnsi="Times New Roman"/>
          <w:sz w:val="18"/>
          <w:szCs w:val="18"/>
          <w:i w:val="1"/>
          <w:iCs w:val="1"/>
          <w:color w:val="FF0000"/>
          <w:strike w:val="1"/>
        </w:rPr>
        <w:t>et al.</w:t>
      </w:r>
      <w:r>
        <w:rPr>
          <w:rFonts w:ascii="Times New Roman" w:cs="Times New Roman" w:eastAsia="Times New Roman" w:hAnsi="Times New Roman"/>
          <w:sz w:val="18"/>
          <w:szCs w:val="18"/>
          <w:color w:val="FF0000"/>
          <w:strike w:val="1"/>
        </w:rPr>
        <w:t xml:space="preserve"> (File No. 812-15323), Release No. IC-34946 (June 20, 2023) (notice), Release No. IC-34961 (July 18, 2023) (order)</w:t>
      </w:r>
      <w:r>
        <w:rPr>
          <w:rFonts w:ascii="Times New Roman" w:cs="Times New Roman" w:eastAsia="Times New Roman" w:hAnsi="Times New Roman"/>
          <w:sz w:val="18"/>
          <w:szCs w:val="18"/>
          <w:u w:val="single" w:color="auto"/>
          <w:color w:val="0000FF"/>
          <w:strike w:val="1"/>
        </w:rPr>
        <w:t>-35572 (May 6, 2025) (order)</w:t>
      </w:r>
      <w:r>
        <w:rPr>
          <w:rFonts w:ascii="Times New Roman" w:cs="Times New Roman" w:eastAsia="Times New Roman" w:hAnsi="Times New Roman"/>
          <w:sz w:val="18"/>
          <w:szCs w:val="18"/>
          <w:color w:val="000000"/>
          <w:strike w:val="1"/>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VI. PROCEDURAL MATTERS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FF0000"/>
          <w:strike w:val="1"/>
        </w:rPr>
        <w:t>A.</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b w:val="1"/>
          <w:bCs w:val="1"/>
          <w:i w:val="1"/>
          <w:iCs w:val="1"/>
          <w:u w:val="single" w:color="auto"/>
          <w:color w:val="0000FF"/>
        </w:rPr>
        <w:t>A.</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b w:val="1"/>
          <w:bCs w:val="1"/>
          <w:i w:val="1"/>
          <w:iCs w:val="1"/>
          <w:color w:val="000000"/>
        </w:rPr>
        <w:t>Communications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address all communications concerning this Application, the Notice and the Order 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Scott Gordon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Umesh Mahajan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Peter Sack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BDC,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Tim Gottfried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LAGO Asset Management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10 S. Wacker Drive</w:t>
      </w:r>
      <w:r>
        <w:rPr>
          <w:rFonts w:ascii="Times New Roman" w:cs="Times New Roman" w:eastAsia="Times New Roman" w:hAnsi="Times New Roman"/>
          <w:sz w:val="18"/>
          <w:szCs w:val="18"/>
          <w:b w:val="1"/>
          <w:bCs w:val="1"/>
          <w:u w:val="single" w:color="auto"/>
          <w:color w:val="0000FF"/>
        </w:rPr>
        <w:t>600 Madison Avenue</w:t>
      </w:r>
      <w:r>
        <w:rPr>
          <w:rFonts w:ascii="Times New Roman" w:cs="Times New Roman" w:eastAsia="Times New Roman" w:hAnsi="Times New Roman"/>
          <w:sz w:val="18"/>
          <w:szCs w:val="18"/>
          <w:b w:val="1"/>
          <w:bCs w:val="1"/>
          <w:color w:val="000000"/>
        </w:rPr>
        <w:t>, Suite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3540</w:t>
      </w:r>
      <w:r>
        <w:rPr>
          <w:rFonts w:ascii="Times New Roman" w:cs="Times New Roman" w:eastAsia="Times New Roman" w:hAnsi="Times New Roman"/>
          <w:sz w:val="18"/>
          <w:szCs w:val="18"/>
          <w:b w:val="1"/>
          <w:bCs w:val="1"/>
          <w:u w:val="single" w:color="auto"/>
          <w:color w:val="0000FF"/>
        </w:rPr>
        <w:t>1800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Chicago, Illinois 60606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New York, NY 10022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(212) 905-4923</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FF0000"/>
          <w:strike w:val="1"/>
        </w:rPr>
        <w:t>tim@lagoinnovation.com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Telephone 773-417-5246</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address any questions, and a copy of any communications, concerning this Application, the Notice, and the Order 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 G. Oberndorf, Esq.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Stephani M. Hildebrandt</w:t>
      </w:r>
      <w:r>
        <w:rPr>
          <w:rFonts w:ascii="Times New Roman" w:cs="Times New Roman" w:eastAsia="Times New Roman" w:hAnsi="Times New Roman"/>
          <w:sz w:val="18"/>
          <w:szCs w:val="18"/>
          <w:b w:val="1"/>
          <w:bCs w:val="1"/>
          <w:u w:val="single" w:color="auto"/>
          <w:color w:val="0000FF"/>
        </w:rPr>
        <w:t>Owen J. Pinkerton</w:t>
      </w:r>
      <w:r>
        <w:rPr>
          <w:rFonts w:ascii="Times New Roman" w:cs="Times New Roman" w:eastAsia="Times New Roman" w:hAnsi="Times New Roman"/>
          <w:sz w:val="18"/>
          <w:szCs w:val="18"/>
          <w:b w:val="1"/>
          <w:bCs w:val="1"/>
          <w:color w:val="000000"/>
        </w:rPr>
        <w:t>, Esq.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Dwaune Dupree, Esq.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Eversheds Sutherland (US) LLP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700 Sixth Street, NW, Suite 700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anneoberndorf@eversheds-sutherland.com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owenpinkerton@eversheds-sutherland.com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(202) 383-0100</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FF0000"/>
          <w:strike w:val="1"/>
        </w:rPr>
        <w:t>B.</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b w:val="1"/>
          <w:bCs w:val="1"/>
          <w:i w:val="1"/>
          <w:iCs w:val="1"/>
          <w:u w:val="single" w:color="auto"/>
          <w:color w:val="0000FF"/>
        </w:rPr>
        <w:t>B.</w:t>
      </w:r>
      <w:r>
        <w:rPr>
          <w:rFonts w:ascii="Times New Roman" w:cs="Times New Roman" w:eastAsia="Times New Roman" w:hAnsi="Times New Roman"/>
          <w:sz w:val="18"/>
          <w:szCs w:val="18"/>
          <w:b w:val="1"/>
          <w:bCs w:val="1"/>
          <w:i w:val="1"/>
          <w:iCs w:val="1"/>
          <w:color w:val="FF0000"/>
        </w:rPr>
        <w:t xml:space="preserve"> </w:t>
      </w:r>
      <w:r>
        <w:rPr>
          <w:rFonts w:ascii="Times New Roman" w:cs="Times New Roman" w:eastAsia="Times New Roman" w:hAnsi="Times New Roman"/>
          <w:sz w:val="18"/>
          <w:szCs w:val="18"/>
          <w:b w:val="1"/>
          <w:bCs w:val="1"/>
          <w:i w:val="1"/>
          <w:iCs w:val="1"/>
          <w:color w:val="000000"/>
        </w:rPr>
        <w:t>Authorizations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filing of this Application for the Order sought hereby and the taking of all acts reasonably necessary to obtain the relief requested herein was authorized by the Board of </w:t>
      </w:r>
      <w:r>
        <w:rPr>
          <w:rFonts w:ascii="Times New Roman" w:cs="Times New Roman" w:eastAsia="Times New Roman" w:hAnsi="Times New Roman"/>
          <w:sz w:val="18"/>
          <w:szCs w:val="18"/>
          <w:color w:val="FF0000"/>
          <w:strike w:val="1"/>
        </w:rPr>
        <w:t>each</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Existing Regulated Fund pursuant to resolutions duly adopted by the Board. Copies of the resolutions are provided below.</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Pursuant to Rule 0-2(c), Applicants hereby state that each </w:t>
      </w:r>
      <w:r>
        <w:rPr>
          <w:rFonts w:ascii="Times New Roman" w:cs="Times New Roman" w:eastAsia="Times New Roman" w:hAnsi="Times New Roman"/>
          <w:sz w:val="18"/>
          <w:szCs w:val="18"/>
          <w:color w:val="FF0000"/>
          <w:strike w:val="1"/>
        </w:rPr>
        <w:t>Existing Regulated Fund and Existing Affiliated Fund have</w:t>
      </w:r>
      <w:r>
        <w:rPr>
          <w:rFonts w:ascii="Times New Roman" w:cs="Times New Roman" w:eastAsia="Times New Roman" w:hAnsi="Times New Roman"/>
          <w:sz w:val="18"/>
          <w:szCs w:val="18"/>
          <w:u w:val="single" w:color="auto"/>
          <w:color w:val="0000FF"/>
        </w:rPr>
        <w:t>Applicant has</w:t>
      </w:r>
      <w:r>
        <w:rPr>
          <w:rFonts w:ascii="Times New Roman" w:cs="Times New Roman" w:eastAsia="Times New Roman" w:hAnsi="Times New Roman"/>
          <w:sz w:val="18"/>
          <w:szCs w:val="18"/>
          <w:color w:val="auto"/>
        </w:rPr>
        <w:t xml:space="preserve"> authorized to cause to be prepared and to execute and file with the Commission this Application and any amendment thereto for an order pursuant to Section 57(i) and Rule 17d-1 permitting certain joint transactions otherwise prohibited by Sections 17(d) and 57(a)(4) and Rule 17d-1. The person executing the Application on behalf of the Applicants being duly sworn deposes and says that he has duly executed the Application for and on behalf of the applicable entity listed; that he 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u w:val="single" w:color="auto"/>
          <w:color w:val="0000FF"/>
        </w:rPr>
        <w:t>In accordance with the requirements for a request for expedited review of this Application, marked copies of two recent applications seeking the same relief as Applicants that are substantially identical as required by Rule 0-5(e) of the 1940 Act are attached as Appendix 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ind w:left="340"/>
        <w:spacing w:after="0"/>
        <w:rPr>
          <w:sz w:val="20"/>
          <w:szCs w:val="20"/>
          <w:color w:val="auto"/>
        </w:rPr>
      </w:pPr>
      <w:r>
        <w:rPr>
          <w:rFonts w:ascii="Times New Roman" w:cs="Times New Roman" w:eastAsia="Times New Roman" w:hAnsi="Times New Roman"/>
          <w:sz w:val="17"/>
          <w:szCs w:val="17"/>
          <w:color w:val="auto"/>
        </w:rPr>
        <w:t xml:space="preserve">The Applicants have caused this Application to be duly signed on their behalf on the </w:t>
      </w:r>
      <w:r>
        <w:rPr>
          <w:rFonts w:ascii="Times New Roman" w:cs="Times New Roman" w:eastAsia="Times New Roman" w:hAnsi="Times New Roman"/>
          <w:sz w:val="17"/>
          <w:szCs w:val="17"/>
          <w:color w:val="FF0000"/>
          <w:strike w:val="1"/>
        </w:rPr>
        <w:t>9</w:t>
      </w:r>
      <w:r>
        <w:rPr>
          <w:rFonts w:ascii="Times New Roman" w:cs="Times New Roman" w:eastAsia="Times New Roman" w:hAnsi="Times New Roman"/>
          <w:sz w:val="28"/>
          <w:szCs w:val="28"/>
          <w:color w:val="FF0000"/>
          <w:strike w:val="1"/>
          <w:vertAlign w:val="superscript"/>
        </w:rPr>
        <w:t>th</w:t>
      </w:r>
      <w:r>
        <w:rPr>
          <w:rFonts w:ascii="Times New Roman" w:cs="Times New Roman" w:eastAsia="Times New Roman" w:hAnsi="Times New Roman"/>
          <w:sz w:val="17"/>
          <w:szCs w:val="17"/>
          <w:u w:val="single" w:color="auto"/>
          <w:color w:val="0000FF"/>
        </w:rPr>
        <w:t>18</w:t>
      </w:r>
      <w:r>
        <w:rPr>
          <w:rFonts w:ascii="Times New Roman" w:cs="Times New Roman" w:eastAsia="Times New Roman" w:hAnsi="Times New Roman"/>
          <w:sz w:val="28"/>
          <w:szCs w:val="28"/>
          <w:u w:val="single" w:color="auto"/>
          <w:color w:val="0000FF"/>
          <w:vertAlign w:val="superscript"/>
        </w:rPr>
        <w:t>th</w:t>
      </w:r>
      <w:r>
        <w:rPr>
          <w:rFonts w:ascii="Times New Roman" w:cs="Times New Roman" w:eastAsia="Times New Roman" w:hAnsi="Times New Roman"/>
          <w:sz w:val="17"/>
          <w:szCs w:val="17"/>
          <w:color w:val="auto"/>
        </w:rPr>
        <w:t xml:space="preserve"> day of </w:t>
      </w:r>
      <w:r>
        <w:rPr>
          <w:rFonts w:ascii="Times New Roman" w:cs="Times New Roman" w:eastAsia="Times New Roman" w:hAnsi="Times New Roman"/>
          <w:sz w:val="17"/>
          <w:szCs w:val="17"/>
          <w:color w:val="FF0000"/>
          <w:strike w:val="1"/>
        </w:rPr>
        <w:t>May</w:t>
      </w:r>
      <w:r>
        <w:rPr>
          <w:rFonts w:ascii="Times New Roman" w:cs="Times New Roman" w:eastAsia="Times New Roman" w:hAnsi="Times New Roman"/>
          <w:sz w:val="17"/>
          <w:szCs w:val="17"/>
          <w:u w:val="single" w:color="auto"/>
          <w:color w:val="0000FF"/>
        </w:rPr>
        <w:t>March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2025</w:t>
      </w:r>
      <w:r>
        <w:rPr>
          <w:rFonts w:ascii="Times New Roman" w:cs="Times New Roman" w:eastAsia="Times New Roman" w:hAnsi="Times New Roman"/>
          <w:sz w:val="17"/>
          <w:szCs w:val="17"/>
          <w:u w:val="single" w:color="auto"/>
          <w:color w:val="0000FF"/>
        </w:rPr>
        <w:t>2026</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BDC,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Peter Sack</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Peter Sack</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BDC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Scott Gordon</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Scott Gordon</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tab/>
        <w:t>Manager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EQUITY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CO3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401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MANAGEMENT,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FF0000"/>
          <w:strike w:val="1"/>
        </w:rPr>
        <w:t>LAGO EVERGREEN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6858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FF0000"/>
          <w:strike w:val="1"/>
        </w:rPr>
        <w:t xml:space="preserve">By: </w:t>
      </w:r>
      <w:r>
        <w:rPr>
          <w:rFonts w:ascii="Times New Roman" w:cs="Times New Roman" w:eastAsia="Times New Roman" w:hAnsi="Times New Roman"/>
          <w:sz w:val="18"/>
          <w:szCs w:val="18"/>
          <w:u w:val="single" w:color="auto"/>
          <w:color w:val="FF0000"/>
          <w:strike w:val="1"/>
        </w:rPr>
        <w:t>/s/ Tim Gottfried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FF0000"/>
          <w:strike w:val="1"/>
        </w:rPr>
        <w:t>Name: Tim Gottfried</w:t>
      </w:r>
    </w:p>
    <w:p>
      <w:pPr>
        <w:spacing w:after="0" w:line="9" w:lineRule="exact"/>
        <w:rPr>
          <w:sz w:val="20"/>
          <w:szCs w:val="20"/>
          <w:color w:val="auto"/>
        </w:rPr>
      </w:pPr>
    </w:p>
    <w:p>
      <w:pPr>
        <w:ind w:left="800"/>
        <w:spacing w:after="0"/>
        <w:tabs>
          <w:tab w:leader="none" w:pos="1360" w:val="left"/>
        </w:tabs>
        <w:rPr>
          <w:sz w:val="20"/>
          <w:szCs w:val="20"/>
          <w:color w:val="auto"/>
        </w:rPr>
      </w:pPr>
      <w:r>
        <w:rPr>
          <w:rFonts w:ascii="Times New Roman" w:cs="Times New Roman" w:eastAsia="Times New Roman" w:hAnsi="Times New Roman"/>
          <w:sz w:val="18"/>
          <w:szCs w:val="18"/>
          <w:color w:val="FF0000"/>
          <w:strike w:val="1"/>
        </w:rPr>
        <w:t>Title:</w:t>
      </w:r>
      <w:r>
        <w:rPr>
          <w:sz w:val="20"/>
          <w:szCs w:val="20"/>
          <w:color w:val="auto"/>
        </w:rPr>
        <w:tab/>
      </w:r>
      <w:r>
        <w:rPr>
          <w:rFonts w:ascii="Times New Roman" w:cs="Times New Roman" w:eastAsia="Times New Roman" w:hAnsi="Times New Roman"/>
          <w:sz w:val="17"/>
          <w:szCs w:val="17"/>
          <w:color w:val="FF0000"/>
          <w:strike w:val="1"/>
        </w:rPr>
        <w:t>Chief Executive Officer and Trustee</w:t>
      </w:r>
    </w:p>
    <w:p>
      <w:pPr>
        <w:spacing w:after="0" w:line="200" w:lineRule="exact"/>
        <w:rPr>
          <w:sz w:val="20"/>
          <w:szCs w:val="20"/>
          <w:color w:val="auto"/>
        </w:rPr>
      </w:pPr>
    </w:p>
    <w:p>
      <w:pPr>
        <w:spacing w:after="0" w:line="2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b w:val="1"/>
          <w:bCs w:val="1"/>
          <w:color w:val="FF0000"/>
          <w:strike w:val="1"/>
        </w:rPr>
        <w:t>LAGO ASSET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2918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3291840"/>
                    </a:xfrm>
                    <a:prstGeom prst="rect">
                      <a:avLst/>
                    </a:prstGeom>
                    <a:noFill/>
                  </pic:spPr>
                </pic:pic>
              </a:graphicData>
            </a:graphic>
          </wp:anchor>
        </w:drawing>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FF0000"/>
          <w:strike w:val="1"/>
        </w:rPr>
        <w:t xml:space="preserve">By: </w:t>
      </w:r>
      <w:r>
        <w:rPr>
          <w:rFonts w:ascii="Times New Roman" w:cs="Times New Roman" w:eastAsia="Times New Roman" w:hAnsi="Times New Roman"/>
          <w:sz w:val="18"/>
          <w:szCs w:val="18"/>
          <w:u w:val="single" w:color="auto"/>
          <w:color w:val="FF0000"/>
          <w:strike w:val="1"/>
        </w:rPr>
        <w:t>/s/ Tim Gottfried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FF0000"/>
          <w:strike w:val="1"/>
        </w:rPr>
        <w:t>Name: Tim Gottfried</w:t>
      </w:r>
    </w:p>
    <w:p>
      <w:pPr>
        <w:spacing w:after="0" w:line="9" w:lineRule="exact"/>
        <w:rPr>
          <w:sz w:val="20"/>
          <w:szCs w:val="20"/>
          <w:color w:val="auto"/>
        </w:rPr>
      </w:pPr>
    </w:p>
    <w:p>
      <w:pPr>
        <w:ind w:left="800"/>
        <w:spacing w:after="0"/>
        <w:tabs>
          <w:tab w:leader="none" w:pos="1360" w:val="left"/>
        </w:tabs>
        <w:rPr>
          <w:sz w:val="20"/>
          <w:szCs w:val="20"/>
          <w:color w:val="auto"/>
        </w:rPr>
      </w:pPr>
      <w:r>
        <w:rPr>
          <w:rFonts w:ascii="Times New Roman" w:cs="Times New Roman" w:eastAsia="Times New Roman" w:hAnsi="Times New Roman"/>
          <w:sz w:val="18"/>
          <w:szCs w:val="18"/>
          <w:color w:val="FF0000"/>
          <w:strike w:val="1"/>
        </w:rPr>
        <w:t>Title:</w:t>
      </w:r>
      <w:r>
        <w:rPr>
          <w:sz w:val="20"/>
          <w:szCs w:val="20"/>
          <w:color w:val="auto"/>
        </w:rPr>
        <w:tab/>
      </w:r>
      <w:r>
        <w:rPr>
          <w:rFonts w:ascii="Times New Roman" w:cs="Times New Roman" w:eastAsia="Times New Roman" w:hAnsi="Times New Roman"/>
          <w:sz w:val="17"/>
          <w:szCs w:val="17"/>
          <w:color w:val="FF0000"/>
          <w:strike w:val="1"/>
        </w:rPr>
        <w:t>Managing Member</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FF0000"/>
          <w:strike w:val="1"/>
        </w:rPr>
        <w:t>LAGO INNOVATION FUND I, LP</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FF0000"/>
          <w:strike w:val="1"/>
        </w:rPr>
        <w:t xml:space="preserve">By: </w:t>
      </w:r>
      <w:r>
        <w:rPr>
          <w:rFonts w:ascii="Times New Roman" w:cs="Times New Roman" w:eastAsia="Times New Roman" w:hAnsi="Times New Roman"/>
          <w:sz w:val="18"/>
          <w:szCs w:val="18"/>
          <w:u w:val="single" w:color="auto"/>
          <w:color w:val="FF0000"/>
          <w:strike w:val="1"/>
        </w:rPr>
        <w:t>/s/ Tim Gottfried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FF0000"/>
          <w:strike w:val="1"/>
        </w:rPr>
        <w:t>Name: Tim Gottfried</w:t>
      </w:r>
    </w:p>
    <w:p>
      <w:pPr>
        <w:spacing w:after="0" w:line="9" w:lineRule="exact"/>
        <w:rPr>
          <w:sz w:val="20"/>
          <w:szCs w:val="20"/>
          <w:color w:val="auto"/>
        </w:rPr>
      </w:pPr>
    </w:p>
    <w:p>
      <w:pPr>
        <w:ind w:left="800"/>
        <w:spacing w:after="0"/>
        <w:tabs>
          <w:tab w:leader="none" w:pos="1360" w:val="left"/>
        </w:tabs>
        <w:rPr>
          <w:sz w:val="20"/>
          <w:szCs w:val="20"/>
          <w:color w:val="auto"/>
        </w:rPr>
      </w:pPr>
      <w:r>
        <w:rPr>
          <w:rFonts w:ascii="Times New Roman" w:cs="Times New Roman" w:eastAsia="Times New Roman" w:hAnsi="Times New Roman"/>
          <w:sz w:val="18"/>
          <w:szCs w:val="18"/>
          <w:color w:val="FF0000"/>
          <w:strike w:val="1"/>
        </w:rPr>
        <w:t>Title:</w:t>
      </w:r>
      <w:r>
        <w:rPr>
          <w:sz w:val="20"/>
          <w:szCs w:val="20"/>
          <w:color w:val="auto"/>
        </w:rPr>
        <w:tab/>
      </w:r>
      <w:r>
        <w:rPr>
          <w:rFonts w:ascii="Times New Roman" w:cs="Times New Roman" w:eastAsia="Times New Roman" w:hAnsi="Times New Roman"/>
          <w:sz w:val="17"/>
          <w:szCs w:val="17"/>
          <w:color w:val="FF0000"/>
          <w:strike w:val="1"/>
        </w:rPr>
        <w:t>Managing Member</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FF0000"/>
          <w:strike w:val="1"/>
        </w:rPr>
        <w:t>LAGO INNOVATION FUND, LLC</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FF0000"/>
          <w:strike w:val="1"/>
        </w:rPr>
        <w:t xml:space="preserve">By: </w:t>
      </w:r>
      <w:r>
        <w:rPr>
          <w:rFonts w:ascii="Times New Roman" w:cs="Times New Roman" w:eastAsia="Times New Roman" w:hAnsi="Times New Roman"/>
          <w:sz w:val="18"/>
          <w:szCs w:val="18"/>
          <w:u w:val="single" w:color="auto"/>
          <w:color w:val="FF0000"/>
          <w:strike w:val="1"/>
        </w:rPr>
        <w:t>/s/ Tim Gottfried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FF0000"/>
          <w:strike w:val="1"/>
        </w:rPr>
        <w:t>Name: Tim Gottfried</w:t>
      </w:r>
    </w:p>
    <w:p>
      <w:pPr>
        <w:spacing w:after="0" w:line="9" w:lineRule="exact"/>
        <w:rPr>
          <w:sz w:val="20"/>
          <w:szCs w:val="20"/>
          <w:color w:val="auto"/>
        </w:rPr>
      </w:pPr>
    </w:p>
    <w:p>
      <w:pPr>
        <w:ind w:left="800"/>
        <w:spacing w:after="0"/>
        <w:tabs>
          <w:tab w:leader="none" w:pos="1360" w:val="left"/>
        </w:tabs>
        <w:rPr>
          <w:sz w:val="20"/>
          <w:szCs w:val="20"/>
          <w:color w:val="auto"/>
        </w:rPr>
      </w:pPr>
      <w:r>
        <w:rPr>
          <w:rFonts w:ascii="Times New Roman" w:cs="Times New Roman" w:eastAsia="Times New Roman" w:hAnsi="Times New Roman"/>
          <w:sz w:val="18"/>
          <w:szCs w:val="18"/>
          <w:color w:val="FF0000"/>
          <w:strike w:val="1"/>
        </w:rPr>
        <w:t>Title:</w:t>
      </w:r>
      <w:r>
        <w:rPr>
          <w:sz w:val="20"/>
          <w:szCs w:val="20"/>
          <w:color w:val="auto"/>
        </w:rPr>
        <w:tab/>
      </w:r>
      <w:r>
        <w:rPr>
          <w:rFonts w:ascii="Times New Roman" w:cs="Times New Roman" w:eastAsia="Times New Roman" w:hAnsi="Times New Roman"/>
          <w:sz w:val="17"/>
          <w:szCs w:val="17"/>
          <w:color w:val="FF0000"/>
          <w:strike w:val="1"/>
        </w:rPr>
        <w:t>Managing Member of the Managing</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FF0000"/>
          <w:strike w:val="1"/>
        </w:rPr>
        <w:t>Members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FF0000"/>
          <w:strike w:val="1"/>
        </w:rPr>
        <w:t>LAGO INNOVATION FUND I-QP, LP</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FF0000"/>
          <w:strike w:val="1"/>
        </w:rPr>
        <w:t xml:space="preserve">By: </w:t>
      </w:r>
      <w:r>
        <w:rPr>
          <w:rFonts w:ascii="Times New Roman" w:cs="Times New Roman" w:eastAsia="Times New Roman" w:hAnsi="Times New Roman"/>
          <w:sz w:val="18"/>
          <w:szCs w:val="18"/>
          <w:u w:val="single" w:color="auto"/>
          <w:color w:val="FF0000"/>
          <w:strike w:val="1"/>
        </w:rPr>
        <w:t>/s/ Tim Gottfried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FF0000"/>
          <w:strike w:val="1"/>
        </w:rPr>
        <w:t>Name: Tim Gottfried</w:t>
      </w:r>
    </w:p>
    <w:p>
      <w:pPr>
        <w:spacing w:after="0" w:line="9" w:lineRule="exact"/>
        <w:rPr>
          <w:sz w:val="20"/>
          <w:szCs w:val="20"/>
          <w:color w:val="auto"/>
        </w:rPr>
      </w:pPr>
    </w:p>
    <w:p>
      <w:pPr>
        <w:ind w:left="800"/>
        <w:spacing w:after="0"/>
        <w:tabs>
          <w:tab w:leader="none" w:pos="1360" w:val="left"/>
        </w:tabs>
        <w:rPr>
          <w:sz w:val="20"/>
          <w:szCs w:val="20"/>
          <w:color w:val="auto"/>
        </w:rPr>
      </w:pPr>
      <w:r>
        <w:rPr>
          <w:rFonts w:ascii="Times New Roman" w:cs="Times New Roman" w:eastAsia="Times New Roman" w:hAnsi="Times New Roman"/>
          <w:sz w:val="18"/>
          <w:szCs w:val="18"/>
          <w:color w:val="FF0000"/>
          <w:strike w:val="1"/>
        </w:rPr>
        <w:t>Title:</w:t>
      </w:r>
      <w:r>
        <w:rPr>
          <w:sz w:val="20"/>
          <w:szCs w:val="20"/>
          <w:color w:val="auto"/>
        </w:rPr>
        <w:tab/>
      </w:r>
      <w:r>
        <w:rPr>
          <w:rFonts w:ascii="Times New Roman" w:cs="Times New Roman" w:eastAsia="Times New Roman" w:hAnsi="Times New Roman"/>
          <w:sz w:val="17"/>
          <w:szCs w:val="17"/>
          <w:color w:val="FF0000"/>
          <w:strike w:val="1"/>
        </w:rPr>
        <w:t>Managing Member</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FF0000"/>
          <w:strike w:val="1"/>
        </w:rPr>
        <w:t>LAGO INNOVATION FUND II-AI,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2888615" cy="4457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88615" cy="445770"/>
                    </a:xfrm>
                    <a:prstGeom prst="rect">
                      <a:avLst/>
                    </a:prstGeom>
                    <a:noFill/>
                  </pic:spPr>
                </pic:pic>
              </a:graphicData>
            </a:graphic>
          </wp:anchor>
        </w:drawing>
      </w:r>
    </w:p>
    <w:p>
      <w:pPr>
        <w:spacing w:after="0" w:line="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 xml:space="preserve">By: </w:t>
      </w:r>
      <w:r>
        <w:rPr>
          <w:rFonts w:ascii="Times New Roman" w:cs="Times New Roman" w:eastAsia="Times New Roman" w:hAnsi="Times New Roman"/>
          <w:sz w:val="18"/>
          <w:szCs w:val="18"/>
          <w:u w:val="single" w:color="auto"/>
          <w:color w:val="FF0000"/>
          <w:strike w:val="1"/>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74320" cy="4203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74320" cy="420370"/>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FF0000"/>
          <w:strike w:val="1"/>
        </w:rPr>
        <w:t>Tim</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FF0000"/>
          <w:strike w:val="1"/>
        </w:rPr>
        <w:t>Gottfried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922905" cy="4114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922905"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REIT MANAGER,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-19050</wp:posOffset>
            </wp:positionV>
            <wp:extent cx="285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-1905</wp:posOffset>
            </wp:positionV>
            <wp:extent cx="285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u w:val="single" w:color="auto"/>
          <w:color w:val="0000FF"/>
        </w:rPr>
        <w:t>By:</w:t>
      </w:r>
      <w:r>
        <w:rPr>
          <w:sz w:val="20"/>
          <w:szCs w:val="20"/>
          <w:color w:val="auto"/>
        </w:rPr>
        <w:tab/>
      </w:r>
      <w:r>
        <w:rPr>
          <w:rFonts w:ascii="Times New Roman" w:cs="Times New Roman" w:eastAsia="Times New Roman" w:hAnsi="Times New Roman"/>
          <w:sz w:val="17"/>
          <w:szCs w:val="17"/>
          <w:u w:val="single" w:color="auto"/>
          <w:color w:val="0000FF"/>
        </w:rPr>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22905" cy="9683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922905" cy="968375"/>
                    </a:xfrm>
                    <a:prstGeom prst="rect">
                      <a:avLst/>
                    </a:prstGeom>
                    <a:noFill/>
                  </pic:spPr>
                </pic:pic>
              </a:graphicData>
            </a:graphic>
          </wp:anchor>
        </w:drawing>
      </w:r>
    </w:p>
    <w:p>
      <w:pPr>
        <w:spacing w:after="0" w:line="7" w:lineRule="exact"/>
        <w:rPr>
          <w:sz w:val="20"/>
          <w:szCs w:val="20"/>
          <w:color w:val="auto"/>
        </w:rPr>
      </w:pPr>
    </w:p>
    <w:p>
      <w:pPr>
        <w:ind w:left="440"/>
        <w:spacing w:after="0"/>
        <w:tabs>
          <w:tab w:leader="none" w:pos="11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0000FF"/>
        </w:rPr>
        <w:t>Anthony Cappell</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ind w:left="440"/>
        <w:spacing w:after="0"/>
        <w:tabs>
          <w:tab w:leader="none" w:pos="1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0000FF"/>
        </w:rPr>
        <w:t>Authorized Person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5715</wp:posOffset>
            </wp:positionV>
            <wp:extent cx="2648585"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4858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60" w:name="page61"/>
    <w:bookmarkEnd w:id="60"/>
    <w:p>
      <w:pPr>
        <w:ind w:left="320"/>
        <w:spacing w:after="0"/>
        <w:rPr>
          <w:sz w:val="20"/>
          <w:szCs w:val="20"/>
          <w:color w:val="auto"/>
        </w:rPr>
      </w:pPr>
      <w:r>
        <w:rPr>
          <w:rFonts w:ascii="Times New Roman" w:cs="Times New Roman" w:eastAsia="Times New Roman" w:hAnsi="Times New Roman"/>
          <w:sz w:val="18"/>
          <w:szCs w:val="18"/>
          <w:b w:val="1"/>
          <w:bCs w:val="1"/>
          <w:color w:val="FF0000"/>
          <w:strike w:val="1"/>
        </w:rPr>
        <w:t>LAGO INNOVATION FUND II-QP</w:t>
      </w:r>
      <w:r>
        <w:rPr>
          <w:rFonts w:ascii="Times New Roman" w:cs="Times New Roman" w:eastAsia="Times New Roman" w:hAnsi="Times New Roman"/>
          <w:sz w:val="18"/>
          <w:szCs w:val="18"/>
          <w:b w:val="1"/>
          <w:bCs w:val="1"/>
          <w:u w:val="single" w:color="auto"/>
          <w:color w:val="0000FF"/>
          <w:strike w:val="1"/>
        </w:rPr>
        <w:t>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-116840</wp:posOffset>
            </wp:positionV>
            <wp:extent cx="7132320" cy="7029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7029450"/>
                    </a:xfrm>
                    <a:prstGeom prst="rect">
                      <a:avLst/>
                    </a:prstGeom>
                    <a:noFill/>
                  </pic:spPr>
                </pic:pic>
              </a:graphicData>
            </a:graphic>
          </wp:anchor>
        </w:drawing>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0000FF"/>
        </w:rPr>
        <w:t>ATLANTIC PORTFOLIO</w:t>
      </w:r>
      <w:r>
        <w:rPr>
          <w:rFonts w:ascii="Times New Roman" w:cs="Times New Roman" w:eastAsia="Times New Roman" w:hAnsi="Times New Roman"/>
          <w:sz w:val="18"/>
          <w:szCs w:val="18"/>
          <w:b w:val="1"/>
          <w:bCs w:val="1"/>
          <w:color w:val="000000"/>
        </w:rPr>
        <w:t>, 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u w:val="single" w:color="auto"/>
          <w:color w:val="FF0000"/>
          <w:strike w:val="1"/>
        </w:rPr>
        <w:t>Tim Gottfried</w:t>
      </w:r>
      <w:r>
        <w:rPr>
          <w:rFonts w:ascii="Times New Roman" w:cs="Times New Roman" w:eastAsia="Times New Roman" w:hAnsi="Times New Roman"/>
          <w:sz w:val="18"/>
          <w:szCs w:val="18"/>
          <w:u w:val="single" w:color="auto"/>
          <w:color w:val="0000FF"/>
        </w:rPr>
        <w:t>Anthony Cappell</w:t>
      </w:r>
    </w:p>
    <w:p>
      <w:pPr>
        <w:spacing w:after="0" w:line="41" w:lineRule="exact"/>
        <w:rPr>
          <w:sz w:val="20"/>
          <w:szCs w:val="20"/>
          <w:color w:val="auto"/>
        </w:rPr>
      </w:pPr>
    </w:p>
    <w:p>
      <w:pPr>
        <w:ind w:left="32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0000FF"/>
        </w:rPr>
        <w:t>Anthony Cappell</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ind w:left="32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0000FF"/>
        </w:rPr>
        <w:t>Authorized Person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LAGO INNOVATION</w:t>
      </w:r>
      <w:r>
        <w:rPr>
          <w:rFonts w:ascii="Times New Roman" w:cs="Times New Roman" w:eastAsia="Times New Roman" w:hAnsi="Times New Roman"/>
          <w:sz w:val="18"/>
          <w:szCs w:val="18"/>
          <w:b w:val="1"/>
          <w:bCs w:val="1"/>
          <w:u w:val="single" w:color="auto"/>
          <w:color w:val="0000FF"/>
          <w:strike w:val="1"/>
        </w:rPr>
        <w:t>CHICAGO ATLANTIC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FUND </w:t>
      </w:r>
      <w:r>
        <w:rPr>
          <w:rFonts w:ascii="Times New Roman" w:cs="Times New Roman" w:eastAsia="Times New Roman" w:hAnsi="Times New Roman"/>
          <w:sz w:val="18"/>
          <w:szCs w:val="18"/>
          <w:b w:val="1"/>
          <w:bCs w:val="1"/>
          <w:color w:val="FF0000"/>
          <w:strike w:val="1"/>
        </w:rPr>
        <w:t>II</w:t>
      </w:r>
      <w:r>
        <w:rPr>
          <w:rFonts w:ascii="Times New Roman" w:cs="Times New Roman" w:eastAsia="Times New Roman" w:hAnsi="Times New Roman"/>
          <w:sz w:val="18"/>
          <w:szCs w:val="18"/>
          <w:b w:val="1"/>
          <w:bCs w:val="1"/>
          <w:color w:val="auto"/>
        </w:rPr>
        <w:t>, LLC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u w:val="single" w:color="auto"/>
          <w:color w:val="FF0000"/>
          <w:strike w:val="1"/>
        </w:rPr>
        <w:t>Tim Gottfried</w:t>
      </w:r>
      <w:r>
        <w:rPr>
          <w:rFonts w:ascii="Times New Roman" w:cs="Times New Roman" w:eastAsia="Times New Roman" w:hAnsi="Times New Roman"/>
          <w:sz w:val="18"/>
          <w:szCs w:val="18"/>
          <w:u w:val="single" w:color="auto"/>
          <w:color w:val="0000FF"/>
        </w:rPr>
        <w:t>Anthony Cappell</w:t>
      </w:r>
    </w:p>
    <w:p>
      <w:pPr>
        <w:spacing w:after="0" w:line="41" w:lineRule="exact"/>
        <w:rPr>
          <w:sz w:val="20"/>
          <w:szCs w:val="20"/>
          <w:color w:val="auto"/>
        </w:rPr>
      </w:pPr>
    </w:p>
    <w:p>
      <w:pPr>
        <w:ind w:left="32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0000FF"/>
        </w:rPr>
        <w:t>Anthony Cappell</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ind w:left="32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0000FF"/>
        </w:rPr>
        <w:t>Authorized Person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Member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of the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Members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FF0000"/>
          <w:strike w:val="1"/>
        </w:rPr>
        <w:t>LAGO DELTA NINE FUND, LP</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FF0000"/>
          <w:strike w:val="1"/>
        </w:rPr>
        <w:t xml:space="preserve">By:  </w:t>
      </w:r>
      <w:r>
        <w:rPr>
          <w:rFonts w:ascii="Times New Roman" w:cs="Times New Roman" w:eastAsia="Times New Roman" w:hAnsi="Times New Roman"/>
          <w:sz w:val="18"/>
          <w:szCs w:val="18"/>
          <w:u w:val="single" w:color="auto"/>
          <w:color w:val="FF0000"/>
          <w:strike w:val="1"/>
        </w:rPr>
        <w:t>/s/ Tim Gottfried</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FF0000"/>
          <w:strike w:val="1"/>
        </w:rPr>
        <w:t>Name: Tim Gottfried</w:t>
      </w:r>
    </w:p>
    <w:p>
      <w:pPr>
        <w:spacing w:after="0" w:line="9" w:lineRule="exact"/>
        <w:rPr>
          <w:sz w:val="20"/>
          <w:szCs w:val="20"/>
          <w:color w:val="auto"/>
        </w:rPr>
      </w:pPr>
    </w:p>
    <w:p>
      <w:pPr>
        <w:ind w:left="720"/>
        <w:spacing w:after="0"/>
        <w:tabs>
          <w:tab w:leader="none" w:pos="1260" w:val="left"/>
        </w:tabs>
        <w:rPr>
          <w:sz w:val="20"/>
          <w:szCs w:val="20"/>
          <w:color w:val="auto"/>
        </w:rPr>
      </w:pPr>
      <w:r>
        <w:rPr>
          <w:rFonts w:ascii="Times New Roman" w:cs="Times New Roman" w:eastAsia="Times New Roman" w:hAnsi="Times New Roman"/>
          <w:sz w:val="18"/>
          <w:szCs w:val="18"/>
          <w:color w:val="FF0000"/>
          <w:strike w:val="1"/>
        </w:rPr>
        <w:t>Title:</w:t>
      </w:r>
      <w:r>
        <w:rPr>
          <w:sz w:val="20"/>
          <w:szCs w:val="20"/>
          <w:color w:val="auto"/>
        </w:rPr>
        <w:tab/>
      </w:r>
      <w:r>
        <w:rPr>
          <w:rFonts w:ascii="Times New Roman" w:cs="Times New Roman" w:eastAsia="Times New Roman" w:hAnsi="Times New Roman"/>
          <w:sz w:val="17"/>
          <w:szCs w:val="17"/>
          <w:color w:val="FF0000"/>
          <w:strike w:val="1"/>
        </w:rPr>
        <w:t>Managing Member</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FF0000"/>
          <w:strike w:val="1"/>
        </w:rPr>
        <w:t>LAGO DELTA NINE FUND QP, LP</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FF0000"/>
          <w:strike w:val="1"/>
        </w:rPr>
        <w:t xml:space="preserve">By:  </w:t>
      </w:r>
      <w:r>
        <w:rPr>
          <w:rFonts w:ascii="Times New Roman" w:cs="Times New Roman" w:eastAsia="Times New Roman" w:hAnsi="Times New Roman"/>
          <w:sz w:val="18"/>
          <w:szCs w:val="18"/>
          <w:u w:val="single" w:color="auto"/>
          <w:color w:val="FF0000"/>
          <w:strike w:val="1"/>
        </w:rPr>
        <w:t>/s/ Tim Gottfried</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FF0000"/>
          <w:strike w:val="1"/>
        </w:rPr>
        <w:t>Name: Tim Gottfried</w:t>
      </w:r>
    </w:p>
    <w:p>
      <w:pPr>
        <w:spacing w:after="0" w:line="9" w:lineRule="exact"/>
        <w:rPr>
          <w:sz w:val="20"/>
          <w:szCs w:val="20"/>
          <w:color w:val="auto"/>
        </w:rPr>
      </w:pPr>
    </w:p>
    <w:p>
      <w:pPr>
        <w:ind w:left="720"/>
        <w:spacing w:after="0"/>
        <w:tabs>
          <w:tab w:leader="none" w:pos="1260" w:val="left"/>
        </w:tabs>
        <w:rPr>
          <w:sz w:val="20"/>
          <w:szCs w:val="20"/>
          <w:color w:val="auto"/>
        </w:rPr>
      </w:pPr>
      <w:r>
        <w:rPr>
          <w:rFonts w:ascii="Times New Roman" w:cs="Times New Roman" w:eastAsia="Times New Roman" w:hAnsi="Times New Roman"/>
          <w:sz w:val="18"/>
          <w:szCs w:val="18"/>
          <w:color w:val="FF0000"/>
          <w:strike w:val="1"/>
        </w:rPr>
        <w:t>Title:</w:t>
      </w:r>
      <w:r>
        <w:rPr>
          <w:sz w:val="20"/>
          <w:szCs w:val="20"/>
          <w:color w:val="auto"/>
        </w:rPr>
        <w:tab/>
      </w:r>
      <w:r>
        <w:rPr>
          <w:rFonts w:ascii="Times New Roman" w:cs="Times New Roman" w:eastAsia="Times New Roman" w:hAnsi="Times New Roman"/>
          <w:sz w:val="17"/>
          <w:szCs w:val="17"/>
          <w:color w:val="FF0000"/>
          <w:strike w:val="1"/>
        </w:rPr>
        <w:t>Managing Member</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FF0000"/>
          <w:strike w:val="1"/>
        </w:rPr>
        <w:t>LAGO DELTA NINE, LLC</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FF0000"/>
          <w:strike w:val="1"/>
        </w:rPr>
        <w:t xml:space="preserve">By:  </w:t>
      </w:r>
      <w:r>
        <w:rPr>
          <w:rFonts w:ascii="Times New Roman" w:cs="Times New Roman" w:eastAsia="Times New Roman" w:hAnsi="Times New Roman"/>
          <w:sz w:val="18"/>
          <w:szCs w:val="18"/>
          <w:u w:val="single" w:color="auto"/>
          <w:color w:val="FF0000"/>
          <w:strike w:val="1"/>
        </w:rPr>
        <w:t>/s/ Tim Gottfried</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FF0000"/>
          <w:strike w:val="1"/>
        </w:rPr>
        <w:t>Name: Tim Gottfried</w:t>
      </w:r>
    </w:p>
    <w:p>
      <w:pPr>
        <w:spacing w:after="0" w:line="9" w:lineRule="exact"/>
        <w:rPr>
          <w:sz w:val="20"/>
          <w:szCs w:val="20"/>
          <w:color w:val="auto"/>
        </w:rPr>
      </w:pPr>
    </w:p>
    <w:p>
      <w:pPr>
        <w:ind w:left="720"/>
        <w:spacing w:after="0"/>
        <w:tabs>
          <w:tab w:leader="none" w:pos="1260" w:val="left"/>
        </w:tabs>
        <w:rPr>
          <w:sz w:val="20"/>
          <w:szCs w:val="20"/>
          <w:color w:val="auto"/>
        </w:rPr>
      </w:pPr>
      <w:r>
        <w:rPr>
          <w:rFonts w:ascii="Times New Roman" w:cs="Times New Roman" w:eastAsia="Times New Roman" w:hAnsi="Times New Roman"/>
          <w:sz w:val="18"/>
          <w:szCs w:val="18"/>
          <w:color w:val="FF0000"/>
          <w:strike w:val="1"/>
        </w:rPr>
        <w:t>Title:</w:t>
      </w:r>
      <w:r>
        <w:rPr>
          <w:sz w:val="20"/>
          <w:szCs w:val="20"/>
          <w:color w:val="auto"/>
        </w:rPr>
        <w:tab/>
      </w:r>
      <w:r>
        <w:rPr>
          <w:rFonts w:ascii="Times New Roman" w:cs="Times New Roman" w:eastAsia="Times New Roman" w:hAnsi="Times New Roman"/>
          <w:sz w:val="17"/>
          <w:szCs w:val="17"/>
          <w:color w:val="FF0000"/>
          <w:strike w:val="1"/>
        </w:rPr>
        <w:t>Managing Member of the Managing</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FF0000"/>
          <w:strike w:val="1"/>
        </w:rPr>
        <w:t>Members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FF0000"/>
          <w:strike w:val="1"/>
        </w:rPr>
        <w:t>LAGO D9 EQUITY FUND I, LP</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FF0000"/>
          <w:strike w:val="1"/>
        </w:rPr>
        <w:t xml:space="preserve">By:  </w:t>
      </w:r>
      <w:r>
        <w:rPr>
          <w:rFonts w:ascii="Times New Roman" w:cs="Times New Roman" w:eastAsia="Times New Roman" w:hAnsi="Times New Roman"/>
          <w:sz w:val="18"/>
          <w:szCs w:val="18"/>
          <w:u w:val="single" w:color="auto"/>
          <w:color w:val="FF0000"/>
          <w:strike w:val="1"/>
        </w:rPr>
        <w:t>/s/ Tim Gottfried</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FF0000"/>
          <w:strike w:val="1"/>
        </w:rPr>
        <w:t>Name: Tim Gottfried</w:t>
      </w:r>
    </w:p>
    <w:p>
      <w:pPr>
        <w:spacing w:after="0" w:line="9" w:lineRule="exact"/>
        <w:rPr>
          <w:sz w:val="20"/>
          <w:szCs w:val="20"/>
          <w:color w:val="auto"/>
        </w:rPr>
      </w:pPr>
    </w:p>
    <w:p>
      <w:pPr>
        <w:ind w:left="720"/>
        <w:spacing w:after="0"/>
        <w:tabs>
          <w:tab w:leader="none" w:pos="1260" w:val="left"/>
        </w:tabs>
        <w:rPr>
          <w:sz w:val="20"/>
          <w:szCs w:val="20"/>
          <w:color w:val="auto"/>
        </w:rPr>
      </w:pPr>
      <w:r>
        <w:rPr>
          <w:rFonts w:ascii="Times New Roman" w:cs="Times New Roman" w:eastAsia="Times New Roman" w:hAnsi="Times New Roman"/>
          <w:sz w:val="18"/>
          <w:szCs w:val="18"/>
          <w:color w:val="FF0000"/>
          <w:strike w:val="1"/>
        </w:rPr>
        <w:t>Title:</w:t>
      </w:r>
      <w:r>
        <w:rPr>
          <w:sz w:val="20"/>
          <w:szCs w:val="20"/>
          <w:color w:val="auto"/>
        </w:rPr>
        <w:tab/>
      </w:r>
      <w:r>
        <w:rPr>
          <w:rFonts w:ascii="Times New Roman" w:cs="Times New Roman" w:eastAsia="Times New Roman" w:hAnsi="Times New Roman"/>
          <w:sz w:val="17"/>
          <w:szCs w:val="17"/>
          <w:color w:val="FF0000"/>
          <w:strike w:val="1"/>
        </w:rPr>
        <w:t>Managing Member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39"/>
          </w:cols>
          <w:pgMar w:left="420" w:top="900"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OPPORTUNITY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401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Name:Anthony Cappell</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Title: 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OPPORTUNITY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401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Name:Anthony Cappell</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Title: 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CREDIT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401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III, 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Name:Anthony Cappell</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Title: 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CO3 (OFFSHORE),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401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Name:Anthony Cappell</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Title: Authorized Person</w:t>
      </w:r>
    </w:p>
    <w:p>
      <w:pPr>
        <w:spacing w:after="0" w:line="200" w:lineRule="exact"/>
        <w:rPr>
          <w:sz w:val="20"/>
          <w:szCs w:val="20"/>
          <w:color w:val="auto"/>
        </w:rPr>
      </w:pP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FF0000"/>
          <w:strike w:val="1"/>
        </w:rPr>
        <w:t>LAGO D9 EQUITY FUND I-QP</w:t>
      </w:r>
      <w:r>
        <w:rPr>
          <w:rFonts w:ascii="Times New Roman" w:cs="Times New Roman" w:eastAsia="Times New Roman" w:hAnsi="Times New Roman"/>
          <w:sz w:val="18"/>
          <w:szCs w:val="18"/>
          <w:b w:val="1"/>
          <w:bCs w:val="1"/>
          <w:u w:val="single" w:color="auto"/>
          <w:color w:val="0000FF"/>
          <w:strike w:val="1"/>
        </w:rPr>
        <w:t>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6630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663065"/>
                    </a:xfrm>
                    <a:prstGeom prst="rect">
                      <a:avLst/>
                    </a:prstGeom>
                    <a:noFill/>
                  </pic:spPr>
                </pic:pic>
              </a:graphicData>
            </a:graphic>
          </wp:anchor>
        </w:drawing>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u w:val="single" w:color="auto"/>
          <w:color w:val="0000FF"/>
        </w:rPr>
        <w:t>ATLANTIC CO3 FEEDER</w:t>
      </w:r>
      <w:r>
        <w:rPr>
          <w:rFonts w:ascii="Times New Roman" w:cs="Times New Roman" w:eastAsia="Times New Roman" w:hAnsi="Times New Roman"/>
          <w:sz w:val="18"/>
          <w:szCs w:val="18"/>
          <w:b w:val="1"/>
          <w:bCs w:val="1"/>
          <w:color w:val="000000"/>
        </w:rPr>
        <w:t>, LP</w:t>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u w:val="single" w:color="auto"/>
          <w:color w:val="FF0000"/>
          <w:strike w:val="1"/>
        </w:rPr>
        <w:t>Tim Gottfried</w:t>
      </w:r>
      <w:r>
        <w:rPr>
          <w:rFonts w:ascii="Times New Roman" w:cs="Times New Roman" w:eastAsia="Times New Roman" w:hAnsi="Times New Roman"/>
          <w:sz w:val="18"/>
          <w:szCs w:val="18"/>
          <w:u w:val="single" w:color="auto"/>
          <w:color w:val="0000FF"/>
        </w:rPr>
        <w:t>Anthony Cappell</w:t>
      </w:r>
    </w:p>
    <w:p>
      <w:pPr>
        <w:spacing w:after="0" w:line="41" w:lineRule="exact"/>
        <w:rPr>
          <w:sz w:val="20"/>
          <w:szCs w:val="20"/>
          <w:color w:val="auto"/>
        </w:rPr>
      </w:pPr>
    </w:p>
    <w:p>
      <w:pPr>
        <w:ind w:left="420"/>
        <w:spacing w:after="0"/>
        <w:tabs>
          <w:tab w:leader="none" w:pos="1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0000FF"/>
        </w:rPr>
        <w:t>Anthony Cappell</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ind w:left="420"/>
        <w:spacing w:after="0"/>
        <w:tabs>
          <w:tab w:leader="none" w:pos="1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0000FF"/>
        </w:rPr>
        <w:t>Authorized Person</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Member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62" w:name="page63"/>
    <w:bookmarkEnd w:id="62"/>
    <w:p>
      <w:pPr>
        <w:spacing w:after="0"/>
        <w:rPr>
          <w:sz w:val="20"/>
          <w:szCs w:val="20"/>
          <w:color w:val="auto"/>
        </w:rPr>
      </w:pPr>
      <w:r>
        <w:rPr>
          <w:sz w:val="1"/>
          <w:szCs w:val="1"/>
          <w:color w:val="auto"/>
        </w:rPr>
        <w:drawing>
          <wp:inline distT="0" distB="0" distL="0" distR="0">
            <wp:extent cx="60325" cy="27432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27432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FF0000"/>
          <w:strike w:val="1"/>
        </w:rPr>
        <w:t>LAGO INNOVATION FUND III-AI,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56489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1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FF0000"/>
          <w:strike w:val="1"/>
        </w:rPr>
        <w:t>By: /s/ Tim Gottfried</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Name:</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Title: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Member</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FF0000"/>
          <w:strike w:val="1"/>
        </w:rPr>
        <w:t>LAGO INNOVATION FUND III-QP, LP</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FF0000"/>
          <w:strike w:val="1"/>
        </w:rPr>
        <w:t>By: /s/ Tim Gottfried</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Name:</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Title: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Member</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FF0000"/>
          <w:strike w:val="1"/>
        </w:rPr>
        <w:t>LAGO INNOVATION FUND III</w:t>
      </w:r>
      <w:r>
        <w:rPr>
          <w:rFonts w:ascii="Times New Roman" w:cs="Times New Roman" w:eastAsia="Times New Roman" w:hAnsi="Times New Roman"/>
          <w:sz w:val="18"/>
          <w:szCs w:val="18"/>
          <w:b w:val="1"/>
          <w:bCs w:val="1"/>
          <w:u w:val="single" w:color="auto"/>
          <w:color w:val="0000FF"/>
          <w:strike w:val="1"/>
        </w:rPr>
        <w:t>CHICAGO ATLANTIC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0000FF"/>
        </w:rPr>
        <w:t>CREDIT OPPORTUNITIES</w:t>
      </w:r>
      <w:r>
        <w:rPr>
          <w:rFonts w:ascii="Times New Roman" w:cs="Times New Roman" w:eastAsia="Times New Roman" w:hAnsi="Times New Roman"/>
          <w:sz w:val="18"/>
          <w:szCs w:val="18"/>
          <w:b w:val="1"/>
          <w:bCs w:val="1"/>
          <w:color w:val="000000"/>
        </w:rPr>
        <w:t>, LLC</w:t>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FF0000"/>
          <w:strike w:val="1"/>
        </w:rPr>
        <w:t>By: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Tim Gottfried</w:t>
      </w:r>
      <w:r>
        <w:rPr>
          <w:rFonts w:ascii="Times New Roman" w:cs="Times New Roman" w:eastAsia="Times New Roman" w:hAnsi="Times New Roman"/>
          <w:sz w:val="18"/>
          <w:szCs w:val="18"/>
          <w:u w:val="single" w:color="auto"/>
          <w:color w:val="0000FF"/>
        </w:rPr>
        <w:t>Anthony Cappell</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FF"/>
        </w:rPr>
        <w:t>Anthony</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FF"/>
        </w:rPr>
        <w:t>Cappell</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FF"/>
        </w:rPr>
        <w:t>Authorized</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0000FF"/>
        </w:rPr>
        <w:t>Person</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Member of</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the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Members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84" w:right="1440" w:bottom="1440" w:gutter="0" w:footer="0" w:header="0"/>
        </w:sectPr>
      </w:pPr>
    </w:p>
    <w:bookmarkStart w:id="63" w:name="page64"/>
    <w:bookmarkEnd w:id="63"/>
    <w:p>
      <w:pPr>
        <w:ind w:left="100"/>
        <w:spacing w:after="0"/>
        <w:rPr>
          <w:sz w:val="20"/>
          <w:szCs w:val="20"/>
          <w:color w:val="auto"/>
        </w:rPr>
      </w:pPr>
      <w:r>
        <w:rPr>
          <w:rFonts w:ascii="Times New Roman" w:cs="Times New Roman" w:eastAsia="Times New Roman" w:hAnsi="Times New Roman"/>
          <w:sz w:val="18"/>
          <w:szCs w:val="18"/>
          <w:b w:val="1"/>
          <w:bCs w:val="1"/>
          <w:color w:val="FF0000"/>
          <w:strike w:val="1"/>
        </w:rPr>
        <w:t>LAGO ACCELERATION FUND I, LP</w:t>
      </w:r>
      <w:r>
        <w:rPr>
          <w:rFonts w:ascii="Times New Roman" w:cs="Times New Roman" w:eastAsia="Times New Roman" w:hAnsi="Times New Roman"/>
          <w:sz w:val="18"/>
          <w:szCs w:val="18"/>
          <w:b w:val="1"/>
          <w:bCs w:val="1"/>
          <w:u w:val="single" w:color="auto"/>
          <w:color w:val="0000FF"/>
          <w:strike w:val="1"/>
        </w:rPr>
        <w:t>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1718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3171825"/>
                    </a:xfrm>
                    <a:prstGeom prst="rect">
                      <a:avLst/>
                    </a:prstGeom>
                    <a:noFill/>
                  </pic:spPr>
                </pic:pic>
              </a:graphicData>
            </a:graphic>
          </wp:anchor>
        </w:drawing>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0000FF"/>
        </w:rPr>
        <w:t>ATLANTIC REAL ESTATE FINANCE, INC.</w:t>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u w:val="single" w:color="auto"/>
          <w:color w:val="FF0000"/>
          <w:strike w:val="1"/>
        </w:rPr>
        <w:t>Tim Gottfried</w:t>
      </w:r>
      <w:r>
        <w:rPr>
          <w:rFonts w:ascii="Times New Roman" w:cs="Times New Roman" w:eastAsia="Times New Roman" w:hAnsi="Times New Roman"/>
          <w:sz w:val="18"/>
          <w:szCs w:val="18"/>
          <w:u w:val="single" w:color="auto"/>
          <w:color w:val="0000FF"/>
        </w:rPr>
        <w:t>Peter Sack</w:t>
      </w:r>
    </w:p>
    <w:p>
      <w:pPr>
        <w:spacing w:after="0" w:line="27" w:lineRule="exact"/>
        <w:rPr>
          <w:sz w:val="20"/>
          <w:szCs w:val="20"/>
          <w:color w:val="auto"/>
        </w:rPr>
      </w:pPr>
    </w:p>
    <w:p>
      <w:pPr>
        <w:ind w:left="420"/>
        <w:spacing w:after="0"/>
        <w:tabs>
          <w:tab w:leader="none" w:pos="1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0000FF"/>
        </w:rPr>
        <w:t>Peter Sack</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ind w:left="420"/>
        <w:spacing w:after="0"/>
        <w:tabs>
          <w:tab w:leader="none" w:pos="1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0000FF"/>
        </w:rPr>
        <w:t>Chief Executive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Member</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FF0000"/>
          <w:strike w:val="1"/>
        </w:rPr>
        <w:t>LAGO ACCELERATION FUND I-QP, LP</w:t>
      </w:r>
      <w:r>
        <w:rPr>
          <w:rFonts w:ascii="Times New Roman" w:cs="Times New Roman" w:eastAsia="Times New Roman" w:hAnsi="Times New Roman"/>
          <w:sz w:val="18"/>
          <w:szCs w:val="18"/>
          <w:b w:val="1"/>
          <w:bCs w:val="1"/>
          <w:u w:val="single" w:color="auto"/>
          <w:color w:val="0000FF"/>
          <w:strike w:val="1"/>
        </w:rPr>
        <w:t>CHICAGO</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0000FF"/>
        </w:rPr>
        <w:t>ATLANTIC CREDIT COMPANY, LLC</w:t>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u w:val="single" w:color="auto"/>
          <w:color w:val="FF0000"/>
          <w:strike w:val="1"/>
        </w:rPr>
        <w:t>Tim Gottfried</w:t>
      </w:r>
      <w:r>
        <w:rPr>
          <w:rFonts w:ascii="Times New Roman" w:cs="Times New Roman" w:eastAsia="Times New Roman" w:hAnsi="Times New Roman"/>
          <w:sz w:val="18"/>
          <w:szCs w:val="18"/>
          <w:u w:val="single" w:color="auto"/>
          <w:color w:val="0000FF"/>
        </w:rPr>
        <w:t>Anthony Cappell</w:t>
      </w:r>
    </w:p>
    <w:p>
      <w:pPr>
        <w:spacing w:after="0" w:line="27" w:lineRule="exact"/>
        <w:rPr>
          <w:sz w:val="20"/>
          <w:szCs w:val="20"/>
          <w:color w:val="auto"/>
        </w:rPr>
      </w:pPr>
    </w:p>
    <w:p>
      <w:pPr>
        <w:ind w:left="420"/>
        <w:spacing w:after="0"/>
        <w:tabs>
          <w:tab w:leader="none" w:pos="1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0000FF"/>
        </w:rPr>
        <w:t>Anthony Cappell</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ind w:left="420"/>
        <w:spacing w:after="0"/>
        <w:tabs>
          <w:tab w:leader="none" w:pos="1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0000FF"/>
        </w:rPr>
        <w:t>Authorized Person</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Member</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FF0000"/>
          <w:strike w:val="1"/>
        </w:rPr>
        <w:t>LAGO APEX CREDIT CORPORATION</w:t>
      </w:r>
      <w:r>
        <w:rPr>
          <w:rFonts w:ascii="Times New Roman" w:cs="Times New Roman" w:eastAsia="Times New Roman" w:hAnsi="Times New Roman"/>
          <w:sz w:val="18"/>
          <w:szCs w:val="18"/>
          <w:b w:val="1"/>
          <w:bCs w:val="1"/>
          <w:u w:val="single" w:color="auto"/>
          <w:color w:val="0000FF"/>
          <w:strike w:val="1"/>
        </w:rPr>
        <w:t>CA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4860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2486025"/>
                    </a:xfrm>
                    <a:prstGeom prst="rect">
                      <a:avLst/>
                    </a:prstGeom>
                    <a:noFill/>
                  </pic:spPr>
                </pic:pic>
              </a:graphicData>
            </a:graphic>
          </wp:anchor>
        </w:drawing>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u w:val="single" w:color="auto"/>
          <w:color w:val="0000FF"/>
        </w:rPr>
        <w:t>SPV, LLC</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u w:val="single" w:color="auto"/>
          <w:color w:val="FF0000"/>
          <w:strike w:val="1"/>
        </w:rPr>
        <w:t>Tim Gottfried</w:t>
      </w:r>
      <w:r>
        <w:rPr>
          <w:rFonts w:ascii="Times New Roman" w:cs="Times New Roman" w:eastAsia="Times New Roman" w:hAnsi="Times New Roman"/>
          <w:sz w:val="18"/>
          <w:szCs w:val="18"/>
          <w:u w:val="single" w:color="auto"/>
          <w:color w:val="0000FF"/>
        </w:rPr>
        <w:t>Anthony Cappell</w:t>
      </w:r>
    </w:p>
    <w:p>
      <w:pPr>
        <w:spacing w:after="0" w:line="27"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0000FF"/>
        </w:rPr>
        <w:t>Anthony Cappell</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0000FF"/>
        </w:rPr>
        <w:t>Authorized Person</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Executive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Vice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President</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of</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Strategy</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0000FF"/>
        </w:rPr>
        <w:t>CA CREDIT SPV, LLC</w:t>
      </w:r>
    </w:p>
    <w:p>
      <w:pPr>
        <w:spacing w:after="0" w:line="2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u w:val="single" w:color="auto"/>
          <w:color w:val="0000FF"/>
        </w:rPr>
        <w:t>By:</w:t>
        <w:tab/>
        <w:t>/s/ Anthony Cappell</w:t>
      </w:r>
    </w:p>
    <w:p>
      <w:pPr>
        <w:spacing w:after="0" w:line="27"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FF"/>
        </w:rPr>
        <w:t>Name:</w:t>
      </w:r>
      <w:r>
        <w:rPr>
          <w:sz w:val="20"/>
          <w:szCs w:val="20"/>
          <w:color w:val="auto"/>
        </w:rPr>
        <w:tab/>
      </w:r>
      <w:r>
        <w:rPr>
          <w:rFonts w:ascii="Times New Roman" w:cs="Times New Roman" w:eastAsia="Times New Roman" w:hAnsi="Times New Roman"/>
          <w:sz w:val="18"/>
          <w:szCs w:val="18"/>
          <w:u w:val="single" w:color="auto"/>
          <w:color w:val="0000FF"/>
        </w:rPr>
        <w:t>Anthony Cappell</w:t>
      </w:r>
    </w:p>
    <w:p>
      <w:pPr>
        <w:spacing w:after="0" w:line="220"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Title:</w:t>
        <w:tab/>
        <w:t>Authorized Person</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64" w:name="page65"/>
    <w:bookmarkEnd w:id="64"/>
    <w:p>
      <w:pPr>
        <w:jc w:val="center"/>
        <w:ind w:right="-1088"/>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jc w:val="center"/>
        <w:ind w:right="-1088"/>
        <w:spacing w:after="0"/>
        <w:rPr>
          <w:sz w:val="20"/>
          <w:szCs w:val="20"/>
          <w:color w:val="auto"/>
        </w:rPr>
      </w:pP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000000"/>
        </w:rPr>
        <w:t>Existing Affiliated Funds</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All Existing Affiliated Funds are advised by an Adviser as set forth below:</w:t>
      </w:r>
    </w:p>
    <w:p>
      <w:pPr>
        <w:spacing w:after="0" w:line="225" w:lineRule="exact"/>
        <w:rPr>
          <w:sz w:val="20"/>
          <w:szCs w:val="20"/>
          <w:color w:val="auto"/>
        </w:rPr>
      </w:pPr>
    </w:p>
    <w:p>
      <w:pPr>
        <w:ind w:left="328" w:hanging="328"/>
        <w:spacing w:after="0"/>
        <w:tabs>
          <w:tab w:leader="none" w:pos="328"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FF0000"/>
          <w:strike w:val="1"/>
        </w:rPr>
        <w:t>Adviser is LAGO Asset Management</w:t>
      </w:r>
      <w:r>
        <w:rPr>
          <w:rFonts w:ascii="Times New Roman" w:cs="Times New Roman" w:eastAsia="Times New Roman" w:hAnsi="Times New Roman"/>
          <w:sz w:val="17"/>
          <w:szCs w:val="17"/>
          <w:u w:val="single" w:color="auto"/>
          <w:color w:val="0000FF"/>
        </w:rPr>
        <w:t>Existing Affiliated Funds advised by Chicago Atlantic Advisers</w:t>
      </w:r>
      <w:r>
        <w:rPr>
          <w:rFonts w:ascii="Times New Roman" w:cs="Times New Roman" w:eastAsia="Times New Roman" w:hAnsi="Times New Roman"/>
          <w:sz w:val="17"/>
          <w:szCs w:val="17"/>
          <w:color w:val="000000"/>
        </w:rPr>
        <w:t>, LLC:</w:t>
      </w:r>
    </w:p>
    <w:p>
      <w:pPr>
        <w:spacing w:after="0" w:line="236" w:lineRule="exact"/>
        <w:rPr>
          <w:rFonts w:ascii="Times New Roman" w:cs="Times New Roman" w:eastAsia="Times New Roman" w:hAnsi="Times New Roman"/>
          <w:sz w:val="17"/>
          <w:szCs w:val="17"/>
          <w:color w:val="auto"/>
        </w:rPr>
      </w:pPr>
    </w:p>
    <w:p>
      <w:pPr>
        <w:ind w:left="648" w:hanging="324"/>
        <w:spacing w:after="0"/>
        <w:tabs>
          <w:tab w:leader="none" w:pos="64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LAGO Innovation Fund I</w:t>
      </w:r>
      <w:r>
        <w:rPr>
          <w:rFonts w:ascii="Times New Roman" w:cs="Times New Roman" w:eastAsia="Times New Roman" w:hAnsi="Times New Roman"/>
          <w:sz w:val="18"/>
          <w:szCs w:val="18"/>
          <w:u w:val="single" w:color="auto"/>
          <w:color w:val="0000FF"/>
        </w:rPr>
        <w:t>Chicago Atlantic Opportunity Portfolio</w:t>
      </w:r>
      <w:r>
        <w:rPr>
          <w:rFonts w:ascii="Times New Roman" w:cs="Times New Roman" w:eastAsia="Times New Roman" w:hAnsi="Times New Roman"/>
          <w:sz w:val="18"/>
          <w:szCs w:val="18"/>
          <w:color w:val="000000"/>
        </w:rPr>
        <w:t>, LP</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LAGO Innovation Fund I-QP, LP</w:t>
      </w:r>
      <w:r>
        <w:rPr>
          <w:rFonts w:ascii="Times New Roman" w:cs="Times New Roman" w:eastAsia="Times New Roman" w:hAnsi="Times New Roman"/>
          <w:sz w:val="18"/>
          <w:szCs w:val="18"/>
          <w:u w:val="single" w:color="auto"/>
          <w:color w:val="0000FF"/>
          <w:strike w:val="1"/>
        </w:rPr>
        <w:t>Chicago Atlantic Opportunity Finance, LLC</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LAGO Innovation Fund</w:t>
      </w:r>
      <w:r>
        <w:rPr>
          <w:rFonts w:ascii="Times New Roman" w:cs="Times New Roman" w:eastAsia="Times New Roman" w:hAnsi="Times New Roman"/>
          <w:sz w:val="18"/>
          <w:szCs w:val="18"/>
          <w:u w:val="single" w:color="auto"/>
          <w:color w:val="0000FF"/>
        </w:rPr>
        <w:t>Chicago Atlantic Credit Opportunities</w:t>
      </w:r>
      <w:r>
        <w:rPr>
          <w:rFonts w:ascii="Times New Roman" w:cs="Times New Roman" w:eastAsia="Times New Roman" w:hAnsi="Times New Roman"/>
          <w:sz w:val="18"/>
          <w:szCs w:val="18"/>
          <w:color w:val="000000"/>
        </w:rPr>
        <w:t>, LLC</w:t>
      </w:r>
    </w:p>
    <w:p>
      <w:pPr>
        <w:spacing w:after="0" w:line="225"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LAGO Innovation Fund II-AI, LP</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Existing Affiliated Funds advised by Chicago Atlantic Equity Advisers, LLC:</w:t>
      </w:r>
    </w:p>
    <w:p>
      <w:pPr>
        <w:spacing w:after="0" w:line="225" w:lineRule="exact"/>
        <w:rPr>
          <w:rFonts w:ascii="Times New Roman" w:cs="Times New Roman" w:eastAsia="Times New Roman" w:hAnsi="Times New Roman"/>
          <w:sz w:val="18"/>
          <w:szCs w:val="18"/>
          <w:u w:val="single" w:color="auto"/>
          <w:color w:val="0000FF"/>
        </w:rPr>
      </w:pPr>
    </w:p>
    <w:p>
      <w:pPr>
        <w:ind w:left="508" w:hanging="184"/>
        <w:spacing w:after="0"/>
        <w:tabs>
          <w:tab w:leader="none" w:pos="508" w:val="left"/>
        </w:tabs>
        <w:numPr>
          <w:ilvl w:val="1"/>
          <w:numId w:val="7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LAGO Innovation Fund II-QP, LP</w:t>
      </w:r>
    </w:p>
    <w:p>
      <w:pPr>
        <w:spacing w:after="0" w:line="27" w:lineRule="exact"/>
        <w:rPr>
          <w:sz w:val="20"/>
          <w:szCs w:val="20"/>
          <w:color w:val="auto"/>
        </w:rPr>
      </w:pPr>
    </w:p>
    <w:p>
      <w:pPr>
        <w:ind w:left="648" w:hanging="324"/>
        <w:spacing w:after="0"/>
        <w:tabs>
          <w:tab w:leader="none" w:pos="648" w:val="left"/>
        </w:tabs>
        <w:numPr>
          <w:ilvl w:val="1"/>
          <w:numId w:val="76"/>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FF0000"/>
          <w:strike w:val="1"/>
        </w:rPr>
        <w:t>6. LAGO Innovation</w:t>
      </w:r>
      <w:r>
        <w:rPr>
          <w:rFonts w:ascii="Times New Roman" w:cs="Times New Roman" w:eastAsia="Times New Roman" w:hAnsi="Times New Roman"/>
          <w:sz w:val="18"/>
          <w:szCs w:val="18"/>
          <w:u w:val="single" w:color="auto"/>
          <w:color w:val="0000FF"/>
        </w:rPr>
        <w:t>Chicago Atlantic Equity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Fund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color w:val="000000"/>
        </w:rPr>
        <w:t>, LLC</w:t>
      </w:r>
    </w:p>
    <w:p>
      <w:pPr>
        <w:spacing w:after="0" w:line="206" w:lineRule="exact"/>
        <w:rPr>
          <w:rFonts w:ascii="Times New Roman" w:cs="Times New Roman" w:eastAsia="Times New Roman" w:hAnsi="Times New Roman"/>
          <w:sz w:val="18"/>
          <w:szCs w:val="18"/>
          <w:color w:val="0000FF"/>
        </w:rPr>
      </w:pPr>
    </w:p>
    <w:p>
      <w:pPr>
        <w:ind w:left="328" w:hanging="328"/>
        <w:spacing w:after="0"/>
        <w:tabs>
          <w:tab w:leader="none" w:pos="328" w:val="left"/>
        </w:tabs>
        <w:numPr>
          <w:ilvl w:val="0"/>
          <w:numId w:val="7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Existing Affiliated Funds advised by Chicago Atlantic CO3 Advisers, LLC:</w:t>
      </w:r>
    </w:p>
    <w:p>
      <w:pPr>
        <w:spacing w:after="0" w:line="225" w:lineRule="exact"/>
        <w:rPr>
          <w:rFonts w:ascii="Times New Roman" w:cs="Times New Roman" w:eastAsia="Times New Roman" w:hAnsi="Times New Roman"/>
          <w:sz w:val="18"/>
          <w:szCs w:val="18"/>
          <w:u w:val="single" w:color="auto"/>
          <w:color w:val="0000FF"/>
        </w:rPr>
      </w:pPr>
    </w:p>
    <w:p>
      <w:pPr>
        <w:ind w:left="648" w:hanging="324"/>
        <w:spacing w:after="0"/>
        <w:tabs>
          <w:tab w:leader="none" w:pos="648" w:val="left"/>
        </w:tabs>
        <w:numPr>
          <w:ilvl w:val="1"/>
          <w:numId w:val="77"/>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Chicago Atlantic Credit Opportunities III, LP</w:t>
      </w:r>
    </w:p>
    <w:p>
      <w:pPr>
        <w:spacing w:after="0" w:line="225" w:lineRule="exact"/>
        <w:rPr>
          <w:rFonts w:ascii="Times New Roman" w:cs="Times New Roman" w:eastAsia="Times New Roman" w:hAnsi="Times New Roman"/>
          <w:sz w:val="18"/>
          <w:szCs w:val="18"/>
          <w:color w:val="0000FF"/>
        </w:rPr>
      </w:pPr>
    </w:p>
    <w:p>
      <w:pPr>
        <w:ind w:left="648" w:hanging="324"/>
        <w:spacing w:after="0"/>
        <w:tabs>
          <w:tab w:leader="none" w:pos="648" w:val="left"/>
        </w:tabs>
        <w:numPr>
          <w:ilvl w:val="1"/>
          <w:numId w:val="77"/>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Chicago Atlantic CO3 (OFFSHORE), LP</w:t>
      </w:r>
    </w:p>
    <w:p>
      <w:pPr>
        <w:spacing w:after="0" w:line="225" w:lineRule="exact"/>
        <w:rPr>
          <w:rFonts w:ascii="Times New Roman" w:cs="Times New Roman" w:eastAsia="Times New Roman" w:hAnsi="Times New Roman"/>
          <w:sz w:val="18"/>
          <w:szCs w:val="18"/>
          <w:color w:val="0000FF"/>
        </w:rPr>
      </w:pPr>
    </w:p>
    <w:p>
      <w:pPr>
        <w:ind w:left="648" w:hanging="324"/>
        <w:spacing w:after="0"/>
        <w:tabs>
          <w:tab w:leader="none" w:pos="648" w:val="left"/>
        </w:tabs>
        <w:numPr>
          <w:ilvl w:val="1"/>
          <w:numId w:val="77"/>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u w:val="single" w:color="auto"/>
          <w:color w:val="0000FF"/>
        </w:rPr>
        <w:t>Chicago Atlantic CO3 Feeder, LP</w:t>
      </w:r>
    </w:p>
    <w:p>
      <w:pPr>
        <w:spacing w:after="0" w:line="225" w:lineRule="exact"/>
        <w:rPr>
          <w:rFonts w:ascii="Times New Roman" w:cs="Times New Roman" w:eastAsia="Times New Roman" w:hAnsi="Times New Roman"/>
          <w:sz w:val="18"/>
          <w:szCs w:val="18"/>
          <w:color w:val="0000FF"/>
        </w:rPr>
      </w:pPr>
    </w:p>
    <w:p>
      <w:pPr>
        <w:ind w:left="328" w:hanging="328"/>
        <w:spacing w:after="0"/>
        <w:tabs>
          <w:tab w:leader="none" w:pos="328" w:val="left"/>
        </w:tabs>
        <w:numPr>
          <w:ilvl w:val="0"/>
          <w:numId w:val="7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Existing Affiliated Funds advised by Chicago Atlantic Investment Management, LLC:</w:t>
      </w:r>
    </w:p>
    <w:p>
      <w:pPr>
        <w:spacing w:after="0" w:line="225" w:lineRule="exact"/>
        <w:rPr>
          <w:rFonts w:ascii="Times New Roman" w:cs="Times New Roman" w:eastAsia="Times New Roman" w:hAnsi="Times New Roman"/>
          <w:sz w:val="18"/>
          <w:szCs w:val="18"/>
          <w:u w:val="single" w:color="auto"/>
          <w:color w:val="0000FF"/>
        </w:rPr>
      </w:pPr>
    </w:p>
    <w:p>
      <w:pPr>
        <w:ind w:left="648" w:hanging="324"/>
        <w:spacing w:after="0"/>
        <w:tabs>
          <w:tab w:leader="none" w:pos="648" w:val="left"/>
        </w:tabs>
        <w:numPr>
          <w:ilvl w:val="1"/>
          <w:numId w:val="77"/>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FF0000"/>
          <w:strike w:val="1"/>
        </w:rPr>
        <w:t>7. LAGO Delta Nine Fund</w:t>
      </w:r>
      <w:r>
        <w:rPr>
          <w:rFonts w:ascii="Times New Roman" w:cs="Times New Roman" w:eastAsia="Times New Roman" w:hAnsi="Times New Roman"/>
          <w:sz w:val="18"/>
          <w:szCs w:val="18"/>
          <w:u w:val="single" w:color="auto"/>
          <w:color w:val="0000FF"/>
        </w:rPr>
        <w:t>Chicago Atlantic Portfolio</w:t>
      </w:r>
      <w:r>
        <w:rPr>
          <w:rFonts w:ascii="Times New Roman" w:cs="Times New Roman" w:eastAsia="Times New Roman" w:hAnsi="Times New Roman"/>
          <w:sz w:val="18"/>
          <w:szCs w:val="18"/>
          <w:color w:val="000000"/>
        </w:rPr>
        <w:t>, LP</w:t>
      </w:r>
    </w:p>
    <w:p>
      <w:pPr>
        <w:spacing w:after="0" w:line="225" w:lineRule="exact"/>
        <w:rPr>
          <w:sz w:val="20"/>
          <w:szCs w:val="20"/>
          <w:color w:val="auto"/>
        </w:rPr>
      </w:pPr>
    </w:p>
    <w:p>
      <w:pPr>
        <w:ind w:left="508" w:hanging="184"/>
        <w:spacing w:after="0"/>
        <w:tabs>
          <w:tab w:leader="none" w:pos="508" w:val="left"/>
        </w:tabs>
        <w:numPr>
          <w:ilvl w:val="1"/>
          <w:numId w:val="7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LAGO Delta Nine Fund QP, LP</w:t>
      </w:r>
    </w:p>
    <w:p>
      <w:pPr>
        <w:spacing w:after="0" w:line="27" w:lineRule="exact"/>
        <w:rPr>
          <w:rFonts w:ascii="Times New Roman" w:cs="Times New Roman" w:eastAsia="Times New Roman" w:hAnsi="Times New Roman"/>
          <w:sz w:val="18"/>
          <w:szCs w:val="18"/>
          <w:color w:val="FF0000"/>
          <w:strike w:val="1"/>
        </w:rPr>
      </w:pPr>
    </w:p>
    <w:p>
      <w:pPr>
        <w:ind w:left="508" w:hanging="184"/>
        <w:spacing w:after="0"/>
        <w:tabs>
          <w:tab w:leader="none" w:pos="508" w:val="left"/>
        </w:tabs>
        <w:numPr>
          <w:ilvl w:val="1"/>
          <w:numId w:val="7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LAGO Delta Nine LLC</w:t>
      </w:r>
    </w:p>
    <w:p>
      <w:pPr>
        <w:spacing w:after="0" w:line="206" w:lineRule="exact"/>
        <w:rPr>
          <w:rFonts w:ascii="Times New Roman" w:cs="Times New Roman" w:eastAsia="Times New Roman" w:hAnsi="Times New Roman"/>
          <w:sz w:val="18"/>
          <w:szCs w:val="18"/>
          <w:color w:val="FF0000"/>
          <w:strike w:val="1"/>
        </w:rPr>
      </w:pPr>
    </w:p>
    <w:p>
      <w:pPr>
        <w:ind w:left="588" w:hanging="264"/>
        <w:spacing w:after="0"/>
        <w:tabs>
          <w:tab w:leader="none" w:pos="588" w:val="left"/>
        </w:tabs>
        <w:numPr>
          <w:ilvl w:val="1"/>
          <w:numId w:val="7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LAGO D9 Equity Fund I, LP</w:t>
      </w:r>
    </w:p>
    <w:p>
      <w:pPr>
        <w:spacing w:after="0" w:line="27" w:lineRule="exact"/>
        <w:rPr>
          <w:rFonts w:ascii="Times New Roman" w:cs="Times New Roman" w:eastAsia="Times New Roman" w:hAnsi="Times New Roman"/>
          <w:sz w:val="18"/>
          <w:szCs w:val="18"/>
          <w:color w:val="FF0000"/>
          <w:strike w:val="1"/>
        </w:rPr>
      </w:pPr>
    </w:p>
    <w:p>
      <w:pPr>
        <w:ind w:left="588" w:hanging="264"/>
        <w:spacing w:after="0"/>
        <w:tabs>
          <w:tab w:leader="none" w:pos="588" w:val="left"/>
        </w:tabs>
        <w:numPr>
          <w:ilvl w:val="1"/>
          <w:numId w:val="7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LAGO D9 Equity Fund I-QP, LP</w:t>
      </w:r>
    </w:p>
    <w:p>
      <w:pPr>
        <w:spacing w:after="0" w:line="9" w:lineRule="exact"/>
        <w:rPr>
          <w:rFonts w:ascii="Times New Roman" w:cs="Times New Roman" w:eastAsia="Times New Roman" w:hAnsi="Times New Roman"/>
          <w:sz w:val="18"/>
          <w:szCs w:val="18"/>
          <w:color w:val="FF0000"/>
          <w:strike w:val="1"/>
        </w:rPr>
      </w:pPr>
    </w:p>
    <w:p>
      <w:pPr>
        <w:ind w:left="588" w:hanging="264"/>
        <w:spacing w:after="0"/>
        <w:tabs>
          <w:tab w:leader="none" w:pos="588" w:val="left"/>
        </w:tabs>
        <w:numPr>
          <w:ilvl w:val="1"/>
          <w:numId w:val="7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LAGO Innovation Fund III-AI, LP</w:t>
      </w:r>
    </w:p>
    <w:p>
      <w:pPr>
        <w:spacing w:after="0" w:line="9" w:lineRule="exact"/>
        <w:rPr>
          <w:rFonts w:ascii="Times New Roman" w:cs="Times New Roman" w:eastAsia="Times New Roman" w:hAnsi="Times New Roman"/>
          <w:sz w:val="18"/>
          <w:szCs w:val="18"/>
          <w:color w:val="FF0000"/>
          <w:strike w:val="1"/>
        </w:rPr>
      </w:pPr>
    </w:p>
    <w:p>
      <w:pPr>
        <w:ind w:left="588" w:hanging="264"/>
        <w:spacing w:after="0"/>
        <w:tabs>
          <w:tab w:leader="none" w:pos="588" w:val="left"/>
        </w:tabs>
        <w:numPr>
          <w:ilvl w:val="1"/>
          <w:numId w:val="7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LAGO Innovation Fund III-QP, LP</w:t>
      </w:r>
    </w:p>
    <w:p>
      <w:pPr>
        <w:spacing w:after="0" w:line="9" w:lineRule="exact"/>
        <w:rPr>
          <w:rFonts w:ascii="Times New Roman" w:cs="Times New Roman" w:eastAsia="Times New Roman" w:hAnsi="Times New Roman"/>
          <w:sz w:val="18"/>
          <w:szCs w:val="18"/>
          <w:color w:val="FF0000"/>
          <w:strike w:val="1"/>
        </w:rPr>
      </w:pPr>
    </w:p>
    <w:p>
      <w:pPr>
        <w:ind w:left="588" w:hanging="264"/>
        <w:spacing w:after="0"/>
        <w:tabs>
          <w:tab w:leader="none" w:pos="588" w:val="left"/>
        </w:tabs>
        <w:numPr>
          <w:ilvl w:val="1"/>
          <w:numId w:val="7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LAGO Innovation Fund III, LLC</w:t>
      </w:r>
    </w:p>
    <w:p>
      <w:pPr>
        <w:spacing w:after="0" w:line="9" w:lineRule="exact"/>
        <w:rPr>
          <w:rFonts w:ascii="Times New Roman" w:cs="Times New Roman" w:eastAsia="Times New Roman" w:hAnsi="Times New Roman"/>
          <w:sz w:val="18"/>
          <w:szCs w:val="18"/>
          <w:color w:val="FF0000"/>
          <w:strike w:val="1"/>
        </w:rPr>
      </w:pPr>
    </w:p>
    <w:p>
      <w:pPr>
        <w:ind w:left="588" w:hanging="264"/>
        <w:spacing w:after="0"/>
        <w:tabs>
          <w:tab w:leader="none" w:pos="588" w:val="left"/>
        </w:tabs>
        <w:numPr>
          <w:ilvl w:val="1"/>
          <w:numId w:val="7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LAGO Acceleration Fund I, LP</w:t>
      </w:r>
    </w:p>
    <w:p>
      <w:pPr>
        <w:spacing w:after="0" w:line="206" w:lineRule="exact"/>
        <w:rPr>
          <w:rFonts w:ascii="Times New Roman" w:cs="Times New Roman" w:eastAsia="Times New Roman" w:hAnsi="Times New Roman"/>
          <w:sz w:val="18"/>
          <w:szCs w:val="18"/>
          <w:color w:val="FF0000"/>
          <w:strike w:val="1"/>
        </w:rPr>
      </w:pPr>
    </w:p>
    <w:p>
      <w:pPr>
        <w:ind w:left="8"/>
        <w:spacing w:after="0"/>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0000FF"/>
        </w:rPr>
        <w:t>E.  Existing Affiliated Funds managed by Chicago Atlantic REIT Manager, LLC:</w:t>
      </w:r>
    </w:p>
    <w:p>
      <w:pPr>
        <w:spacing w:after="0" w:line="225" w:lineRule="exact"/>
        <w:rPr>
          <w:rFonts w:ascii="Times New Roman" w:cs="Times New Roman" w:eastAsia="Times New Roman" w:hAnsi="Times New Roman"/>
          <w:sz w:val="18"/>
          <w:szCs w:val="18"/>
          <w:color w:val="FF0000"/>
          <w:strike w:val="1"/>
        </w:rPr>
      </w:pPr>
    </w:p>
    <w:p>
      <w:pPr>
        <w:ind w:left="508" w:hanging="184"/>
        <w:spacing w:after="0"/>
        <w:tabs>
          <w:tab w:leader="none" w:pos="508" w:val="left"/>
        </w:tabs>
        <w:numPr>
          <w:ilvl w:val="1"/>
          <w:numId w:val="7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Chicago Atlantic Real Estate Finance, Inc.</w:t>
      </w:r>
    </w:p>
    <w:p>
      <w:pPr>
        <w:spacing w:after="0" w:line="22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FF0000"/>
          <w:strike w:val="1"/>
        </w:rPr>
        <w:t>16. LAGO Acceleration Fund I-QP, LP</w:t>
      </w:r>
    </w:p>
    <w:p>
      <w:pPr>
        <w:spacing w:after="0" w:line="200" w:lineRule="exact"/>
        <w:rPr>
          <w:sz w:val="20"/>
          <w:szCs w:val="20"/>
          <w:color w:val="auto"/>
        </w:rPr>
      </w:pPr>
    </w:p>
    <w:p>
      <w:pPr>
        <w:spacing w:after="0" w:line="241" w:lineRule="exact"/>
        <w:rPr>
          <w:sz w:val="20"/>
          <w:szCs w:val="20"/>
          <w:color w:val="auto"/>
        </w:rPr>
      </w:pPr>
    </w:p>
    <w:p>
      <w:pPr>
        <w:ind w:left="5208"/>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7"/>
          </w:cols>
          <w:pgMar w:left="652" w:top="900"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FF0000"/>
          <w:strike w:val="1"/>
        </w:rPr>
        <w:t>Exhibit A</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7108825</wp:posOffset>
            </wp:positionH>
            <wp:positionV relativeFrom="paragraph">
              <wp:posOffset>117475</wp:posOffset>
            </wp:positionV>
            <wp:extent cx="2857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0000FF"/>
        </w:rPr>
        <w:t>VERIFICATION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7108825</wp:posOffset>
            </wp:positionH>
            <wp:positionV relativeFrom="paragraph">
              <wp:posOffset>-125095</wp:posOffset>
            </wp:positionV>
            <wp:extent cx="2857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strike w:val="1"/>
        </w:rPr>
        <w:t>Verification</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undersigned states that he or she has duly executed the attached Application dated </w:t>
      </w:r>
      <w:r>
        <w:rPr>
          <w:rFonts w:ascii="Times New Roman" w:cs="Times New Roman" w:eastAsia="Times New Roman" w:hAnsi="Times New Roman"/>
          <w:sz w:val="18"/>
          <w:szCs w:val="18"/>
          <w:color w:val="FF0000"/>
          <w:strike w:val="1"/>
        </w:rPr>
        <w:t>May 9, 2025</w:t>
      </w:r>
      <w:r>
        <w:rPr>
          <w:rFonts w:ascii="Times New Roman" w:cs="Times New Roman" w:eastAsia="Times New Roman" w:hAnsi="Times New Roman"/>
          <w:sz w:val="18"/>
          <w:szCs w:val="18"/>
          <w:u w:val="single" w:color="auto"/>
          <w:color w:val="0000FF"/>
        </w:rPr>
        <w:t>March 18, 2026</w:t>
      </w:r>
      <w:r>
        <w:rPr>
          <w:rFonts w:ascii="Times New Roman" w:cs="Times New Roman" w:eastAsia="Times New Roman" w:hAnsi="Times New Roman"/>
          <w:sz w:val="18"/>
          <w:szCs w:val="18"/>
          <w:color w:val="auto"/>
        </w:rPr>
        <w:t xml:space="preserve"> for and on behalf of the Applicants, as the case may be, that he or she holds the office with each such entity as indicated below</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and that all actions by stockholders, officers, directors, and other bodies necessary to authorize the undersigned to execute and file such Application have been taken. The undersigned further states that he or she is familiar with the instrument and the contents thereof, and that the facts set forth therein are true to the best of his or her knowledge, information, and belief.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BDC,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Peter Sack</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Peter Sack</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BDC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Scott Gordon</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Scott Gordon</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tab/>
        <w:t>Manager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EQUITY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CO3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7029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401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MANAGEMENT,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b w:val="1"/>
          <w:bCs w:val="1"/>
          <w:color w:val="FF0000"/>
          <w:strike w:val="1"/>
        </w:rPr>
        <w:t>LAGO EVERGREEN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61893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6189345"/>
                    </a:xfrm>
                    <a:prstGeom prst="rect">
                      <a:avLst/>
                    </a:prstGeom>
                    <a:noFill/>
                  </pic:spPr>
                </pic:pic>
              </a:graphicData>
            </a:graphic>
          </wp:anchor>
        </w:drawing>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FF0000"/>
          <w:strike w:val="1"/>
        </w:rPr>
        <w:t xml:space="preserve">By: </w:t>
      </w:r>
      <w:r>
        <w:rPr>
          <w:rFonts w:ascii="Times New Roman" w:cs="Times New Roman" w:eastAsia="Times New Roman" w:hAnsi="Times New Roman"/>
          <w:sz w:val="18"/>
          <w:szCs w:val="18"/>
          <w:u w:val="single" w:color="auto"/>
          <w:color w:val="FF0000"/>
          <w:strike w:val="1"/>
        </w:rPr>
        <w:t>/s/ Tim Gottfried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FF0000"/>
          <w:strike w:val="1"/>
        </w:rPr>
        <w:t>Name: Tim Gottfried</w:t>
      </w:r>
    </w:p>
    <w:p>
      <w:pPr>
        <w:spacing w:after="0" w:line="9" w:lineRule="exact"/>
        <w:rPr>
          <w:sz w:val="20"/>
          <w:szCs w:val="20"/>
          <w:color w:val="auto"/>
        </w:rPr>
      </w:pPr>
    </w:p>
    <w:p>
      <w:pPr>
        <w:ind w:left="800"/>
        <w:spacing w:after="0"/>
        <w:tabs>
          <w:tab w:leader="none" w:pos="1360" w:val="left"/>
        </w:tabs>
        <w:rPr>
          <w:sz w:val="20"/>
          <w:szCs w:val="20"/>
          <w:color w:val="auto"/>
        </w:rPr>
      </w:pPr>
      <w:r>
        <w:rPr>
          <w:rFonts w:ascii="Times New Roman" w:cs="Times New Roman" w:eastAsia="Times New Roman" w:hAnsi="Times New Roman"/>
          <w:sz w:val="18"/>
          <w:szCs w:val="18"/>
          <w:color w:val="FF0000"/>
          <w:strike w:val="1"/>
        </w:rPr>
        <w:t>Title:</w:t>
      </w:r>
      <w:r>
        <w:rPr>
          <w:sz w:val="20"/>
          <w:szCs w:val="20"/>
          <w:color w:val="auto"/>
        </w:rPr>
        <w:tab/>
      </w:r>
      <w:r>
        <w:rPr>
          <w:rFonts w:ascii="Times New Roman" w:cs="Times New Roman" w:eastAsia="Times New Roman" w:hAnsi="Times New Roman"/>
          <w:sz w:val="17"/>
          <w:szCs w:val="17"/>
          <w:color w:val="FF0000"/>
          <w:strike w:val="1"/>
        </w:rPr>
        <w:t>Chief Executive Officer and Trustee</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FF0000"/>
          <w:strike w:val="1"/>
        </w:rPr>
        <w:t>LAGO ASSET MANAGEMENT, LLC</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FF0000"/>
          <w:strike w:val="1"/>
        </w:rPr>
        <w:t xml:space="preserve">By: </w:t>
      </w:r>
      <w:r>
        <w:rPr>
          <w:rFonts w:ascii="Times New Roman" w:cs="Times New Roman" w:eastAsia="Times New Roman" w:hAnsi="Times New Roman"/>
          <w:sz w:val="18"/>
          <w:szCs w:val="18"/>
          <w:u w:val="single" w:color="auto"/>
          <w:color w:val="FF0000"/>
          <w:strike w:val="1"/>
        </w:rPr>
        <w:t>/s/ Tim Gottfried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FF0000"/>
          <w:strike w:val="1"/>
        </w:rPr>
        <w:t>Name: Tim Gottfried</w:t>
      </w:r>
    </w:p>
    <w:p>
      <w:pPr>
        <w:spacing w:after="0" w:line="9" w:lineRule="exact"/>
        <w:rPr>
          <w:sz w:val="20"/>
          <w:szCs w:val="20"/>
          <w:color w:val="auto"/>
        </w:rPr>
      </w:pPr>
    </w:p>
    <w:p>
      <w:pPr>
        <w:ind w:left="800"/>
        <w:spacing w:after="0"/>
        <w:tabs>
          <w:tab w:leader="none" w:pos="1360" w:val="left"/>
        </w:tabs>
        <w:rPr>
          <w:sz w:val="20"/>
          <w:szCs w:val="20"/>
          <w:color w:val="auto"/>
        </w:rPr>
      </w:pPr>
      <w:r>
        <w:rPr>
          <w:rFonts w:ascii="Times New Roman" w:cs="Times New Roman" w:eastAsia="Times New Roman" w:hAnsi="Times New Roman"/>
          <w:sz w:val="18"/>
          <w:szCs w:val="18"/>
          <w:color w:val="FF0000"/>
          <w:strike w:val="1"/>
        </w:rPr>
        <w:t>Title:</w:t>
      </w:r>
      <w:r>
        <w:rPr>
          <w:sz w:val="20"/>
          <w:szCs w:val="20"/>
          <w:color w:val="auto"/>
        </w:rPr>
        <w:tab/>
      </w:r>
      <w:r>
        <w:rPr>
          <w:rFonts w:ascii="Times New Roman" w:cs="Times New Roman" w:eastAsia="Times New Roman" w:hAnsi="Times New Roman"/>
          <w:sz w:val="17"/>
          <w:szCs w:val="17"/>
          <w:color w:val="FF0000"/>
          <w:strike w:val="1"/>
        </w:rPr>
        <w:t>Managing Member</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FF0000"/>
          <w:strike w:val="1"/>
        </w:rPr>
        <w:t>LAGO INNOVATION FUND I, LP</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FF0000"/>
          <w:strike w:val="1"/>
        </w:rPr>
        <w:t xml:space="preserve">By: </w:t>
      </w:r>
      <w:r>
        <w:rPr>
          <w:rFonts w:ascii="Times New Roman" w:cs="Times New Roman" w:eastAsia="Times New Roman" w:hAnsi="Times New Roman"/>
          <w:sz w:val="18"/>
          <w:szCs w:val="18"/>
          <w:u w:val="single" w:color="auto"/>
          <w:color w:val="FF0000"/>
          <w:strike w:val="1"/>
        </w:rPr>
        <w:t>/s/ Tim Gottfried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FF0000"/>
          <w:strike w:val="1"/>
        </w:rPr>
        <w:t>Name: Tim Gottfried</w:t>
      </w:r>
    </w:p>
    <w:p>
      <w:pPr>
        <w:spacing w:after="0" w:line="9" w:lineRule="exact"/>
        <w:rPr>
          <w:sz w:val="20"/>
          <w:szCs w:val="20"/>
          <w:color w:val="auto"/>
        </w:rPr>
      </w:pPr>
    </w:p>
    <w:p>
      <w:pPr>
        <w:ind w:left="800"/>
        <w:spacing w:after="0"/>
        <w:tabs>
          <w:tab w:leader="none" w:pos="1360" w:val="left"/>
        </w:tabs>
        <w:rPr>
          <w:sz w:val="20"/>
          <w:szCs w:val="20"/>
          <w:color w:val="auto"/>
        </w:rPr>
      </w:pPr>
      <w:r>
        <w:rPr>
          <w:rFonts w:ascii="Times New Roman" w:cs="Times New Roman" w:eastAsia="Times New Roman" w:hAnsi="Times New Roman"/>
          <w:sz w:val="18"/>
          <w:szCs w:val="18"/>
          <w:color w:val="FF0000"/>
          <w:strike w:val="1"/>
        </w:rPr>
        <w:t>Title:</w:t>
      </w:r>
      <w:r>
        <w:rPr>
          <w:sz w:val="20"/>
          <w:szCs w:val="20"/>
          <w:color w:val="auto"/>
        </w:rPr>
        <w:tab/>
      </w:r>
      <w:r>
        <w:rPr>
          <w:rFonts w:ascii="Times New Roman" w:cs="Times New Roman" w:eastAsia="Times New Roman" w:hAnsi="Times New Roman"/>
          <w:sz w:val="17"/>
          <w:szCs w:val="17"/>
          <w:color w:val="FF0000"/>
          <w:strike w:val="1"/>
        </w:rPr>
        <w:t>Managing Member</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FF0000"/>
          <w:strike w:val="1"/>
        </w:rPr>
        <w:t>LAGO INNOVATION FUND, LLC</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FF0000"/>
          <w:strike w:val="1"/>
        </w:rPr>
        <w:t xml:space="preserve">By: </w:t>
      </w:r>
      <w:r>
        <w:rPr>
          <w:rFonts w:ascii="Times New Roman" w:cs="Times New Roman" w:eastAsia="Times New Roman" w:hAnsi="Times New Roman"/>
          <w:sz w:val="18"/>
          <w:szCs w:val="18"/>
          <w:u w:val="single" w:color="auto"/>
          <w:color w:val="FF0000"/>
          <w:strike w:val="1"/>
        </w:rPr>
        <w:t>/s/ Tim Gottfried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FF0000"/>
          <w:strike w:val="1"/>
        </w:rPr>
        <w:t>Name: Tim Gottfried</w:t>
      </w:r>
    </w:p>
    <w:p>
      <w:pPr>
        <w:spacing w:after="0" w:line="9" w:lineRule="exact"/>
        <w:rPr>
          <w:sz w:val="20"/>
          <w:szCs w:val="20"/>
          <w:color w:val="auto"/>
        </w:rPr>
      </w:pPr>
    </w:p>
    <w:p>
      <w:pPr>
        <w:ind w:left="800"/>
        <w:spacing w:after="0"/>
        <w:tabs>
          <w:tab w:leader="none" w:pos="1360" w:val="left"/>
        </w:tabs>
        <w:rPr>
          <w:sz w:val="20"/>
          <w:szCs w:val="20"/>
          <w:color w:val="auto"/>
        </w:rPr>
      </w:pPr>
      <w:r>
        <w:rPr>
          <w:rFonts w:ascii="Times New Roman" w:cs="Times New Roman" w:eastAsia="Times New Roman" w:hAnsi="Times New Roman"/>
          <w:sz w:val="18"/>
          <w:szCs w:val="18"/>
          <w:color w:val="FF0000"/>
          <w:strike w:val="1"/>
        </w:rPr>
        <w:t>Title:</w:t>
      </w:r>
      <w:r>
        <w:rPr>
          <w:sz w:val="20"/>
          <w:szCs w:val="20"/>
          <w:color w:val="auto"/>
        </w:rPr>
        <w:tab/>
      </w:r>
      <w:r>
        <w:rPr>
          <w:rFonts w:ascii="Times New Roman" w:cs="Times New Roman" w:eastAsia="Times New Roman" w:hAnsi="Times New Roman"/>
          <w:sz w:val="17"/>
          <w:szCs w:val="17"/>
          <w:color w:val="FF0000"/>
          <w:strike w:val="1"/>
        </w:rPr>
        <w:t>Managing Member of the Managing</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FF0000"/>
          <w:strike w:val="1"/>
        </w:rPr>
        <w:t>Members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FF0000"/>
          <w:strike w:val="1"/>
        </w:rPr>
        <w:t>LAGO INNOVATION FUND I-QP, LP</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FF0000"/>
          <w:strike w:val="1"/>
        </w:rPr>
        <w:t xml:space="preserve">By: </w:t>
      </w:r>
      <w:r>
        <w:rPr>
          <w:rFonts w:ascii="Times New Roman" w:cs="Times New Roman" w:eastAsia="Times New Roman" w:hAnsi="Times New Roman"/>
          <w:sz w:val="18"/>
          <w:szCs w:val="18"/>
          <w:u w:val="single" w:color="auto"/>
          <w:color w:val="FF0000"/>
          <w:strike w:val="1"/>
        </w:rPr>
        <w:t>/s/ Tim Gottfried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FF0000"/>
          <w:strike w:val="1"/>
        </w:rPr>
        <w:t>Name: Tim Gottfried</w:t>
      </w:r>
    </w:p>
    <w:p>
      <w:pPr>
        <w:spacing w:after="0" w:line="9" w:lineRule="exact"/>
        <w:rPr>
          <w:sz w:val="20"/>
          <w:szCs w:val="20"/>
          <w:color w:val="auto"/>
        </w:rPr>
      </w:pPr>
    </w:p>
    <w:p>
      <w:pPr>
        <w:ind w:left="800"/>
        <w:spacing w:after="0"/>
        <w:tabs>
          <w:tab w:leader="none" w:pos="1360" w:val="left"/>
        </w:tabs>
        <w:rPr>
          <w:sz w:val="20"/>
          <w:szCs w:val="20"/>
          <w:color w:val="auto"/>
        </w:rPr>
      </w:pPr>
      <w:r>
        <w:rPr>
          <w:rFonts w:ascii="Times New Roman" w:cs="Times New Roman" w:eastAsia="Times New Roman" w:hAnsi="Times New Roman"/>
          <w:sz w:val="18"/>
          <w:szCs w:val="18"/>
          <w:color w:val="FF0000"/>
          <w:strike w:val="1"/>
        </w:rPr>
        <w:t>Title:</w:t>
      </w:r>
      <w:r>
        <w:rPr>
          <w:sz w:val="20"/>
          <w:szCs w:val="20"/>
          <w:color w:val="auto"/>
        </w:rPr>
        <w:tab/>
      </w:r>
      <w:r>
        <w:rPr>
          <w:rFonts w:ascii="Times New Roman" w:cs="Times New Roman" w:eastAsia="Times New Roman" w:hAnsi="Times New Roman"/>
          <w:sz w:val="17"/>
          <w:szCs w:val="17"/>
          <w:color w:val="FF0000"/>
          <w:strike w:val="1"/>
        </w:rPr>
        <w:t>Managing Member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FF0000"/>
          <w:strike w:val="1"/>
        </w:rPr>
        <w:t>LAGO INNOVATION FUND II-AI, LP</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FF0000"/>
          <w:strike w:val="1"/>
        </w:rPr>
        <w:t>By:/s/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REIT MANAGER,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0000FF"/>
        </w:rPr>
        <w:t>Anthony Cappell</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0000FF"/>
        </w:rPr>
        <w:t>Authorized Person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FF0000"/>
          <w:strike w:val="1"/>
        </w:rPr>
        <w:t>Member</w:t>
      </w:r>
    </w:p>
    <w:p>
      <w:pPr>
        <w:spacing w:after="0" w:line="200" w:lineRule="exact"/>
        <w:rPr>
          <w:sz w:val="20"/>
          <w:szCs w:val="20"/>
          <w:color w:val="auto"/>
        </w:rPr>
      </w:pPr>
    </w:p>
    <w:p>
      <w:pPr>
        <w:spacing w:after="0" w:line="22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67" w:name="page68"/>
    <w:bookmarkEnd w:id="67"/>
    <w:p>
      <w:pPr>
        <w:ind w:left="420"/>
        <w:spacing w:after="0"/>
        <w:rPr>
          <w:sz w:val="20"/>
          <w:szCs w:val="20"/>
          <w:color w:val="auto"/>
        </w:rPr>
      </w:pPr>
      <w:r>
        <w:rPr>
          <w:rFonts w:ascii="Times New Roman" w:cs="Times New Roman" w:eastAsia="Times New Roman" w:hAnsi="Times New Roman"/>
          <w:sz w:val="18"/>
          <w:szCs w:val="18"/>
          <w:b w:val="1"/>
          <w:bCs w:val="1"/>
          <w:color w:val="FF0000"/>
          <w:strike w:val="1"/>
        </w:rPr>
        <w:t>LAGO INNOVATION FUND II-QP</w:t>
      </w:r>
      <w:r>
        <w:rPr>
          <w:rFonts w:ascii="Times New Roman" w:cs="Times New Roman" w:eastAsia="Times New Roman" w:hAnsi="Times New Roman"/>
          <w:sz w:val="18"/>
          <w:szCs w:val="18"/>
          <w:b w:val="1"/>
          <w:bCs w:val="1"/>
          <w:u w:val="single" w:color="auto"/>
          <w:color w:val="0000FF"/>
          <w:strike w:val="1"/>
        </w:rPr>
        <w:t>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600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3600450"/>
                    </a:xfrm>
                    <a:prstGeom prst="rect">
                      <a:avLst/>
                    </a:prstGeom>
                    <a:noFill/>
                  </pic:spPr>
                </pic:pic>
              </a:graphicData>
            </a:graphic>
          </wp:anchor>
        </w:drawing>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u w:val="single" w:color="auto"/>
          <w:color w:val="0000FF"/>
        </w:rPr>
        <w:t>ATLANTIC PORTFOLIO</w:t>
      </w:r>
      <w:r>
        <w:rPr>
          <w:rFonts w:ascii="Times New Roman" w:cs="Times New Roman" w:eastAsia="Times New Roman" w:hAnsi="Times New Roman"/>
          <w:sz w:val="18"/>
          <w:szCs w:val="18"/>
          <w:b w:val="1"/>
          <w:bCs w:val="1"/>
          <w:color w:val="000000"/>
        </w:rPr>
        <w:t>, LP</w:t>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u w:val="single" w:color="auto"/>
          <w:color w:val="FF0000"/>
          <w:strike w:val="1"/>
        </w:rPr>
        <w:t>Tim Gottfried</w:t>
      </w:r>
      <w:r>
        <w:rPr>
          <w:rFonts w:ascii="Times New Roman" w:cs="Times New Roman" w:eastAsia="Times New Roman" w:hAnsi="Times New Roman"/>
          <w:sz w:val="18"/>
          <w:szCs w:val="18"/>
          <w:u w:val="single" w:color="auto"/>
          <w:color w:val="0000FF"/>
        </w:rPr>
        <w:t>Anthony Cappell</w:t>
      </w:r>
    </w:p>
    <w:p>
      <w:pPr>
        <w:spacing w:after="0" w:line="41" w:lineRule="exact"/>
        <w:rPr>
          <w:sz w:val="20"/>
          <w:szCs w:val="20"/>
          <w:color w:val="auto"/>
        </w:rPr>
      </w:pPr>
    </w:p>
    <w:p>
      <w:pPr>
        <w:ind w:left="420"/>
        <w:spacing w:after="0"/>
        <w:tabs>
          <w:tab w:leader="none" w:pos="1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0000FF"/>
        </w:rPr>
        <w:t>Anthony Cappell</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ind w:left="420"/>
        <w:spacing w:after="0"/>
        <w:tabs>
          <w:tab w:leader="none" w:pos="1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0000FF"/>
        </w:rPr>
        <w:t>Authorized Person</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Member</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FF0000"/>
          <w:strike w:val="1"/>
        </w:rPr>
        <w:t>LAGO INNOVATION FUND II,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EQUITY FUND, LLC</w:t>
      </w:r>
    </w:p>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u w:val="single" w:color="auto"/>
          <w:color w:val="FF0000"/>
          <w:strike w:val="1"/>
        </w:rPr>
        <w:t>Tim Gottfried</w:t>
      </w:r>
      <w:r>
        <w:rPr>
          <w:rFonts w:ascii="Times New Roman" w:cs="Times New Roman" w:eastAsia="Times New Roman" w:hAnsi="Times New Roman"/>
          <w:sz w:val="18"/>
          <w:szCs w:val="18"/>
          <w:u w:val="single" w:color="auto"/>
          <w:color w:val="0000FF"/>
        </w:rPr>
        <w:t>Anthony Cappell</w:t>
      </w:r>
    </w:p>
    <w:p>
      <w:pPr>
        <w:spacing w:after="0" w:line="41" w:lineRule="exact"/>
        <w:rPr>
          <w:sz w:val="20"/>
          <w:szCs w:val="20"/>
          <w:color w:val="auto"/>
        </w:rPr>
      </w:pPr>
    </w:p>
    <w:p>
      <w:pPr>
        <w:ind w:left="420"/>
        <w:spacing w:after="0"/>
        <w:tabs>
          <w:tab w:leader="none" w:pos="1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0000FF"/>
        </w:rPr>
        <w:t>Anthony Cappell</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ind w:left="420"/>
        <w:spacing w:after="0"/>
        <w:tabs>
          <w:tab w:leader="none" w:pos="1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0000FF"/>
        </w:rPr>
        <w:t>Authorized Person</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Member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of the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7432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2743200"/>
                    </a:xfrm>
                    <a:prstGeom prst="rect">
                      <a:avLst/>
                    </a:prstGeom>
                    <a:noFill/>
                  </pic:spPr>
                </pic:pic>
              </a:graphicData>
            </a:graphic>
          </wp:anchor>
        </w:drawing>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FF0000"/>
          <w:strike w:val="1"/>
        </w:rPr>
        <w:t>LAGO DELTA NINE FUND, LP</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FF0000"/>
          <w:strike w:val="1"/>
        </w:rPr>
        <w:t xml:space="preserve">By: </w:t>
      </w:r>
      <w:r>
        <w:rPr>
          <w:rFonts w:ascii="Times New Roman" w:cs="Times New Roman" w:eastAsia="Times New Roman" w:hAnsi="Times New Roman"/>
          <w:sz w:val="18"/>
          <w:szCs w:val="18"/>
          <w:u w:val="single" w:color="auto"/>
          <w:color w:val="FF0000"/>
          <w:strike w:val="1"/>
        </w:rPr>
        <w:t>/s/ Tim Gottfried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FF0000"/>
          <w:strike w:val="1"/>
        </w:rPr>
        <w:t>Name: Tim Gottfried</w:t>
      </w:r>
    </w:p>
    <w:p>
      <w:pPr>
        <w:spacing w:after="0" w:line="9" w:lineRule="exact"/>
        <w:rPr>
          <w:sz w:val="20"/>
          <w:szCs w:val="20"/>
          <w:color w:val="auto"/>
        </w:rPr>
      </w:pPr>
    </w:p>
    <w:p>
      <w:pPr>
        <w:ind w:left="800"/>
        <w:spacing w:after="0"/>
        <w:tabs>
          <w:tab w:leader="none" w:pos="1360" w:val="left"/>
        </w:tabs>
        <w:rPr>
          <w:sz w:val="20"/>
          <w:szCs w:val="20"/>
          <w:color w:val="auto"/>
        </w:rPr>
      </w:pPr>
      <w:r>
        <w:rPr>
          <w:rFonts w:ascii="Times New Roman" w:cs="Times New Roman" w:eastAsia="Times New Roman" w:hAnsi="Times New Roman"/>
          <w:sz w:val="18"/>
          <w:szCs w:val="18"/>
          <w:color w:val="FF0000"/>
          <w:strike w:val="1"/>
        </w:rPr>
        <w:t>Title:</w:t>
      </w:r>
      <w:r>
        <w:rPr>
          <w:sz w:val="20"/>
          <w:szCs w:val="20"/>
          <w:color w:val="auto"/>
        </w:rPr>
        <w:tab/>
      </w:r>
      <w:r>
        <w:rPr>
          <w:rFonts w:ascii="Times New Roman" w:cs="Times New Roman" w:eastAsia="Times New Roman" w:hAnsi="Times New Roman"/>
          <w:sz w:val="17"/>
          <w:szCs w:val="17"/>
          <w:color w:val="FF0000"/>
          <w:strike w:val="1"/>
        </w:rPr>
        <w:t>Managing Member</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FF0000"/>
          <w:strike w:val="1"/>
        </w:rPr>
        <w:t>LAGO DELTA NINE FUND QP, LP</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FF0000"/>
          <w:strike w:val="1"/>
        </w:rPr>
        <w:t xml:space="preserve">By: </w:t>
      </w:r>
      <w:r>
        <w:rPr>
          <w:rFonts w:ascii="Times New Roman" w:cs="Times New Roman" w:eastAsia="Times New Roman" w:hAnsi="Times New Roman"/>
          <w:sz w:val="18"/>
          <w:szCs w:val="18"/>
          <w:u w:val="single" w:color="auto"/>
          <w:color w:val="FF0000"/>
          <w:strike w:val="1"/>
        </w:rPr>
        <w:t>/s/ Tim Gottfried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FF0000"/>
          <w:strike w:val="1"/>
        </w:rPr>
        <w:t>Name: Tim Gottfried</w:t>
      </w:r>
    </w:p>
    <w:p>
      <w:pPr>
        <w:spacing w:after="0" w:line="9" w:lineRule="exact"/>
        <w:rPr>
          <w:sz w:val="20"/>
          <w:szCs w:val="20"/>
          <w:color w:val="auto"/>
        </w:rPr>
      </w:pPr>
    </w:p>
    <w:p>
      <w:pPr>
        <w:ind w:left="800"/>
        <w:spacing w:after="0"/>
        <w:tabs>
          <w:tab w:leader="none" w:pos="1360" w:val="left"/>
        </w:tabs>
        <w:rPr>
          <w:sz w:val="20"/>
          <w:szCs w:val="20"/>
          <w:color w:val="auto"/>
        </w:rPr>
      </w:pPr>
      <w:r>
        <w:rPr>
          <w:rFonts w:ascii="Times New Roman" w:cs="Times New Roman" w:eastAsia="Times New Roman" w:hAnsi="Times New Roman"/>
          <w:sz w:val="18"/>
          <w:szCs w:val="18"/>
          <w:color w:val="FF0000"/>
          <w:strike w:val="1"/>
        </w:rPr>
        <w:t>Title:</w:t>
      </w:r>
      <w:r>
        <w:rPr>
          <w:sz w:val="20"/>
          <w:szCs w:val="20"/>
          <w:color w:val="auto"/>
        </w:rPr>
        <w:tab/>
      </w:r>
      <w:r>
        <w:rPr>
          <w:rFonts w:ascii="Times New Roman" w:cs="Times New Roman" w:eastAsia="Times New Roman" w:hAnsi="Times New Roman"/>
          <w:sz w:val="17"/>
          <w:szCs w:val="17"/>
          <w:color w:val="FF0000"/>
          <w:strike w:val="1"/>
        </w:rPr>
        <w:t>Managing Member</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FF0000"/>
          <w:strike w:val="1"/>
        </w:rPr>
        <w:t>LAGO DELTA NINE, LLC</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FF0000"/>
          <w:strike w:val="1"/>
        </w:rPr>
        <w:t xml:space="preserve">By: </w:t>
      </w:r>
      <w:r>
        <w:rPr>
          <w:rFonts w:ascii="Times New Roman" w:cs="Times New Roman" w:eastAsia="Times New Roman" w:hAnsi="Times New Roman"/>
          <w:sz w:val="18"/>
          <w:szCs w:val="18"/>
          <w:u w:val="single" w:color="auto"/>
          <w:color w:val="FF0000"/>
          <w:strike w:val="1"/>
        </w:rPr>
        <w:t>/s/ Tim Gottfried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FF0000"/>
          <w:strike w:val="1"/>
        </w:rPr>
        <w:t>Name: Tim Gottfried</w:t>
      </w:r>
    </w:p>
    <w:p>
      <w:pPr>
        <w:spacing w:after="0" w:line="9" w:lineRule="exact"/>
        <w:rPr>
          <w:sz w:val="20"/>
          <w:szCs w:val="20"/>
          <w:color w:val="auto"/>
        </w:rPr>
      </w:pPr>
    </w:p>
    <w:p>
      <w:pPr>
        <w:ind w:left="800"/>
        <w:spacing w:after="0"/>
        <w:tabs>
          <w:tab w:leader="none" w:pos="1360" w:val="left"/>
        </w:tabs>
        <w:rPr>
          <w:sz w:val="20"/>
          <w:szCs w:val="20"/>
          <w:color w:val="auto"/>
        </w:rPr>
      </w:pPr>
      <w:r>
        <w:rPr>
          <w:rFonts w:ascii="Times New Roman" w:cs="Times New Roman" w:eastAsia="Times New Roman" w:hAnsi="Times New Roman"/>
          <w:sz w:val="18"/>
          <w:szCs w:val="18"/>
          <w:color w:val="FF0000"/>
          <w:strike w:val="1"/>
        </w:rPr>
        <w:t>Title:</w:t>
      </w:r>
      <w:r>
        <w:rPr>
          <w:sz w:val="20"/>
          <w:szCs w:val="20"/>
          <w:color w:val="auto"/>
        </w:rPr>
        <w:tab/>
      </w:r>
      <w:r>
        <w:rPr>
          <w:rFonts w:ascii="Times New Roman" w:cs="Times New Roman" w:eastAsia="Times New Roman" w:hAnsi="Times New Roman"/>
          <w:sz w:val="17"/>
          <w:szCs w:val="17"/>
          <w:color w:val="FF0000"/>
          <w:strike w:val="1"/>
        </w:rPr>
        <w:t>Managing Member of the Managing</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FF0000"/>
          <w:strike w:val="1"/>
        </w:rPr>
        <w:t>Members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OPPORTUNITY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401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OPPORTUNITY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401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CHICAGO ATLANTIC CREDIT OPPORTUNITIES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401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By: /s/ Anthony Cappell</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Name: Anthony Cappell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Title:</w:t>
      </w:r>
      <w:r>
        <w:rPr>
          <w:sz w:val="20"/>
          <w:szCs w:val="20"/>
          <w:color w:val="auto"/>
        </w:rPr>
        <w:tab/>
      </w:r>
      <w:r>
        <w:rPr>
          <w:rFonts w:ascii="Times New Roman" w:cs="Times New Roman" w:eastAsia="Times New Roman" w:hAnsi="Times New Roman"/>
          <w:sz w:val="17"/>
          <w:szCs w:val="17"/>
          <w:u w:val="single" w:color="auto"/>
          <w:color w:val="0000FF"/>
        </w:rPr>
        <w:t>Authorized Person</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FF0000"/>
          <w:strike w:val="1"/>
        </w:rPr>
        <w:t>LAGO D9 EQUITY FUND I,</w:t>
      </w:r>
      <w:r>
        <w:rPr>
          <w:rFonts w:ascii="Times New Roman" w:cs="Times New Roman" w:eastAsia="Times New Roman" w:hAnsi="Times New Roman"/>
          <w:sz w:val="18"/>
          <w:szCs w:val="18"/>
          <w:b w:val="1"/>
          <w:bCs w:val="1"/>
          <w:u w:val="single" w:color="auto"/>
          <w:color w:val="0000FF"/>
          <w:strike w:val="1"/>
        </w:rPr>
        <w:t>CHICAGO ATLANTIC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1889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3188970"/>
                    </a:xfrm>
                    <a:prstGeom prst="rect">
                      <a:avLst/>
                    </a:prstGeom>
                    <a:noFill/>
                  </pic:spPr>
                </pic:pic>
              </a:graphicData>
            </a:graphic>
          </wp:anchor>
        </w:drawing>
      </w:r>
    </w:p>
    <w:p>
      <w:pPr>
        <w:spacing w:after="0" w:line="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u w:val="single" w:color="auto"/>
          <w:color w:val="0000FF"/>
        </w:rPr>
        <w:t>CO3 (OFFSHORE),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000000"/>
        </w:rPr>
        <w:t>LP</w:t>
      </w: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u w:val="single" w:color="auto"/>
          <w:color w:val="FF0000"/>
          <w:strike w:val="1"/>
        </w:rPr>
        <w:t>Tim Gottfried</w:t>
      </w:r>
      <w:r>
        <w:rPr>
          <w:rFonts w:ascii="Times New Roman" w:cs="Times New Roman" w:eastAsia="Times New Roman" w:hAnsi="Times New Roman"/>
          <w:sz w:val="18"/>
          <w:szCs w:val="18"/>
          <w:u w:val="single" w:color="auto"/>
          <w:color w:val="0000FF"/>
        </w:rPr>
        <w:t>Anthony Cappell</w:t>
      </w:r>
    </w:p>
    <w:p>
      <w:pPr>
        <w:spacing w:after="0" w:line="41" w:lineRule="exact"/>
        <w:rPr>
          <w:sz w:val="20"/>
          <w:szCs w:val="20"/>
          <w:color w:val="auto"/>
        </w:rPr>
      </w:pPr>
    </w:p>
    <w:p>
      <w:pPr>
        <w:ind w:left="420"/>
        <w:spacing w:after="0"/>
        <w:tabs>
          <w:tab w:leader="none" w:pos="1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0000FF"/>
        </w:rPr>
        <w:t>Anthony Cappell</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ind w:left="420"/>
        <w:spacing w:after="0"/>
        <w:tabs>
          <w:tab w:leader="none" w:pos="1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0000FF"/>
        </w:rPr>
        <w:t>Authorized Person</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Member</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FF0000"/>
          <w:strike w:val="1"/>
        </w:rPr>
        <w:t>LAGO D9 EQUITY FUND I-QP</w:t>
      </w:r>
      <w:r>
        <w:rPr>
          <w:rFonts w:ascii="Times New Roman" w:cs="Times New Roman" w:eastAsia="Times New Roman" w:hAnsi="Times New Roman"/>
          <w:sz w:val="18"/>
          <w:szCs w:val="18"/>
          <w:b w:val="1"/>
          <w:bCs w:val="1"/>
          <w:u w:val="single" w:color="auto"/>
          <w:color w:val="0000FF"/>
          <w:strike w:val="1"/>
        </w:rPr>
        <w:t>CHICAGO ATLANTIC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0000FF"/>
        </w:rPr>
        <w:t>CO3 FEEDER</w:t>
      </w:r>
      <w:r>
        <w:rPr>
          <w:rFonts w:ascii="Times New Roman" w:cs="Times New Roman" w:eastAsia="Times New Roman" w:hAnsi="Times New Roman"/>
          <w:sz w:val="18"/>
          <w:szCs w:val="18"/>
          <w:b w:val="1"/>
          <w:bCs w:val="1"/>
          <w:color w:val="000000"/>
        </w:rPr>
        <w:t>, LP</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u w:val="single" w:color="auto"/>
          <w:color w:val="FF0000"/>
          <w:strike w:val="1"/>
        </w:rPr>
        <w:t>Tim Gottfried</w:t>
      </w:r>
      <w:r>
        <w:rPr>
          <w:rFonts w:ascii="Times New Roman" w:cs="Times New Roman" w:eastAsia="Times New Roman" w:hAnsi="Times New Roman"/>
          <w:sz w:val="18"/>
          <w:szCs w:val="18"/>
          <w:u w:val="single" w:color="auto"/>
          <w:color w:val="0000FF"/>
        </w:rPr>
        <w:t>Anthony Cappell</w:t>
      </w:r>
    </w:p>
    <w:p>
      <w:pPr>
        <w:spacing w:after="0" w:line="41" w:lineRule="exact"/>
        <w:rPr>
          <w:sz w:val="20"/>
          <w:szCs w:val="20"/>
          <w:color w:val="auto"/>
        </w:rPr>
      </w:pPr>
    </w:p>
    <w:p>
      <w:pPr>
        <w:ind w:left="420"/>
        <w:spacing w:after="0"/>
        <w:tabs>
          <w:tab w:leader="none" w:pos="1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0000FF"/>
        </w:rPr>
        <w:t>Anthony Cappell</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ind w:left="420"/>
        <w:spacing w:after="0"/>
        <w:tabs>
          <w:tab w:leader="none" w:pos="1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0000FF"/>
        </w:rPr>
        <w:t>Authorized Person</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FF0000"/>
          <w:strike w:val="1"/>
        </w:rPr>
        <w:t>Member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69" w:name="page70"/>
    <w:bookmarkEnd w:id="69"/>
    <w:p>
      <w:pPr>
        <w:ind w:left="320"/>
        <w:spacing w:after="0"/>
        <w:rPr>
          <w:sz w:val="20"/>
          <w:szCs w:val="20"/>
          <w:color w:val="auto"/>
        </w:rPr>
      </w:pPr>
      <w:r>
        <w:rPr>
          <w:rFonts w:ascii="Times New Roman" w:cs="Times New Roman" w:eastAsia="Times New Roman" w:hAnsi="Times New Roman"/>
          <w:sz w:val="18"/>
          <w:szCs w:val="18"/>
          <w:b w:val="1"/>
          <w:bCs w:val="1"/>
          <w:color w:val="FF0000"/>
          <w:strike w:val="1"/>
        </w:rPr>
        <w:t>LAGO INNOVATION FUND III-AI,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-116840</wp:posOffset>
            </wp:positionV>
            <wp:extent cx="7132320" cy="49891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49891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By: /s/ Tim Gottfried</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Name:</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Title: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LAGO INNOVATION FUND III-QP, LP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By: /s/ Tim Gottfried</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Name:</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Title: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LAGO INNOVATION FUND III</w:t>
      </w:r>
      <w:r>
        <w:rPr>
          <w:rFonts w:ascii="Times New Roman" w:cs="Times New Roman" w:eastAsia="Times New Roman" w:hAnsi="Times New Roman"/>
          <w:sz w:val="18"/>
          <w:szCs w:val="18"/>
          <w:b w:val="1"/>
          <w:bCs w:val="1"/>
          <w:u w:val="single" w:color="auto"/>
          <w:color w:val="0000FF"/>
          <w:strike w:val="1"/>
        </w:rPr>
        <w:t>CHICAGO ATLANTIC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CREDIT OPPORTUNITIES</w:t>
      </w:r>
      <w:r>
        <w:rPr>
          <w:rFonts w:ascii="Times New Roman" w:cs="Times New Roman" w:eastAsia="Times New Roman" w:hAnsi="Times New Roman"/>
          <w:sz w:val="18"/>
          <w:szCs w:val="18"/>
          <w:b w:val="1"/>
          <w:bCs w:val="1"/>
          <w:color w:val="000000"/>
        </w:rPr>
        <w:t>, LLC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u w:val="single" w:color="auto"/>
          <w:color w:val="FF0000"/>
          <w:strike w:val="1"/>
        </w:rPr>
        <w:t>Tim Gottfried</w:t>
      </w:r>
      <w:r>
        <w:rPr>
          <w:rFonts w:ascii="Times New Roman" w:cs="Times New Roman" w:eastAsia="Times New Roman" w:hAnsi="Times New Roman"/>
          <w:sz w:val="18"/>
          <w:szCs w:val="18"/>
          <w:u w:val="single" w:color="auto"/>
          <w:color w:val="0000FF"/>
        </w:rPr>
        <w:t>Anthony Cappell</w:t>
      </w:r>
    </w:p>
    <w:p>
      <w:pPr>
        <w:spacing w:after="0" w:line="41" w:lineRule="exact"/>
        <w:rPr>
          <w:sz w:val="20"/>
          <w:szCs w:val="20"/>
          <w:color w:val="auto"/>
        </w:rPr>
      </w:pPr>
    </w:p>
    <w:p>
      <w:pPr>
        <w:ind w:left="320"/>
        <w:spacing w:after="0"/>
        <w:tabs>
          <w:tab w:leader="none" w:pos="10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0000FF"/>
        </w:rPr>
        <w:t>Anthony Cappell</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Tim</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Gottfried</w:t>
      </w:r>
    </w:p>
    <w:p>
      <w:pPr>
        <w:spacing w:after="0" w:line="9" w:lineRule="exact"/>
        <w:rPr>
          <w:sz w:val="20"/>
          <w:szCs w:val="20"/>
          <w:color w:val="auto"/>
        </w:rPr>
      </w:pPr>
    </w:p>
    <w:p>
      <w:pPr>
        <w:ind w:left="320"/>
        <w:spacing w:after="0"/>
        <w:tabs>
          <w:tab w:leader="none" w:pos="10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0000FF"/>
        </w:rPr>
        <w:t>Authorized Person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Member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of the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Managing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FF0000"/>
          <w:strike w:val="1"/>
        </w:rPr>
        <w:t>Members</w:t>
      </w:r>
    </w:p>
    <w:p>
      <w:pPr>
        <w:spacing w:after="0" w:line="200" w:lineRule="exact"/>
        <w:rPr>
          <w:sz w:val="20"/>
          <w:szCs w:val="20"/>
          <w:color w:val="auto"/>
        </w:rPr>
      </w:pPr>
    </w:p>
    <w:p>
      <w:pPr>
        <w:spacing w:after="0" w:line="22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39"/>
          </w:cols>
          <w:pgMar w:left="420" w:top="900" w:right="1440" w:bottom="1440" w:gutter="0" w:footer="0" w:header="0"/>
        </w:sectPr>
      </w:pPr>
    </w:p>
    <w:bookmarkStart w:id="70" w:name="page71"/>
    <w:bookmarkEnd w:id="70"/>
    <w:p>
      <w:pPr>
        <w:ind w:left="100"/>
        <w:spacing w:after="0"/>
        <w:rPr>
          <w:sz w:val="20"/>
          <w:szCs w:val="20"/>
          <w:color w:val="auto"/>
        </w:rPr>
      </w:pPr>
      <w:r>
        <w:rPr>
          <w:rFonts w:ascii="Times New Roman" w:cs="Times New Roman" w:eastAsia="Times New Roman" w:hAnsi="Times New Roman"/>
          <w:sz w:val="18"/>
          <w:szCs w:val="18"/>
          <w:b w:val="1"/>
          <w:bCs w:val="1"/>
          <w:color w:val="FF0000"/>
          <w:strike w:val="1"/>
        </w:rPr>
        <w:t>LAGO ACCELERATION FUND I, LP</w:t>
      </w:r>
      <w:r>
        <w:rPr>
          <w:rFonts w:ascii="Times New Roman" w:cs="Times New Roman" w:eastAsia="Times New Roman" w:hAnsi="Times New Roman"/>
          <w:sz w:val="18"/>
          <w:szCs w:val="18"/>
          <w:b w:val="1"/>
          <w:bCs w:val="1"/>
          <w:u w:val="single" w:color="auto"/>
          <w:color w:val="0000FF"/>
          <w:strike w:val="1"/>
        </w:rPr>
        <w:t>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6103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6103620"/>
                    </a:xfrm>
                    <a:prstGeom prst="rect">
                      <a:avLst/>
                    </a:prstGeom>
                    <a:noFill/>
                  </pic:spPr>
                </pic:pic>
              </a:graphicData>
            </a:graphic>
          </wp:anchor>
        </w:drawing>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0000FF"/>
        </w:rPr>
        <w:t>ATLANTIC REAL ESTATE FINANCE, INC.</w:t>
      </w:r>
    </w:p>
    <w:p>
      <w:pPr>
        <w:spacing w:after="0" w:line="200" w:lineRule="exact"/>
        <w:rPr>
          <w:sz w:val="20"/>
          <w:szCs w:val="20"/>
          <w:color w:val="auto"/>
        </w:rPr>
      </w:pP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color w:val="FF0000"/>
          <w:strike w:val="1"/>
        </w:rPr>
        <w:t>Tim Gottfried</w:t>
      </w:r>
      <w:r>
        <w:rPr>
          <w:rFonts w:ascii="Times New Roman" w:cs="Times New Roman" w:eastAsia="Times New Roman" w:hAnsi="Times New Roman"/>
          <w:sz w:val="18"/>
          <w:szCs w:val="18"/>
          <w:color w:val="0000FF"/>
        </w:rPr>
        <w:t>Peter Sack</w:t>
      </w:r>
    </w:p>
    <w:tbl>
      <w:tblPr>
        <w:tblLayout w:type="fixed"/>
        <w:tblInd w:w="420" w:type="dxa"/>
        <w:tblCellMar>
          <w:top w:w="0" w:type="dxa"/>
          <w:left w:w="0" w:type="dxa"/>
          <w:bottom w:w="0" w:type="dxa"/>
          <w:right w:w="0" w:type="dxa"/>
        </w:tblCellMar>
      </w:tblPr>
      <w:tr>
        <w:trPr>
          <w:trHeight w:val="263"/>
        </w:trPr>
        <w:tc>
          <w:tcPr>
            <w:tcW w:w="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FF0000"/>
                <w:strike w:val="1"/>
              </w:rPr>
              <w:t>Tim</w:t>
            </w:r>
          </w:p>
        </w:tc>
        <w:tc>
          <w:tcPr>
            <w:tcW w:w="120" w:type="dxa"/>
            <w:vAlign w:val="bottom"/>
            <w:tcBorders>
              <w:top w:val="single" w:sz="8" w:color="auto"/>
            </w:tcBorders>
          </w:tcPr>
          <w:p>
            <w:pPr>
              <w:spacing w:after="0"/>
              <w:rPr>
                <w:sz w:val="22"/>
                <w:szCs w:val="22"/>
                <w:color w:val="auto"/>
              </w:rPr>
            </w:pPr>
          </w:p>
        </w:tc>
        <w:tc>
          <w:tcPr>
            <w:tcW w:w="3340" w:type="dxa"/>
            <w:vAlign w:val="bottom"/>
            <w:tcBorders>
              <w:top w:val="single" w:sz="8" w:color="auto"/>
            </w:tcBorders>
            <w:gridSpan w:val="5"/>
            <w:shd w:val="clear" w:color="auto" w:fill="E6E6FA"/>
          </w:tcPr>
          <w:p>
            <w:pPr>
              <w:spacing w:after="0"/>
              <w:rPr>
                <w:sz w:val="20"/>
                <w:szCs w:val="20"/>
                <w:color w:val="auto"/>
              </w:rPr>
            </w:pPr>
            <w:r>
              <w:rPr>
                <w:rFonts w:ascii="Times New Roman" w:cs="Times New Roman" w:eastAsia="Times New Roman" w:hAnsi="Times New Roman"/>
                <w:sz w:val="18"/>
                <w:szCs w:val="18"/>
                <w:color w:val="0000FF"/>
              </w:rPr>
              <w:t>Peter Sack</w:t>
            </w:r>
          </w:p>
        </w:tc>
      </w:tr>
      <w:tr>
        <w:trPr>
          <w:trHeight w:val="178"/>
        </w:trPr>
        <w:tc>
          <w:tcPr>
            <w:tcW w:w="660" w:type="dxa"/>
            <w:vAlign w:val="bottom"/>
            <w:gridSpan w:val="3"/>
          </w:tcPr>
          <w:p>
            <w:pPr>
              <w:spacing w:after="0" w:line="178" w:lineRule="exact"/>
              <w:rPr>
                <w:sz w:val="20"/>
                <w:szCs w:val="20"/>
                <w:color w:val="auto"/>
              </w:rPr>
            </w:pPr>
            <w:r>
              <w:rPr>
                <w:rFonts w:ascii="Times New Roman" w:cs="Times New Roman" w:eastAsia="Times New Roman" w:hAnsi="Times New Roman"/>
                <w:sz w:val="18"/>
                <w:szCs w:val="18"/>
                <w:color w:val="FF0000"/>
                <w:strike w:val="1"/>
                <w:w w:val="96"/>
              </w:rPr>
              <w:t>Gottfried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0000FF"/>
            </w:tcBorders>
            <w:shd w:val="clear" w:color="auto" w:fill="E6E6FA"/>
          </w:tcPr>
          <w:p>
            <w:pPr>
              <w:spacing w:after="0"/>
              <w:rPr>
                <w:sz w:val="15"/>
                <w:szCs w:val="15"/>
                <w:color w:val="auto"/>
              </w:rPr>
            </w:pPr>
          </w:p>
        </w:tc>
        <w:tc>
          <w:tcPr>
            <w:tcW w:w="600" w:type="dxa"/>
            <w:vAlign w:val="bottom"/>
            <w:tcBorders>
              <w:top w:val="single" w:sz="8" w:color="0000FF"/>
            </w:tcBorders>
            <w:shd w:val="clear" w:color="auto" w:fill="E6E6FA"/>
          </w:tcPr>
          <w:p>
            <w:pPr>
              <w:spacing w:after="0"/>
              <w:rPr>
                <w:sz w:val="15"/>
                <w:szCs w:val="15"/>
                <w:color w:val="auto"/>
              </w:rPr>
            </w:pPr>
          </w:p>
        </w:tc>
        <w:tc>
          <w:tcPr>
            <w:tcW w:w="160" w:type="dxa"/>
            <w:vAlign w:val="bottom"/>
            <w:tcBorders>
              <w:top w:val="single" w:sz="8" w:color="E6E6FA"/>
            </w:tcBorders>
            <w:shd w:val="clear" w:color="auto" w:fill="E6E6FA"/>
          </w:tcPr>
          <w:p>
            <w:pPr>
              <w:spacing w:after="0"/>
              <w:rPr>
                <w:sz w:val="15"/>
                <w:szCs w:val="15"/>
                <w:color w:val="auto"/>
              </w:rPr>
            </w:pPr>
          </w:p>
        </w:tc>
        <w:tc>
          <w:tcPr>
            <w:tcW w:w="800" w:type="dxa"/>
            <w:vAlign w:val="bottom"/>
            <w:tcBorders>
              <w:top w:val="single" w:sz="8" w:color="E6E6FA"/>
            </w:tcBorders>
            <w:shd w:val="clear" w:color="auto" w:fill="E6E6FA"/>
          </w:tcPr>
          <w:p>
            <w:pPr>
              <w:spacing w:after="0"/>
              <w:rPr>
                <w:sz w:val="15"/>
                <w:szCs w:val="15"/>
                <w:color w:val="auto"/>
              </w:rPr>
            </w:pPr>
          </w:p>
        </w:tc>
        <w:tc>
          <w:tcPr>
            <w:tcW w:w="1620" w:type="dxa"/>
            <w:vAlign w:val="bottom"/>
            <w:tcBorders>
              <w:top w:val="single" w:sz="8" w:color="E6E6FA"/>
            </w:tcBorders>
            <w:shd w:val="clear" w:color="auto" w:fill="E6E6FA"/>
          </w:tcPr>
          <w:p>
            <w:pPr>
              <w:spacing w:after="0"/>
              <w:rPr>
                <w:sz w:val="15"/>
                <w:szCs w:val="15"/>
                <w:color w:val="auto"/>
              </w:rPr>
            </w:pPr>
          </w:p>
        </w:tc>
      </w:tr>
      <w:tr>
        <w:trPr>
          <w:trHeight w:val="234"/>
        </w:trPr>
        <w:tc>
          <w:tcPr>
            <w:tcW w:w="94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Title:</w:t>
            </w:r>
          </w:p>
        </w:tc>
        <w:tc>
          <w:tcPr>
            <w:tcW w:w="120" w:type="dxa"/>
            <w:vAlign w:val="bottom"/>
          </w:tcPr>
          <w:p>
            <w:pPr>
              <w:spacing w:after="0"/>
              <w:rPr>
                <w:sz w:val="20"/>
                <w:szCs w:val="20"/>
                <w:color w:val="auto"/>
              </w:rPr>
            </w:pPr>
          </w:p>
        </w:tc>
        <w:tc>
          <w:tcPr>
            <w:tcW w:w="3340" w:type="dxa"/>
            <w:vAlign w:val="bottom"/>
            <w:gridSpan w:val="5"/>
            <w:shd w:val="clear" w:color="auto" w:fill="E6E6FA"/>
          </w:tcPr>
          <w:p>
            <w:pPr>
              <w:spacing w:after="0" w:line="194" w:lineRule="exact"/>
              <w:rPr>
                <w:sz w:val="20"/>
                <w:szCs w:val="20"/>
                <w:color w:val="auto"/>
              </w:rPr>
            </w:pPr>
            <w:r>
              <w:rPr>
                <w:rFonts w:ascii="Times New Roman" w:cs="Times New Roman" w:eastAsia="Times New Roman" w:hAnsi="Times New Roman"/>
                <w:sz w:val="18"/>
                <w:szCs w:val="18"/>
                <w:color w:val="0000FF"/>
              </w:rPr>
              <w:t>Chief Executive Officer</w:t>
            </w:r>
          </w:p>
        </w:tc>
      </w:tr>
      <w:tr>
        <w:trPr>
          <w:trHeight w:val="178"/>
        </w:trPr>
        <w:tc>
          <w:tcPr>
            <w:tcW w:w="740" w:type="dxa"/>
            <w:vAlign w:val="bottom"/>
            <w:gridSpan w:val="4"/>
          </w:tcPr>
          <w:p>
            <w:pPr>
              <w:spacing w:after="0" w:line="178" w:lineRule="exact"/>
              <w:rPr>
                <w:sz w:val="20"/>
                <w:szCs w:val="20"/>
                <w:color w:val="auto"/>
              </w:rPr>
            </w:pPr>
            <w:r>
              <w:rPr>
                <w:rFonts w:ascii="Times New Roman" w:cs="Times New Roman" w:eastAsia="Times New Roman" w:hAnsi="Times New Roman"/>
                <w:sz w:val="18"/>
                <w:szCs w:val="18"/>
                <w:color w:val="FF0000"/>
                <w:strike w:val="1"/>
                <w:w w:val="98"/>
              </w:rPr>
              <w:t>Managing</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0000FF"/>
            </w:tcBorders>
            <w:shd w:val="clear" w:color="auto" w:fill="E6E6FA"/>
          </w:tcPr>
          <w:p>
            <w:pPr>
              <w:spacing w:after="0"/>
              <w:rPr>
                <w:sz w:val="15"/>
                <w:szCs w:val="15"/>
                <w:color w:val="auto"/>
              </w:rPr>
            </w:pPr>
          </w:p>
        </w:tc>
        <w:tc>
          <w:tcPr>
            <w:tcW w:w="600" w:type="dxa"/>
            <w:vAlign w:val="bottom"/>
            <w:tcBorders>
              <w:top w:val="single" w:sz="8" w:color="0000FF"/>
            </w:tcBorders>
            <w:shd w:val="clear" w:color="auto" w:fill="E6E6FA"/>
          </w:tcPr>
          <w:p>
            <w:pPr>
              <w:spacing w:after="0"/>
              <w:rPr>
                <w:sz w:val="15"/>
                <w:szCs w:val="15"/>
                <w:color w:val="auto"/>
              </w:rPr>
            </w:pPr>
          </w:p>
        </w:tc>
        <w:tc>
          <w:tcPr>
            <w:tcW w:w="160" w:type="dxa"/>
            <w:vAlign w:val="bottom"/>
            <w:tcBorders>
              <w:top w:val="single" w:sz="8" w:color="0000FF"/>
            </w:tcBorders>
            <w:shd w:val="clear" w:color="auto" w:fill="E6E6FA"/>
          </w:tcPr>
          <w:p>
            <w:pPr>
              <w:spacing w:after="0"/>
              <w:rPr>
                <w:sz w:val="15"/>
                <w:szCs w:val="15"/>
                <w:color w:val="auto"/>
              </w:rPr>
            </w:pPr>
          </w:p>
        </w:tc>
        <w:tc>
          <w:tcPr>
            <w:tcW w:w="800" w:type="dxa"/>
            <w:vAlign w:val="bottom"/>
            <w:tcBorders>
              <w:top w:val="single" w:sz="8" w:color="0000FF"/>
            </w:tcBorders>
            <w:shd w:val="clear" w:color="auto" w:fill="E6E6FA"/>
          </w:tcPr>
          <w:p>
            <w:pPr>
              <w:spacing w:after="0"/>
              <w:rPr>
                <w:sz w:val="15"/>
                <w:szCs w:val="15"/>
                <w:color w:val="auto"/>
              </w:rPr>
            </w:pPr>
          </w:p>
        </w:tc>
        <w:tc>
          <w:tcPr>
            <w:tcW w:w="1620" w:type="dxa"/>
            <w:vAlign w:val="bottom"/>
            <w:tcBorders>
              <w:top w:val="single" w:sz="8" w:color="E6E6FA"/>
            </w:tcBorders>
            <w:shd w:val="clear" w:color="auto" w:fill="E6E6FA"/>
          </w:tcPr>
          <w:p>
            <w:pPr>
              <w:spacing w:after="0"/>
              <w:rPr>
                <w:sz w:val="15"/>
                <w:szCs w:val="15"/>
                <w:color w:val="auto"/>
              </w:rPr>
            </w:pPr>
          </w:p>
        </w:tc>
      </w:tr>
      <w:tr>
        <w:trPr>
          <w:trHeight w:val="234"/>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rPr>
              <w:t>Member</w:t>
            </w:r>
          </w:p>
        </w:tc>
        <w:tc>
          <w:tcPr>
            <w:tcW w:w="2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shd w:val="clear" w:color="auto" w:fill="E6E6FA"/>
          </w:tcPr>
          <w:p>
            <w:pPr>
              <w:spacing w:after="0"/>
              <w:rPr>
                <w:sz w:val="20"/>
                <w:szCs w:val="20"/>
                <w:color w:val="auto"/>
              </w:rPr>
            </w:pPr>
          </w:p>
        </w:tc>
        <w:tc>
          <w:tcPr>
            <w:tcW w:w="600" w:type="dxa"/>
            <w:vAlign w:val="bottom"/>
            <w:shd w:val="clear" w:color="auto" w:fill="E6E6FA"/>
          </w:tcPr>
          <w:p>
            <w:pPr>
              <w:spacing w:after="0"/>
              <w:rPr>
                <w:sz w:val="20"/>
                <w:szCs w:val="20"/>
                <w:color w:val="auto"/>
              </w:rPr>
            </w:pPr>
          </w:p>
        </w:tc>
        <w:tc>
          <w:tcPr>
            <w:tcW w:w="160" w:type="dxa"/>
            <w:vAlign w:val="bottom"/>
            <w:shd w:val="clear" w:color="auto" w:fill="E6E6FA"/>
          </w:tcPr>
          <w:p>
            <w:pPr>
              <w:spacing w:after="0"/>
              <w:rPr>
                <w:sz w:val="20"/>
                <w:szCs w:val="20"/>
                <w:color w:val="auto"/>
              </w:rPr>
            </w:pPr>
          </w:p>
        </w:tc>
        <w:tc>
          <w:tcPr>
            <w:tcW w:w="800" w:type="dxa"/>
            <w:vAlign w:val="bottom"/>
            <w:shd w:val="clear" w:color="auto" w:fill="E6E6FA"/>
          </w:tcPr>
          <w:p>
            <w:pPr>
              <w:spacing w:after="0"/>
              <w:rPr>
                <w:sz w:val="20"/>
                <w:szCs w:val="20"/>
                <w:color w:val="auto"/>
              </w:rPr>
            </w:pPr>
          </w:p>
        </w:tc>
        <w:tc>
          <w:tcPr>
            <w:tcW w:w="1620" w:type="dxa"/>
            <w:vAlign w:val="bottom"/>
            <w:shd w:val="clear" w:color="auto" w:fill="E6E6FA"/>
          </w:tcPr>
          <w:p>
            <w:pPr>
              <w:spacing w:after="0"/>
              <w:rPr>
                <w:sz w:val="20"/>
                <w:szCs w:val="20"/>
                <w:color w:val="auto"/>
              </w:rPr>
            </w:pPr>
          </w:p>
        </w:tc>
      </w:tr>
      <w:tr>
        <w:trPr>
          <w:trHeight w:val="216"/>
        </w:trPr>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shd w:val="clear" w:color="auto" w:fill="E6E6FA"/>
          </w:tcPr>
          <w:p>
            <w:pPr>
              <w:spacing w:after="0"/>
              <w:rPr>
                <w:sz w:val="18"/>
                <w:szCs w:val="18"/>
                <w:color w:val="auto"/>
              </w:rPr>
            </w:pPr>
          </w:p>
        </w:tc>
        <w:tc>
          <w:tcPr>
            <w:tcW w:w="600" w:type="dxa"/>
            <w:vAlign w:val="bottom"/>
            <w:shd w:val="clear" w:color="auto" w:fill="E6E6FA"/>
          </w:tcPr>
          <w:p>
            <w:pPr>
              <w:spacing w:after="0"/>
              <w:rPr>
                <w:sz w:val="18"/>
                <w:szCs w:val="18"/>
                <w:color w:val="auto"/>
              </w:rPr>
            </w:pPr>
          </w:p>
        </w:tc>
        <w:tc>
          <w:tcPr>
            <w:tcW w:w="160" w:type="dxa"/>
            <w:vAlign w:val="bottom"/>
            <w:shd w:val="clear" w:color="auto" w:fill="E6E6FA"/>
          </w:tcPr>
          <w:p>
            <w:pPr>
              <w:spacing w:after="0"/>
              <w:rPr>
                <w:sz w:val="18"/>
                <w:szCs w:val="18"/>
                <w:color w:val="auto"/>
              </w:rPr>
            </w:pPr>
          </w:p>
        </w:tc>
        <w:tc>
          <w:tcPr>
            <w:tcW w:w="800" w:type="dxa"/>
            <w:vAlign w:val="bottom"/>
            <w:shd w:val="clear" w:color="auto" w:fill="E6E6FA"/>
          </w:tcPr>
          <w:p>
            <w:pPr>
              <w:spacing w:after="0"/>
              <w:rPr>
                <w:sz w:val="18"/>
                <w:szCs w:val="18"/>
                <w:color w:val="auto"/>
              </w:rPr>
            </w:pPr>
          </w:p>
        </w:tc>
        <w:tc>
          <w:tcPr>
            <w:tcW w:w="1620" w:type="dxa"/>
            <w:vAlign w:val="bottom"/>
            <w:shd w:val="clear" w:color="auto" w:fill="E6E6FA"/>
          </w:tcPr>
          <w:p>
            <w:pPr>
              <w:spacing w:after="0"/>
              <w:rPr>
                <w:sz w:val="18"/>
                <w:szCs w:val="18"/>
                <w:color w:val="auto"/>
              </w:rPr>
            </w:pPr>
          </w:p>
        </w:tc>
      </w:tr>
    </w:tbl>
    <w:p>
      <w:pPr>
        <w:spacing w:after="0" w:line="203" w:lineRule="auto"/>
        <w:rPr>
          <w:sz w:val="20"/>
          <w:szCs w:val="20"/>
          <w:color w:val="auto"/>
        </w:rPr>
      </w:pPr>
      <w:r>
        <w:rPr>
          <w:rFonts w:ascii="Times New Roman" w:cs="Times New Roman" w:eastAsia="Times New Roman" w:hAnsi="Times New Roman"/>
          <w:sz w:val="18"/>
          <w:szCs w:val="18"/>
          <w:b w:val="1"/>
          <w:bCs w:val="1"/>
          <w:color w:val="0000FF"/>
        </w:rPr>
        <w:t>CHICAGO ATLANTIC CREDIT COMPANY, LLC</w:t>
      </w:r>
    </w:p>
    <w:tbl>
      <w:tblPr>
        <w:tblLayout w:type="fixed"/>
        <w:tblInd w:w="0" w:type="dxa"/>
        <w:tblCellMar>
          <w:top w:w="0" w:type="dxa"/>
          <w:left w:w="0" w:type="dxa"/>
          <w:bottom w:w="0" w:type="dxa"/>
          <w:right w:w="0" w:type="dxa"/>
        </w:tblCellMar>
      </w:tblPr>
      <w:tr>
        <w:trPr>
          <w:trHeight w:val="237"/>
        </w:trPr>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300" w:type="dxa"/>
            <w:vAlign w:val="bottom"/>
            <w:tcBorders>
              <w:top w:val="single" w:sz="8" w:color="0000FF"/>
            </w:tcBorders>
            <w:gridSpan w:val="15"/>
            <w:vMerge w:val="restart"/>
          </w:tcPr>
          <w:p>
            <w:pPr>
              <w:spacing w:after="0"/>
              <w:rPr>
                <w:sz w:val="20"/>
                <w:szCs w:val="20"/>
                <w:color w:val="auto"/>
              </w:rPr>
            </w:pPr>
            <w:r>
              <w:rPr>
                <w:rFonts w:ascii="Times New Roman" w:cs="Times New Roman" w:eastAsia="Times New Roman" w:hAnsi="Times New Roman"/>
                <w:sz w:val="18"/>
                <w:szCs w:val="18"/>
                <w:b w:val="1"/>
                <w:bCs w:val="1"/>
                <w:color w:val="FF0000"/>
                <w:strike w:val="1"/>
                <w:w w:val="98"/>
              </w:rPr>
              <w:t>LAGO ACCELERATION FUND I-QP, LP</w:t>
            </w:r>
          </w:p>
        </w:tc>
        <w:tc>
          <w:tcPr>
            <w:tcW w:w="38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20" w:type="dxa"/>
            <w:vAlign w:val="bottom"/>
            <w:shd w:val="clear" w:color="auto" w:fill="E6E6FA"/>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gridSpan w:val="15"/>
            <w:vMerge w:val="continue"/>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By:</w:t>
            </w:r>
          </w:p>
        </w:tc>
        <w:tc>
          <w:tcPr>
            <w:tcW w:w="108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 Anthony Cappell</w:t>
            </w:r>
          </w:p>
        </w:tc>
        <w:tc>
          <w:tcPr>
            <w:tcW w:w="0" w:type="dxa"/>
            <w:vAlign w:val="bottom"/>
          </w:tcPr>
          <w:p>
            <w:pPr>
              <w:spacing w:after="0"/>
              <w:rPr>
                <w:sz w:val="1"/>
                <w:szCs w:val="1"/>
                <w:color w:val="auto"/>
              </w:rPr>
            </w:pPr>
          </w:p>
        </w:tc>
      </w:tr>
      <w:tr>
        <w:trPr>
          <w:trHeight w:val="20"/>
        </w:trPr>
        <w:tc>
          <w:tcPr>
            <w:tcW w:w="100" w:type="dxa"/>
            <w:vAlign w:val="bottom"/>
            <w:tcBorders>
              <w:top w:val="single" w:sz="8" w:color="0000FF"/>
            </w:tcBorders>
            <w:shd w:val="clear" w:color="auto" w:fill="0000FF"/>
          </w:tcPr>
          <w:p>
            <w:pPr>
              <w:spacing w:after="0" w:line="20" w:lineRule="exact"/>
              <w:rPr>
                <w:sz w:val="1"/>
                <w:szCs w:val="1"/>
                <w:color w:val="auto"/>
              </w:rPr>
            </w:pPr>
          </w:p>
        </w:tc>
        <w:tc>
          <w:tcPr>
            <w:tcW w:w="16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60" w:type="dxa"/>
            <w:vAlign w:val="bottom"/>
            <w:tcBorders>
              <w:top w:val="single" w:sz="8" w:color="0000FF"/>
            </w:tcBorders>
            <w:shd w:val="clear" w:color="auto" w:fill="000000"/>
          </w:tcPr>
          <w:p>
            <w:pPr>
              <w:spacing w:after="0" w:line="20" w:lineRule="exact"/>
              <w:rPr>
                <w:sz w:val="1"/>
                <w:szCs w:val="1"/>
                <w:color w:val="auto"/>
              </w:rPr>
            </w:pPr>
          </w:p>
        </w:tc>
        <w:tc>
          <w:tcPr>
            <w:tcW w:w="20" w:type="dxa"/>
            <w:vAlign w:val="bottom"/>
            <w:tcBorders>
              <w:top w:val="single" w:sz="8" w:color="0000FF"/>
            </w:tcBorders>
            <w:shd w:val="clear" w:color="auto" w:fill="000000"/>
          </w:tcPr>
          <w:p>
            <w:pPr>
              <w:spacing w:after="0" w:line="20" w:lineRule="exact"/>
              <w:rPr>
                <w:sz w:val="1"/>
                <w:szCs w:val="1"/>
                <w:color w:val="auto"/>
              </w:rPr>
            </w:pPr>
          </w:p>
        </w:tc>
        <w:tc>
          <w:tcPr>
            <w:tcW w:w="20" w:type="dxa"/>
            <w:vAlign w:val="bottom"/>
            <w:tcBorders>
              <w:top w:val="single" w:sz="8" w:color="0000FF"/>
            </w:tcBorders>
            <w:shd w:val="clear" w:color="auto" w:fill="000000"/>
          </w:tcPr>
          <w:p>
            <w:pPr>
              <w:spacing w:after="0" w:line="20" w:lineRule="exact"/>
              <w:rPr>
                <w:sz w:val="1"/>
                <w:szCs w:val="1"/>
                <w:color w:val="auto"/>
              </w:rPr>
            </w:pPr>
          </w:p>
        </w:tc>
        <w:tc>
          <w:tcPr>
            <w:tcW w:w="20" w:type="dxa"/>
            <w:vAlign w:val="bottom"/>
            <w:tcBorders>
              <w:top w:val="single" w:sz="8" w:color="0000FF"/>
            </w:tcBorders>
            <w:shd w:val="clear" w:color="auto" w:fill="000000"/>
          </w:tcPr>
          <w:p>
            <w:pPr>
              <w:spacing w:after="0" w:line="20" w:lineRule="exact"/>
              <w:rPr>
                <w:sz w:val="1"/>
                <w:szCs w:val="1"/>
                <w:color w:val="auto"/>
              </w:rPr>
            </w:pPr>
          </w:p>
        </w:tc>
        <w:tc>
          <w:tcPr>
            <w:tcW w:w="20" w:type="dxa"/>
            <w:vAlign w:val="bottom"/>
            <w:tcBorders>
              <w:top w:val="single" w:sz="8" w:color="0000FF"/>
            </w:tcBorders>
            <w:shd w:val="clear" w:color="auto" w:fill="000000"/>
          </w:tcPr>
          <w:p>
            <w:pPr>
              <w:spacing w:after="0" w:line="20" w:lineRule="exact"/>
              <w:rPr>
                <w:sz w:val="1"/>
                <w:szCs w:val="1"/>
                <w:color w:val="auto"/>
              </w:rPr>
            </w:pPr>
          </w:p>
        </w:tc>
        <w:tc>
          <w:tcPr>
            <w:tcW w:w="100" w:type="dxa"/>
            <w:vAlign w:val="bottom"/>
            <w:tcBorders>
              <w:top w:val="single" w:sz="8" w:color="0000FF"/>
            </w:tcBorders>
            <w:shd w:val="clear" w:color="auto" w:fill="000000"/>
          </w:tcPr>
          <w:p>
            <w:pPr>
              <w:spacing w:after="0" w:line="20" w:lineRule="exact"/>
              <w:rPr>
                <w:sz w:val="1"/>
                <w:szCs w:val="1"/>
                <w:color w:val="auto"/>
              </w:rPr>
            </w:pPr>
          </w:p>
        </w:tc>
        <w:tc>
          <w:tcPr>
            <w:tcW w:w="80" w:type="dxa"/>
            <w:vAlign w:val="bottom"/>
            <w:tcBorders>
              <w:top w:val="single" w:sz="8" w:color="0000FF"/>
            </w:tcBorders>
            <w:shd w:val="clear" w:color="auto" w:fill="000000"/>
          </w:tcPr>
          <w:p>
            <w:pPr>
              <w:spacing w:after="0" w:line="20" w:lineRule="exact"/>
              <w:rPr>
                <w:sz w:val="1"/>
                <w:szCs w:val="1"/>
                <w:color w:val="auto"/>
              </w:rPr>
            </w:pPr>
          </w:p>
        </w:tc>
        <w:tc>
          <w:tcPr>
            <w:tcW w:w="320" w:type="dxa"/>
            <w:vAlign w:val="bottom"/>
            <w:tcBorders>
              <w:top w:val="single" w:sz="8" w:color="0000FF"/>
              <w:right w:val="single" w:sz="8" w:color="auto"/>
            </w:tcBorders>
            <w:shd w:val="clear" w:color="auto" w:fill="000000"/>
          </w:tcPr>
          <w:p>
            <w:pPr>
              <w:spacing w:after="0" w:line="20" w:lineRule="exact"/>
              <w:rPr>
                <w:sz w:val="1"/>
                <w:szCs w:val="1"/>
                <w:color w:val="auto"/>
              </w:rPr>
            </w:pPr>
          </w:p>
        </w:tc>
        <w:tc>
          <w:tcPr>
            <w:tcW w:w="400" w:type="dxa"/>
            <w:vAlign w:val="bottom"/>
            <w:tcBorders>
              <w:top w:val="single" w:sz="8" w:color="0000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Borders>
              <w:bottom w:val="single" w:sz="8" w:color="FFDEAD"/>
            </w:tcBorders>
            <w:shd w:val="clear" w:color="auto" w:fill="FFDEAD"/>
          </w:tcPr>
          <w:p>
            <w:pPr>
              <w:spacing w:after="0"/>
              <w:rPr>
                <w:sz w:val="17"/>
                <w:szCs w:val="17"/>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FF0000"/>
                <w:strike w:val="1"/>
                <w:w w:val="92"/>
              </w:rPr>
              <w:t>By:</w:t>
            </w:r>
          </w:p>
        </w:tc>
        <w:tc>
          <w:tcPr>
            <w:tcW w:w="80" w:type="dxa"/>
            <w:vAlign w:val="bottom"/>
          </w:tcPr>
          <w:p>
            <w:pPr>
              <w:spacing w:after="0"/>
              <w:rPr>
                <w:sz w:val="17"/>
                <w:szCs w:val="17"/>
                <w:color w:val="auto"/>
              </w:rPr>
            </w:pPr>
          </w:p>
        </w:tc>
        <w:tc>
          <w:tcPr>
            <w:tcW w:w="480" w:type="dxa"/>
            <w:vAlign w:val="bottom"/>
            <w:tcBorders>
              <w:bottom w:val="single" w:sz="8" w:color="0000FF"/>
            </w:tcBorders>
            <w:gridSpan w:val="2"/>
          </w:tcPr>
          <w:p>
            <w:pPr>
              <w:spacing w:after="0" w:line="163" w:lineRule="exact"/>
              <w:rPr>
                <w:sz w:val="20"/>
                <w:szCs w:val="20"/>
                <w:color w:val="auto"/>
              </w:rPr>
            </w:pPr>
            <w:r>
              <w:rPr>
                <w:rFonts w:ascii="Times New Roman" w:cs="Times New Roman" w:eastAsia="Times New Roman" w:hAnsi="Times New Roman"/>
                <w:sz w:val="18"/>
                <w:szCs w:val="18"/>
                <w:color w:val="0000FF"/>
                <w:w w:val="95"/>
              </w:rPr>
              <w:t>Name:</w:t>
            </w:r>
          </w:p>
        </w:tc>
        <w:tc>
          <w:tcPr>
            <w:tcW w:w="560" w:type="dxa"/>
            <w:vAlign w:val="bottom"/>
            <w:gridSpan w:val="6"/>
          </w:tcPr>
          <w:p>
            <w:pPr>
              <w:spacing w:after="0"/>
              <w:rPr>
                <w:sz w:val="17"/>
                <w:szCs w:val="17"/>
                <w:color w:val="auto"/>
              </w:rPr>
            </w:pPr>
          </w:p>
        </w:tc>
        <w:tc>
          <w:tcPr>
            <w:tcW w:w="1240" w:type="dxa"/>
            <w:vAlign w:val="bottom"/>
            <w:tcBorders>
              <w:bottom w:val="single" w:sz="8" w:color="0000FF"/>
            </w:tcBorders>
            <w:gridSpan w:val="4"/>
            <w:shd w:val="clear" w:color="auto" w:fill="E6E6FA"/>
          </w:tcPr>
          <w:p>
            <w:pPr>
              <w:spacing w:after="0" w:line="163" w:lineRule="exact"/>
              <w:rPr>
                <w:sz w:val="20"/>
                <w:szCs w:val="20"/>
                <w:color w:val="auto"/>
              </w:rPr>
            </w:pPr>
            <w:r>
              <w:rPr>
                <w:rFonts w:ascii="Times New Roman" w:cs="Times New Roman" w:eastAsia="Times New Roman" w:hAnsi="Times New Roman"/>
                <w:sz w:val="18"/>
                <w:szCs w:val="18"/>
                <w:color w:val="0000FF"/>
                <w:w w:val="98"/>
              </w:rPr>
              <w:t>Anthony Cappell</w:t>
            </w:r>
          </w:p>
        </w:tc>
        <w:tc>
          <w:tcPr>
            <w:tcW w:w="2100" w:type="dxa"/>
            <w:vAlign w:val="bottom"/>
            <w:tcBorders>
              <w:bottom w:val="single" w:sz="8" w:color="E6E6FA"/>
            </w:tcBorders>
            <w:gridSpan w:val="6"/>
            <w:shd w:val="clear" w:color="auto" w:fill="E6E6FA"/>
          </w:tcPr>
          <w:p>
            <w:pPr>
              <w:spacing w:after="0"/>
              <w:rPr>
                <w:sz w:val="17"/>
                <w:szCs w:val="17"/>
                <w:color w:val="auto"/>
              </w:rPr>
            </w:pPr>
          </w:p>
        </w:tc>
        <w:tc>
          <w:tcPr>
            <w:tcW w:w="6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Borders>
              <w:bottom w:val="single" w:sz="8" w:color="FFDEAD"/>
            </w:tcBorders>
            <w:shd w:val="clear" w:color="auto" w:fill="FFDEAD"/>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FF0000"/>
            </w:tcBorders>
          </w:tcPr>
          <w:p>
            <w:pPr>
              <w:spacing w:after="0" w:line="156" w:lineRule="exact"/>
              <w:rPr>
                <w:sz w:val="20"/>
                <w:szCs w:val="20"/>
                <w:color w:val="auto"/>
              </w:rPr>
            </w:pPr>
            <w:r>
              <w:rPr>
                <w:rFonts w:ascii="Times New Roman" w:cs="Times New Roman" w:eastAsia="Times New Roman" w:hAnsi="Times New Roman"/>
                <w:sz w:val="18"/>
                <w:szCs w:val="18"/>
                <w:color w:val="FF0000"/>
                <w:strike w:val="1"/>
                <w:w w:val="85"/>
              </w:rPr>
              <w:t>/s/ Tim</w:t>
            </w:r>
          </w:p>
        </w:tc>
        <w:tc>
          <w:tcPr>
            <w:tcW w:w="20" w:type="dxa"/>
            <w:vAlign w:val="bottom"/>
            <w:tcBorders>
              <w:bottom w:val="single" w:sz="8" w:color="FF0000"/>
            </w:tcBorders>
          </w:tcPr>
          <w:p>
            <w:pPr>
              <w:spacing w:after="0"/>
              <w:rPr>
                <w:sz w:val="17"/>
                <w:szCs w:val="17"/>
                <w:color w:val="auto"/>
              </w:rPr>
            </w:pPr>
          </w:p>
        </w:tc>
        <w:tc>
          <w:tcPr>
            <w:tcW w:w="20" w:type="dxa"/>
            <w:vAlign w:val="bottom"/>
            <w:tcBorders>
              <w:bottom w:val="single" w:sz="8" w:color="FF0000"/>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Borders>
              <w:bottom w:val="single" w:sz="8" w:color="0000FF"/>
            </w:tcBorders>
            <w:gridSpan w:val="4"/>
            <w:shd w:val="clear" w:color="auto" w:fill="E6E6FA"/>
          </w:tcPr>
          <w:p>
            <w:pPr>
              <w:spacing w:after="0" w:line="156" w:lineRule="exact"/>
              <w:rPr>
                <w:sz w:val="20"/>
                <w:szCs w:val="20"/>
                <w:color w:val="auto"/>
              </w:rPr>
            </w:pPr>
            <w:r>
              <w:rPr>
                <w:rFonts w:ascii="Times New Roman" w:cs="Times New Roman" w:eastAsia="Times New Roman" w:hAnsi="Times New Roman"/>
                <w:sz w:val="18"/>
                <w:szCs w:val="18"/>
                <w:color w:val="0000FF"/>
                <w:w w:val="90"/>
              </w:rPr>
              <w:t>Authorized Person</w:t>
            </w:r>
          </w:p>
        </w:tc>
        <w:tc>
          <w:tcPr>
            <w:tcW w:w="100" w:type="dxa"/>
            <w:vAlign w:val="bottom"/>
            <w:tcBorders>
              <w:bottom w:val="single" w:sz="8" w:color="0000FF"/>
            </w:tcBorders>
            <w:shd w:val="clear" w:color="auto" w:fill="E6E6FA"/>
          </w:tcPr>
          <w:p>
            <w:pPr>
              <w:spacing w:after="0"/>
              <w:rPr>
                <w:sz w:val="17"/>
                <w:szCs w:val="17"/>
                <w:color w:val="auto"/>
              </w:rPr>
            </w:pPr>
          </w:p>
        </w:tc>
        <w:tc>
          <w:tcPr>
            <w:tcW w:w="820" w:type="dxa"/>
            <w:vAlign w:val="bottom"/>
            <w:tcBorders>
              <w:bottom w:val="single" w:sz="8" w:color="E6E6FA"/>
            </w:tcBorders>
            <w:shd w:val="clear" w:color="auto" w:fill="E6E6FA"/>
          </w:tcPr>
          <w:p>
            <w:pPr>
              <w:spacing w:after="0"/>
              <w:rPr>
                <w:sz w:val="17"/>
                <w:szCs w:val="17"/>
                <w:color w:val="auto"/>
              </w:rPr>
            </w:pPr>
          </w:p>
        </w:tc>
        <w:tc>
          <w:tcPr>
            <w:tcW w:w="100" w:type="dxa"/>
            <w:vAlign w:val="bottom"/>
            <w:tcBorders>
              <w:bottom w:val="single" w:sz="8" w:color="E6E6FA"/>
            </w:tcBorders>
            <w:shd w:val="clear" w:color="auto" w:fill="E6E6FA"/>
          </w:tcPr>
          <w:p>
            <w:pPr>
              <w:spacing w:after="0"/>
              <w:rPr>
                <w:sz w:val="17"/>
                <w:szCs w:val="17"/>
                <w:color w:val="auto"/>
              </w:rPr>
            </w:pPr>
          </w:p>
        </w:tc>
        <w:tc>
          <w:tcPr>
            <w:tcW w:w="380" w:type="dxa"/>
            <w:vAlign w:val="bottom"/>
            <w:tcBorders>
              <w:bottom w:val="single" w:sz="8" w:color="E6E6FA"/>
            </w:tcBorders>
            <w:shd w:val="clear" w:color="auto" w:fill="E6E6FA"/>
          </w:tcPr>
          <w:p>
            <w:pPr>
              <w:spacing w:after="0"/>
              <w:rPr>
                <w:sz w:val="17"/>
                <w:szCs w:val="17"/>
                <w:color w:val="auto"/>
              </w:rPr>
            </w:pPr>
          </w:p>
        </w:tc>
        <w:tc>
          <w:tcPr>
            <w:tcW w:w="360" w:type="dxa"/>
            <w:vAlign w:val="bottom"/>
            <w:tcBorders>
              <w:bottom w:val="single" w:sz="8" w:color="E6E6FA"/>
            </w:tcBorders>
            <w:shd w:val="clear" w:color="auto" w:fill="E6E6FA"/>
          </w:tcPr>
          <w:p>
            <w:pPr>
              <w:spacing w:after="0"/>
              <w:rPr>
                <w:sz w:val="17"/>
                <w:szCs w:val="17"/>
                <w:color w:val="auto"/>
              </w:rPr>
            </w:pPr>
          </w:p>
        </w:tc>
        <w:tc>
          <w:tcPr>
            <w:tcW w:w="340" w:type="dxa"/>
            <w:vAlign w:val="bottom"/>
            <w:tcBorders>
              <w:bottom w:val="single" w:sz="8" w:color="E6E6FA"/>
            </w:tcBorders>
            <w:shd w:val="clear" w:color="auto" w:fill="E6E6FA"/>
          </w:tcPr>
          <w:p>
            <w:pPr>
              <w:spacing w:after="0"/>
              <w:rPr>
                <w:sz w:val="17"/>
                <w:szCs w:val="17"/>
                <w:color w:val="auto"/>
              </w:rPr>
            </w:pPr>
          </w:p>
        </w:tc>
        <w:tc>
          <w:tcPr>
            <w:tcW w:w="6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0" w:type="dxa"/>
            <w:vAlign w:val="bottom"/>
            <w:shd w:val="clear" w:color="auto" w:fill="FFDEAD"/>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FF0000"/>
                <w:strike w:val="1"/>
                <w:w w:val="93"/>
              </w:rPr>
              <w:t>Gottfried</w:t>
            </w:r>
          </w:p>
        </w:tc>
        <w:tc>
          <w:tcPr>
            <w:tcW w:w="4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2"/>
              </w:rPr>
              <w:t>Title:</w:t>
            </w:r>
          </w:p>
        </w:tc>
        <w:tc>
          <w:tcPr>
            <w:tcW w:w="400" w:type="dxa"/>
            <w:vAlign w:val="bottom"/>
            <w:shd w:val="clear" w:color="auto" w:fill="E6E6FA"/>
          </w:tcPr>
          <w:p>
            <w:pPr>
              <w:spacing w:after="0"/>
              <w:rPr>
                <w:sz w:val="13"/>
                <w:szCs w:val="13"/>
                <w:color w:val="auto"/>
              </w:rPr>
            </w:pPr>
          </w:p>
        </w:tc>
        <w:tc>
          <w:tcPr>
            <w:tcW w:w="40" w:type="dxa"/>
            <w:vAlign w:val="bottom"/>
            <w:shd w:val="clear" w:color="auto" w:fill="E6E6FA"/>
          </w:tcPr>
          <w:p>
            <w:pPr>
              <w:spacing w:after="0"/>
              <w:rPr>
                <w:sz w:val="13"/>
                <w:szCs w:val="13"/>
                <w:color w:val="auto"/>
              </w:rPr>
            </w:pPr>
          </w:p>
        </w:tc>
        <w:tc>
          <w:tcPr>
            <w:tcW w:w="780" w:type="dxa"/>
            <w:vAlign w:val="bottom"/>
            <w:shd w:val="clear" w:color="auto" w:fill="E6E6FA"/>
          </w:tcPr>
          <w:p>
            <w:pPr>
              <w:spacing w:after="0"/>
              <w:rPr>
                <w:sz w:val="13"/>
                <w:szCs w:val="13"/>
                <w:color w:val="auto"/>
              </w:rPr>
            </w:pPr>
          </w:p>
        </w:tc>
        <w:tc>
          <w:tcPr>
            <w:tcW w:w="20" w:type="dxa"/>
            <w:vAlign w:val="bottom"/>
            <w:shd w:val="clear" w:color="auto" w:fill="E6E6FA"/>
          </w:tcPr>
          <w:p>
            <w:pPr>
              <w:spacing w:after="0"/>
              <w:rPr>
                <w:sz w:val="13"/>
                <w:szCs w:val="13"/>
                <w:color w:val="auto"/>
              </w:rPr>
            </w:pPr>
          </w:p>
        </w:tc>
        <w:tc>
          <w:tcPr>
            <w:tcW w:w="100" w:type="dxa"/>
            <w:vAlign w:val="bottom"/>
            <w:shd w:val="clear" w:color="auto" w:fill="E6E6FA"/>
          </w:tcPr>
          <w:p>
            <w:pPr>
              <w:spacing w:after="0"/>
              <w:rPr>
                <w:sz w:val="13"/>
                <w:szCs w:val="13"/>
                <w:color w:val="auto"/>
              </w:rPr>
            </w:pPr>
          </w:p>
        </w:tc>
        <w:tc>
          <w:tcPr>
            <w:tcW w:w="820" w:type="dxa"/>
            <w:vAlign w:val="bottom"/>
            <w:shd w:val="clear" w:color="auto" w:fill="E6E6FA"/>
          </w:tcPr>
          <w:p>
            <w:pPr>
              <w:spacing w:after="0"/>
              <w:rPr>
                <w:sz w:val="13"/>
                <w:szCs w:val="13"/>
                <w:color w:val="auto"/>
              </w:rPr>
            </w:pPr>
          </w:p>
        </w:tc>
        <w:tc>
          <w:tcPr>
            <w:tcW w:w="100" w:type="dxa"/>
            <w:vAlign w:val="bottom"/>
            <w:shd w:val="clear" w:color="auto" w:fill="E6E6FA"/>
          </w:tcPr>
          <w:p>
            <w:pPr>
              <w:spacing w:after="0"/>
              <w:rPr>
                <w:sz w:val="13"/>
                <w:szCs w:val="13"/>
                <w:color w:val="auto"/>
              </w:rPr>
            </w:pPr>
          </w:p>
        </w:tc>
        <w:tc>
          <w:tcPr>
            <w:tcW w:w="380" w:type="dxa"/>
            <w:vAlign w:val="bottom"/>
            <w:shd w:val="clear" w:color="auto" w:fill="E6E6FA"/>
          </w:tcPr>
          <w:p>
            <w:pPr>
              <w:spacing w:after="0"/>
              <w:rPr>
                <w:sz w:val="13"/>
                <w:szCs w:val="13"/>
                <w:color w:val="auto"/>
              </w:rPr>
            </w:pPr>
          </w:p>
        </w:tc>
        <w:tc>
          <w:tcPr>
            <w:tcW w:w="360" w:type="dxa"/>
            <w:vAlign w:val="bottom"/>
            <w:shd w:val="clear" w:color="auto" w:fill="E6E6FA"/>
          </w:tcPr>
          <w:p>
            <w:pPr>
              <w:spacing w:after="0"/>
              <w:rPr>
                <w:sz w:val="13"/>
                <w:szCs w:val="13"/>
                <w:color w:val="auto"/>
              </w:rPr>
            </w:pPr>
          </w:p>
        </w:tc>
        <w:tc>
          <w:tcPr>
            <w:tcW w:w="340" w:type="dxa"/>
            <w:vAlign w:val="bottom"/>
            <w:shd w:val="clear" w:color="auto" w:fill="E6E6FA"/>
          </w:tcPr>
          <w:p>
            <w:pPr>
              <w:spacing w:after="0"/>
              <w:rPr>
                <w:sz w:val="13"/>
                <w:szCs w:val="13"/>
                <w:color w:val="auto"/>
              </w:rPr>
            </w:pPr>
          </w:p>
        </w:tc>
        <w:tc>
          <w:tcPr>
            <w:tcW w:w="6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FFDEAD"/>
              <w:bottom w:val="single" w:sz="8" w:color="FFDEAD"/>
            </w:tcBorders>
            <w:shd w:val="clear" w:color="auto" w:fill="FFDEA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FF0000"/>
            </w:tcBorders>
          </w:tcPr>
          <w:p>
            <w:pPr>
              <w:spacing w:after="0" w:line="20" w:lineRule="exact"/>
              <w:rPr>
                <w:sz w:val="1"/>
                <w:szCs w:val="1"/>
                <w:color w:val="auto"/>
              </w:rPr>
            </w:pPr>
          </w:p>
        </w:tc>
        <w:tc>
          <w:tcPr>
            <w:tcW w:w="20" w:type="dxa"/>
            <w:vAlign w:val="bottom"/>
            <w:tcBorders>
              <w:top w:val="single" w:sz="8" w:color="FF0000"/>
            </w:tcBorders>
          </w:tcPr>
          <w:p>
            <w:pPr>
              <w:spacing w:after="0" w:line="20" w:lineRule="exact"/>
              <w:rPr>
                <w:sz w:val="1"/>
                <w:szCs w:val="1"/>
                <w:color w:val="auto"/>
              </w:rPr>
            </w:pPr>
          </w:p>
        </w:tc>
        <w:tc>
          <w:tcPr>
            <w:tcW w:w="20" w:type="dxa"/>
            <w:vAlign w:val="bottom"/>
            <w:tcBorders>
              <w:top w:val="single" w:sz="8" w:color="FF0000"/>
            </w:tcBorders>
          </w:tcPr>
          <w:p>
            <w:pPr>
              <w:spacing w:after="0" w:line="20" w:lineRule="exact"/>
              <w:rPr>
                <w:sz w:val="1"/>
                <w:szCs w:val="1"/>
                <w:color w:val="auto"/>
              </w:rPr>
            </w:pPr>
          </w:p>
        </w:tc>
        <w:tc>
          <w:tcPr>
            <w:tcW w:w="20" w:type="dxa"/>
            <w:vAlign w:val="bottom"/>
            <w:tcBorders>
              <w:top w:val="single" w:sz="8" w:color="FF0000"/>
            </w:tcBorders>
          </w:tcPr>
          <w:p>
            <w:pPr>
              <w:spacing w:after="0" w:line="20" w:lineRule="exact"/>
              <w:rPr>
                <w:sz w:val="1"/>
                <w:szCs w:val="1"/>
                <w:color w:val="auto"/>
              </w:rPr>
            </w:pPr>
          </w:p>
        </w:tc>
        <w:tc>
          <w:tcPr>
            <w:tcW w:w="20" w:type="dxa"/>
            <w:vAlign w:val="bottom"/>
            <w:tcBorders>
              <w:top w:val="single" w:sz="8" w:color="FF0000"/>
            </w:tcBorders>
          </w:tcPr>
          <w:p>
            <w:pPr>
              <w:spacing w:after="0" w:line="20" w:lineRule="exact"/>
              <w:rPr>
                <w:sz w:val="1"/>
                <w:szCs w:val="1"/>
                <w:color w:val="auto"/>
              </w:rPr>
            </w:pPr>
          </w:p>
        </w:tc>
        <w:tc>
          <w:tcPr>
            <w:tcW w:w="100" w:type="dxa"/>
            <w:vAlign w:val="bottom"/>
            <w:tcBorders>
              <w:top w:val="single" w:sz="8" w:color="FF0000"/>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E6E6FA"/>
              <w:bottom w:val="single" w:sz="8" w:color="E6E6FA"/>
            </w:tcBorders>
            <w:shd w:val="clear" w:color="auto" w:fill="E6E6FA"/>
          </w:tcPr>
          <w:p>
            <w:pPr>
              <w:spacing w:after="0" w:line="20" w:lineRule="exact"/>
              <w:rPr>
                <w:sz w:val="1"/>
                <w:szCs w:val="1"/>
                <w:color w:val="auto"/>
              </w:rPr>
            </w:pPr>
          </w:p>
        </w:tc>
        <w:tc>
          <w:tcPr>
            <w:tcW w:w="40" w:type="dxa"/>
            <w:vAlign w:val="bottom"/>
            <w:tcBorders>
              <w:top w:val="single" w:sz="8" w:color="E6E6FA"/>
              <w:bottom w:val="single" w:sz="8" w:color="E6E6FA"/>
            </w:tcBorders>
            <w:shd w:val="clear" w:color="auto" w:fill="E6E6FA"/>
          </w:tcPr>
          <w:p>
            <w:pPr>
              <w:spacing w:after="0" w:line="20" w:lineRule="exact"/>
              <w:rPr>
                <w:sz w:val="1"/>
                <w:szCs w:val="1"/>
                <w:color w:val="auto"/>
              </w:rPr>
            </w:pPr>
          </w:p>
        </w:tc>
        <w:tc>
          <w:tcPr>
            <w:tcW w:w="780" w:type="dxa"/>
            <w:vAlign w:val="bottom"/>
            <w:tcBorders>
              <w:top w:val="single" w:sz="8" w:color="E6E6FA"/>
              <w:bottom w:val="single" w:sz="8" w:color="E6E6FA"/>
            </w:tcBorders>
            <w:shd w:val="clear" w:color="auto" w:fill="E6E6FA"/>
          </w:tcPr>
          <w:p>
            <w:pPr>
              <w:spacing w:after="0" w:line="20" w:lineRule="exact"/>
              <w:rPr>
                <w:sz w:val="1"/>
                <w:szCs w:val="1"/>
                <w:color w:val="auto"/>
              </w:rPr>
            </w:pPr>
          </w:p>
        </w:tc>
        <w:tc>
          <w:tcPr>
            <w:tcW w:w="20" w:type="dxa"/>
            <w:vAlign w:val="bottom"/>
            <w:tcBorders>
              <w:top w:val="single" w:sz="8" w:color="E6E6FA"/>
              <w:bottom w:val="single" w:sz="8" w:color="E6E6FA"/>
            </w:tcBorders>
            <w:shd w:val="clear" w:color="auto" w:fill="E6E6FA"/>
          </w:tcPr>
          <w:p>
            <w:pPr>
              <w:spacing w:after="0" w:line="20" w:lineRule="exact"/>
              <w:rPr>
                <w:sz w:val="1"/>
                <w:szCs w:val="1"/>
                <w:color w:val="auto"/>
              </w:rPr>
            </w:pPr>
          </w:p>
        </w:tc>
        <w:tc>
          <w:tcPr>
            <w:tcW w:w="100" w:type="dxa"/>
            <w:vAlign w:val="bottom"/>
            <w:tcBorders>
              <w:top w:val="single" w:sz="8" w:color="E6E6FA"/>
              <w:bottom w:val="single" w:sz="8" w:color="E6E6FA"/>
            </w:tcBorders>
            <w:shd w:val="clear" w:color="auto" w:fill="E6E6FA"/>
          </w:tcPr>
          <w:p>
            <w:pPr>
              <w:spacing w:after="0" w:line="20" w:lineRule="exact"/>
              <w:rPr>
                <w:sz w:val="1"/>
                <w:szCs w:val="1"/>
                <w:color w:val="auto"/>
              </w:rPr>
            </w:pPr>
          </w:p>
        </w:tc>
        <w:tc>
          <w:tcPr>
            <w:tcW w:w="820" w:type="dxa"/>
            <w:vAlign w:val="bottom"/>
            <w:tcBorders>
              <w:top w:val="single" w:sz="8" w:color="E6E6FA"/>
              <w:bottom w:val="single" w:sz="8" w:color="E6E6FA"/>
            </w:tcBorders>
            <w:shd w:val="clear" w:color="auto" w:fill="E6E6FA"/>
          </w:tcPr>
          <w:p>
            <w:pPr>
              <w:spacing w:after="0" w:line="20" w:lineRule="exact"/>
              <w:rPr>
                <w:sz w:val="1"/>
                <w:szCs w:val="1"/>
                <w:color w:val="auto"/>
              </w:rPr>
            </w:pPr>
          </w:p>
        </w:tc>
        <w:tc>
          <w:tcPr>
            <w:tcW w:w="100" w:type="dxa"/>
            <w:vAlign w:val="bottom"/>
            <w:tcBorders>
              <w:top w:val="single" w:sz="8" w:color="E6E6FA"/>
              <w:bottom w:val="single" w:sz="8" w:color="E6E6FA"/>
            </w:tcBorders>
            <w:shd w:val="clear" w:color="auto" w:fill="E6E6FA"/>
          </w:tcPr>
          <w:p>
            <w:pPr>
              <w:spacing w:after="0" w:line="20" w:lineRule="exact"/>
              <w:rPr>
                <w:sz w:val="1"/>
                <w:szCs w:val="1"/>
                <w:color w:val="auto"/>
              </w:rPr>
            </w:pPr>
          </w:p>
        </w:tc>
        <w:tc>
          <w:tcPr>
            <w:tcW w:w="380" w:type="dxa"/>
            <w:vAlign w:val="bottom"/>
            <w:tcBorders>
              <w:top w:val="single" w:sz="8" w:color="E6E6FA"/>
              <w:bottom w:val="single" w:sz="8" w:color="E6E6FA"/>
            </w:tcBorders>
            <w:shd w:val="clear" w:color="auto" w:fill="E6E6FA"/>
          </w:tcPr>
          <w:p>
            <w:pPr>
              <w:spacing w:after="0" w:line="20" w:lineRule="exact"/>
              <w:rPr>
                <w:sz w:val="1"/>
                <w:szCs w:val="1"/>
                <w:color w:val="auto"/>
              </w:rPr>
            </w:pPr>
          </w:p>
        </w:tc>
        <w:tc>
          <w:tcPr>
            <w:tcW w:w="360" w:type="dxa"/>
            <w:vAlign w:val="bottom"/>
            <w:tcBorders>
              <w:top w:val="single" w:sz="8" w:color="E6E6FA"/>
              <w:bottom w:val="single" w:sz="8" w:color="E6E6FA"/>
            </w:tcBorders>
            <w:shd w:val="clear" w:color="auto" w:fill="E6E6FA"/>
          </w:tcPr>
          <w:p>
            <w:pPr>
              <w:spacing w:after="0" w:line="20" w:lineRule="exact"/>
              <w:rPr>
                <w:sz w:val="1"/>
                <w:szCs w:val="1"/>
                <w:color w:val="auto"/>
              </w:rPr>
            </w:pPr>
          </w:p>
        </w:tc>
        <w:tc>
          <w:tcPr>
            <w:tcW w:w="340" w:type="dxa"/>
            <w:vAlign w:val="bottom"/>
            <w:tcBorders>
              <w:top w:val="single" w:sz="8" w:color="E6E6FA"/>
              <w:bottom w:val="single" w:sz="8" w:color="E6E6FA"/>
            </w:tcBorders>
            <w:shd w:val="clear" w:color="auto" w:fill="E6E6FA"/>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480" w:type="dxa"/>
            <w:vAlign w:val="bottom"/>
            <w:tcBorders>
              <w:right w:val="single" w:sz="8" w:color="E6E6FA"/>
            </w:tcBorders>
            <w:gridSpan w:val="12"/>
            <w:shd w:val="clear" w:color="auto" w:fill="E6E6FA"/>
          </w:tcPr>
          <w:p>
            <w:pPr>
              <w:spacing w:after="0"/>
              <w:rPr>
                <w:sz w:val="20"/>
                <w:szCs w:val="20"/>
                <w:color w:val="auto"/>
              </w:rPr>
            </w:pPr>
            <w:r>
              <w:rPr>
                <w:rFonts w:ascii="Times New Roman" w:cs="Times New Roman" w:eastAsia="Times New Roman" w:hAnsi="Times New Roman"/>
                <w:sz w:val="18"/>
                <w:szCs w:val="18"/>
                <w:b w:val="1"/>
                <w:bCs w:val="1"/>
                <w:color w:val="0000FF"/>
              </w:rPr>
              <w:t>CA CO SPV, LLC</w:t>
            </w:r>
          </w:p>
        </w:tc>
        <w:tc>
          <w:tcPr>
            <w:tcW w:w="400" w:type="dxa"/>
            <w:vAlign w:val="bottom"/>
            <w:shd w:val="clear" w:color="auto" w:fill="E6E6FA"/>
          </w:tcPr>
          <w:p>
            <w:pPr>
              <w:spacing w:after="0"/>
              <w:rPr>
                <w:sz w:val="24"/>
                <w:szCs w:val="24"/>
                <w:color w:val="auto"/>
              </w:rPr>
            </w:pPr>
          </w:p>
        </w:tc>
        <w:tc>
          <w:tcPr>
            <w:tcW w:w="40" w:type="dxa"/>
            <w:vAlign w:val="bottom"/>
            <w:shd w:val="clear" w:color="auto" w:fill="E6E6FA"/>
          </w:tcPr>
          <w:p>
            <w:pPr>
              <w:spacing w:after="0"/>
              <w:rPr>
                <w:sz w:val="24"/>
                <w:szCs w:val="24"/>
                <w:color w:val="auto"/>
              </w:rPr>
            </w:pPr>
          </w:p>
        </w:tc>
        <w:tc>
          <w:tcPr>
            <w:tcW w:w="780" w:type="dxa"/>
            <w:vAlign w:val="bottom"/>
            <w:shd w:val="clear" w:color="auto" w:fill="E6E6FA"/>
          </w:tcPr>
          <w:p>
            <w:pPr>
              <w:spacing w:after="0"/>
              <w:rPr>
                <w:sz w:val="24"/>
                <w:szCs w:val="24"/>
                <w:color w:val="auto"/>
              </w:rPr>
            </w:pPr>
          </w:p>
        </w:tc>
        <w:tc>
          <w:tcPr>
            <w:tcW w:w="20" w:type="dxa"/>
            <w:vAlign w:val="bottom"/>
            <w:shd w:val="clear" w:color="auto" w:fill="E6E6FA"/>
          </w:tcPr>
          <w:p>
            <w:pPr>
              <w:spacing w:after="0"/>
              <w:rPr>
                <w:sz w:val="24"/>
                <w:szCs w:val="24"/>
                <w:color w:val="auto"/>
              </w:rPr>
            </w:pPr>
          </w:p>
        </w:tc>
        <w:tc>
          <w:tcPr>
            <w:tcW w:w="100" w:type="dxa"/>
            <w:vAlign w:val="bottom"/>
            <w:shd w:val="clear" w:color="auto" w:fill="E6E6FA"/>
          </w:tcPr>
          <w:p>
            <w:pPr>
              <w:spacing w:after="0"/>
              <w:rPr>
                <w:sz w:val="24"/>
                <w:szCs w:val="24"/>
                <w:color w:val="auto"/>
              </w:rPr>
            </w:pPr>
          </w:p>
        </w:tc>
        <w:tc>
          <w:tcPr>
            <w:tcW w:w="820" w:type="dxa"/>
            <w:vAlign w:val="bottom"/>
            <w:shd w:val="clear" w:color="auto" w:fill="E6E6FA"/>
          </w:tcPr>
          <w:p>
            <w:pPr>
              <w:spacing w:after="0"/>
              <w:rPr>
                <w:sz w:val="24"/>
                <w:szCs w:val="24"/>
                <w:color w:val="auto"/>
              </w:rPr>
            </w:pPr>
          </w:p>
        </w:tc>
        <w:tc>
          <w:tcPr>
            <w:tcW w:w="100" w:type="dxa"/>
            <w:vAlign w:val="bottom"/>
            <w:shd w:val="clear" w:color="auto" w:fill="E6E6FA"/>
          </w:tcPr>
          <w:p>
            <w:pPr>
              <w:spacing w:after="0"/>
              <w:rPr>
                <w:sz w:val="24"/>
                <w:szCs w:val="24"/>
                <w:color w:val="auto"/>
              </w:rPr>
            </w:pPr>
          </w:p>
        </w:tc>
        <w:tc>
          <w:tcPr>
            <w:tcW w:w="380" w:type="dxa"/>
            <w:vAlign w:val="bottom"/>
            <w:shd w:val="clear" w:color="auto" w:fill="E6E6FA"/>
          </w:tcPr>
          <w:p>
            <w:pPr>
              <w:spacing w:after="0"/>
              <w:rPr>
                <w:sz w:val="24"/>
                <w:szCs w:val="24"/>
                <w:color w:val="auto"/>
              </w:rPr>
            </w:pPr>
          </w:p>
        </w:tc>
        <w:tc>
          <w:tcPr>
            <w:tcW w:w="360" w:type="dxa"/>
            <w:vAlign w:val="bottom"/>
            <w:shd w:val="clear" w:color="auto" w:fill="E6E6FA"/>
          </w:tcPr>
          <w:p>
            <w:pPr>
              <w:spacing w:after="0"/>
              <w:rPr>
                <w:sz w:val="24"/>
                <w:szCs w:val="24"/>
                <w:color w:val="auto"/>
              </w:rPr>
            </w:pPr>
          </w:p>
        </w:tc>
        <w:tc>
          <w:tcPr>
            <w:tcW w:w="340" w:type="dxa"/>
            <w:vAlign w:val="bottom"/>
            <w:shd w:val="clear" w:color="auto" w:fill="E6E6FA"/>
          </w:tcPr>
          <w:p>
            <w:pPr>
              <w:spacing w:after="0"/>
              <w:rPr>
                <w:sz w:val="24"/>
                <w:szCs w:val="24"/>
                <w:color w:val="auto"/>
              </w:rPr>
            </w:pPr>
          </w:p>
        </w:tc>
        <w:tc>
          <w:tcPr>
            <w:tcW w:w="6420" w:type="dxa"/>
            <w:vAlign w:val="bottom"/>
            <w:shd w:val="clear" w:color="auto" w:fill="E6E6FA"/>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0000FF"/>
            </w:tcBorders>
            <w:shd w:val="clear" w:color="auto" w:fill="0000FF"/>
          </w:tcPr>
          <w:p>
            <w:pPr>
              <w:spacing w:after="0" w:line="20" w:lineRule="exact"/>
              <w:rPr>
                <w:sz w:val="1"/>
                <w:szCs w:val="1"/>
                <w:color w:val="auto"/>
              </w:rPr>
            </w:pPr>
          </w:p>
        </w:tc>
        <w:tc>
          <w:tcPr>
            <w:tcW w:w="16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6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320" w:type="dxa"/>
            <w:vAlign w:val="bottom"/>
            <w:tcBorders>
              <w:top w:val="single" w:sz="8" w:color="0000FF"/>
              <w:right w:val="single" w:sz="8" w:color="E6E6FA"/>
            </w:tcBorders>
            <w:shd w:val="clear" w:color="auto" w:fill="0000FF"/>
          </w:tcPr>
          <w:p>
            <w:pPr>
              <w:spacing w:after="0" w:line="20" w:lineRule="exact"/>
              <w:rPr>
                <w:sz w:val="1"/>
                <w:szCs w:val="1"/>
                <w:color w:val="auto"/>
              </w:rPr>
            </w:pPr>
          </w:p>
        </w:tc>
        <w:tc>
          <w:tcPr>
            <w:tcW w:w="400" w:type="dxa"/>
            <w:vAlign w:val="bottom"/>
            <w:tcBorders>
              <w:top w:val="single" w:sz="8" w:color="E6E6FA"/>
            </w:tcBorders>
            <w:shd w:val="clear" w:color="auto" w:fill="E6E6FA"/>
          </w:tcPr>
          <w:p>
            <w:pPr>
              <w:spacing w:after="0" w:line="20" w:lineRule="exact"/>
              <w:rPr>
                <w:sz w:val="1"/>
                <w:szCs w:val="1"/>
                <w:color w:val="auto"/>
              </w:rPr>
            </w:pPr>
          </w:p>
        </w:tc>
        <w:tc>
          <w:tcPr>
            <w:tcW w:w="40" w:type="dxa"/>
            <w:vAlign w:val="bottom"/>
            <w:tcBorders>
              <w:top w:val="single" w:sz="8" w:color="E6E6FA"/>
            </w:tcBorders>
            <w:shd w:val="clear" w:color="auto" w:fill="E6E6FA"/>
          </w:tcPr>
          <w:p>
            <w:pPr>
              <w:spacing w:after="0" w:line="20" w:lineRule="exact"/>
              <w:rPr>
                <w:sz w:val="1"/>
                <w:szCs w:val="1"/>
                <w:color w:val="auto"/>
              </w:rPr>
            </w:pPr>
          </w:p>
        </w:tc>
        <w:tc>
          <w:tcPr>
            <w:tcW w:w="780" w:type="dxa"/>
            <w:vAlign w:val="bottom"/>
            <w:tcBorders>
              <w:top w:val="single" w:sz="8" w:color="E6E6FA"/>
            </w:tcBorders>
            <w:shd w:val="clear" w:color="auto" w:fill="E6E6FA"/>
          </w:tcPr>
          <w:p>
            <w:pPr>
              <w:spacing w:after="0" w:line="20" w:lineRule="exact"/>
              <w:rPr>
                <w:sz w:val="1"/>
                <w:szCs w:val="1"/>
                <w:color w:val="auto"/>
              </w:rPr>
            </w:pPr>
          </w:p>
        </w:tc>
        <w:tc>
          <w:tcPr>
            <w:tcW w:w="20" w:type="dxa"/>
            <w:vAlign w:val="bottom"/>
            <w:tcBorders>
              <w:top w:val="single" w:sz="8" w:color="E6E6FA"/>
            </w:tcBorders>
            <w:shd w:val="clear" w:color="auto" w:fill="E6E6FA"/>
          </w:tcPr>
          <w:p>
            <w:pPr>
              <w:spacing w:after="0" w:line="20" w:lineRule="exact"/>
              <w:rPr>
                <w:sz w:val="1"/>
                <w:szCs w:val="1"/>
                <w:color w:val="auto"/>
              </w:rPr>
            </w:pPr>
          </w:p>
        </w:tc>
        <w:tc>
          <w:tcPr>
            <w:tcW w:w="100" w:type="dxa"/>
            <w:vAlign w:val="bottom"/>
            <w:tcBorders>
              <w:top w:val="single" w:sz="8" w:color="E6E6FA"/>
            </w:tcBorders>
            <w:shd w:val="clear" w:color="auto" w:fill="E6E6FA"/>
          </w:tcPr>
          <w:p>
            <w:pPr>
              <w:spacing w:after="0" w:line="20" w:lineRule="exact"/>
              <w:rPr>
                <w:sz w:val="1"/>
                <w:szCs w:val="1"/>
                <w:color w:val="auto"/>
              </w:rPr>
            </w:pPr>
          </w:p>
        </w:tc>
        <w:tc>
          <w:tcPr>
            <w:tcW w:w="820" w:type="dxa"/>
            <w:vAlign w:val="bottom"/>
            <w:tcBorders>
              <w:top w:val="single" w:sz="8" w:color="E6E6FA"/>
            </w:tcBorders>
            <w:shd w:val="clear" w:color="auto" w:fill="E6E6FA"/>
          </w:tcPr>
          <w:p>
            <w:pPr>
              <w:spacing w:after="0" w:line="20" w:lineRule="exact"/>
              <w:rPr>
                <w:sz w:val="1"/>
                <w:szCs w:val="1"/>
                <w:color w:val="auto"/>
              </w:rPr>
            </w:pPr>
          </w:p>
        </w:tc>
        <w:tc>
          <w:tcPr>
            <w:tcW w:w="100" w:type="dxa"/>
            <w:vAlign w:val="bottom"/>
            <w:tcBorders>
              <w:top w:val="single" w:sz="8" w:color="E6E6FA"/>
            </w:tcBorders>
            <w:shd w:val="clear" w:color="auto" w:fill="E6E6FA"/>
          </w:tcPr>
          <w:p>
            <w:pPr>
              <w:spacing w:after="0" w:line="20" w:lineRule="exact"/>
              <w:rPr>
                <w:sz w:val="1"/>
                <w:szCs w:val="1"/>
                <w:color w:val="auto"/>
              </w:rPr>
            </w:pPr>
          </w:p>
        </w:tc>
        <w:tc>
          <w:tcPr>
            <w:tcW w:w="380" w:type="dxa"/>
            <w:vAlign w:val="bottom"/>
            <w:tcBorders>
              <w:top w:val="single" w:sz="8" w:color="E6E6FA"/>
            </w:tcBorders>
            <w:shd w:val="clear" w:color="auto" w:fill="E6E6FA"/>
          </w:tcPr>
          <w:p>
            <w:pPr>
              <w:spacing w:after="0" w:line="20" w:lineRule="exact"/>
              <w:rPr>
                <w:sz w:val="1"/>
                <w:szCs w:val="1"/>
                <w:color w:val="auto"/>
              </w:rPr>
            </w:pPr>
          </w:p>
        </w:tc>
        <w:tc>
          <w:tcPr>
            <w:tcW w:w="360" w:type="dxa"/>
            <w:vAlign w:val="bottom"/>
            <w:tcBorders>
              <w:top w:val="single" w:sz="8" w:color="E6E6FA"/>
            </w:tcBorders>
            <w:shd w:val="clear" w:color="auto" w:fill="E6E6FA"/>
          </w:tcPr>
          <w:p>
            <w:pPr>
              <w:spacing w:after="0" w:line="20" w:lineRule="exact"/>
              <w:rPr>
                <w:sz w:val="1"/>
                <w:szCs w:val="1"/>
                <w:color w:val="auto"/>
              </w:rPr>
            </w:pPr>
          </w:p>
        </w:tc>
        <w:tc>
          <w:tcPr>
            <w:tcW w:w="340" w:type="dxa"/>
            <w:vAlign w:val="bottom"/>
            <w:tcBorders>
              <w:top w:val="single" w:sz="8" w:color="E6E6FA"/>
            </w:tcBorders>
            <w:shd w:val="clear" w:color="auto" w:fill="E6E6FA"/>
          </w:tcPr>
          <w:p>
            <w:pPr>
              <w:spacing w:after="0" w:line="20" w:lineRule="exact"/>
              <w:rPr>
                <w:sz w:val="1"/>
                <w:szCs w:val="1"/>
                <w:color w:val="auto"/>
              </w:rPr>
            </w:pPr>
          </w:p>
        </w:tc>
        <w:tc>
          <w:tcPr>
            <w:tcW w:w="6420" w:type="dxa"/>
            <w:vAlign w:val="bottom"/>
            <w:tcBorders>
              <w:top w:val="single" w:sz="8" w:color="E6E6FA"/>
            </w:tcBorders>
            <w:shd w:val="clear" w:color="auto" w:fill="E6E6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40" w:type="dxa"/>
            <w:vAlign w:val="bottom"/>
            <w:tcBorders>
              <w:right w:val="single" w:sz="8" w:color="E6E6FA"/>
            </w:tcBorders>
            <w:gridSpan w:val="4"/>
            <w:shd w:val="clear" w:color="auto" w:fill="E6E6FA"/>
          </w:tcPr>
          <w:p>
            <w:pPr>
              <w:spacing w:after="0"/>
              <w:rPr>
                <w:sz w:val="20"/>
                <w:szCs w:val="20"/>
                <w:color w:val="auto"/>
              </w:rPr>
            </w:pPr>
            <w:r>
              <w:rPr>
                <w:rFonts w:ascii="Times New Roman" w:cs="Times New Roman" w:eastAsia="Times New Roman" w:hAnsi="Times New Roman"/>
                <w:sz w:val="18"/>
                <w:szCs w:val="18"/>
                <w:color w:val="0000FF"/>
              </w:rPr>
              <w:t>By:</w:t>
            </w:r>
          </w:p>
        </w:tc>
        <w:tc>
          <w:tcPr>
            <w:tcW w:w="4380" w:type="dxa"/>
            <w:vAlign w:val="bottom"/>
            <w:gridSpan w:val="18"/>
            <w:shd w:val="clear" w:color="auto" w:fill="E6E6FA"/>
          </w:tcPr>
          <w:p>
            <w:pPr>
              <w:spacing w:after="0"/>
              <w:rPr>
                <w:sz w:val="20"/>
                <w:szCs w:val="20"/>
                <w:color w:val="auto"/>
              </w:rPr>
            </w:pPr>
            <w:r>
              <w:rPr>
                <w:rFonts w:ascii="Times New Roman" w:cs="Times New Roman" w:eastAsia="Times New Roman" w:hAnsi="Times New Roman"/>
                <w:sz w:val="18"/>
                <w:szCs w:val="18"/>
                <w:color w:val="0000FF"/>
              </w:rPr>
              <w:t>/s/ Anthony Cappell</w:t>
            </w:r>
          </w:p>
        </w:tc>
        <w:tc>
          <w:tcPr>
            <w:tcW w:w="6420" w:type="dxa"/>
            <w:vAlign w:val="bottom"/>
            <w:shd w:val="clear" w:color="auto" w:fill="E6E6FA"/>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 w:type="dxa"/>
            <w:vAlign w:val="bottom"/>
            <w:tcBorders>
              <w:top w:val="single" w:sz="8" w:color="0000FF"/>
            </w:tcBorders>
            <w:shd w:val="clear" w:color="auto" w:fill="FFDEAD"/>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E6E6FA"/>
            </w:tcBorders>
          </w:tcPr>
          <w:p>
            <w:pPr>
              <w:spacing w:after="0"/>
              <w:rPr>
                <w:sz w:val="15"/>
                <w:szCs w:val="15"/>
                <w:color w:val="auto"/>
              </w:rPr>
            </w:pPr>
          </w:p>
        </w:tc>
        <w:tc>
          <w:tcPr>
            <w:tcW w:w="80" w:type="dxa"/>
            <w:vAlign w:val="bottom"/>
            <w:tcBorders>
              <w:top w:val="single" w:sz="8" w:color="E6E6FA"/>
            </w:tcBorders>
          </w:tcPr>
          <w:p>
            <w:pPr>
              <w:spacing w:after="0"/>
              <w:rPr>
                <w:sz w:val="15"/>
                <w:szCs w:val="15"/>
                <w:color w:val="auto"/>
              </w:rPr>
            </w:pPr>
          </w:p>
        </w:tc>
        <w:tc>
          <w:tcPr>
            <w:tcW w:w="520" w:type="dxa"/>
            <w:vAlign w:val="bottom"/>
            <w:tcBorders>
              <w:top w:val="single" w:sz="8" w:color="auto"/>
            </w:tcBorders>
            <w:gridSpan w:val="4"/>
          </w:tcPr>
          <w:p>
            <w:pPr>
              <w:spacing w:after="0" w:line="143" w:lineRule="exact"/>
              <w:rPr>
                <w:sz w:val="20"/>
                <w:szCs w:val="20"/>
                <w:color w:val="auto"/>
              </w:rPr>
            </w:pPr>
            <w:r>
              <w:rPr>
                <w:rFonts w:ascii="Times New Roman" w:cs="Times New Roman" w:eastAsia="Times New Roman" w:hAnsi="Times New Roman"/>
                <w:sz w:val="16"/>
                <w:szCs w:val="16"/>
                <w:color w:val="auto"/>
              </w:rPr>
              <w:t>Name:</w:t>
            </w:r>
          </w:p>
        </w:tc>
        <w:tc>
          <w:tcPr>
            <w:tcW w:w="520" w:type="dxa"/>
            <w:vAlign w:val="bottom"/>
            <w:tcBorders>
              <w:top w:val="single" w:sz="8" w:color="auto"/>
            </w:tcBorders>
            <w:gridSpan w:val="4"/>
          </w:tcPr>
          <w:p>
            <w:pPr>
              <w:spacing w:after="0" w:line="143" w:lineRule="exact"/>
              <w:rPr>
                <w:sz w:val="20"/>
                <w:szCs w:val="20"/>
                <w:color w:val="auto"/>
              </w:rPr>
            </w:pPr>
            <w:r>
              <w:rPr>
                <w:rFonts w:ascii="Times New Roman" w:cs="Times New Roman" w:eastAsia="Times New Roman" w:hAnsi="Times New Roman"/>
                <w:sz w:val="16"/>
                <w:szCs w:val="16"/>
                <w:color w:val="FF0000"/>
                <w:strike w:val="1"/>
              </w:rPr>
              <w:t>Tim</w:t>
            </w:r>
          </w:p>
        </w:tc>
        <w:tc>
          <w:tcPr>
            <w:tcW w:w="3340" w:type="dxa"/>
            <w:vAlign w:val="bottom"/>
            <w:tcBorders>
              <w:top w:val="single" w:sz="8" w:color="auto"/>
            </w:tcBorders>
            <w:gridSpan w:val="10"/>
            <w:shd w:val="clear" w:color="auto" w:fill="E6E6FA"/>
          </w:tcPr>
          <w:p>
            <w:pPr>
              <w:spacing w:after="0" w:line="143" w:lineRule="exact"/>
              <w:rPr>
                <w:sz w:val="20"/>
                <w:szCs w:val="20"/>
                <w:color w:val="auto"/>
              </w:rPr>
            </w:pPr>
            <w:r>
              <w:rPr>
                <w:rFonts w:ascii="Times New Roman" w:cs="Times New Roman" w:eastAsia="Times New Roman" w:hAnsi="Times New Roman"/>
                <w:sz w:val="16"/>
                <w:szCs w:val="16"/>
                <w:color w:val="0000FF"/>
              </w:rPr>
              <w:t>Anthony Cappell</w:t>
            </w:r>
          </w:p>
        </w:tc>
        <w:tc>
          <w:tcPr>
            <w:tcW w:w="6420" w:type="dxa"/>
            <w:vAlign w:val="bottom"/>
            <w:tcBorders>
              <w:top w:val="single" w:sz="8" w:color="E6E6FA"/>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0" w:type="dxa"/>
            <w:vAlign w:val="bottom"/>
            <w:tcBorders>
              <w:top w:val="single" w:sz="8" w:color="FFDEAD"/>
            </w:tcBorders>
            <w:shd w:val="clear" w:color="auto" w:fill="FFDEAD"/>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6"/>
          </w:tcPr>
          <w:p>
            <w:pPr>
              <w:spacing w:after="0" w:line="178" w:lineRule="exact"/>
              <w:rPr>
                <w:sz w:val="20"/>
                <w:szCs w:val="20"/>
                <w:color w:val="auto"/>
              </w:rPr>
            </w:pPr>
            <w:r>
              <w:rPr>
                <w:rFonts w:ascii="Times New Roman" w:cs="Times New Roman" w:eastAsia="Times New Roman" w:hAnsi="Times New Roman"/>
                <w:sz w:val="18"/>
                <w:szCs w:val="18"/>
                <w:color w:val="FF0000"/>
                <w:strike w:val="1"/>
                <w:w w:val="93"/>
              </w:rPr>
              <w:t>Gottfried</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Borders>
              <w:top w:val="single" w:sz="8" w:color="0000FF"/>
            </w:tcBorders>
            <w:shd w:val="clear" w:color="auto" w:fill="E6E6FA"/>
          </w:tcPr>
          <w:p>
            <w:pPr>
              <w:spacing w:after="0"/>
              <w:rPr>
                <w:sz w:val="15"/>
                <w:szCs w:val="15"/>
                <w:color w:val="auto"/>
              </w:rPr>
            </w:pPr>
          </w:p>
        </w:tc>
        <w:tc>
          <w:tcPr>
            <w:tcW w:w="40" w:type="dxa"/>
            <w:vAlign w:val="bottom"/>
            <w:tcBorders>
              <w:top w:val="single" w:sz="8" w:color="0000FF"/>
            </w:tcBorders>
            <w:shd w:val="clear" w:color="auto" w:fill="E6E6FA"/>
          </w:tcPr>
          <w:p>
            <w:pPr>
              <w:spacing w:after="0"/>
              <w:rPr>
                <w:sz w:val="15"/>
                <w:szCs w:val="15"/>
                <w:color w:val="auto"/>
              </w:rPr>
            </w:pPr>
          </w:p>
        </w:tc>
        <w:tc>
          <w:tcPr>
            <w:tcW w:w="780" w:type="dxa"/>
            <w:vAlign w:val="bottom"/>
            <w:tcBorders>
              <w:top w:val="single" w:sz="8" w:color="0000FF"/>
            </w:tcBorders>
            <w:shd w:val="clear" w:color="auto" w:fill="E6E6FA"/>
          </w:tcPr>
          <w:p>
            <w:pPr>
              <w:spacing w:after="0"/>
              <w:rPr>
                <w:sz w:val="15"/>
                <w:szCs w:val="15"/>
                <w:color w:val="auto"/>
              </w:rPr>
            </w:pPr>
          </w:p>
        </w:tc>
        <w:tc>
          <w:tcPr>
            <w:tcW w:w="20" w:type="dxa"/>
            <w:vAlign w:val="bottom"/>
            <w:tcBorders>
              <w:top w:val="single" w:sz="8" w:color="0000FF"/>
            </w:tcBorders>
            <w:shd w:val="clear" w:color="auto" w:fill="E6E6FA"/>
          </w:tcPr>
          <w:p>
            <w:pPr>
              <w:spacing w:after="0"/>
              <w:rPr>
                <w:sz w:val="15"/>
                <w:szCs w:val="15"/>
                <w:color w:val="auto"/>
              </w:rPr>
            </w:pPr>
          </w:p>
        </w:tc>
        <w:tc>
          <w:tcPr>
            <w:tcW w:w="100" w:type="dxa"/>
            <w:vAlign w:val="bottom"/>
            <w:tcBorders>
              <w:top w:val="single" w:sz="8" w:color="E6E6FA"/>
            </w:tcBorders>
            <w:shd w:val="clear" w:color="auto" w:fill="E6E6FA"/>
          </w:tcPr>
          <w:p>
            <w:pPr>
              <w:spacing w:after="0"/>
              <w:rPr>
                <w:sz w:val="15"/>
                <w:szCs w:val="15"/>
                <w:color w:val="auto"/>
              </w:rPr>
            </w:pPr>
          </w:p>
        </w:tc>
        <w:tc>
          <w:tcPr>
            <w:tcW w:w="820" w:type="dxa"/>
            <w:vAlign w:val="bottom"/>
            <w:tcBorders>
              <w:top w:val="single" w:sz="8" w:color="E6E6FA"/>
            </w:tcBorders>
            <w:shd w:val="clear" w:color="auto" w:fill="E6E6FA"/>
          </w:tcPr>
          <w:p>
            <w:pPr>
              <w:spacing w:after="0"/>
              <w:rPr>
                <w:sz w:val="15"/>
                <w:szCs w:val="15"/>
                <w:color w:val="auto"/>
              </w:rPr>
            </w:pPr>
          </w:p>
        </w:tc>
        <w:tc>
          <w:tcPr>
            <w:tcW w:w="100" w:type="dxa"/>
            <w:vAlign w:val="bottom"/>
            <w:tcBorders>
              <w:top w:val="single" w:sz="8" w:color="E6E6FA"/>
            </w:tcBorders>
            <w:shd w:val="clear" w:color="auto" w:fill="E6E6FA"/>
          </w:tcPr>
          <w:p>
            <w:pPr>
              <w:spacing w:after="0"/>
              <w:rPr>
                <w:sz w:val="15"/>
                <w:szCs w:val="15"/>
                <w:color w:val="auto"/>
              </w:rPr>
            </w:pPr>
          </w:p>
        </w:tc>
        <w:tc>
          <w:tcPr>
            <w:tcW w:w="380" w:type="dxa"/>
            <w:vAlign w:val="bottom"/>
            <w:tcBorders>
              <w:top w:val="single" w:sz="8" w:color="E6E6FA"/>
            </w:tcBorders>
            <w:shd w:val="clear" w:color="auto" w:fill="E6E6FA"/>
          </w:tcPr>
          <w:p>
            <w:pPr>
              <w:spacing w:after="0"/>
              <w:rPr>
                <w:sz w:val="15"/>
                <w:szCs w:val="15"/>
                <w:color w:val="auto"/>
              </w:rPr>
            </w:pPr>
          </w:p>
        </w:tc>
        <w:tc>
          <w:tcPr>
            <w:tcW w:w="360" w:type="dxa"/>
            <w:vAlign w:val="bottom"/>
            <w:tcBorders>
              <w:top w:val="single" w:sz="8" w:color="E6E6FA"/>
            </w:tcBorders>
            <w:shd w:val="clear" w:color="auto" w:fill="E6E6FA"/>
          </w:tcPr>
          <w:p>
            <w:pPr>
              <w:spacing w:after="0"/>
              <w:rPr>
                <w:sz w:val="15"/>
                <w:szCs w:val="15"/>
                <w:color w:val="auto"/>
              </w:rPr>
            </w:pPr>
          </w:p>
        </w:tc>
        <w:tc>
          <w:tcPr>
            <w:tcW w:w="340" w:type="dxa"/>
            <w:vAlign w:val="bottom"/>
            <w:tcBorders>
              <w:top w:val="single" w:sz="8" w:color="E6E6FA"/>
            </w:tcBorders>
            <w:shd w:val="clear" w:color="auto" w:fill="E6E6FA"/>
          </w:tcPr>
          <w:p>
            <w:pPr>
              <w:spacing w:after="0"/>
              <w:rPr>
                <w:sz w:val="15"/>
                <w:szCs w:val="15"/>
                <w:color w:val="auto"/>
              </w:rPr>
            </w:pPr>
          </w:p>
        </w:tc>
        <w:tc>
          <w:tcPr>
            <w:tcW w:w="6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FFDEAD"/>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Title:</w:t>
            </w:r>
          </w:p>
        </w:tc>
        <w:tc>
          <w:tcPr>
            <w:tcW w:w="3340" w:type="dxa"/>
            <w:vAlign w:val="bottom"/>
            <w:gridSpan w:val="10"/>
            <w:shd w:val="clear" w:color="auto" w:fill="E6E6FA"/>
          </w:tcPr>
          <w:p>
            <w:pPr>
              <w:spacing w:after="0" w:line="194" w:lineRule="exact"/>
              <w:rPr>
                <w:sz w:val="20"/>
                <w:szCs w:val="20"/>
                <w:color w:val="auto"/>
              </w:rPr>
            </w:pPr>
            <w:r>
              <w:rPr>
                <w:rFonts w:ascii="Times New Roman" w:cs="Times New Roman" w:eastAsia="Times New Roman" w:hAnsi="Times New Roman"/>
                <w:sz w:val="18"/>
                <w:szCs w:val="18"/>
                <w:color w:val="0000FF"/>
              </w:rPr>
              <w:t>Authorized Person</w:t>
            </w:r>
          </w:p>
        </w:tc>
        <w:tc>
          <w:tcPr>
            <w:tcW w:w="6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0" w:type="dxa"/>
            <w:vAlign w:val="bottom"/>
            <w:tcBorders>
              <w:top w:val="single" w:sz="8" w:color="FFDEAD"/>
            </w:tcBorders>
            <w:shd w:val="clear" w:color="auto" w:fill="FFDEAD"/>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7"/>
          </w:tcPr>
          <w:p>
            <w:pPr>
              <w:spacing w:after="0" w:line="178" w:lineRule="exact"/>
              <w:rPr>
                <w:sz w:val="20"/>
                <w:szCs w:val="20"/>
                <w:color w:val="auto"/>
              </w:rPr>
            </w:pPr>
            <w:r>
              <w:rPr>
                <w:rFonts w:ascii="Times New Roman" w:cs="Times New Roman" w:eastAsia="Times New Roman" w:hAnsi="Times New Roman"/>
                <w:sz w:val="18"/>
                <w:szCs w:val="18"/>
                <w:color w:val="FF0000"/>
                <w:strike w:val="1"/>
                <w:w w:val="95"/>
              </w:rPr>
              <w:t>Managing</w:t>
            </w:r>
          </w:p>
        </w:tc>
        <w:tc>
          <w:tcPr>
            <w:tcW w:w="320" w:type="dxa"/>
            <w:vAlign w:val="bottom"/>
          </w:tcPr>
          <w:p>
            <w:pPr>
              <w:spacing w:after="0"/>
              <w:rPr>
                <w:sz w:val="15"/>
                <w:szCs w:val="15"/>
                <w:color w:val="auto"/>
              </w:rPr>
            </w:pPr>
          </w:p>
        </w:tc>
        <w:tc>
          <w:tcPr>
            <w:tcW w:w="400" w:type="dxa"/>
            <w:vAlign w:val="bottom"/>
            <w:tcBorders>
              <w:top w:val="single" w:sz="8" w:color="0000FF"/>
            </w:tcBorders>
            <w:shd w:val="clear" w:color="auto" w:fill="E6E6FA"/>
          </w:tcPr>
          <w:p>
            <w:pPr>
              <w:spacing w:after="0"/>
              <w:rPr>
                <w:sz w:val="15"/>
                <w:szCs w:val="15"/>
                <w:color w:val="auto"/>
              </w:rPr>
            </w:pPr>
          </w:p>
        </w:tc>
        <w:tc>
          <w:tcPr>
            <w:tcW w:w="40" w:type="dxa"/>
            <w:vAlign w:val="bottom"/>
            <w:tcBorders>
              <w:top w:val="single" w:sz="8" w:color="0000FF"/>
            </w:tcBorders>
            <w:shd w:val="clear" w:color="auto" w:fill="E6E6FA"/>
          </w:tcPr>
          <w:p>
            <w:pPr>
              <w:spacing w:after="0"/>
              <w:rPr>
                <w:sz w:val="15"/>
                <w:szCs w:val="15"/>
                <w:color w:val="auto"/>
              </w:rPr>
            </w:pPr>
          </w:p>
        </w:tc>
        <w:tc>
          <w:tcPr>
            <w:tcW w:w="780" w:type="dxa"/>
            <w:vAlign w:val="bottom"/>
            <w:tcBorders>
              <w:top w:val="single" w:sz="8" w:color="0000FF"/>
            </w:tcBorders>
            <w:shd w:val="clear" w:color="auto" w:fill="E6E6FA"/>
          </w:tcPr>
          <w:p>
            <w:pPr>
              <w:spacing w:after="0"/>
              <w:rPr>
                <w:sz w:val="15"/>
                <w:szCs w:val="15"/>
                <w:color w:val="auto"/>
              </w:rPr>
            </w:pPr>
          </w:p>
        </w:tc>
        <w:tc>
          <w:tcPr>
            <w:tcW w:w="20" w:type="dxa"/>
            <w:vAlign w:val="bottom"/>
            <w:tcBorders>
              <w:top w:val="single" w:sz="8" w:color="0000FF"/>
            </w:tcBorders>
            <w:shd w:val="clear" w:color="auto" w:fill="E6E6FA"/>
          </w:tcPr>
          <w:p>
            <w:pPr>
              <w:spacing w:after="0"/>
              <w:rPr>
                <w:sz w:val="15"/>
                <w:szCs w:val="15"/>
                <w:color w:val="auto"/>
              </w:rPr>
            </w:pPr>
          </w:p>
        </w:tc>
        <w:tc>
          <w:tcPr>
            <w:tcW w:w="100" w:type="dxa"/>
            <w:vAlign w:val="bottom"/>
            <w:tcBorders>
              <w:top w:val="single" w:sz="8" w:color="0000FF"/>
            </w:tcBorders>
            <w:shd w:val="clear" w:color="auto" w:fill="E6E6FA"/>
          </w:tcPr>
          <w:p>
            <w:pPr>
              <w:spacing w:after="0"/>
              <w:rPr>
                <w:sz w:val="15"/>
                <w:szCs w:val="15"/>
                <w:color w:val="auto"/>
              </w:rPr>
            </w:pPr>
          </w:p>
        </w:tc>
        <w:tc>
          <w:tcPr>
            <w:tcW w:w="820" w:type="dxa"/>
            <w:vAlign w:val="bottom"/>
            <w:tcBorders>
              <w:top w:val="single" w:sz="8" w:color="E6E6FA"/>
            </w:tcBorders>
            <w:shd w:val="clear" w:color="auto" w:fill="E6E6FA"/>
          </w:tcPr>
          <w:p>
            <w:pPr>
              <w:spacing w:after="0"/>
              <w:rPr>
                <w:sz w:val="15"/>
                <w:szCs w:val="15"/>
                <w:color w:val="auto"/>
              </w:rPr>
            </w:pPr>
          </w:p>
        </w:tc>
        <w:tc>
          <w:tcPr>
            <w:tcW w:w="100" w:type="dxa"/>
            <w:vAlign w:val="bottom"/>
            <w:tcBorders>
              <w:top w:val="single" w:sz="8" w:color="E6E6FA"/>
            </w:tcBorders>
            <w:shd w:val="clear" w:color="auto" w:fill="E6E6FA"/>
          </w:tcPr>
          <w:p>
            <w:pPr>
              <w:spacing w:after="0"/>
              <w:rPr>
                <w:sz w:val="15"/>
                <w:szCs w:val="15"/>
                <w:color w:val="auto"/>
              </w:rPr>
            </w:pPr>
          </w:p>
        </w:tc>
        <w:tc>
          <w:tcPr>
            <w:tcW w:w="380" w:type="dxa"/>
            <w:vAlign w:val="bottom"/>
            <w:tcBorders>
              <w:top w:val="single" w:sz="8" w:color="E6E6FA"/>
            </w:tcBorders>
            <w:shd w:val="clear" w:color="auto" w:fill="E6E6FA"/>
          </w:tcPr>
          <w:p>
            <w:pPr>
              <w:spacing w:after="0"/>
              <w:rPr>
                <w:sz w:val="15"/>
                <w:szCs w:val="15"/>
                <w:color w:val="auto"/>
              </w:rPr>
            </w:pPr>
          </w:p>
        </w:tc>
        <w:tc>
          <w:tcPr>
            <w:tcW w:w="360" w:type="dxa"/>
            <w:vAlign w:val="bottom"/>
            <w:tcBorders>
              <w:top w:val="single" w:sz="8" w:color="E6E6FA"/>
            </w:tcBorders>
            <w:shd w:val="clear" w:color="auto" w:fill="E6E6FA"/>
          </w:tcPr>
          <w:p>
            <w:pPr>
              <w:spacing w:after="0"/>
              <w:rPr>
                <w:sz w:val="15"/>
                <w:szCs w:val="15"/>
                <w:color w:val="auto"/>
              </w:rPr>
            </w:pPr>
          </w:p>
        </w:tc>
        <w:tc>
          <w:tcPr>
            <w:tcW w:w="340" w:type="dxa"/>
            <w:vAlign w:val="bottom"/>
            <w:tcBorders>
              <w:top w:val="single" w:sz="8" w:color="E6E6FA"/>
            </w:tcBorders>
            <w:shd w:val="clear" w:color="auto" w:fill="E6E6FA"/>
          </w:tcPr>
          <w:p>
            <w:pPr>
              <w:spacing w:after="0"/>
              <w:rPr>
                <w:sz w:val="15"/>
                <w:szCs w:val="15"/>
                <w:color w:val="auto"/>
              </w:rPr>
            </w:pPr>
          </w:p>
        </w:tc>
        <w:tc>
          <w:tcPr>
            <w:tcW w:w="6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FFDEAD"/>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6"/>
          </w:tcPr>
          <w:p>
            <w:pPr>
              <w:spacing w:after="0"/>
              <w:rPr>
                <w:sz w:val="20"/>
                <w:szCs w:val="20"/>
                <w:color w:val="auto"/>
              </w:rPr>
            </w:pPr>
            <w:r>
              <w:rPr>
                <w:rFonts w:ascii="Times New Roman" w:cs="Times New Roman" w:eastAsia="Times New Roman" w:hAnsi="Times New Roman"/>
                <w:sz w:val="18"/>
                <w:szCs w:val="18"/>
                <w:color w:val="FF0000"/>
                <w:strike w:val="1"/>
              </w:rPr>
              <w:t>Member</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shd w:val="clear" w:color="auto" w:fill="E6E6FA"/>
          </w:tcPr>
          <w:p>
            <w:pPr>
              <w:spacing w:after="0"/>
              <w:rPr>
                <w:sz w:val="20"/>
                <w:szCs w:val="20"/>
                <w:color w:val="auto"/>
              </w:rPr>
            </w:pPr>
          </w:p>
        </w:tc>
        <w:tc>
          <w:tcPr>
            <w:tcW w:w="40" w:type="dxa"/>
            <w:vAlign w:val="bottom"/>
            <w:shd w:val="clear" w:color="auto" w:fill="E6E6FA"/>
          </w:tcPr>
          <w:p>
            <w:pPr>
              <w:spacing w:after="0"/>
              <w:rPr>
                <w:sz w:val="20"/>
                <w:szCs w:val="20"/>
                <w:color w:val="auto"/>
              </w:rPr>
            </w:pPr>
          </w:p>
        </w:tc>
        <w:tc>
          <w:tcPr>
            <w:tcW w:w="780" w:type="dxa"/>
            <w:vAlign w:val="bottom"/>
            <w:shd w:val="clear" w:color="auto" w:fill="E6E6FA"/>
          </w:tcPr>
          <w:p>
            <w:pPr>
              <w:spacing w:after="0"/>
              <w:rPr>
                <w:sz w:val="20"/>
                <w:szCs w:val="20"/>
                <w:color w:val="auto"/>
              </w:rPr>
            </w:pPr>
          </w:p>
        </w:tc>
        <w:tc>
          <w:tcPr>
            <w:tcW w:w="20" w:type="dxa"/>
            <w:vAlign w:val="bottom"/>
            <w:shd w:val="clear" w:color="auto" w:fill="E6E6FA"/>
          </w:tcPr>
          <w:p>
            <w:pPr>
              <w:spacing w:after="0"/>
              <w:rPr>
                <w:sz w:val="20"/>
                <w:szCs w:val="20"/>
                <w:color w:val="auto"/>
              </w:rPr>
            </w:pPr>
          </w:p>
        </w:tc>
        <w:tc>
          <w:tcPr>
            <w:tcW w:w="100" w:type="dxa"/>
            <w:vAlign w:val="bottom"/>
            <w:shd w:val="clear" w:color="auto" w:fill="E6E6FA"/>
          </w:tcPr>
          <w:p>
            <w:pPr>
              <w:spacing w:after="0"/>
              <w:rPr>
                <w:sz w:val="20"/>
                <w:szCs w:val="20"/>
                <w:color w:val="auto"/>
              </w:rPr>
            </w:pPr>
          </w:p>
        </w:tc>
        <w:tc>
          <w:tcPr>
            <w:tcW w:w="820" w:type="dxa"/>
            <w:vAlign w:val="bottom"/>
            <w:shd w:val="clear" w:color="auto" w:fill="E6E6FA"/>
          </w:tcPr>
          <w:p>
            <w:pPr>
              <w:spacing w:after="0"/>
              <w:rPr>
                <w:sz w:val="20"/>
                <w:szCs w:val="20"/>
                <w:color w:val="auto"/>
              </w:rPr>
            </w:pPr>
          </w:p>
        </w:tc>
        <w:tc>
          <w:tcPr>
            <w:tcW w:w="100" w:type="dxa"/>
            <w:vAlign w:val="bottom"/>
            <w:shd w:val="clear" w:color="auto" w:fill="E6E6FA"/>
          </w:tcPr>
          <w:p>
            <w:pPr>
              <w:spacing w:after="0"/>
              <w:rPr>
                <w:sz w:val="20"/>
                <w:szCs w:val="20"/>
                <w:color w:val="auto"/>
              </w:rPr>
            </w:pPr>
          </w:p>
        </w:tc>
        <w:tc>
          <w:tcPr>
            <w:tcW w:w="380" w:type="dxa"/>
            <w:vAlign w:val="bottom"/>
            <w:shd w:val="clear" w:color="auto" w:fill="E6E6FA"/>
          </w:tcPr>
          <w:p>
            <w:pPr>
              <w:spacing w:after="0"/>
              <w:rPr>
                <w:sz w:val="20"/>
                <w:szCs w:val="20"/>
                <w:color w:val="auto"/>
              </w:rPr>
            </w:pPr>
          </w:p>
        </w:tc>
        <w:tc>
          <w:tcPr>
            <w:tcW w:w="360" w:type="dxa"/>
            <w:vAlign w:val="bottom"/>
            <w:shd w:val="clear" w:color="auto" w:fill="E6E6FA"/>
          </w:tcPr>
          <w:p>
            <w:pPr>
              <w:spacing w:after="0"/>
              <w:rPr>
                <w:sz w:val="20"/>
                <w:szCs w:val="20"/>
                <w:color w:val="auto"/>
              </w:rPr>
            </w:pPr>
          </w:p>
        </w:tc>
        <w:tc>
          <w:tcPr>
            <w:tcW w:w="340" w:type="dxa"/>
            <w:vAlign w:val="bottom"/>
            <w:shd w:val="clear" w:color="auto" w:fill="E6E6FA"/>
          </w:tcPr>
          <w:p>
            <w:pPr>
              <w:spacing w:after="0"/>
              <w:rPr>
                <w:sz w:val="20"/>
                <w:szCs w:val="20"/>
                <w:color w:val="auto"/>
              </w:rPr>
            </w:pPr>
          </w:p>
        </w:tc>
        <w:tc>
          <w:tcPr>
            <w:tcW w:w="6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0" w:type="dxa"/>
            <w:vAlign w:val="bottom"/>
            <w:shd w:val="clear" w:color="auto" w:fill="FFDEAD"/>
          </w:tcPr>
          <w:p>
            <w:pPr>
              <w:spacing w:after="0"/>
              <w:rPr>
                <w:sz w:val="24"/>
                <w:szCs w:val="24"/>
                <w:color w:val="auto"/>
              </w:rPr>
            </w:pPr>
          </w:p>
        </w:tc>
        <w:tc>
          <w:tcPr>
            <w:tcW w:w="4720" w:type="dxa"/>
            <w:vAlign w:val="bottom"/>
            <w:gridSpan w:val="21"/>
            <w:shd w:val="clear" w:color="auto" w:fill="008080"/>
          </w:tcPr>
          <w:p>
            <w:pPr>
              <w:spacing w:after="0"/>
              <w:rPr>
                <w:sz w:val="20"/>
                <w:szCs w:val="20"/>
                <w:color w:val="auto"/>
              </w:rPr>
            </w:pPr>
            <w:r>
              <w:rPr>
                <w:rFonts w:ascii="Times New Roman" w:cs="Times New Roman" w:eastAsia="Times New Roman" w:hAnsi="Times New Roman"/>
                <w:sz w:val="18"/>
                <w:szCs w:val="18"/>
                <w:b w:val="1"/>
                <w:bCs w:val="1"/>
                <w:color w:val="0000FF"/>
              </w:rPr>
              <w:t>CA CREDIT SPV, LLC</w:t>
            </w:r>
          </w:p>
        </w:tc>
        <w:tc>
          <w:tcPr>
            <w:tcW w:w="6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FFDEAD"/>
            </w:tcBorders>
            <w:shd w:val="clear" w:color="auto" w:fill="FFDEAD"/>
          </w:tcPr>
          <w:p>
            <w:pPr>
              <w:spacing w:after="0" w:line="20" w:lineRule="exact"/>
              <w:rPr>
                <w:sz w:val="1"/>
                <w:szCs w:val="1"/>
                <w:color w:val="auto"/>
              </w:rPr>
            </w:pPr>
          </w:p>
        </w:tc>
        <w:tc>
          <w:tcPr>
            <w:tcW w:w="160" w:type="dxa"/>
            <w:vAlign w:val="bottom"/>
            <w:tcBorders>
              <w:top w:val="single" w:sz="8" w:color="0000FF"/>
            </w:tcBorders>
            <w:shd w:val="clear" w:color="auto" w:fill="008080"/>
          </w:tcPr>
          <w:p>
            <w:pPr>
              <w:spacing w:after="0" w:line="20" w:lineRule="exact"/>
              <w:rPr>
                <w:sz w:val="1"/>
                <w:szCs w:val="1"/>
                <w:color w:val="auto"/>
              </w:rPr>
            </w:pPr>
          </w:p>
        </w:tc>
        <w:tc>
          <w:tcPr>
            <w:tcW w:w="100" w:type="dxa"/>
            <w:vAlign w:val="bottom"/>
            <w:tcBorders>
              <w:top w:val="single" w:sz="8" w:color="0000FF"/>
            </w:tcBorders>
            <w:shd w:val="clear" w:color="auto" w:fill="008080"/>
          </w:tcPr>
          <w:p>
            <w:pPr>
              <w:spacing w:after="0" w:line="20" w:lineRule="exact"/>
              <w:rPr>
                <w:sz w:val="1"/>
                <w:szCs w:val="1"/>
                <w:color w:val="auto"/>
              </w:rPr>
            </w:pPr>
          </w:p>
        </w:tc>
        <w:tc>
          <w:tcPr>
            <w:tcW w:w="80" w:type="dxa"/>
            <w:vAlign w:val="bottom"/>
            <w:tcBorders>
              <w:top w:val="single" w:sz="8" w:color="0000FF"/>
              <w:right w:val="single" w:sz="8" w:color="008080"/>
            </w:tcBorders>
            <w:shd w:val="clear" w:color="auto" w:fill="008080"/>
          </w:tcPr>
          <w:p>
            <w:pPr>
              <w:spacing w:after="0" w:line="20" w:lineRule="exact"/>
              <w:rPr>
                <w:sz w:val="1"/>
                <w:szCs w:val="1"/>
                <w:color w:val="auto"/>
              </w:rPr>
            </w:pPr>
          </w:p>
        </w:tc>
        <w:tc>
          <w:tcPr>
            <w:tcW w:w="460" w:type="dxa"/>
            <w:vAlign w:val="bottom"/>
            <w:tcBorders>
              <w:top w:val="single" w:sz="8" w:color="0000FF"/>
            </w:tcBorders>
            <w:shd w:val="clear" w:color="auto" w:fill="008080"/>
          </w:tcPr>
          <w:p>
            <w:pPr>
              <w:spacing w:after="0" w:line="20" w:lineRule="exact"/>
              <w:rPr>
                <w:sz w:val="1"/>
                <w:szCs w:val="1"/>
                <w:color w:val="auto"/>
              </w:rPr>
            </w:pPr>
          </w:p>
        </w:tc>
        <w:tc>
          <w:tcPr>
            <w:tcW w:w="20" w:type="dxa"/>
            <w:vAlign w:val="bottom"/>
            <w:tcBorders>
              <w:top w:val="single" w:sz="8" w:color="0000FF"/>
            </w:tcBorders>
            <w:shd w:val="clear" w:color="auto" w:fill="008080"/>
          </w:tcPr>
          <w:p>
            <w:pPr>
              <w:spacing w:after="0" w:line="20" w:lineRule="exact"/>
              <w:rPr>
                <w:sz w:val="1"/>
                <w:szCs w:val="1"/>
                <w:color w:val="auto"/>
              </w:rPr>
            </w:pPr>
          </w:p>
        </w:tc>
        <w:tc>
          <w:tcPr>
            <w:tcW w:w="20" w:type="dxa"/>
            <w:vAlign w:val="bottom"/>
            <w:tcBorders>
              <w:top w:val="single" w:sz="8" w:color="0000FF"/>
            </w:tcBorders>
            <w:shd w:val="clear" w:color="auto" w:fill="008080"/>
          </w:tcPr>
          <w:p>
            <w:pPr>
              <w:spacing w:after="0" w:line="20" w:lineRule="exact"/>
              <w:rPr>
                <w:sz w:val="1"/>
                <w:szCs w:val="1"/>
                <w:color w:val="auto"/>
              </w:rPr>
            </w:pPr>
          </w:p>
        </w:tc>
        <w:tc>
          <w:tcPr>
            <w:tcW w:w="20" w:type="dxa"/>
            <w:vAlign w:val="bottom"/>
            <w:tcBorders>
              <w:top w:val="single" w:sz="8" w:color="0000FF"/>
            </w:tcBorders>
            <w:shd w:val="clear" w:color="auto" w:fill="008080"/>
          </w:tcPr>
          <w:p>
            <w:pPr>
              <w:spacing w:after="0" w:line="20" w:lineRule="exact"/>
              <w:rPr>
                <w:sz w:val="1"/>
                <w:szCs w:val="1"/>
                <w:color w:val="auto"/>
              </w:rPr>
            </w:pPr>
          </w:p>
        </w:tc>
        <w:tc>
          <w:tcPr>
            <w:tcW w:w="20" w:type="dxa"/>
            <w:vAlign w:val="bottom"/>
            <w:tcBorders>
              <w:top w:val="single" w:sz="8" w:color="0000FF"/>
            </w:tcBorders>
            <w:shd w:val="clear" w:color="auto" w:fill="008080"/>
          </w:tcPr>
          <w:p>
            <w:pPr>
              <w:spacing w:after="0" w:line="20" w:lineRule="exact"/>
              <w:rPr>
                <w:sz w:val="1"/>
                <w:szCs w:val="1"/>
                <w:color w:val="auto"/>
              </w:rPr>
            </w:pPr>
          </w:p>
        </w:tc>
        <w:tc>
          <w:tcPr>
            <w:tcW w:w="100" w:type="dxa"/>
            <w:vAlign w:val="bottom"/>
            <w:tcBorders>
              <w:top w:val="single" w:sz="8" w:color="0000FF"/>
            </w:tcBorders>
            <w:shd w:val="clear" w:color="auto" w:fill="008080"/>
          </w:tcPr>
          <w:p>
            <w:pPr>
              <w:spacing w:after="0" w:line="20" w:lineRule="exact"/>
              <w:rPr>
                <w:sz w:val="1"/>
                <w:szCs w:val="1"/>
                <w:color w:val="auto"/>
              </w:rPr>
            </w:pPr>
          </w:p>
        </w:tc>
        <w:tc>
          <w:tcPr>
            <w:tcW w:w="80" w:type="dxa"/>
            <w:vAlign w:val="bottom"/>
            <w:tcBorders>
              <w:top w:val="single" w:sz="8" w:color="0000FF"/>
            </w:tcBorders>
            <w:shd w:val="clear" w:color="auto" w:fill="008080"/>
          </w:tcPr>
          <w:p>
            <w:pPr>
              <w:spacing w:after="0" w:line="20" w:lineRule="exact"/>
              <w:rPr>
                <w:sz w:val="1"/>
                <w:szCs w:val="1"/>
                <w:color w:val="auto"/>
              </w:rPr>
            </w:pPr>
          </w:p>
        </w:tc>
        <w:tc>
          <w:tcPr>
            <w:tcW w:w="320" w:type="dxa"/>
            <w:vAlign w:val="bottom"/>
            <w:tcBorders>
              <w:top w:val="single" w:sz="8" w:color="0000FF"/>
              <w:right w:val="single" w:sz="8" w:color="008080"/>
            </w:tcBorders>
            <w:shd w:val="clear" w:color="auto" w:fill="008080"/>
          </w:tcPr>
          <w:p>
            <w:pPr>
              <w:spacing w:after="0" w:line="20" w:lineRule="exact"/>
              <w:rPr>
                <w:sz w:val="1"/>
                <w:szCs w:val="1"/>
                <w:color w:val="auto"/>
              </w:rPr>
            </w:pPr>
          </w:p>
        </w:tc>
        <w:tc>
          <w:tcPr>
            <w:tcW w:w="400" w:type="dxa"/>
            <w:vAlign w:val="bottom"/>
            <w:tcBorders>
              <w:top w:val="single" w:sz="8" w:color="0000FF"/>
            </w:tcBorders>
            <w:shd w:val="clear" w:color="auto" w:fill="008080"/>
          </w:tcPr>
          <w:p>
            <w:pPr>
              <w:spacing w:after="0" w:line="20" w:lineRule="exact"/>
              <w:rPr>
                <w:sz w:val="1"/>
                <w:szCs w:val="1"/>
                <w:color w:val="auto"/>
              </w:rPr>
            </w:pPr>
          </w:p>
        </w:tc>
        <w:tc>
          <w:tcPr>
            <w:tcW w:w="40" w:type="dxa"/>
            <w:vAlign w:val="bottom"/>
            <w:tcBorders>
              <w:top w:val="single" w:sz="8" w:color="0000FF"/>
            </w:tcBorders>
            <w:shd w:val="clear" w:color="auto" w:fill="008080"/>
          </w:tcPr>
          <w:p>
            <w:pPr>
              <w:spacing w:after="0" w:line="20" w:lineRule="exact"/>
              <w:rPr>
                <w:sz w:val="1"/>
                <w:szCs w:val="1"/>
                <w:color w:val="auto"/>
              </w:rPr>
            </w:pPr>
          </w:p>
        </w:tc>
        <w:tc>
          <w:tcPr>
            <w:tcW w:w="780" w:type="dxa"/>
            <w:vAlign w:val="bottom"/>
            <w:tcBorders>
              <w:top w:val="single" w:sz="8" w:color="008080"/>
            </w:tcBorders>
            <w:shd w:val="clear" w:color="auto" w:fill="008080"/>
          </w:tcPr>
          <w:p>
            <w:pPr>
              <w:spacing w:after="0" w:line="20" w:lineRule="exact"/>
              <w:rPr>
                <w:sz w:val="1"/>
                <w:szCs w:val="1"/>
                <w:color w:val="auto"/>
              </w:rPr>
            </w:pPr>
          </w:p>
        </w:tc>
        <w:tc>
          <w:tcPr>
            <w:tcW w:w="20" w:type="dxa"/>
            <w:vAlign w:val="bottom"/>
            <w:tcBorders>
              <w:top w:val="single" w:sz="8" w:color="008080"/>
            </w:tcBorders>
            <w:shd w:val="clear" w:color="auto" w:fill="008080"/>
          </w:tcPr>
          <w:p>
            <w:pPr>
              <w:spacing w:after="0" w:line="20" w:lineRule="exact"/>
              <w:rPr>
                <w:sz w:val="1"/>
                <w:szCs w:val="1"/>
                <w:color w:val="auto"/>
              </w:rPr>
            </w:pPr>
          </w:p>
        </w:tc>
        <w:tc>
          <w:tcPr>
            <w:tcW w:w="100" w:type="dxa"/>
            <w:vAlign w:val="bottom"/>
            <w:tcBorders>
              <w:top w:val="single" w:sz="8" w:color="008080"/>
            </w:tcBorders>
            <w:shd w:val="clear" w:color="auto" w:fill="008080"/>
          </w:tcPr>
          <w:p>
            <w:pPr>
              <w:spacing w:after="0" w:line="20" w:lineRule="exact"/>
              <w:rPr>
                <w:sz w:val="1"/>
                <w:szCs w:val="1"/>
                <w:color w:val="auto"/>
              </w:rPr>
            </w:pPr>
          </w:p>
        </w:tc>
        <w:tc>
          <w:tcPr>
            <w:tcW w:w="820" w:type="dxa"/>
            <w:vAlign w:val="bottom"/>
            <w:tcBorders>
              <w:top w:val="single" w:sz="8" w:color="008080"/>
            </w:tcBorders>
            <w:shd w:val="clear" w:color="auto" w:fill="008080"/>
          </w:tcPr>
          <w:p>
            <w:pPr>
              <w:spacing w:after="0" w:line="20" w:lineRule="exact"/>
              <w:rPr>
                <w:sz w:val="1"/>
                <w:szCs w:val="1"/>
                <w:color w:val="auto"/>
              </w:rPr>
            </w:pPr>
          </w:p>
        </w:tc>
        <w:tc>
          <w:tcPr>
            <w:tcW w:w="100" w:type="dxa"/>
            <w:vAlign w:val="bottom"/>
            <w:tcBorders>
              <w:top w:val="single" w:sz="8" w:color="008080"/>
            </w:tcBorders>
            <w:shd w:val="clear" w:color="auto" w:fill="008080"/>
          </w:tcPr>
          <w:p>
            <w:pPr>
              <w:spacing w:after="0" w:line="20" w:lineRule="exact"/>
              <w:rPr>
                <w:sz w:val="1"/>
                <w:szCs w:val="1"/>
                <w:color w:val="auto"/>
              </w:rPr>
            </w:pPr>
          </w:p>
        </w:tc>
        <w:tc>
          <w:tcPr>
            <w:tcW w:w="380" w:type="dxa"/>
            <w:vAlign w:val="bottom"/>
            <w:tcBorders>
              <w:top w:val="single" w:sz="8" w:color="008080"/>
            </w:tcBorders>
            <w:shd w:val="clear" w:color="auto" w:fill="008080"/>
          </w:tcPr>
          <w:p>
            <w:pPr>
              <w:spacing w:after="0" w:line="20" w:lineRule="exact"/>
              <w:rPr>
                <w:sz w:val="1"/>
                <w:szCs w:val="1"/>
                <w:color w:val="auto"/>
              </w:rPr>
            </w:pPr>
          </w:p>
        </w:tc>
        <w:tc>
          <w:tcPr>
            <w:tcW w:w="360" w:type="dxa"/>
            <w:vAlign w:val="bottom"/>
            <w:tcBorders>
              <w:top w:val="single" w:sz="8" w:color="008080"/>
            </w:tcBorders>
            <w:shd w:val="clear" w:color="auto" w:fill="008080"/>
          </w:tcPr>
          <w:p>
            <w:pPr>
              <w:spacing w:after="0" w:line="20" w:lineRule="exact"/>
              <w:rPr>
                <w:sz w:val="1"/>
                <w:szCs w:val="1"/>
                <w:color w:val="auto"/>
              </w:rPr>
            </w:pPr>
          </w:p>
        </w:tc>
        <w:tc>
          <w:tcPr>
            <w:tcW w:w="340" w:type="dxa"/>
            <w:vAlign w:val="bottom"/>
            <w:tcBorders>
              <w:top w:val="single" w:sz="8" w:color="008080"/>
            </w:tcBorders>
            <w:shd w:val="clear" w:color="auto" w:fill="00808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shd w:val="clear" w:color="auto" w:fill="FFDEAD"/>
          </w:tcPr>
          <w:p>
            <w:pPr>
              <w:spacing w:after="0"/>
              <w:rPr>
                <w:sz w:val="18"/>
                <w:szCs w:val="18"/>
                <w:color w:val="auto"/>
              </w:rPr>
            </w:pPr>
          </w:p>
        </w:tc>
        <w:tc>
          <w:tcPr>
            <w:tcW w:w="160" w:type="dxa"/>
            <w:vAlign w:val="bottom"/>
            <w:shd w:val="clear" w:color="auto" w:fill="008080"/>
          </w:tcPr>
          <w:p>
            <w:pPr>
              <w:spacing w:after="0"/>
              <w:rPr>
                <w:sz w:val="18"/>
                <w:szCs w:val="18"/>
                <w:color w:val="auto"/>
              </w:rPr>
            </w:pPr>
          </w:p>
        </w:tc>
        <w:tc>
          <w:tcPr>
            <w:tcW w:w="100" w:type="dxa"/>
            <w:vAlign w:val="bottom"/>
            <w:shd w:val="clear" w:color="auto" w:fill="008080"/>
          </w:tcPr>
          <w:p>
            <w:pPr>
              <w:spacing w:after="0"/>
              <w:rPr>
                <w:sz w:val="18"/>
                <w:szCs w:val="18"/>
                <w:color w:val="auto"/>
              </w:rPr>
            </w:pPr>
          </w:p>
        </w:tc>
        <w:tc>
          <w:tcPr>
            <w:tcW w:w="80" w:type="dxa"/>
            <w:vAlign w:val="bottom"/>
            <w:tcBorders>
              <w:right w:val="single" w:sz="8" w:color="008080"/>
            </w:tcBorders>
            <w:shd w:val="clear" w:color="auto" w:fill="008080"/>
          </w:tcPr>
          <w:p>
            <w:pPr>
              <w:spacing w:after="0"/>
              <w:rPr>
                <w:sz w:val="18"/>
                <w:szCs w:val="18"/>
                <w:color w:val="auto"/>
              </w:rPr>
            </w:pPr>
          </w:p>
        </w:tc>
        <w:tc>
          <w:tcPr>
            <w:tcW w:w="460" w:type="dxa"/>
            <w:vAlign w:val="bottom"/>
            <w:shd w:val="clear" w:color="auto" w:fill="008080"/>
          </w:tcPr>
          <w:p>
            <w:pPr>
              <w:spacing w:after="0"/>
              <w:rPr>
                <w:sz w:val="18"/>
                <w:szCs w:val="18"/>
                <w:color w:val="auto"/>
              </w:rPr>
            </w:pPr>
          </w:p>
        </w:tc>
        <w:tc>
          <w:tcPr>
            <w:tcW w:w="20" w:type="dxa"/>
            <w:vAlign w:val="bottom"/>
            <w:shd w:val="clear" w:color="auto" w:fill="008080"/>
          </w:tcPr>
          <w:p>
            <w:pPr>
              <w:spacing w:after="0"/>
              <w:rPr>
                <w:sz w:val="18"/>
                <w:szCs w:val="18"/>
                <w:color w:val="auto"/>
              </w:rPr>
            </w:pPr>
          </w:p>
        </w:tc>
        <w:tc>
          <w:tcPr>
            <w:tcW w:w="20" w:type="dxa"/>
            <w:vAlign w:val="bottom"/>
            <w:shd w:val="clear" w:color="auto" w:fill="008080"/>
          </w:tcPr>
          <w:p>
            <w:pPr>
              <w:spacing w:after="0"/>
              <w:rPr>
                <w:sz w:val="18"/>
                <w:szCs w:val="18"/>
                <w:color w:val="auto"/>
              </w:rPr>
            </w:pPr>
          </w:p>
        </w:tc>
        <w:tc>
          <w:tcPr>
            <w:tcW w:w="20" w:type="dxa"/>
            <w:vAlign w:val="bottom"/>
            <w:shd w:val="clear" w:color="auto" w:fill="008080"/>
          </w:tcPr>
          <w:p>
            <w:pPr>
              <w:spacing w:after="0"/>
              <w:rPr>
                <w:sz w:val="18"/>
                <w:szCs w:val="18"/>
                <w:color w:val="auto"/>
              </w:rPr>
            </w:pPr>
          </w:p>
        </w:tc>
        <w:tc>
          <w:tcPr>
            <w:tcW w:w="20" w:type="dxa"/>
            <w:vAlign w:val="bottom"/>
            <w:shd w:val="clear" w:color="auto" w:fill="008080"/>
          </w:tcPr>
          <w:p>
            <w:pPr>
              <w:spacing w:after="0"/>
              <w:rPr>
                <w:sz w:val="18"/>
                <w:szCs w:val="18"/>
                <w:color w:val="auto"/>
              </w:rPr>
            </w:pPr>
          </w:p>
        </w:tc>
        <w:tc>
          <w:tcPr>
            <w:tcW w:w="100" w:type="dxa"/>
            <w:vAlign w:val="bottom"/>
            <w:shd w:val="clear" w:color="auto" w:fill="008080"/>
          </w:tcPr>
          <w:p>
            <w:pPr>
              <w:spacing w:after="0"/>
              <w:rPr>
                <w:sz w:val="18"/>
                <w:szCs w:val="18"/>
                <w:color w:val="auto"/>
              </w:rPr>
            </w:pPr>
          </w:p>
        </w:tc>
        <w:tc>
          <w:tcPr>
            <w:tcW w:w="80" w:type="dxa"/>
            <w:vAlign w:val="bottom"/>
            <w:shd w:val="clear" w:color="auto" w:fill="008080"/>
          </w:tcPr>
          <w:p>
            <w:pPr>
              <w:spacing w:after="0"/>
              <w:rPr>
                <w:sz w:val="18"/>
                <w:szCs w:val="18"/>
                <w:color w:val="auto"/>
              </w:rPr>
            </w:pPr>
          </w:p>
        </w:tc>
        <w:tc>
          <w:tcPr>
            <w:tcW w:w="320" w:type="dxa"/>
            <w:vAlign w:val="bottom"/>
            <w:tcBorders>
              <w:right w:val="single" w:sz="8" w:color="008080"/>
            </w:tcBorders>
            <w:shd w:val="clear" w:color="auto" w:fill="008080"/>
          </w:tcPr>
          <w:p>
            <w:pPr>
              <w:spacing w:after="0"/>
              <w:rPr>
                <w:sz w:val="18"/>
                <w:szCs w:val="18"/>
                <w:color w:val="auto"/>
              </w:rPr>
            </w:pPr>
          </w:p>
        </w:tc>
        <w:tc>
          <w:tcPr>
            <w:tcW w:w="400" w:type="dxa"/>
            <w:vAlign w:val="bottom"/>
            <w:shd w:val="clear" w:color="auto" w:fill="008080"/>
          </w:tcPr>
          <w:p>
            <w:pPr>
              <w:spacing w:after="0"/>
              <w:rPr>
                <w:sz w:val="18"/>
                <w:szCs w:val="18"/>
                <w:color w:val="auto"/>
              </w:rPr>
            </w:pPr>
          </w:p>
        </w:tc>
        <w:tc>
          <w:tcPr>
            <w:tcW w:w="40" w:type="dxa"/>
            <w:vAlign w:val="bottom"/>
            <w:shd w:val="clear" w:color="auto" w:fill="008080"/>
          </w:tcPr>
          <w:p>
            <w:pPr>
              <w:spacing w:after="0"/>
              <w:rPr>
                <w:sz w:val="18"/>
                <w:szCs w:val="18"/>
                <w:color w:val="auto"/>
              </w:rPr>
            </w:pPr>
          </w:p>
        </w:tc>
        <w:tc>
          <w:tcPr>
            <w:tcW w:w="780" w:type="dxa"/>
            <w:vAlign w:val="bottom"/>
            <w:shd w:val="clear" w:color="auto" w:fill="008080"/>
          </w:tcPr>
          <w:p>
            <w:pPr>
              <w:spacing w:after="0"/>
              <w:rPr>
                <w:sz w:val="18"/>
                <w:szCs w:val="18"/>
                <w:color w:val="auto"/>
              </w:rPr>
            </w:pPr>
          </w:p>
        </w:tc>
        <w:tc>
          <w:tcPr>
            <w:tcW w:w="20" w:type="dxa"/>
            <w:vAlign w:val="bottom"/>
            <w:shd w:val="clear" w:color="auto" w:fill="008080"/>
          </w:tcPr>
          <w:p>
            <w:pPr>
              <w:spacing w:after="0"/>
              <w:rPr>
                <w:sz w:val="18"/>
                <w:szCs w:val="18"/>
                <w:color w:val="auto"/>
              </w:rPr>
            </w:pPr>
          </w:p>
        </w:tc>
        <w:tc>
          <w:tcPr>
            <w:tcW w:w="100" w:type="dxa"/>
            <w:vAlign w:val="bottom"/>
            <w:shd w:val="clear" w:color="auto" w:fill="008080"/>
          </w:tcPr>
          <w:p>
            <w:pPr>
              <w:spacing w:after="0"/>
              <w:rPr>
                <w:sz w:val="18"/>
                <w:szCs w:val="18"/>
                <w:color w:val="auto"/>
              </w:rPr>
            </w:pPr>
          </w:p>
        </w:tc>
        <w:tc>
          <w:tcPr>
            <w:tcW w:w="820" w:type="dxa"/>
            <w:vAlign w:val="bottom"/>
            <w:shd w:val="clear" w:color="auto" w:fill="008080"/>
          </w:tcPr>
          <w:p>
            <w:pPr>
              <w:spacing w:after="0"/>
              <w:rPr>
                <w:sz w:val="18"/>
                <w:szCs w:val="18"/>
                <w:color w:val="auto"/>
              </w:rPr>
            </w:pPr>
          </w:p>
        </w:tc>
        <w:tc>
          <w:tcPr>
            <w:tcW w:w="100" w:type="dxa"/>
            <w:vAlign w:val="bottom"/>
            <w:shd w:val="clear" w:color="auto" w:fill="008080"/>
          </w:tcPr>
          <w:p>
            <w:pPr>
              <w:spacing w:after="0"/>
              <w:rPr>
                <w:sz w:val="18"/>
                <w:szCs w:val="18"/>
                <w:color w:val="auto"/>
              </w:rPr>
            </w:pPr>
          </w:p>
        </w:tc>
        <w:tc>
          <w:tcPr>
            <w:tcW w:w="380" w:type="dxa"/>
            <w:vAlign w:val="bottom"/>
            <w:shd w:val="clear" w:color="auto" w:fill="008080"/>
          </w:tcPr>
          <w:p>
            <w:pPr>
              <w:spacing w:after="0"/>
              <w:rPr>
                <w:sz w:val="18"/>
                <w:szCs w:val="18"/>
                <w:color w:val="auto"/>
              </w:rPr>
            </w:pPr>
          </w:p>
        </w:tc>
        <w:tc>
          <w:tcPr>
            <w:tcW w:w="360" w:type="dxa"/>
            <w:vAlign w:val="bottom"/>
            <w:shd w:val="clear" w:color="auto" w:fill="008080"/>
          </w:tcPr>
          <w:p>
            <w:pPr>
              <w:spacing w:after="0"/>
              <w:rPr>
                <w:sz w:val="18"/>
                <w:szCs w:val="18"/>
                <w:color w:val="auto"/>
              </w:rPr>
            </w:pPr>
          </w:p>
        </w:tc>
        <w:tc>
          <w:tcPr>
            <w:tcW w:w="340" w:type="dxa"/>
            <w:vAlign w:val="bottom"/>
            <w:shd w:val="clear" w:color="auto" w:fill="008080"/>
          </w:tcPr>
          <w:p>
            <w:pPr>
              <w:spacing w:after="0"/>
              <w:rPr>
                <w:sz w:val="18"/>
                <w:szCs w:val="18"/>
                <w:color w:val="auto"/>
              </w:rPr>
            </w:pPr>
          </w:p>
        </w:tc>
        <w:tc>
          <w:tcPr>
            <w:tcW w:w="6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b w:val="1"/>
                <w:bCs w:val="1"/>
                <w:color w:val="FF0000"/>
                <w:strike w:val="1"/>
                <w:w w:val="98"/>
              </w:rPr>
              <w:t>LAGO APEX CREDIT CORPORATION</w:t>
            </w:r>
          </w:p>
        </w:tc>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FF"/>
              </w:rPr>
              <w:t>/s/ Anthony</w:t>
            </w:r>
          </w:p>
        </w:tc>
        <w:tc>
          <w:tcPr>
            <w:tcW w:w="6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gridSpan w:val="4"/>
            <w:vMerge w:val="restart"/>
          </w:tcPr>
          <w:p>
            <w:pPr>
              <w:spacing w:after="0" w:line="176" w:lineRule="exact"/>
              <w:rPr>
                <w:sz w:val="20"/>
                <w:szCs w:val="20"/>
                <w:color w:val="auto"/>
              </w:rPr>
            </w:pPr>
            <w:r>
              <w:rPr>
                <w:rFonts w:ascii="Times New Roman" w:cs="Times New Roman" w:eastAsia="Times New Roman" w:hAnsi="Times New Roman"/>
                <w:sz w:val="18"/>
                <w:szCs w:val="18"/>
                <w:color w:val="0000FF"/>
              </w:rPr>
              <w:t>By:</w:t>
            </w:r>
          </w:p>
        </w:tc>
        <w:tc>
          <w:tcPr>
            <w:tcW w:w="1040" w:type="dxa"/>
            <w:vAlign w:val="bottom"/>
            <w:gridSpan w:val="8"/>
            <w:vMerge w:val="restart"/>
          </w:tcPr>
          <w:p>
            <w:pPr>
              <w:spacing w:after="0" w:line="176" w:lineRule="exact"/>
              <w:rPr>
                <w:sz w:val="20"/>
                <w:szCs w:val="20"/>
                <w:color w:val="auto"/>
              </w:rPr>
            </w:pPr>
            <w:r>
              <w:rPr>
                <w:rFonts w:ascii="Times New Roman" w:cs="Times New Roman" w:eastAsia="Times New Roman" w:hAnsi="Times New Roman"/>
                <w:sz w:val="18"/>
                <w:szCs w:val="18"/>
                <w:color w:val="0000FF"/>
              </w:rPr>
              <w:t>Cappell</w:t>
            </w: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 w:type="dxa"/>
            <w:vAlign w:val="bottom"/>
            <w:gridSpan w:val="4"/>
            <w:vMerge w:val="continue"/>
          </w:tcPr>
          <w:p>
            <w:pPr>
              <w:spacing w:after="0"/>
              <w:rPr>
                <w:sz w:val="20"/>
                <w:szCs w:val="20"/>
                <w:color w:val="auto"/>
              </w:rPr>
            </w:pPr>
          </w:p>
        </w:tc>
        <w:tc>
          <w:tcPr>
            <w:tcW w:w="1040" w:type="dxa"/>
            <w:vAlign w:val="bottom"/>
            <w:gridSpan w:val="8"/>
            <w:vMerge w:val="continue"/>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00" w:type="dxa"/>
            <w:vAlign w:val="bottom"/>
            <w:tcBorders>
              <w:top w:val="single" w:sz="8" w:color="0000FF"/>
              <w:bottom w:val="single" w:sz="8" w:color="FFDEAD"/>
            </w:tcBorders>
            <w:shd w:val="clear" w:color="auto" w:fill="FFDEAD"/>
          </w:tcPr>
          <w:p>
            <w:pPr>
              <w:spacing w:after="0"/>
              <w:rPr>
                <w:sz w:val="24"/>
                <w:szCs w:val="24"/>
                <w:color w:val="auto"/>
              </w:rPr>
            </w:pPr>
          </w:p>
        </w:tc>
        <w:tc>
          <w:tcPr>
            <w:tcW w:w="160" w:type="dxa"/>
            <w:vAlign w:val="bottom"/>
            <w:tcBorders>
              <w:top w:val="single" w:sz="8" w:color="0000FF"/>
              <w:bottom w:val="single" w:sz="8" w:color="FFDEAD"/>
            </w:tcBorders>
            <w:shd w:val="clear" w:color="auto" w:fill="FFDEAD"/>
          </w:tcPr>
          <w:p>
            <w:pPr>
              <w:spacing w:after="0"/>
              <w:rPr>
                <w:sz w:val="24"/>
                <w:szCs w:val="24"/>
                <w:color w:val="auto"/>
              </w:rPr>
            </w:pPr>
          </w:p>
        </w:tc>
        <w:tc>
          <w:tcPr>
            <w:tcW w:w="100" w:type="dxa"/>
            <w:vAlign w:val="bottom"/>
            <w:tcBorders>
              <w:top w:val="single" w:sz="8" w:color="FFDEAD"/>
              <w:bottom w:val="single" w:sz="8" w:color="FFDEAD"/>
            </w:tcBorders>
            <w:shd w:val="clear" w:color="auto" w:fill="FFDEAD"/>
          </w:tcPr>
          <w:p>
            <w:pPr>
              <w:spacing w:after="0"/>
              <w:rPr>
                <w:sz w:val="24"/>
                <w:szCs w:val="24"/>
                <w:color w:val="auto"/>
              </w:rPr>
            </w:pPr>
          </w:p>
        </w:tc>
        <w:tc>
          <w:tcPr>
            <w:tcW w:w="80" w:type="dxa"/>
            <w:vAlign w:val="bottom"/>
            <w:tcBorders>
              <w:top w:val="single" w:sz="8" w:color="FFDEAD"/>
              <w:bottom w:val="single" w:sz="8" w:color="FFDEAD"/>
              <w:right w:val="single" w:sz="8" w:color="FFDEAD"/>
            </w:tcBorders>
            <w:shd w:val="clear" w:color="auto" w:fill="FFDEAD"/>
          </w:tcPr>
          <w:p>
            <w:pPr>
              <w:spacing w:after="0"/>
              <w:rPr>
                <w:sz w:val="24"/>
                <w:szCs w:val="24"/>
                <w:color w:val="auto"/>
              </w:rPr>
            </w:pPr>
          </w:p>
        </w:tc>
        <w:tc>
          <w:tcPr>
            <w:tcW w:w="460" w:type="dxa"/>
            <w:vAlign w:val="bottom"/>
            <w:tcBorders>
              <w:top w:val="single" w:sz="8" w:color="auto"/>
              <w:bottom w:val="single" w:sz="8" w:color="FFDEAD"/>
            </w:tcBorders>
            <w:shd w:val="clear" w:color="auto" w:fill="FFDEAD"/>
          </w:tcPr>
          <w:p>
            <w:pPr>
              <w:spacing w:after="0"/>
              <w:rPr>
                <w:sz w:val="20"/>
                <w:szCs w:val="20"/>
                <w:color w:val="auto"/>
              </w:rPr>
            </w:pPr>
            <w:r>
              <w:rPr>
                <w:rFonts w:ascii="Times New Roman" w:cs="Times New Roman" w:eastAsia="Times New Roman" w:hAnsi="Times New Roman"/>
                <w:sz w:val="18"/>
                <w:szCs w:val="18"/>
                <w:color w:val="FF0000"/>
                <w:strike w:val="1"/>
              </w:rPr>
              <w:t>By:</w:t>
            </w:r>
          </w:p>
        </w:tc>
        <w:tc>
          <w:tcPr>
            <w:tcW w:w="60" w:type="dxa"/>
            <w:vAlign w:val="bottom"/>
            <w:tcBorders>
              <w:top w:val="single" w:sz="8" w:color="auto"/>
              <w:bottom w:val="single" w:sz="8" w:color="FFDEAD"/>
            </w:tcBorders>
            <w:gridSpan w:val="3"/>
            <w:shd w:val="clear" w:color="auto" w:fill="FFDEAD"/>
          </w:tcPr>
          <w:p>
            <w:pPr>
              <w:spacing w:after="0"/>
              <w:rPr>
                <w:sz w:val="24"/>
                <w:szCs w:val="24"/>
                <w:color w:val="auto"/>
              </w:rPr>
            </w:pPr>
          </w:p>
        </w:tc>
        <w:tc>
          <w:tcPr>
            <w:tcW w:w="200" w:type="dxa"/>
            <w:vAlign w:val="bottom"/>
            <w:tcBorders>
              <w:top w:val="single" w:sz="8" w:color="auto"/>
              <w:bottom w:val="single" w:sz="8" w:color="FFDEAD"/>
            </w:tcBorders>
            <w:gridSpan w:val="3"/>
            <w:shd w:val="clear" w:color="auto" w:fill="FFDEAD"/>
          </w:tcPr>
          <w:p>
            <w:pPr>
              <w:spacing w:after="0"/>
              <w:rPr>
                <w:sz w:val="24"/>
                <w:szCs w:val="24"/>
                <w:color w:val="auto"/>
              </w:rPr>
            </w:pPr>
          </w:p>
        </w:tc>
        <w:tc>
          <w:tcPr>
            <w:tcW w:w="320" w:type="dxa"/>
            <w:vAlign w:val="bottom"/>
            <w:tcBorders>
              <w:top w:val="single" w:sz="8" w:color="auto"/>
              <w:bottom w:val="single" w:sz="8" w:color="FFDEAD"/>
              <w:right w:val="single" w:sz="8" w:color="FFDEAD"/>
            </w:tcBorders>
            <w:shd w:val="clear" w:color="auto" w:fill="FFDEAD"/>
          </w:tcPr>
          <w:p>
            <w:pPr>
              <w:spacing w:after="0"/>
              <w:rPr>
                <w:sz w:val="24"/>
                <w:szCs w:val="24"/>
                <w:color w:val="auto"/>
              </w:rPr>
            </w:pPr>
          </w:p>
        </w:tc>
        <w:tc>
          <w:tcPr>
            <w:tcW w:w="1220" w:type="dxa"/>
            <w:vAlign w:val="bottom"/>
            <w:tcBorders>
              <w:top w:val="single" w:sz="8" w:color="auto"/>
              <w:bottom w:val="single" w:sz="8" w:color="FF0000"/>
            </w:tcBorders>
            <w:gridSpan w:val="3"/>
            <w:shd w:val="clear" w:color="auto" w:fill="FFDEAD"/>
          </w:tcPr>
          <w:p>
            <w:pPr>
              <w:spacing w:after="0"/>
              <w:rPr>
                <w:sz w:val="20"/>
                <w:szCs w:val="20"/>
                <w:color w:val="auto"/>
              </w:rPr>
            </w:pPr>
            <w:r>
              <w:rPr>
                <w:rFonts w:ascii="Times New Roman" w:cs="Times New Roman" w:eastAsia="Times New Roman" w:hAnsi="Times New Roman"/>
                <w:sz w:val="18"/>
                <w:szCs w:val="18"/>
                <w:color w:val="FF0000"/>
                <w:strike w:val="1"/>
                <w:w w:val="98"/>
              </w:rPr>
              <w:t>/s/ Tim Gottfried</w:t>
            </w:r>
          </w:p>
        </w:tc>
        <w:tc>
          <w:tcPr>
            <w:tcW w:w="1420" w:type="dxa"/>
            <w:vAlign w:val="bottom"/>
            <w:tcBorders>
              <w:top w:val="single" w:sz="8" w:color="auto"/>
              <w:bottom w:val="single" w:sz="8" w:color="FFDEAD"/>
            </w:tcBorders>
            <w:gridSpan w:val="5"/>
            <w:shd w:val="clear" w:color="auto" w:fill="FFDEAD"/>
          </w:tcPr>
          <w:p>
            <w:pPr>
              <w:spacing w:after="0"/>
              <w:rPr>
                <w:sz w:val="24"/>
                <w:szCs w:val="24"/>
                <w:color w:val="auto"/>
              </w:rPr>
            </w:pPr>
          </w:p>
        </w:tc>
        <w:tc>
          <w:tcPr>
            <w:tcW w:w="700" w:type="dxa"/>
            <w:vAlign w:val="bottom"/>
            <w:tcBorders>
              <w:top w:val="single" w:sz="8" w:color="auto"/>
              <w:bottom w:val="single" w:sz="8" w:color="FFDEAD"/>
            </w:tcBorders>
            <w:gridSpan w:val="2"/>
            <w:shd w:val="clear" w:color="auto" w:fill="FFDEAD"/>
          </w:tcPr>
          <w:p>
            <w:pPr>
              <w:spacing w:after="0"/>
              <w:rPr>
                <w:sz w:val="24"/>
                <w:szCs w:val="24"/>
                <w:color w:val="auto"/>
              </w:rPr>
            </w:pPr>
          </w:p>
        </w:tc>
        <w:tc>
          <w:tcPr>
            <w:tcW w:w="6420" w:type="dxa"/>
            <w:vAlign w:val="bottom"/>
            <w:tcBorders>
              <w:top w:val="single" w:sz="8" w:color="FFDEAD"/>
              <w:bottom w:val="single" w:sz="8" w:color="FFDEAD"/>
            </w:tcBorders>
            <w:shd w:val="clear" w:color="auto" w:fill="FFDEAD"/>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0" w:type="dxa"/>
            <w:vAlign w:val="bottom"/>
            <w:tcBorders>
              <w:top w:val="single" w:sz="8" w:color="FFDEAD"/>
            </w:tcBorders>
            <w:shd w:val="clear" w:color="auto" w:fill="FFDEAD"/>
          </w:tcPr>
          <w:p>
            <w:pPr>
              <w:spacing w:after="0"/>
              <w:rPr>
                <w:sz w:val="18"/>
                <w:szCs w:val="18"/>
                <w:color w:val="auto"/>
              </w:rPr>
            </w:pPr>
          </w:p>
        </w:tc>
        <w:tc>
          <w:tcPr>
            <w:tcW w:w="160" w:type="dxa"/>
            <w:vAlign w:val="bottom"/>
            <w:tcBorders>
              <w:top w:val="single" w:sz="8" w:color="FFDEAD"/>
            </w:tcBorders>
          </w:tcPr>
          <w:p>
            <w:pPr>
              <w:spacing w:after="0"/>
              <w:rPr>
                <w:sz w:val="18"/>
                <w:szCs w:val="18"/>
                <w:color w:val="auto"/>
              </w:rPr>
            </w:pPr>
          </w:p>
        </w:tc>
        <w:tc>
          <w:tcPr>
            <w:tcW w:w="100" w:type="dxa"/>
            <w:vAlign w:val="bottom"/>
            <w:tcBorders>
              <w:top w:val="single" w:sz="8" w:color="FFDEAD"/>
            </w:tcBorders>
          </w:tcPr>
          <w:p>
            <w:pPr>
              <w:spacing w:after="0"/>
              <w:rPr>
                <w:sz w:val="18"/>
                <w:szCs w:val="18"/>
                <w:color w:val="auto"/>
              </w:rPr>
            </w:pPr>
          </w:p>
        </w:tc>
        <w:tc>
          <w:tcPr>
            <w:tcW w:w="80" w:type="dxa"/>
            <w:vAlign w:val="bottom"/>
            <w:tcBorders>
              <w:top w:val="single" w:sz="8" w:color="FFDEAD"/>
            </w:tcBorders>
          </w:tcPr>
          <w:p>
            <w:pPr>
              <w:spacing w:after="0"/>
              <w:rPr>
                <w:sz w:val="18"/>
                <w:szCs w:val="18"/>
                <w:color w:val="auto"/>
              </w:rPr>
            </w:pPr>
          </w:p>
        </w:tc>
        <w:tc>
          <w:tcPr>
            <w:tcW w:w="520" w:type="dxa"/>
            <w:vAlign w:val="bottom"/>
            <w:tcBorders>
              <w:top w:val="single" w:sz="8" w:color="FFDEAD"/>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Name:</w:t>
            </w:r>
          </w:p>
        </w:tc>
        <w:tc>
          <w:tcPr>
            <w:tcW w:w="520" w:type="dxa"/>
            <w:vAlign w:val="bottom"/>
            <w:tcBorders>
              <w:top w:val="single" w:sz="8" w:color="FFDEAD"/>
            </w:tcBorders>
            <w:gridSpan w:val="4"/>
          </w:tcPr>
          <w:p>
            <w:pPr>
              <w:spacing w:after="0" w:line="176" w:lineRule="exact"/>
              <w:rPr>
                <w:sz w:val="20"/>
                <w:szCs w:val="20"/>
                <w:color w:val="auto"/>
              </w:rPr>
            </w:pPr>
            <w:r>
              <w:rPr>
                <w:rFonts w:ascii="Times New Roman" w:cs="Times New Roman" w:eastAsia="Times New Roman" w:hAnsi="Times New Roman"/>
                <w:sz w:val="18"/>
                <w:szCs w:val="18"/>
                <w:color w:val="FF0000"/>
                <w:strike w:val="1"/>
              </w:rPr>
              <w:t>Tim</w:t>
            </w:r>
          </w:p>
        </w:tc>
        <w:tc>
          <w:tcPr>
            <w:tcW w:w="3340" w:type="dxa"/>
            <w:vAlign w:val="bottom"/>
            <w:tcBorders>
              <w:top w:val="single" w:sz="8" w:color="FFDEAD"/>
            </w:tcBorders>
            <w:gridSpan w:val="10"/>
            <w:shd w:val="clear" w:color="auto" w:fill="E6E6FA"/>
          </w:tcPr>
          <w:p>
            <w:pPr>
              <w:spacing w:after="0" w:line="176" w:lineRule="exact"/>
              <w:rPr>
                <w:sz w:val="20"/>
                <w:szCs w:val="20"/>
                <w:color w:val="auto"/>
              </w:rPr>
            </w:pPr>
            <w:r>
              <w:rPr>
                <w:rFonts w:ascii="Times New Roman" w:cs="Times New Roman" w:eastAsia="Times New Roman" w:hAnsi="Times New Roman"/>
                <w:sz w:val="18"/>
                <w:szCs w:val="18"/>
                <w:color w:val="0000FF"/>
              </w:rPr>
              <w:t>Anthony Cappell</w:t>
            </w:r>
          </w:p>
        </w:tc>
        <w:tc>
          <w:tcPr>
            <w:tcW w:w="6420" w:type="dxa"/>
            <w:vAlign w:val="bottom"/>
            <w:tcBorders>
              <w:top w:val="single" w:sz="8" w:color="FFDEAD"/>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00" w:type="dxa"/>
            <w:vAlign w:val="bottom"/>
            <w:tcBorders>
              <w:top w:val="single" w:sz="8" w:color="FFDEAD"/>
            </w:tcBorders>
            <w:shd w:val="clear" w:color="auto" w:fill="FFDEAD"/>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6"/>
          </w:tcPr>
          <w:p>
            <w:pPr>
              <w:spacing w:after="0" w:line="178" w:lineRule="exact"/>
              <w:rPr>
                <w:sz w:val="20"/>
                <w:szCs w:val="20"/>
                <w:color w:val="auto"/>
              </w:rPr>
            </w:pPr>
            <w:r>
              <w:rPr>
                <w:rFonts w:ascii="Times New Roman" w:cs="Times New Roman" w:eastAsia="Times New Roman" w:hAnsi="Times New Roman"/>
                <w:sz w:val="18"/>
                <w:szCs w:val="18"/>
                <w:color w:val="FF0000"/>
                <w:strike w:val="1"/>
                <w:w w:val="93"/>
              </w:rPr>
              <w:t>Gottfried</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Borders>
              <w:top w:val="single" w:sz="8" w:color="0000FF"/>
            </w:tcBorders>
            <w:shd w:val="clear" w:color="auto" w:fill="E6E6FA"/>
          </w:tcPr>
          <w:p>
            <w:pPr>
              <w:spacing w:after="0"/>
              <w:rPr>
                <w:sz w:val="15"/>
                <w:szCs w:val="15"/>
                <w:color w:val="auto"/>
              </w:rPr>
            </w:pPr>
          </w:p>
        </w:tc>
        <w:tc>
          <w:tcPr>
            <w:tcW w:w="40" w:type="dxa"/>
            <w:vAlign w:val="bottom"/>
            <w:tcBorders>
              <w:top w:val="single" w:sz="8" w:color="0000FF"/>
            </w:tcBorders>
            <w:shd w:val="clear" w:color="auto" w:fill="E6E6FA"/>
          </w:tcPr>
          <w:p>
            <w:pPr>
              <w:spacing w:after="0"/>
              <w:rPr>
                <w:sz w:val="15"/>
                <w:szCs w:val="15"/>
                <w:color w:val="auto"/>
              </w:rPr>
            </w:pPr>
          </w:p>
        </w:tc>
        <w:tc>
          <w:tcPr>
            <w:tcW w:w="780" w:type="dxa"/>
            <w:vAlign w:val="bottom"/>
            <w:tcBorders>
              <w:top w:val="single" w:sz="8" w:color="0000FF"/>
            </w:tcBorders>
            <w:shd w:val="clear" w:color="auto" w:fill="E6E6FA"/>
          </w:tcPr>
          <w:p>
            <w:pPr>
              <w:spacing w:after="0"/>
              <w:rPr>
                <w:sz w:val="15"/>
                <w:szCs w:val="15"/>
                <w:color w:val="auto"/>
              </w:rPr>
            </w:pPr>
          </w:p>
        </w:tc>
        <w:tc>
          <w:tcPr>
            <w:tcW w:w="20" w:type="dxa"/>
            <w:vAlign w:val="bottom"/>
            <w:tcBorders>
              <w:top w:val="single" w:sz="8" w:color="0000FF"/>
            </w:tcBorders>
            <w:shd w:val="clear" w:color="auto" w:fill="E6E6FA"/>
          </w:tcPr>
          <w:p>
            <w:pPr>
              <w:spacing w:after="0"/>
              <w:rPr>
                <w:sz w:val="15"/>
                <w:szCs w:val="15"/>
                <w:color w:val="auto"/>
              </w:rPr>
            </w:pPr>
          </w:p>
        </w:tc>
        <w:tc>
          <w:tcPr>
            <w:tcW w:w="100" w:type="dxa"/>
            <w:vAlign w:val="bottom"/>
            <w:tcBorders>
              <w:top w:val="single" w:sz="8" w:color="E6E6FA"/>
            </w:tcBorders>
            <w:shd w:val="clear" w:color="auto" w:fill="E6E6FA"/>
          </w:tcPr>
          <w:p>
            <w:pPr>
              <w:spacing w:after="0"/>
              <w:rPr>
                <w:sz w:val="15"/>
                <w:szCs w:val="15"/>
                <w:color w:val="auto"/>
              </w:rPr>
            </w:pPr>
          </w:p>
        </w:tc>
        <w:tc>
          <w:tcPr>
            <w:tcW w:w="820" w:type="dxa"/>
            <w:vAlign w:val="bottom"/>
            <w:tcBorders>
              <w:top w:val="single" w:sz="8" w:color="E6E6FA"/>
            </w:tcBorders>
            <w:shd w:val="clear" w:color="auto" w:fill="E6E6FA"/>
          </w:tcPr>
          <w:p>
            <w:pPr>
              <w:spacing w:after="0"/>
              <w:rPr>
                <w:sz w:val="15"/>
                <w:szCs w:val="15"/>
                <w:color w:val="auto"/>
              </w:rPr>
            </w:pPr>
          </w:p>
        </w:tc>
        <w:tc>
          <w:tcPr>
            <w:tcW w:w="100" w:type="dxa"/>
            <w:vAlign w:val="bottom"/>
            <w:tcBorders>
              <w:top w:val="single" w:sz="8" w:color="E6E6FA"/>
            </w:tcBorders>
            <w:shd w:val="clear" w:color="auto" w:fill="E6E6FA"/>
          </w:tcPr>
          <w:p>
            <w:pPr>
              <w:spacing w:after="0"/>
              <w:rPr>
                <w:sz w:val="15"/>
                <w:szCs w:val="15"/>
                <w:color w:val="auto"/>
              </w:rPr>
            </w:pPr>
          </w:p>
        </w:tc>
        <w:tc>
          <w:tcPr>
            <w:tcW w:w="380" w:type="dxa"/>
            <w:vAlign w:val="bottom"/>
            <w:tcBorders>
              <w:top w:val="single" w:sz="8" w:color="E6E6FA"/>
            </w:tcBorders>
            <w:shd w:val="clear" w:color="auto" w:fill="E6E6FA"/>
          </w:tcPr>
          <w:p>
            <w:pPr>
              <w:spacing w:after="0"/>
              <w:rPr>
                <w:sz w:val="15"/>
                <w:szCs w:val="15"/>
                <w:color w:val="auto"/>
              </w:rPr>
            </w:pPr>
          </w:p>
        </w:tc>
        <w:tc>
          <w:tcPr>
            <w:tcW w:w="360" w:type="dxa"/>
            <w:vAlign w:val="bottom"/>
            <w:tcBorders>
              <w:top w:val="single" w:sz="8" w:color="E6E6FA"/>
            </w:tcBorders>
            <w:shd w:val="clear" w:color="auto" w:fill="E6E6FA"/>
          </w:tcPr>
          <w:p>
            <w:pPr>
              <w:spacing w:after="0"/>
              <w:rPr>
                <w:sz w:val="15"/>
                <w:szCs w:val="15"/>
                <w:color w:val="auto"/>
              </w:rPr>
            </w:pPr>
          </w:p>
        </w:tc>
        <w:tc>
          <w:tcPr>
            <w:tcW w:w="340" w:type="dxa"/>
            <w:vAlign w:val="bottom"/>
            <w:tcBorders>
              <w:top w:val="single" w:sz="8" w:color="E6E6FA"/>
            </w:tcBorders>
            <w:shd w:val="clear" w:color="auto" w:fill="E6E6FA"/>
          </w:tcPr>
          <w:p>
            <w:pPr>
              <w:spacing w:after="0"/>
              <w:rPr>
                <w:sz w:val="15"/>
                <w:szCs w:val="15"/>
                <w:color w:val="auto"/>
              </w:rPr>
            </w:pPr>
          </w:p>
        </w:tc>
        <w:tc>
          <w:tcPr>
            <w:tcW w:w="6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FFDEAD"/>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Title:</w:t>
            </w:r>
          </w:p>
        </w:tc>
        <w:tc>
          <w:tcPr>
            <w:tcW w:w="3340" w:type="dxa"/>
            <w:vAlign w:val="bottom"/>
            <w:gridSpan w:val="10"/>
            <w:shd w:val="clear" w:color="auto" w:fill="E6E6FA"/>
          </w:tcPr>
          <w:p>
            <w:pPr>
              <w:spacing w:after="0" w:line="194" w:lineRule="exact"/>
              <w:rPr>
                <w:sz w:val="20"/>
                <w:szCs w:val="20"/>
                <w:color w:val="auto"/>
              </w:rPr>
            </w:pPr>
            <w:r>
              <w:rPr>
                <w:rFonts w:ascii="Times New Roman" w:cs="Times New Roman" w:eastAsia="Times New Roman" w:hAnsi="Times New Roman"/>
                <w:sz w:val="18"/>
                <w:szCs w:val="18"/>
                <w:color w:val="0000FF"/>
              </w:rPr>
              <w:t>Authorized Person</w:t>
            </w:r>
          </w:p>
        </w:tc>
        <w:tc>
          <w:tcPr>
            <w:tcW w:w="6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0" w:type="dxa"/>
            <w:vAlign w:val="bottom"/>
            <w:tcBorders>
              <w:top w:val="single" w:sz="8" w:color="FFDEAD"/>
            </w:tcBorders>
            <w:shd w:val="clear" w:color="auto" w:fill="FFDEAD"/>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7"/>
          </w:tcPr>
          <w:p>
            <w:pPr>
              <w:spacing w:after="0" w:line="178" w:lineRule="exact"/>
              <w:rPr>
                <w:sz w:val="20"/>
                <w:szCs w:val="20"/>
                <w:color w:val="auto"/>
              </w:rPr>
            </w:pPr>
            <w:r>
              <w:rPr>
                <w:rFonts w:ascii="Times New Roman" w:cs="Times New Roman" w:eastAsia="Times New Roman" w:hAnsi="Times New Roman"/>
                <w:sz w:val="18"/>
                <w:szCs w:val="18"/>
                <w:color w:val="FF0000"/>
                <w:strike w:val="1"/>
                <w:w w:val="97"/>
              </w:rPr>
              <w:t>Executive</w:t>
            </w:r>
          </w:p>
        </w:tc>
        <w:tc>
          <w:tcPr>
            <w:tcW w:w="320" w:type="dxa"/>
            <w:vAlign w:val="bottom"/>
          </w:tcPr>
          <w:p>
            <w:pPr>
              <w:spacing w:after="0"/>
              <w:rPr>
                <w:sz w:val="15"/>
                <w:szCs w:val="15"/>
                <w:color w:val="auto"/>
              </w:rPr>
            </w:pPr>
          </w:p>
        </w:tc>
        <w:tc>
          <w:tcPr>
            <w:tcW w:w="400" w:type="dxa"/>
            <w:vAlign w:val="bottom"/>
            <w:tcBorders>
              <w:top w:val="single" w:sz="8" w:color="0000FF"/>
            </w:tcBorders>
            <w:shd w:val="clear" w:color="auto" w:fill="E6E6FA"/>
          </w:tcPr>
          <w:p>
            <w:pPr>
              <w:spacing w:after="0"/>
              <w:rPr>
                <w:sz w:val="15"/>
                <w:szCs w:val="15"/>
                <w:color w:val="auto"/>
              </w:rPr>
            </w:pPr>
          </w:p>
        </w:tc>
        <w:tc>
          <w:tcPr>
            <w:tcW w:w="40" w:type="dxa"/>
            <w:vAlign w:val="bottom"/>
            <w:tcBorders>
              <w:top w:val="single" w:sz="8" w:color="0000FF"/>
            </w:tcBorders>
            <w:shd w:val="clear" w:color="auto" w:fill="E6E6FA"/>
          </w:tcPr>
          <w:p>
            <w:pPr>
              <w:spacing w:after="0"/>
              <w:rPr>
                <w:sz w:val="15"/>
                <w:szCs w:val="15"/>
                <w:color w:val="auto"/>
              </w:rPr>
            </w:pPr>
          </w:p>
        </w:tc>
        <w:tc>
          <w:tcPr>
            <w:tcW w:w="780" w:type="dxa"/>
            <w:vAlign w:val="bottom"/>
            <w:tcBorders>
              <w:top w:val="single" w:sz="8" w:color="0000FF"/>
            </w:tcBorders>
            <w:shd w:val="clear" w:color="auto" w:fill="E6E6FA"/>
          </w:tcPr>
          <w:p>
            <w:pPr>
              <w:spacing w:after="0"/>
              <w:rPr>
                <w:sz w:val="15"/>
                <w:szCs w:val="15"/>
                <w:color w:val="auto"/>
              </w:rPr>
            </w:pPr>
          </w:p>
        </w:tc>
        <w:tc>
          <w:tcPr>
            <w:tcW w:w="20" w:type="dxa"/>
            <w:vAlign w:val="bottom"/>
            <w:tcBorders>
              <w:top w:val="single" w:sz="8" w:color="0000FF"/>
            </w:tcBorders>
            <w:shd w:val="clear" w:color="auto" w:fill="E6E6FA"/>
          </w:tcPr>
          <w:p>
            <w:pPr>
              <w:spacing w:after="0"/>
              <w:rPr>
                <w:sz w:val="15"/>
                <w:szCs w:val="15"/>
                <w:color w:val="auto"/>
              </w:rPr>
            </w:pPr>
          </w:p>
        </w:tc>
        <w:tc>
          <w:tcPr>
            <w:tcW w:w="100" w:type="dxa"/>
            <w:vAlign w:val="bottom"/>
            <w:tcBorders>
              <w:top w:val="single" w:sz="8" w:color="0000FF"/>
            </w:tcBorders>
            <w:shd w:val="clear" w:color="auto" w:fill="E6E6FA"/>
          </w:tcPr>
          <w:p>
            <w:pPr>
              <w:spacing w:after="0"/>
              <w:rPr>
                <w:sz w:val="15"/>
                <w:szCs w:val="15"/>
                <w:color w:val="auto"/>
              </w:rPr>
            </w:pPr>
          </w:p>
        </w:tc>
        <w:tc>
          <w:tcPr>
            <w:tcW w:w="820" w:type="dxa"/>
            <w:vAlign w:val="bottom"/>
            <w:tcBorders>
              <w:top w:val="single" w:sz="8" w:color="E6E6FA"/>
            </w:tcBorders>
            <w:shd w:val="clear" w:color="auto" w:fill="E6E6FA"/>
          </w:tcPr>
          <w:p>
            <w:pPr>
              <w:spacing w:after="0"/>
              <w:rPr>
                <w:sz w:val="15"/>
                <w:szCs w:val="15"/>
                <w:color w:val="auto"/>
              </w:rPr>
            </w:pPr>
          </w:p>
        </w:tc>
        <w:tc>
          <w:tcPr>
            <w:tcW w:w="100" w:type="dxa"/>
            <w:vAlign w:val="bottom"/>
            <w:tcBorders>
              <w:top w:val="single" w:sz="8" w:color="E6E6FA"/>
            </w:tcBorders>
            <w:shd w:val="clear" w:color="auto" w:fill="E6E6FA"/>
          </w:tcPr>
          <w:p>
            <w:pPr>
              <w:spacing w:after="0"/>
              <w:rPr>
                <w:sz w:val="15"/>
                <w:szCs w:val="15"/>
                <w:color w:val="auto"/>
              </w:rPr>
            </w:pPr>
          </w:p>
        </w:tc>
        <w:tc>
          <w:tcPr>
            <w:tcW w:w="380" w:type="dxa"/>
            <w:vAlign w:val="bottom"/>
            <w:tcBorders>
              <w:top w:val="single" w:sz="8" w:color="E6E6FA"/>
            </w:tcBorders>
            <w:shd w:val="clear" w:color="auto" w:fill="E6E6FA"/>
          </w:tcPr>
          <w:p>
            <w:pPr>
              <w:spacing w:after="0"/>
              <w:rPr>
                <w:sz w:val="15"/>
                <w:szCs w:val="15"/>
                <w:color w:val="auto"/>
              </w:rPr>
            </w:pPr>
          </w:p>
        </w:tc>
        <w:tc>
          <w:tcPr>
            <w:tcW w:w="360" w:type="dxa"/>
            <w:vAlign w:val="bottom"/>
            <w:tcBorders>
              <w:top w:val="single" w:sz="8" w:color="E6E6FA"/>
            </w:tcBorders>
            <w:shd w:val="clear" w:color="auto" w:fill="E6E6FA"/>
          </w:tcPr>
          <w:p>
            <w:pPr>
              <w:spacing w:after="0"/>
              <w:rPr>
                <w:sz w:val="15"/>
                <w:szCs w:val="15"/>
                <w:color w:val="auto"/>
              </w:rPr>
            </w:pPr>
          </w:p>
        </w:tc>
        <w:tc>
          <w:tcPr>
            <w:tcW w:w="340" w:type="dxa"/>
            <w:vAlign w:val="bottom"/>
            <w:tcBorders>
              <w:top w:val="single" w:sz="8" w:color="E6E6FA"/>
            </w:tcBorders>
            <w:shd w:val="clear" w:color="auto" w:fill="E6E6FA"/>
          </w:tcPr>
          <w:p>
            <w:pPr>
              <w:spacing w:after="0"/>
              <w:rPr>
                <w:sz w:val="15"/>
                <w:szCs w:val="15"/>
                <w:color w:val="auto"/>
              </w:rPr>
            </w:pPr>
          </w:p>
        </w:tc>
        <w:tc>
          <w:tcPr>
            <w:tcW w:w="6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FFDEAD"/>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8"/>
          </w:tcPr>
          <w:p>
            <w:pPr>
              <w:spacing w:after="0"/>
              <w:rPr>
                <w:sz w:val="20"/>
                <w:szCs w:val="20"/>
                <w:color w:val="auto"/>
              </w:rPr>
            </w:pPr>
            <w:r>
              <w:rPr>
                <w:rFonts w:ascii="Times New Roman" w:cs="Times New Roman" w:eastAsia="Times New Roman" w:hAnsi="Times New Roman"/>
                <w:sz w:val="18"/>
                <w:szCs w:val="18"/>
                <w:color w:val="FF0000"/>
                <w:strike w:val="1"/>
                <w:w w:val="94"/>
              </w:rPr>
              <w:t>Vice President</w:t>
            </w:r>
          </w:p>
        </w:tc>
        <w:tc>
          <w:tcPr>
            <w:tcW w:w="400" w:type="dxa"/>
            <w:vAlign w:val="bottom"/>
            <w:shd w:val="clear" w:color="auto" w:fill="E6E6FA"/>
          </w:tcPr>
          <w:p>
            <w:pPr>
              <w:spacing w:after="0"/>
              <w:rPr>
                <w:sz w:val="18"/>
                <w:szCs w:val="18"/>
                <w:color w:val="auto"/>
              </w:rPr>
            </w:pPr>
          </w:p>
        </w:tc>
        <w:tc>
          <w:tcPr>
            <w:tcW w:w="40" w:type="dxa"/>
            <w:vAlign w:val="bottom"/>
            <w:shd w:val="clear" w:color="auto" w:fill="E6E6FA"/>
          </w:tcPr>
          <w:p>
            <w:pPr>
              <w:spacing w:after="0"/>
              <w:rPr>
                <w:sz w:val="18"/>
                <w:szCs w:val="18"/>
                <w:color w:val="auto"/>
              </w:rPr>
            </w:pPr>
          </w:p>
        </w:tc>
        <w:tc>
          <w:tcPr>
            <w:tcW w:w="780" w:type="dxa"/>
            <w:vAlign w:val="bottom"/>
            <w:shd w:val="clear" w:color="auto" w:fill="E6E6FA"/>
          </w:tcPr>
          <w:p>
            <w:pPr>
              <w:spacing w:after="0"/>
              <w:rPr>
                <w:sz w:val="18"/>
                <w:szCs w:val="18"/>
                <w:color w:val="auto"/>
              </w:rPr>
            </w:pPr>
          </w:p>
        </w:tc>
        <w:tc>
          <w:tcPr>
            <w:tcW w:w="20" w:type="dxa"/>
            <w:vAlign w:val="bottom"/>
            <w:shd w:val="clear" w:color="auto" w:fill="E6E6FA"/>
          </w:tcPr>
          <w:p>
            <w:pPr>
              <w:spacing w:after="0"/>
              <w:rPr>
                <w:sz w:val="18"/>
                <w:szCs w:val="18"/>
                <w:color w:val="auto"/>
              </w:rPr>
            </w:pPr>
          </w:p>
        </w:tc>
        <w:tc>
          <w:tcPr>
            <w:tcW w:w="100" w:type="dxa"/>
            <w:vAlign w:val="bottom"/>
            <w:shd w:val="clear" w:color="auto" w:fill="E6E6FA"/>
          </w:tcPr>
          <w:p>
            <w:pPr>
              <w:spacing w:after="0"/>
              <w:rPr>
                <w:sz w:val="18"/>
                <w:szCs w:val="18"/>
                <w:color w:val="auto"/>
              </w:rPr>
            </w:pPr>
          </w:p>
        </w:tc>
        <w:tc>
          <w:tcPr>
            <w:tcW w:w="820" w:type="dxa"/>
            <w:vAlign w:val="bottom"/>
            <w:shd w:val="clear" w:color="auto" w:fill="E6E6FA"/>
          </w:tcPr>
          <w:p>
            <w:pPr>
              <w:spacing w:after="0"/>
              <w:rPr>
                <w:sz w:val="18"/>
                <w:szCs w:val="18"/>
                <w:color w:val="auto"/>
              </w:rPr>
            </w:pPr>
          </w:p>
        </w:tc>
        <w:tc>
          <w:tcPr>
            <w:tcW w:w="100" w:type="dxa"/>
            <w:vAlign w:val="bottom"/>
            <w:shd w:val="clear" w:color="auto" w:fill="E6E6FA"/>
          </w:tcPr>
          <w:p>
            <w:pPr>
              <w:spacing w:after="0"/>
              <w:rPr>
                <w:sz w:val="18"/>
                <w:szCs w:val="18"/>
                <w:color w:val="auto"/>
              </w:rPr>
            </w:pPr>
          </w:p>
        </w:tc>
        <w:tc>
          <w:tcPr>
            <w:tcW w:w="380" w:type="dxa"/>
            <w:vAlign w:val="bottom"/>
            <w:shd w:val="clear" w:color="auto" w:fill="E6E6FA"/>
          </w:tcPr>
          <w:p>
            <w:pPr>
              <w:spacing w:after="0"/>
              <w:rPr>
                <w:sz w:val="18"/>
                <w:szCs w:val="18"/>
                <w:color w:val="auto"/>
              </w:rPr>
            </w:pPr>
          </w:p>
        </w:tc>
        <w:tc>
          <w:tcPr>
            <w:tcW w:w="360" w:type="dxa"/>
            <w:vAlign w:val="bottom"/>
            <w:shd w:val="clear" w:color="auto" w:fill="E6E6FA"/>
          </w:tcPr>
          <w:p>
            <w:pPr>
              <w:spacing w:after="0"/>
              <w:rPr>
                <w:sz w:val="18"/>
                <w:szCs w:val="18"/>
                <w:color w:val="auto"/>
              </w:rPr>
            </w:pPr>
          </w:p>
        </w:tc>
        <w:tc>
          <w:tcPr>
            <w:tcW w:w="340" w:type="dxa"/>
            <w:vAlign w:val="bottom"/>
            <w:shd w:val="clear" w:color="auto" w:fill="E6E6FA"/>
          </w:tcPr>
          <w:p>
            <w:pPr>
              <w:spacing w:after="0"/>
              <w:rPr>
                <w:sz w:val="18"/>
                <w:szCs w:val="18"/>
                <w:color w:val="auto"/>
              </w:rPr>
            </w:pPr>
          </w:p>
        </w:tc>
        <w:tc>
          <w:tcPr>
            <w:tcW w:w="6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FFDEAD"/>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8"/>
          </w:tcPr>
          <w:p>
            <w:pPr>
              <w:spacing w:after="0"/>
              <w:rPr>
                <w:sz w:val="20"/>
                <w:szCs w:val="20"/>
                <w:color w:val="auto"/>
              </w:rPr>
            </w:pPr>
            <w:r>
              <w:rPr>
                <w:rFonts w:ascii="Times New Roman" w:cs="Times New Roman" w:eastAsia="Times New Roman" w:hAnsi="Times New Roman"/>
                <w:sz w:val="18"/>
                <w:szCs w:val="18"/>
                <w:color w:val="FF0000"/>
                <w:strike w:val="1"/>
              </w:rPr>
              <w:t>of Strategy</w:t>
            </w:r>
          </w:p>
        </w:tc>
        <w:tc>
          <w:tcPr>
            <w:tcW w:w="400" w:type="dxa"/>
            <w:vAlign w:val="bottom"/>
            <w:shd w:val="clear" w:color="auto" w:fill="E6E6FA"/>
          </w:tcPr>
          <w:p>
            <w:pPr>
              <w:spacing w:after="0"/>
              <w:rPr>
                <w:sz w:val="20"/>
                <w:szCs w:val="20"/>
                <w:color w:val="auto"/>
              </w:rPr>
            </w:pPr>
          </w:p>
        </w:tc>
        <w:tc>
          <w:tcPr>
            <w:tcW w:w="40" w:type="dxa"/>
            <w:vAlign w:val="bottom"/>
            <w:shd w:val="clear" w:color="auto" w:fill="E6E6FA"/>
          </w:tcPr>
          <w:p>
            <w:pPr>
              <w:spacing w:after="0"/>
              <w:rPr>
                <w:sz w:val="20"/>
                <w:szCs w:val="20"/>
                <w:color w:val="auto"/>
              </w:rPr>
            </w:pPr>
          </w:p>
        </w:tc>
        <w:tc>
          <w:tcPr>
            <w:tcW w:w="780" w:type="dxa"/>
            <w:vAlign w:val="bottom"/>
            <w:shd w:val="clear" w:color="auto" w:fill="E6E6FA"/>
          </w:tcPr>
          <w:p>
            <w:pPr>
              <w:spacing w:after="0"/>
              <w:rPr>
                <w:sz w:val="20"/>
                <w:szCs w:val="20"/>
                <w:color w:val="auto"/>
              </w:rPr>
            </w:pPr>
          </w:p>
        </w:tc>
        <w:tc>
          <w:tcPr>
            <w:tcW w:w="20" w:type="dxa"/>
            <w:vAlign w:val="bottom"/>
            <w:shd w:val="clear" w:color="auto" w:fill="E6E6FA"/>
          </w:tcPr>
          <w:p>
            <w:pPr>
              <w:spacing w:after="0"/>
              <w:rPr>
                <w:sz w:val="20"/>
                <w:szCs w:val="20"/>
                <w:color w:val="auto"/>
              </w:rPr>
            </w:pPr>
          </w:p>
        </w:tc>
        <w:tc>
          <w:tcPr>
            <w:tcW w:w="100" w:type="dxa"/>
            <w:vAlign w:val="bottom"/>
            <w:shd w:val="clear" w:color="auto" w:fill="E6E6FA"/>
          </w:tcPr>
          <w:p>
            <w:pPr>
              <w:spacing w:after="0"/>
              <w:rPr>
                <w:sz w:val="20"/>
                <w:szCs w:val="20"/>
                <w:color w:val="auto"/>
              </w:rPr>
            </w:pPr>
          </w:p>
        </w:tc>
        <w:tc>
          <w:tcPr>
            <w:tcW w:w="820" w:type="dxa"/>
            <w:vAlign w:val="bottom"/>
            <w:shd w:val="clear" w:color="auto" w:fill="E6E6FA"/>
          </w:tcPr>
          <w:p>
            <w:pPr>
              <w:spacing w:after="0"/>
              <w:rPr>
                <w:sz w:val="20"/>
                <w:szCs w:val="20"/>
                <w:color w:val="auto"/>
              </w:rPr>
            </w:pPr>
          </w:p>
        </w:tc>
        <w:tc>
          <w:tcPr>
            <w:tcW w:w="100" w:type="dxa"/>
            <w:vAlign w:val="bottom"/>
            <w:shd w:val="clear" w:color="auto" w:fill="E6E6FA"/>
          </w:tcPr>
          <w:p>
            <w:pPr>
              <w:spacing w:after="0"/>
              <w:rPr>
                <w:sz w:val="20"/>
                <w:szCs w:val="20"/>
                <w:color w:val="auto"/>
              </w:rPr>
            </w:pPr>
          </w:p>
        </w:tc>
        <w:tc>
          <w:tcPr>
            <w:tcW w:w="380" w:type="dxa"/>
            <w:vAlign w:val="bottom"/>
            <w:shd w:val="clear" w:color="auto" w:fill="E6E6FA"/>
          </w:tcPr>
          <w:p>
            <w:pPr>
              <w:spacing w:after="0"/>
              <w:rPr>
                <w:sz w:val="20"/>
                <w:szCs w:val="20"/>
                <w:color w:val="auto"/>
              </w:rPr>
            </w:pPr>
          </w:p>
        </w:tc>
        <w:tc>
          <w:tcPr>
            <w:tcW w:w="360" w:type="dxa"/>
            <w:vAlign w:val="bottom"/>
            <w:shd w:val="clear" w:color="auto" w:fill="E6E6FA"/>
          </w:tcPr>
          <w:p>
            <w:pPr>
              <w:spacing w:after="0"/>
              <w:rPr>
                <w:sz w:val="20"/>
                <w:szCs w:val="20"/>
                <w:color w:val="auto"/>
              </w:rPr>
            </w:pPr>
          </w:p>
        </w:tc>
        <w:tc>
          <w:tcPr>
            <w:tcW w:w="340" w:type="dxa"/>
            <w:vAlign w:val="bottom"/>
            <w:shd w:val="clear" w:color="auto" w:fill="E6E6FA"/>
          </w:tcPr>
          <w:p>
            <w:pPr>
              <w:spacing w:after="0"/>
              <w:rPr>
                <w:sz w:val="20"/>
                <w:szCs w:val="20"/>
                <w:color w:val="auto"/>
              </w:rPr>
            </w:pPr>
          </w:p>
        </w:tc>
        <w:tc>
          <w:tcPr>
            <w:tcW w:w="6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 w:type="dxa"/>
            <w:vAlign w:val="bottom"/>
            <w:shd w:val="clear" w:color="auto" w:fill="FFDEAD"/>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shd w:val="clear" w:color="auto" w:fill="E6E6FA"/>
          </w:tcPr>
          <w:p>
            <w:pPr>
              <w:spacing w:after="0"/>
              <w:rPr>
                <w:sz w:val="24"/>
                <w:szCs w:val="24"/>
                <w:color w:val="auto"/>
              </w:rPr>
            </w:pPr>
          </w:p>
        </w:tc>
        <w:tc>
          <w:tcPr>
            <w:tcW w:w="40" w:type="dxa"/>
            <w:vAlign w:val="bottom"/>
            <w:shd w:val="clear" w:color="auto" w:fill="E6E6FA"/>
          </w:tcPr>
          <w:p>
            <w:pPr>
              <w:spacing w:after="0"/>
              <w:rPr>
                <w:sz w:val="24"/>
                <w:szCs w:val="24"/>
                <w:color w:val="auto"/>
              </w:rPr>
            </w:pPr>
          </w:p>
        </w:tc>
        <w:tc>
          <w:tcPr>
            <w:tcW w:w="780" w:type="dxa"/>
            <w:vAlign w:val="bottom"/>
            <w:shd w:val="clear" w:color="auto" w:fill="E6E6FA"/>
          </w:tcPr>
          <w:p>
            <w:pPr>
              <w:spacing w:after="0"/>
              <w:rPr>
                <w:sz w:val="24"/>
                <w:szCs w:val="24"/>
                <w:color w:val="auto"/>
              </w:rPr>
            </w:pPr>
          </w:p>
        </w:tc>
        <w:tc>
          <w:tcPr>
            <w:tcW w:w="20" w:type="dxa"/>
            <w:vAlign w:val="bottom"/>
            <w:shd w:val="clear" w:color="auto" w:fill="E6E6FA"/>
          </w:tcPr>
          <w:p>
            <w:pPr>
              <w:spacing w:after="0"/>
              <w:rPr>
                <w:sz w:val="24"/>
                <w:szCs w:val="24"/>
                <w:color w:val="auto"/>
              </w:rPr>
            </w:pPr>
          </w:p>
        </w:tc>
        <w:tc>
          <w:tcPr>
            <w:tcW w:w="100" w:type="dxa"/>
            <w:vAlign w:val="bottom"/>
            <w:shd w:val="clear" w:color="auto" w:fill="E6E6FA"/>
          </w:tcPr>
          <w:p>
            <w:pPr>
              <w:spacing w:after="0"/>
              <w:rPr>
                <w:sz w:val="24"/>
                <w:szCs w:val="24"/>
                <w:color w:val="auto"/>
              </w:rPr>
            </w:pPr>
          </w:p>
        </w:tc>
        <w:tc>
          <w:tcPr>
            <w:tcW w:w="820" w:type="dxa"/>
            <w:vAlign w:val="bottom"/>
            <w:shd w:val="clear" w:color="auto" w:fill="E6E6FA"/>
          </w:tcPr>
          <w:p>
            <w:pPr>
              <w:spacing w:after="0"/>
              <w:rPr>
                <w:sz w:val="24"/>
                <w:szCs w:val="24"/>
                <w:color w:val="auto"/>
              </w:rPr>
            </w:pPr>
          </w:p>
        </w:tc>
        <w:tc>
          <w:tcPr>
            <w:tcW w:w="100" w:type="dxa"/>
            <w:vAlign w:val="bottom"/>
            <w:shd w:val="clear" w:color="auto" w:fill="E6E6FA"/>
          </w:tcPr>
          <w:p>
            <w:pPr>
              <w:spacing w:after="0"/>
              <w:rPr>
                <w:sz w:val="24"/>
                <w:szCs w:val="24"/>
                <w:color w:val="auto"/>
              </w:rPr>
            </w:pPr>
          </w:p>
        </w:tc>
        <w:tc>
          <w:tcPr>
            <w:tcW w:w="380" w:type="dxa"/>
            <w:vAlign w:val="bottom"/>
            <w:shd w:val="clear" w:color="auto" w:fill="E6E6FA"/>
          </w:tcPr>
          <w:p>
            <w:pPr>
              <w:spacing w:after="0"/>
              <w:rPr>
                <w:sz w:val="24"/>
                <w:szCs w:val="24"/>
                <w:color w:val="auto"/>
              </w:rPr>
            </w:pPr>
          </w:p>
        </w:tc>
        <w:tc>
          <w:tcPr>
            <w:tcW w:w="360" w:type="dxa"/>
            <w:vAlign w:val="bottom"/>
            <w:shd w:val="clear" w:color="auto" w:fill="E6E6FA"/>
          </w:tcPr>
          <w:p>
            <w:pPr>
              <w:spacing w:after="0"/>
              <w:rPr>
                <w:sz w:val="24"/>
                <w:szCs w:val="24"/>
                <w:color w:val="auto"/>
              </w:rPr>
            </w:pPr>
          </w:p>
        </w:tc>
        <w:tc>
          <w:tcPr>
            <w:tcW w:w="340" w:type="dxa"/>
            <w:vAlign w:val="bottom"/>
            <w:shd w:val="clear" w:color="auto" w:fill="E6E6FA"/>
          </w:tcPr>
          <w:p>
            <w:pPr>
              <w:spacing w:after="0"/>
              <w:rPr>
                <w:sz w:val="24"/>
                <w:szCs w:val="24"/>
                <w:color w:val="auto"/>
              </w:rPr>
            </w:pPr>
          </w:p>
        </w:tc>
        <w:tc>
          <w:tcPr>
            <w:tcW w:w="6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FFDEAD"/>
          </w:tcPr>
          <w:p>
            <w:pPr>
              <w:spacing w:after="0"/>
              <w:rPr>
                <w:sz w:val="18"/>
                <w:szCs w:val="18"/>
                <w:color w:val="auto"/>
              </w:rPr>
            </w:pPr>
          </w:p>
        </w:tc>
        <w:tc>
          <w:tcPr>
            <w:tcW w:w="160" w:type="dxa"/>
            <w:vAlign w:val="bottom"/>
            <w:shd w:val="clear" w:color="auto" w:fill="FFDEAD"/>
          </w:tcPr>
          <w:p>
            <w:pPr>
              <w:spacing w:after="0"/>
              <w:rPr>
                <w:sz w:val="18"/>
                <w:szCs w:val="18"/>
                <w:color w:val="auto"/>
              </w:rPr>
            </w:pPr>
          </w:p>
        </w:tc>
        <w:tc>
          <w:tcPr>
            <w:tcW w:w="100" w:type="dxa"/>
            <w:vAlign w:val="bottom"/>
            <w:shd w:val="clear" w:color="auto" w:fill="FFDEAD"/>
          </w:tcPr>
          <w:p>
            <w:pPr>
              <w:spacing w:after="0"/>
              <w:rPr>
                <w:sz w:val="18"/>
                <w:szCs w:val="18"/>
                <w:color w:val="auto"/>
              </w:rPr>
            </w:pPr>
          </w:p>
        </w:tc>
        <w:tc>
          <w:tcPr>
            <w:tcW w:w="80" w:type="dxa"/>
            <w:vAlign w:val="bottom"/>
            <w:tcBorders>
              <w:right w:val="single" w:sz="8" w:color="FFDEAD"/>
            </w:tcBorders>
            <w:shd w:val="clear" w:color="auto" w:fill="FFDEAD"/>
          </w:tcPr>
          <w:p>
            <w:pPr>
              <w:spacing w:after="0"/>
              <w:rPr>
                <w:sz w:val="18"/>
                <w:szCs w:val="18"/>
                <w:color w:val="auto"/>
              </w:rPr>
            </w:pPr>
          </w:p>
        </w:tc>
        <w:tc>
          <w:tcPr>
            <w:tcW w:w="460" w:type="dxa"/>
            <w:vAlign w:val="bottom"/>
            <w:shd w:val="clear" w:color="auto" w:fill="FFDEAD"/>
          </w:tcPr>
          <w:p>
            <w:pPr>
              <w:spacing w:after="0"/>
              <w:rPr>
                <w:sz w:val="18"/>
                <w:szCs w:val="18"/>
                <w:color w:val="auto"/>
              </w:rPr>
            </w:pPr>
          </w:p>
        </w:tc>
        <w:tc>
          <w:tcPr>
            <w:tcW w:w="20" w:type="dxa"/>
            <w:vAlign w:val="bottom"/>
            <w:shd w:val="clear" w:color="auto" w:fill="FFDEAD"/>
          </w:tcPr>
          <w:p>
            <w:pPr>
              <w:spacing w:after="0"/>
              <w:rPr>
                <w:sz w:val="18"/>
                <w:szCs w:val="18"/>
                <w:color w:val="auto"/>
              </w:rPr>
            </w:pPr>
          </w:p>
        </w:tc>
        <w:tc>
          <w:tcPr>
            <w:tcW w:w="20" w:type="dxa"/>
            <w:vAlign w:val="bottom"/>
            <w:shd w:val="clear" w:color="auto" w:fill="FFDEAD"/>
          </w:tcPr>
          <w:p>
            <w:pPr>
              <w:spacing w:after="0"/>
              <w:rPr>
                <w:sz w:val="18"/>
                <w:szCs w:val="18"/>
                <w:color w:val="auto"/>
              </w:rPr>
            </w:pPr>
          </w:p>
        </w:tc>
        <w:tc>
          <w:tcPr>
            <w:tcW w:w="20" w:type="dxa"/>
            <w:vAlign w:val="bottom"/>
            <w:shd w:val="clear" w:color="auto" w:fill="FFDEAD"/>
          </w:tcPr>
          <w:p>
            <w:pPr>
              <w:spacing w:after="0"/>
              <w:rPr>
                <w:sz w:val="18"/>
                <w:szCs w:val="18"/>
                <w:color w:val="auto"/>
              </w:rPr>
            </w:pPr>
          </w:p>
        </w:tc>
        <w:tc>
          <w:tcPr>
            <w:tcW w:w="20" w:type="dxa"/>
            <w:vAlign w:val="bottom"/>
            <w:shd w:val="clear" w:color="auto" w:fill="FFDEAD"/>
          </w:tcPr>
          <w:p>
            <w:pPr>
              <w:spacing w:after="0"/>
              <w:rPr>
                <w:sz w:val="18"/>
                <w:szCs w:val="18"/>
                <w:color w:val="auto"/>
              </w:rPr>
            </w:pPr>
          </w:p>
        </w:tc>
        <w:tc>
          <w:tcPr>
            <w:tcW w:w="100" w:type="dxa"/>
            <w:vAlign w:val="bottom"/>
            <w:shd w:val="clear" w:color="auto" w:fill="FFDEAD"/>
          </w:tcPr>
          <w:p>
            <w:pPr>
              <w:spacing w:after="0"/>
              <w:rPr>
                <w:sz w:val="18"/>
                <w:szCs w:val="18"/>
                <w:color w:val="auto"/>
              </w:rPr>
            </w:pPr>
          </w:p>
        </w:tc>
        <w:tc>
          <w:tcPr>
            <w:tcW w:w="80" w:type="dxa"/>
            <w:vAlign w:val="bottom"/>
            <w:shd w:val="clear" w:color="auto" w:fill="FFDEAD"/>
          </w:tcPr>
          <w:p>
            <w:pPr>
              <w:spacing w:after="0"/>
              <w:rPr>
                <w:sz w:val="18"/>
                <w:szCs w:val="18"/>
                <w:color w:val="auto"/>
              </w:rPr>
            </w:pPr>
          </w:p>
        </w:tc>
        <w:tc>
          <w:tcPr>
            <w:tcW w:w="320" w:type="dxa"/>
            <w:vAlign w:val="bottom"/>
            <w:tcBorders>
              <w:right w:val="single" w:sz="8" w:color="FFDEAD"/>
            </w:tcBorders>
            <w:shd w:val="clear" w:color="auto" w:fill="FFDEAD"/>
          </w:tcPr>
          <w:p>
            <w:pPr>
              <w:spacing w:after="0"/>
              <w:rPr>
                <w:sz w:val="18"/>
                <w:szCs w:val="18"/>
                <w:color w:val="auto"/>
              </w:rPr>
            </w:pPr>
          </w:p>
        </w:tc>
        <w:tc>
          <w:tcPr>
            <w:tcW w:w="400" w:type="dxa"/>
            <w:vAlign w:val="bottom"/>
            <w:shd w:val="clear" w:color="auto" w:fill="FFDEAD"/>
          </w:tcPr>
          <w:p>
            <w:pPr>
              <w:spacing w:after="0"/>
              <w:rPr>
                <w:sz w:val="18"/>
                <w:szCs w:val="18"/>
                <w:color w:val="auto"/>
              </w:rPr>
            </w:pPr>
          </w:p>
        </w:tc>
        <w:tc>
          <w:tcPr>
            <w:tcW w:w="40" w:type="dxa"/>
            <w:vAlign w:val="bottom"/>
            <w:shd w:val="clear" w:color="auto" w:fill="FFDEAD"/>
          </w:tcPr>
          <w:p>
            <w:pPr>
              <w:spacing w:after="0"/>
              <w:rPr>
                <w:sz w:val="18"/>
                <w:szCs w:val="18"/>
                <w:color w:val="auto"/>
              </w:rPr>
            </w:pPr>
          </w:p>
        </w:tc>
        <w:tc>
          <w:tcPr>
            <w:tcW w:w="780" w:type="dxa"/>
            <w:vAlign w:val="bottom"/>
            <w:shd w:val="clear" w:color="auto" w:fill="FFDEAD"/>
          </w:tcPr>
          <w:p>
            <w:pPr>
              <w:spacing w:after="0"/>
              <w:rPr>
                <w:sz w:val="18"/>
                <w:szCs w:val="18"/>
                <w:color w:val="auto"/>
              </w:rPr>
            </w:pPr>
          </w:p>
        </w:tc>
        <w:tc>
          <w:tcPr>
            <w:tcW w:w="20" w:type="dxa"/>
            <w:vAlign w:val="bottom"/>
            <w:shd w:val="clear" w:color="auto" w:fill="FFDEAD"/>
          </w:tcPr>
          <w:p>
            <w:pPr>
              <w:spacing w:after="0"/>
              <w:rPr>
                <w:sz w:val="18"/>
                <w:szCs w:val="18"/>
                <w:color w:val="auto"/>
              </w:rPr>
            </w:pPr>
          </w:p>
        </w:tc>
        <w:tc>
          <w:tcPr>
            <w:tcW w:w="100" w:type="dxa"/>
            <w:vAlign w:val="bottom"/>
            <w:shd w:val="clear" w:color="auto" w:fill="FFDEAD"/>
          </w:tcPr>
          <w:p>
            <w:pPr>
              <w:spacing w:after="0"/>
              <w:rPr>
                <w:sz w:val="18"/>
                <w:szCs w:val="18"/>
                <w:color w:val="auto"/>
              </w:rPr>
            </w:pPr>
          </w:p>
        </w:tc>
        <w:tc>
          <w:tcPr>
            <w:tcW w:w="820" w:type="dxa"/>
            <w:vAlign w:val="bottom"/>
            <w:shd w:val="clear" w:color="auto" w:fill="FFDEAD"/>
          </w:tcPr>
          <w:p>
            <w:pPr>
              <w:spacing w:after="0"/>
              <w:rPr>
                <w:sz w:val="18"/>
                <w:szCs w:val="18"/>
                <w:color w:val="auto"/>
              </w:rPr>
            </w:pPr>
          </w:p>
        </w:tc>
        <w:tc>
          <w:tcPr>
            <w:tcW w:w="100" w:type="dxa"/>
            <w:vAlign w:val="bottom"/>
            <w:shd w:val="clear" w:color="auto" w:fill="FFDEAD"/>
          </w:tcPr>
          <w:p>
            <w:pPr>
              <w:spacing w:after="0"/>
              <w:rPr>
                <w:sz w:val="18"/>
                <w:szCs w:val="18"/>
                <w:color w:val="auto"/>
              </w:rPr>
            </w:pPr>
          </w:p>
        </w:tc>
        <w:tc>
          <w:tcPr>
            <w:tcW w:w="380" w:type="dxa"/>
            <w:vAlign w:val="bottom"/>
            <w:shd w:val="clear" w:color="auto" w:fill="FFDEAD"/>
          </w:tcPr>
          <w:p>
            <w:pPr>
              <w:spacing w:after="0"/>
              <w:rPr>
                <w:sz w:val="18"/>
                <w:szCs w:val="18"/>
                <w:color w:val="auto"/>
              </w:rPr>
            </w:pPr>
          </w:p>
        </w:tc>
        <w:tc>
          <w:tcPr>
            <w:tcW w:w="360" w:type="dxa"/>
            <w:vAlign w:val="bottom"/>
            <w:shd w:val="clear" w:color="auto" w:fill="FFDEAD"/>
          </w:tcPr>
          <w:p>
            <w:pPr>
              <w:spacing w:after="0"/>
              <w:rPr>
                <w:sz w:val="18"/>
                <w:szCs w:val="18"/>
                <w:color w:val="auto"/>
              </w:rPr>
            </w:pPr>
          </w:p>
        </w:tc>
        <w:tc>
          <w:tcPr>
            <w:tcW w:w="340" w:type="dxa"/>
            <w:vAlign w:val="bottom"/>
            <w:shd w:val="clear" w:color="auto" w:fill="FFDEAD"/>
          </w:tcPr>
          <w:p>
            <w:pPr>
              <w:spacing w:after="0"/>
              <w:rPr>
                <w:sz w:val="18"/>
                <w:szCs w:val="18"/>
                <w:color w:val="auto"/>
              </w:rPr>
            </w:pPr>
          </w:p>
        </w:tc>
        <w:tc>
          <w:tcPr>
            <w:tcW w:w="6420" w:type="dxa"/>
            <w:vAlign w:val="bottom"/>
            <w:shd w:val="clear" w:color="auto" w:fill="FFDEAD"/>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FF0000"/>
        </w:rPr>
        <w:t>[Different first page link-to-previous setting changed from off in original to on in modified.].</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Exhibit</w:t>
      </w:r>
      <w:r>
        <w:rPr>
          <w:rFonts w:ascii="Times New Roman" w:cs="Times New Roman" w:eastAsia="Times New Roman" w:hAnsi="Times New Roman"/>
          <w:sz w:val="18"/>
          <w:szCs w:val="18"/>
          <w:b w:val="1"/>
          <w:bCs w:val="1"/>
          <w:u w:val="single" w:color="auto"/>
          <w:color w:val="0000FF"/>
        </w:rPr>
        <w:t>Appendix</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B</w:t>
      </w:r>
    </w:p>
    <w:p>
      <w:pPr>
        <w:spacing w:after="0" w:line="2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u w:val="single" w:color="auto"/>
          <w:color w:val="0000FF"/>
        </w:rPr>
        <w:t>Resolutions of the Board of Directors of Chicago Atlantic BDC, Inc. (the “Fund”)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RESOLUTIONS OF THE BOARD OF TRUSTEES OF LAGO EVERGREEN CREDIT (THE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strike w:val="1"/>
        </w:rPr>
        <w:t xml:space="preserve">I. </w:t>
      </w:r>
      <w:r>
        <w:rPr>
          <w:rFonts w:ascii="Times New Roman" w:cs="Times New Roman" w:eastAsia="Times New Roman" w:hAnsi="Times New Roman"/>
          <w:sz w:val="18"/>
          <w:szCs w:val="18"/>
          <w:b w:val="1"/>
          <w:bCs w:val="1"/>
          <w:u w:val="single" w:color="auto"/>
          <w:color w:val="FF0000"/>
          <w:strike w:val="1"/>
        </w:rPr>
        <w:t>NEW CO-INVESTMENT EXEMPTIVE APPLICATION</w:t>
      </w:r>
    </w:p>
    <w:p>
      <w:pPr>
        <w:spacing w:after="0" w:line="203"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000"/>
          <w:strike w:val="1"/>
        </w:rPr>
        <w:t>of Trustees has reviewed the Company’s Co-Investment Exemptive Application (the “</w:t>
      </w:r>
      <w:r>
        <w:rPr>
          <w:rFonts w:ascii="Times New Roman" w:cs="Times New Roman" w:eastAsia="Times New Roman" w:hAnsi="Times New Roman"/>
          <w:sz w:val="18"/>
          <w:szCs w:val="18"/>
          <w:b w:val="1"/>
          <w:bCs w:val="1"/>
          <w:i w:val="1"/>
          <w:iCs w:val="1"/>
          <w:color w:val="FF0000"/>
          <w:strike w:val="1"/>
        </w:rPr>
        <w:t>Exemptive Application</w:t>
      </w:r>
      <w:r>
        <w:rPr>
          <w:rFonts w:ascii="Times New Roman" w:cs="Times New Roman" w:eastAsia="Times New Roman" w:hAnsi="Times New Roman"/>
          <w:sz w:val="18"/>
          <w:szCs w:val="18"/>
          <w:color w:val="FF0000"/>
          <w:strike w:val="1"/>
        </w:rPr>
        <w:t>”) involving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000"/>
          <w:strike w:val="1"/>
        </w:rPr>
        <w:t xml:space="preserve">the Company and certain affiliates thereof as specified in the Exemptive Application, a copy of which is attached hereto as </w:t>
      </w:r>
      <w:r>
        <w:rPr>
          <w:rFonts w:ascii="Times New Roman" w:cs="Times New Roman" w:eastAsia="Times New Roman" w:hAnsi="Times New Roman"/>
          <w:sz w:val="18"/>
          <w:szCs w:val="18"/>
          <w:u w:val="single" w:color="auto"/>
          <w:color w:val="FF0000"/>
          <w:strike w:val="1"/>
        </w:rPr>
        <w:t>Appendix A</w:t>
      </w:r>
      <w:r>
        <w:rPr>
          <w:rFonts w:ascii="Times New Roman" w:cs="Times New Roman" w:eastAsia="Times New Roman" w:hAnsi="Times New Roman"/>
          <w:sz w:val="18"/>
          <w:szCs w:val="18"/>
          <w:color w:val="FF0000"/>
          <w:strike w:val="1"/>
        </w:rPr>
        <w:t>, for an order of</w:t>
      </w:r>
      <w:r>
        <w:rPr>
          <w:rFonts w:ascii="Times New Roman" w:cs="Times New Roman" w:eastAsia="Times New Roman" w:hAnsi="Times New Roman"/>
          <w:sz w:val="18"/>
          <w:szCs w:val="18"/>
          <w:u w:val="single" w:color="auto"/>
          <w:color w:val="0000FF"/>
          <w:strike w:val="1"/>
        </w:rPr>
        <w:t>deems it advisable and in the best interest of the Fund to file with</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the U.S. Securities and Exchange Commission (the “Commission”)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an application for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an order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pursuant to</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Section</w:t>
      </w:r>
      <w:r>
        <w:rPr>
          <w:rFonts w:ascii="Times New Roman" w:cs="Times New Roman" w:eastAsia="Times New Roman" w:hAnsi="Times New Roman"/>
          <w:sz w:val="18"/>
          <w:szCs w:val="18"/>
          <w:u w:val="single" w:color="auto"/>
          <w:color w:val="0000FF"/>
          <w:strike w:val="1"/>
        </w:rPr>
        <w:t>Sections 17(d) and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57(i) of the Investment Company Act of 1940, as amended (the “1940 Act”), and Rule 17d-1 promulgated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under the 1940 Act, permitting</w:t>
      </w:r>
      <w:r>
        <w:rPr>
          <w:rFonts w:ascii="Times New Roman" w:cs="Times New Roman" w:eastAsia="Times New Roman" w:hAnsi="Times New Roman"/>
          <w:sz w:val="18"/>
          <w:szCs w:val="18"/>
          <w:u w:val="single" w:color="auto"/>
          <w:color w:val="0000FF"/>
          <w:strike w:val="1"/>
        </w:rPr>
        <w:t>thereunder (the “Application”), to authorize the entering into of</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certain joint transactions that otherwise may be prohibited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by </w:t>
      </w:r>
      <w:r>
        <w:rPr>
          <w:rFonts w:ascii="Times New Roman" w:cs="Times New Roman" w:eastAsia="Times New Roman" w:hAnsi="Times New Roman"/>
          <w:sz w:val="18"/>
          <w:szCs w:val="18"/>
          <w:color w:val="FF0000"/>
          <w:strike w:val="1"/>
        </w:rPr>
        <w:t>Section</w:t>
      </w:r>
      <w:r>
        <w:rPr>
          <w:rFonts w:ascii="Times New Roman" w:cs="Times New Roman" w:eastAsia="Times New Roman" w:hAnsi="Times New Roman"/>
          <w:sz w:val="18"/>
          <w:szCs w:val="18"/>
          <w:u w:val="single" w:color="auto"/>
          <w:color w:val="0000FF"/>
          <w:strike w:val="1"/>
        </w:rPr>
        <w:t>Sections</w:t>
      </w:r>
      <w:r>
        <w:rPr>
          <w:rFonts w:ascii="Times New Roman" w:cs="Times New Roman" w:eastAsia="Times New Roman" w:hAnsi="Times New Roman"/>
          <w:sz w:val="18"/>
          <w:szCs w:val="18"/>
          <w:color w:val="000000"/>
          <w:strike w:val="1"/>
        </w:rPr>
        <w:t xml:space="preserve"> 17(d) and </w:t>
      </w:r>
      <w:r>
        <w:rPr>
          <w:rFonts w:ascii="Times New Roman" w:cs="Times New Roman" w:eastAsia="Times New Roman" w:hAnsi="Times New Roman"/>
          <w:sz w:val="18"/>
          <w:szCs w:val="18"/>
          <w:color w:val="FF0000"/>
          <w:strike w:val="1"/>
        </w:rPr>
        <w:t>Section</w:t>
      </w:r>
      <w:r>
        <w:rPr>
          <w:rFonts w:ascii="Times New Roman" w:cs="Times New Roman" w:eastAsia="Times New Roman" w:hAnsi="Times New Roman"/>
          <w:sz w:val="18"/>
          <w:szCs w:val="18"/>
          <w:color w:val="000000"/>
          <w:strike w:val="1"/>
        </w:rPr>
        <w:t xml:space="preserve"> 57(a)(4) of the 1940 Act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and Rule 17d-1 promulgated thereunder; now therefore be it</w:t>
      </w:r>
    </w:p>
    <w:p>
      <w:pPr>
        <w:spacing w:after="0" w:line="182" w:lineRule="exact"/>
        <w:rPr>
          <w:sz w:val="20"/>
          <w:szCs w:val="20"/>
          <w:color w:val="auto"/>
        </w:rPr>
      </w:pPr>
    </w:p>
    <w:p>
      <w:pPr>
        <w:jc w:val="both"/>
        <w:ind w:firstLine="441"/>
        <w:spacing w:after="0" w:line="259" w:lineRule="auto"/>
        <w:rPr>
          <w:sz w:val="20"/>
          <w:szCs w:val="20"/>
          <w:color w:val="auto"/>
        </w:rPr>
      </w:pPr>
      <w:r>
        <w:rPr>
          <w:rFonts w:ascii="Times New Roman" w:cs="Times New Roman" w:eastAsia="Times New Roman" w:hAnsi="Times New Roman"/>
          <w:sz w:val="18"/>
          <w:szCs w:val="18"/>
          <w:b w:val="1"/>
          <w:bCs w:val="1"/>
          <w:color w:val="FF0000"/>
          <w:strike w:val="1"/>
        </w:rPr>
        <w:t>NOW, THEREFORE, BE IT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RESOLVED</w:t>
      </w:r>
      <w:r>
        <w:rPr>
          <w:rFonts w:ascii="Times New Roman" w:cs="Times New Roman" w:eastAsia="Times New Roman" w:hAnsi="Times New Roman"/>
          <w:sz w:val="18"/>
          <w:szCs w:val="18"/>
          <w:color w:val="000000"/>
        </w:rPr>
        <w:t>, that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FF0000"/>
          <w:strike w:val="1"/>
        </w:rPr>
        <w:t>each of the Chief Executive Officer, Chief Financial Officer, Chief Compliance Officer and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FF0000"/>
          <w:strike w:val="1"/>
        </w:rPr>
        <w:t>Secretary of the Company (the “</w:t>
      </w:r>
      <w:r>
        <w:rPr>
          <w:rFonts w:ascii="Times New Roman" w:cs="Times New Roman" w:eastAsia="Times New Roman" w:hAnsi="Times New Roman"/>
          <w:sz w:val="18"/>
          <w:szCs w:val="18"/>
          <w:b w:val="1"/>
          <w:bCs w:val="1"/>
          <w:i w:val="1"/>
          <w:iCs w:val="1"/>
          <w:color w:val="FF0000"/>
          <w:strike w:val="1"/>
        </w:rPr>
        <w:t>Authorized Officers</w:t>
      </w:r>
      <w:r>
        <w:rPr>
          <w:rFonts w:ascii="Times New Roman" w:cs="Times New Roman" w:eastAsia="Times New Roman" w:hAnsi="Times New Roman"/>
          <w:sz w:val="18"/>
          <w:szCs w:val="18"/>
          <w:color w:val="FF0000"/>
          <w:strike w:val="1"/>
        </w:rPr>
        <w:t>”) shall</w:t>
      </w:r>
      <w:r>
        <w:rPr>
          <w:rFonts w:ascii="Times New Roman" w:cs="Times New Roman" w:eastAsia="Times New Roman" w:hAnsi="Times New Roman"/>
          <w:sz w:val="18"/>
          <w:szCs w:val="18"/>
          <w:u w:val="single" w:color="auto"/>
          <w:color w:val="0000FF"/>
        </w:rPr>
        <w:t>the officers of the Fund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be, and each of them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individually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hereby is, authorized</w:t>
      </w:r>
      <w:r>
        <w:rPr>
          <w:rFonts w:ascii="Times New Roman" w:cs="Times New Roman" w:eastAsia="Times New Roman" w:hAnsi="Times New Roman"/>
          <w:sz w:val="18"/>
          <w:szCs w:val="18"/>
          <w:color w:val="FF0000"/>
          <w:strike w:val="1"/>
        </w:rPr>
        <w:t>, empowered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directed</w:t>
      </w:r>
      <w:r>
        <w:rPr>
          <w:rFonts w:ascii="Times New Roman" w:cs="Times New Roman" w:eastAsia="Times New Roman" w:hAnsi="Times New Roman"/>
          <w:sz w:val="18"/>
          <w:szCs w:val="18"/>
          <w:color w:val="FF0000"/>
          <w:strike w:val="1"/>
        </w:rPr>
        <w:t>, in the name and</w:t>
      </w:r>
      <w:r>
        <w:rPr>
          <w:rFonts w:ascii="Times New Roman" w:cs="Times New Roman" w:eastAsia="Times New Roman" w:hAnsi="Times New Roman"/>
          <w:sz w:val="18"/>
          <w:szCs w:val="18"/>
          <w:color w:val="000000"/>
        </w:rPr>
        <w:t xml:space="preserve"> on behalf of the </w:t>
      </w:r>
      <w:r>
        <w:rPr>
          <w:rFonts w:ascii="Times New Roman" w:cs="Times New Roman" w:eastAsia="Times New Roman" w:hAnsi="Times New Roman"/>
          <w:sz w:val="18"/>
          <w:szCs w:val="18"/>
          <w:color w:val="FF0000"/>
          <w:strike w:val="1"/>
        </w:rPr>
        <w:t>Company, to</w:t>
      </w:r>
      <w:r>
        <w:rPr>
          <w:rFonts w:ascii="Times New Roman" w:cs="Times New Roman" w:eastAsia="Times New Roman" w:hAnsi="Times New Roman"/>
          <w:sz w:val="18"/>
          <w:szCs w:val="18"/>
          <w:u w:val="single" w:color="auto"/>
          <w:color w:val="0000FF"/>
        </w:rPr>
        <w:t>Fund and in its name to prepare, execute, and</w:t>
      </w:r>
      <w:r>
        <w:rPr>
          <w:rFonts w:ascii="Times New Roman" w:cs="Times New Roman" w:eastAsia="Times New Roman" w:hAnsi="Times New Roman"/>
          <w:sz w:val="18"/>
          <w:szCs w:val="18"/>
          <w:color w:val="000000"/>
        </w:rPr>
        <w:t xml:space="preserve"> cause to be </w:t>
      </w:r>
      <w:r>
        <w:rPr>
          <w:rFonts w:ascii="Times New Roman" w:cs="Times New Roman" w:eastAsia="Times New Roman" w:hAnsi="Times New Roman"/>
          <w:sz w:val="18"/>
          <w:szCs w:val="18"/>
          <w:color w:val="FF0000"/>
          <w:strike w:val="1"/>
        </w:rPr>
        <w:t>executed, delivered and</w:t>
      </w:r>
      <w:r>
        <w:rPr>
          <w:rFonts w:ascii="Times New Roman" w:cs="Times New Roman" w:eastAsia="Times New Roman" w:hAnsi="Times New Roman"/>
          <w:sz w:val="18"/>
          <w:szCs w:val="18"/>
          <w:color w:val="000000"/>
        </w:rPr>
        <w:t xml:space="preserve"> filed with the Commission </w:t>
      </w:r>
      <w:r>
        <w:rPr>
          <w:rFonts w:ascii="Times New Roman" w:cs="Times New Roman" w:eastAsia="Times New Roman" w:hAnsi="Times New Roman"/>
          <w:sz w:val="18"/>
          <w:szCs w:val="18"/>
          <w:color w:val="FF0000"/>
          <w:strike w:val="1"/>
        </w:rPr>
        <w:t>the Exemptive</w:t>
      </w:r>
      <w:r>
        <w:rPr>
          <w:rFonts w:ascii="Times New Roman" w:cs="Times New Roman" w:eastAsia="Times New Roman" w:hAnsi="Times New Roman"/>
          <w:sz w:val="18"/>
          <w:szCs w:val="18"/>
          <w:u w:val="single" w:color="auto"/>
          <w:color w:val="0000FF"/>
        </w:rPr>
        <w:t>an</w:t>
      </w:r>
      <w:r>
        <w:rPr>
          <w:rFonts w:ascii="Times New Roman" w:cs="Times New Roman" w:eastAsia="Times New Roman" w:hAnsi="Times New Roman"/>
          <w:sz w:val="18"/>
          <w:szCs w:val="18"/>
          <w:color w:val="000000"/>
        </w:rPr>
        <w:t xml:space="preserve"> Application</w:t>
      </w:r>
      <w:r>
        <w:rPr>
          <w:rFonts w:ascii="Times New Roman" w:cs="Times New Roman" w:eastAsia="Times New Roman" w:hAnsi="Times New Roman"/>
          <w:sz w:val="18"/>
          <w:szCs w:val="18"/>
          <w:color w:val="FF0000"/>
          <w:strike w:val="1"/>
        </w:rPr>
        <w:t>, 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for an order of exemption,</w:t>
      </w:r>
      <w:r>
        <w:rPr>
          <w:rFonts w:ascii="Times New Roman" w:cs="Times New Roman" w:eastAsia="Times New Roman" w:hAnsi="Times New Roman"/>
          <w:sz w:val="18"/>
          <w:szCs w:val="18"/>
          <w:color w:val="000000"/>
        </w:rPr>
        <w:t xml:space="preserve"> substantially </w:t>
      </w:r>
      <w:r>
        <w:rPr>
          <w:rFonts w:ascii="Times New Roman" w:cs="Times New Roman" w:eastAsia="Times New Roman" w:hAnsi="Times New Roman"/>
          <w:sz w:val="18"/>
          <w:szCs w:val="18"/>
          <w:u w:val="single" w:color="auto"/>
          <w:color w:val="0000FF"/>
        </w:rPr>
        <w:t>in</w:t>
      </w:r>
      <w:r>
        <w:rPr>
          <w:rFonts w:ascii="Times New Roman" w:cs="Times New Roman" w:eastAsia="Times New Roman" w:hAnsi="Times New Roman"/>
          <w:sz w:val="18"/>
          <w:szCs w:val="18"/>
          <w:color w:val="000000"/>
        </w:rPr>
        <w:t xml:space="preserve"> the form attached hereto as </w:t>
      </w:r>
      <w:r>
        <w:rPr>
          <w:rFonts w:ascii="Times New Roman" w:cs="Times New Roman" w:eastAsia="Times New Roman" w:hAnsi="Times New Roman"/>
          <w:sz w:val="18"/>
          <w:szCs w:val="18"/>
          <w:u w:val="single" w:color="auto"/>
          <w:color w:val="FF0000"/>
          <w:strike w:val="1"/>
        </w:rPr>
        <w:t>Appendix</w:t>
      </w:r>
      <w:r>
        <w:rPr>
          <w:rFonts w:ascii="Times New Roman" w:cs="Times New Roman" w:eastAsia="Times New Roman" w:hAnsi="Times New Roman"/>
          <w:sz w:val="18"/>
          <w:szCs w:val="18"/>
          <w:u w:val="single" w:color="auto"/>
          <w:color w:val="0000FF"/>
        </w:rPr>
        <w:t>Exhibit</w:t>
      </w:r>
      <w:r>
        <w:rPr>
          <w:rFonts w:ascii="Times New Roman" w:cs="Times New Roman" w:eastAsia="Times New Roman" w:hAnsi="Times New Roman"/>
          <w:sz w:val="18"/>
          <w:szCs w:val="18"/>
          <w:color w:val="000000"/>
        </w:rPr>
        <w:t xml:space="preserve"> A</w:t>
      </w:r>
      <w:r>
        <w:rPr>
          <w:rFonts w:ascii="Times New Roman" w:cs="Times New Roman" w:eastAsia="Times New Roman" w:hAnsi="Times New Roman"/>
          <w:sz w:val="18"/>
          <w:szCs w:val="18"/>
          <w:color w:val="FF0000"/>
          <w:strike w:val="1"/>
        </w:rPr>
        <w:t>; and</w:t>
      </w:r>
      <w:r>
        <w:rPr>
          <w:rFonts w:ascii="Times New Roman" w:cs="Times New Roman" w:eastAsia="Times New Roman" w:hAnsi="Times New Roman"/>
          <w:sz w:val="18"/>
          <w:szCs w:val="18"/>
          <w:u w:val="single" w:color="auto"/>
          <w:color w:val="0000FF"/>
        </w:rPr>
        <w:t>, and 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amendments thereto, pursuant to Section 17(d) of the 1940 Act; and be it further</w:t>
      </w:r>
    </w:p>
    <w:p>
      <w:pPr>
        <w:spacing w:after="0" w:line="17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b w:val="1"/>
          <w:bCs w:val="1"/>
          <w:color w:val="FF0000"/>
          <w:strike w:val="1"/>
        </w:rPr>
        <w:t>FURTHER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RESOLVED</w:t>
      </w:r>
      <w:r>
        <w:rPr>
          <w:rFonts w:ascii="Times New Roman" w:cs="Times New Roman" w:eastAsia="Times New Roman" w:hAnsi="Times New Roman"/>
          <w:sz w:val="18"/>
          <w:szCs w:val="18"/>
          <w:color w:val="000000"/>
        </w:rPr>
        <w:t>, that the</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FF0000"/>
          <w:strike w:val="1"/>
        </w:rPr>
        <w:t>Authorized Officers shall</w:t>
      </w:r>
      <w:r>
        <w:rPr>
          <w:rFonts w:ascii="Times New Roman" w:cs="Times New Roman" w:eastAsia="Times New Roman" w:hAnsi="Times New Roman"/>
          <w:sz w:val="18"/>
          <w:szCs w:val="18"/>
          <w:u w:val="single" w:color="auto"/>
          <w:color w:val="0000FF"/>
        </w:rPr>
        <w:t>officers of the Fund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be, and each of them</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FF0000"/>
          <w:strike w:val="1"/>
        </w:rPr>
        <w:t>individually</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hereby is, authorized</w:t>
      </w:r>
      <w:r>
        <w:rPr>
          <w:rFonts w:ascii="Times New Roman" w:cs="Times New Roman" w:eastAsia="Times New Roman" w:hAnsi="Times New Roman"/>
          <w:sz w:val="18"/>
          <w:szCs w:val="18"/>
          <w:color w:val="FF0000"/>
          <w:strike w:val="1"/>
        </w:rPr>
        <w:t>, empowered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and directed</w:t>
      </w:r>
      <w:r>
        <w:rPr>
          <w:rFonts w:ascii="Times New Roman" w:cs="Times New Roman" w:eastAsia="Times New Roman" w:hAnsi="Times New Roman"/>
          <w:sz w:val="18"/>
          <w:szCs w:val="18"/>
          <w:color w:val="FF0000"/>
          <w:strike w:val="1"/>
        </w:rPr>
        <w:t>, in the name and on behalf of the Company, to cause to be made, executed, delivered and filed with the Commission any amendments to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 xml:space="preserve">Exemptive Application and any additional applications for exemptive relief as are determined necessary, advisable or appropriate by any such officers </w:t>
      </w:r>
      <w:r>
        <w:rPr>
          <w:rFonts w:ascii="Times New Roman" w:cs="Times New Roman" w:eastAsia="Times New Roman" w:hAnsi="Times New Roman"/>
          <w:sz w:val="18"/>
          <w:szCs w:val="18"/>
          <w:u w:val="single" w:color="auto"/>
          <w:color w:val="0000FF"/>
          <w:strike w:val="1"/>
        </w:rPr>
        <w:t>to</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take such further action and execute such other documents as such officer or officers shall deem necessary or advisable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in order to effectuate the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intent of</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the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foregoing</w:t>
      </w:r>
      <w:r>
        <w:rPr>
          <w:rFonts w:ascii="Times New Roman" w:cs="Times New Roman" w:eastAsia="Times New Roman" w:hAnsi="Times New Roman"/>
          <w:sz w:val="18"/>
          <w:szCs w:val="18"/>
          <w:color w:val="FF0000"/>
          <w:strike w:val="1"/>
        </w:rPr>
        <w:t>, such determination to be conclusively evidenced by the taking of any such action; and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resolution; and be it further</w:t>
      </w:r>
    </w:p>
    <w:p>
      <w:pPr>
        <w:spacing w:after="0" w:line="3" w:lineRule="exact"/>
        <w:rPr>
          <w:sz w:val="20"/>
          <w:szCs w:val="20"/>
          <w:color w:val="auto"/>
        </w:rPr>
      </w:pPr>
    </w:p>
    <w:p>
      <w:pPr>
        <w:ind w:left="240" w:hanging="232"/>
        <w:spacing w:after="0"/>
        <w:tabs>
          <w:tab w:leader="none" w:pos="240" w:val="left"/>
        </w:tabs>
        <w:numPr>
          <w:ilvl w:val="0"/>
          <w:numId w:val="80"/>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u w:val="single" w:color="auto"/>
          <w:color w:val="FF0000"/>
          <w:strike w:val="1"/>
        </w:rPr>
        <w:t>GENERAL AUTHORITY</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b w:val="1"/>
          <w:bCs w:val="1"/>
          <w:color w:val="FF0000"/>
          <w:strike w:val="1"/>
        </w:rPr>
        <w:t>NOW, THEREFORE, BE IT RESOLVED</w:t>
      </w:r>
      <w:r>
        <w:rPr>
          <w:rFonts w:ascii="Times New Roman" w:cs="Times New Roman" w:eastAsia="Times New Roman" w:hAnsi="Times New Roman"/>
          <w:sz w:val="18"/>
          <w:szCs w:val="18"/>
          <w:color w:val="FF0000"/>
          <w:strike w:val="1"/>
        </w:rPr>
        <w:t>, that each Authorized Officer is hereby authorized and directed to do or cause to be done any and all</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FF0000"/>
          <w:strike w:val="1"/>
        </w:rPr>
        <w:t>such acts and things, and to execute and deliver, or cause to be executed and delivered, all agreements, instruments, documents and certificates (including any and all amendments or supplements thereto, modifications, extensions or waivers thereof, or replacements), in each case in the name and on behalf of the Company, as the Board of Trustees or such officer deems necessary, appropriate or desirable to effect the intent and accomplish the purposes of these resolutions;</w:t>
      </w:r>
    </w:p>
    <w:p>
      <w:pPr>
        <w:spacing w:after="0" w:line="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FF0000"/>
          <w:strike w:val="1"/>
        </w:rPr>
        <w:t>FURTHER RESOLVED</w:t>
      </w:r>
      <w:r>
        <w:rPr>
          <w:rFonts w:ascii="Times New Roman" w:cs="Times New Roman" w:eastAsia="Times New Roman" w:hAnsi="Times New Roman"/>
          <w:sz w:val="18"/>
          <w:szCs w:val="18"/>
          <w:color w:val="FF0000"/>
          <w:strike w:val="1"/>
        </w:rPr>
        <w:t>, that the execution and delivery by the Board of Trustees or any Authorized Officer of any agreement, instrument,</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FF0000"/>
          <w:strike w:val="1"/>
        </w:rPr>
        <w:t>certificate or other document and the taking of any other action in connection with any of these resolutions shall evidence the Board of Trustees’ or such Authorized Officer’s approval and authority and the approval, adoption, authorization, ratification and confirmation by the Board of Trustees and by the Company; and</w:t>
      </w:r>
    </w:p>
    <w:p>
      <w:pPr>
        <w:spacing w:after="0" w:line="185"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b w:val="1"/>
          <w:bCs w:val="1"/>
          <w:color w:val="FF0000"/>
          <w:strike w:val="1"/>
        </w:rPr>
        <w:t>FURTHER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RESOLVED</w:t>
      </w:r>
      <w:r>
        <w:rPr>
          <w:rFonts w:ascii="Times New Roman" w:cs="Times New Roman" w:eastAsia="Times New Roman" w:hAnsi="Times New Roman"/>
          <w:sz w:val="18"/>
          <w:szCs w:val="18"/>
          <w:color w:val="000000"/>
        </w:rPr>
        <w:t>, that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FF0000"/>
          <w:strike w:val="1"/>
        </w:rPr>
        <w:t>all acts and things previously done by any of the Authorized Officers, on or prior to the date hereof, in the name and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FF0000"/>
          <w:strike w:val="1"/>
        </w:rPr>
        <w:t>on behalf of the Company</w:t>
      </w:r>
      <w:r>
        <w:rPr>
          <w:rFonts w:ascii="Times New Roman" w:cs="Times New Roman" w:eastAsia="Times New Roman" w:hAnsi="Times New Roman"/>
          <w:sz w:val="18"/>
          <w:szCs w:val="18"/>
          <w:u w:val="single" w:color="auto"/>
          <w:color w:val="0000FF"/>
        </w:rPr>
        <w:t>any and all actions previously taken by the Fund or any of its directors or officers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connection with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actions contemplated by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foregoing resolutions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are in all respects authorized</w:t>
      </w:r>
      <w:r>
        <w:rPr>
          <w:rFonts w:ascii="Times New Roman" w:cs="Times New Roman" w:eastAsia="Times New Roman" w:hAnsi="Times New Roman"/>
          <w:sz w:val="18"/>
          <w:szCs w:val="18"/>
          <w:u w:val="single" w:color="auto"/>
          <w:color w:val="008000"/>
        </w:rPr>
        <w:t>be, and each of them hereby is</w:t>
      </w:r>
      <w:r>
        <w:rPr>
          <w:rFonts w:ascii="Times New Roman" w:cs="Times New Roman" w:eastAsia="Times New Roman" w:hAnsi="Times New Roman"/>
          <w:sz w:val="18"/>
          <w:szCs w:val="18"/>
          <w:color w:val="000000"/>
        </w:rPr>
        <w:t>, ratified,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approved,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confirmed</w:t>
      </w:r>
      <w:r>
        <w:rPr>
          <w:rFonts w:ascii="Times New Roman" w:cs="Times New Roman" w:eastAsia="Times New Roman" w:hAnsi="Times New Roman"/>
          <w:sz w:val="18"/>
          <w:szCs w:val="18"/>
          <w:u w:val="single" w:color="auto"/>
          <w:color w:val="0000FF"/>
        </w:rPr>
        <w:t>, approved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adopted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in all respects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and 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acts and deeds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by and on behalf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Company; and</w:t>
      </w:r>
      <w:r>
        <w:rPr>
          <w:rFonts w:ascii="Times New Roman" w:cs="Times New Roman" w:eastAsia="Times New Roman" w:hAnsi="Times New Roman"/>
          <w:sz w:val="18"/>
          <w:szCs w:val="18"/>
          <w:u w:val="single" w:color="auto"/>
          <w:color w:val="0000FF"/>
        </w:rPr>
        <w:t>Fund.</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FF0000"/>
          <w:strike w:val="1"/>
        </w:rPr>
        <w:t xml:space="preserve">FURTHER RESOLVED, </w:t>
      </w:r>
      <w:r>
        <w:rPr>
          <w:rFonts w:ascii="Times New Roman" w:cs="Times New Roman" w:eastAsia="Times New Roman" w:hAnsi="Times New Roman"/>
          <w:sz w:val="18"/>
          <w:szCs w:val="18"/>
          <w:color w:val="FF0000"/>
          <w:strike w:val="1"/>
        </w:rPr>
        <w:t>that any officer of the Company</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8000"/>
          <w:strike w:val="1"/>
        </w:rPr>
        <w:t>be, and each of them hereby is</w:t>
      </w:r>
      <w:r>
        <w:rPr>
          <w:rFonts w:ascii="Times New Roman" w:cs="Times New Roman" w:eastAsia="Times New Roman" w:hAnsi="Times New Roman"/>
          <w:sz w:val="18"/>
          <w:szCs w:val="18"/>
          <w:color w:val="FF0000"/>
          <w:strike w:val="1"/>
        </w:rPr>
        <w:t>, authorized, empowered and directed to certify and</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FF0000"/>
          <w:strike w:val="1"/>
        </w:rPr>
        <w:t>deliver copies of these resolutions to such governmental bodies, agencies, persons, firms or corporations as such officer may deem necessary and to identify by such officer’s signature or certificate, or in such form as may be required, the documents and instruments presented to and approved herein and to furnish evidence of the approval, by an officer authorized to give such approval, of any document, instrument or provision or any addition, deletion or change in any document or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Adopted March 14,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FF0000"/>
        </w:rPr>
        <w:t>[Different first page link-to-previous setting changed from off in original to on in modified.].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color w:val="FF0000"/>
        </w:rPr>
        <w:t>[Link-to-previous setting changed from off in original to on in modified.].</w:t>
      </w:r>
    </w:p>
    <w:p>
      <w:pPr>
        <w:spacing w:after="0" w:line="223"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0000FF"/>
        </w:rPr>
        <w:t>Appendix C</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Marked Copies of the Application Showing Changes from the Final Versions of the Two Applications Identified as Substantially Identical Under Rule 0-5(e)(3)</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80BD78F"/>
    <w:multiLevelType w:val="hybridMultilevel"/>
    <w:lvl w:ilvl="0">
      <w:lvlJc w:val="left"/>
      <w:lvlText w:val="(%1)"/>
      <w:numFmt w:val="decimal"/>
      <w:start w:val="202"/>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1"/>
      <w:numFmt w:val="bullet"/>
      <w:start w:val="1"/>
    </w:lvl>
  </w:abstractNum>
  <w:abstractNum w:abstractNumId="4">
    <w:nsid w:val="6A2342EC"/>
    <w:multiLevelType w:val="hybridMultilevel"/>
    <w:lvl w:ilvl="0">
      <w:lvlJc w:val="left"/>
      <w:lvlText w:val="2"/>
      <w:numFmt w:val="bullet"/>
      <w:start w:val="1"/>
    </w:lvl>
  </w:abstractNum>
  <w:abstractNum w:abstractNumId="5">
    <w:nsid w:val="2A487CB0"/>
    <w:multiLevelType w:val="hybridMultilevel"/>
    <w:lvl w:ilvl="0">
      <w:lvlJc w:val="left"/>
      <w:lvlText w:val="3"/>
      <w:numFmt w:val="bullet"/>
      <w:start w:val="1"/>
    </w:lvl>
  </w:abstractNum>
  <w:abstractNum w:abstractNumId="6">
    <w:nsid w:val="1D4ED43B"/>
    <w:multiLevelType w:val="hybridMultilevel"/>
    <w:lvl w:ilvl="0">
      <w:lvlJc w:val="left"/>
      <w:lvlText w:val="4"/>
      <w:numFmt w:val="bullet"/>
      <w:start w:val="1"/>
    </w:lvl>
  </w:abstractNum>
  <w:abstractNum w:abstractNumId="7">
    <w:nsid w:val="725A06FB"/>
    <w:multiLevelType w:val="hybridMultilevel"/>
    <w:lvl w:ilvl="0">
      <w:lvlJc w:val="left"/>
      <w:lvlText w:val="5"/>
      <w:numFmt w:val="bullet"/>
      <w:start w:val="1"/>
    </w:lvl>
  </w:abstractNum>
  <w:abstractNum w:abstractNumId="8">
    <w:nsid w:val="2CD89A32"/>
    <w:multiLevelType w:val="hybridMultilevel"/>
    <w:lvl w:ilvl="0">
      <w:lvlJc w:val="left"/>
      <w:lvlText w:val="6"/>
      <w:numFmt w:val="bullet"/>
      <w:start w:val="1"/>
    </w:lvl>
  </w:abstractNum>
  <w:abstractNum w:abstractNumId="9">
    <w:nsid w:val="57E4CCAF"/>
    <w:multiLevelType w:val="hybridMultilevel"/>
    <w:lvl w:ilvl="0">
      <w:lvlJc w:val="left"/>
      <w:lvlText w:val="7"/>
      <w:numFmt w:val="bullet"/>
      <w:start w:val="1"/>
    </w:lvl>
  </w:abstractNum>
  <w:abstractNum w:abstractNumId="10">
    <w:nsid w:val="7A6D8D3C"/>
    <w:multiLevelType w:val="hybridMultilevel"/>
    <w:lvl w:ilvl="0">
      <w:lvlJc w:val="left"/>
      <w:lvlText w:val="8"/>
      <w:numFmt w:val="bullet"/>
      <w:start w:val="1"/>
    </w:lvl>
  </w:abstractNum>
  <w:abstractNum w:abstractNumId="11">
    <w:nsid w:val="4B588F54"/>
    <w:multiLevelType w:val="hybridMultilevel"/>
    <w:lvl w:ilvl="0">
      <w:lvlJc w:val="left"/>
      <w:lvlText w:val="9"/>
      <w:numFmt w:val="bullet"/>
      <w:start w:val="1"/>
    </w:lvl>
  </w:abstractNum>
  <w:abstractNum w:abstractNumId="12">
    <w:nsid w:val="542289EC"/>
    <w:multiLevelType w:val="hybridMultilevel"/>
    <w:lvl w:ilvl="0">
      <w:lvlJc w:val="left"/>
      <w:lvlText w:val="%1."/>
      <w:numFmt w:val="upperLetter"/>
      <w:start w:val="1"/>
    </w:lvl>
  </w:abstractNum>
  <w:abstractNum w:abstractNumId="13">
    <w:nsid w:val="6DE91B18"/>
    <w:multiLevelType w:val="hybridMultilevel"/>
    <w:lvl w:ilvl="0">
      <w:lvlJc w:val="left"/>
      <w:lvlText w:val="%1."/>
      <w:numFmt w:val="upperLetter"/>
      <w:start w:val="2"/>
    </w:lvl>
  </w:abstractNum>
  <w:abstractNum w:abstractNumId="14">
    <w:nsid w:val="38437FDB"/>
    <w:multiLevelType w:val="hybridMultilevel"/>
    <w:lvl w:ilvl="0">
      <w:lvlJc w:val="left"/>
      <w:lvlText w:val="%1."/>
      <w:numFmt w:val="upperLetter"/>
      <w:start w:val="3"/>
    </w:lvl>
  </w:abstractNum>
  <w:abstractNum w:abstractNumId="15">
    <w:nsid w:val="7644A45C"/>
    <w:multiLevelType w:val="hybridMultilevel"/>
    <w:lvl w:ilvl="0">
      <w:lvlJc w:val="left"/>
      <w:lvlText w:val="%1"/>
      <w:numFmt w:val="decimal"/>
      <w:start w:val="10"/>
    </w:lvl>
  </w:abstractNum>
  <w:abstractNum w:abstractNumId="16">
    <w:nsid w:val="32FFF902"/>
    <w:multiLevelType w:val="hybridMultilevel"/>
    <w:lvl w:ilvl="0">
      <w:lvlJc w:val="left"/>
      <w:lvlText w:val="%1"/>
      <w:numFmt w:val="decimal"/>
      <w:start w:val="12"/>
    </w:lvl>
  </w:abstractNum>
  <w:abstractNum w:abstractNumId="17">
    <w:nsid w:val="684A481A"/>
    <w:multiLevelType w:val="hybridMultilevel"/>
    <w:lvl w:ilvl="0">
      <w:lvlJc w:val="left"/>
      <w:lvlText w:val="%1."/>
      <w:numFmt w:val="decimal"/>
      <w:start w:val="1"/>
    </w:lvl>
  </w:abstractNum>
  <w:abstractNum w:abstractNumId="18">
    <w:nsid w:val="579478FE"/>
    <w:multiLevelType w:val="hybridMultilevel"/>
    <w:lvl w:ilvl="0">
      <w:lvlJc w:val="left"/>
      <w:lvlText w:val="%1."/>
      <w:numFmt w:val="decimal"/>
      <w:start w:val="3"/>
    </w:lvl>
  </w:abstractNum>
  <w:abstractNum w:abstractNumId="19">
    <w:nsid w:val="749ABB43"/>
    <w:multiLevelType w:val="hybridMultilevel"/>
    <w:lvl w:ilvl="0">
      <w:lvlJc w:val="left"/>
      <w:lvlText w:val="%1"/>
      <w:numFmt w:val="decimal"/>
      <w:start w:val="13"/>
    </w:lvl>
    <w:lvl w:ilvl="1">
      <w:lvlJc w:val="left"/>
      <w:lvlText w:val="(%2)"/>
      <w:numFmt w:val="lowerRoman"/>
      <w:start w:val="3"/>
    </w:lvl>
  </w:abstractNum>
  <w:abstractNum w:abstractNumId="20">
    <w:nsid w:val="3DC240FB"/>
    <w:multiLevelType w:val="hybridMultilevel"/>
    <w:lvl w:ilvl="0">
      <w:lvlJc w:val="left"/>
      <w:lvlText w:val="%1."/>
      <w:numFmt w:val="decimal"/>
      <w:start w:val="6"/>
    </w:lvl>
    <w:lvl w:ilvl="1">
      <w:lvlJc w:val="left"/>
      <w:lvlText w:val="(%2)"/>
      <w:numFmt w:val="lowerLetter"/>
      <w:start w:val="1"/>
    </w:lvl>
  </w:abstractNum>
  <w:abstractNum w:abstractNumId="21">
    <w:nsid w:val="1BA026FA"/>
    <w:multiLevelType w:val="hybridMultilevel"/>
    <w:lvl w:ilvl="0">
      <w:lvlJc w:val="left"/>
      <w:lvlText w:val="%1"/>
      <w:numFmt w:val="decimal"/>
      <w:start w:val="19"/>
    </w:lvl>
  </w:abstractNum>
  <w:abstractNum w:abstractNumId="22">
    <w:nsid w:val="79A1DEAA"/>
    <w:multiLevelType w:val="hybridMultilevel"/>
    <w:lvl w:ilvl="0">
      <w:lvlJc w:val="left"/>
      <w:lvlText w:val="%1"/>
      <w:numFmt w:val="decimal"/>
      <w:start w:val="22"/>
    </w:lvl>
  </w:abstractNum>
  <w:abstractNum w:abstractNumId="23">
    <w:nsid w:val="75C6C33A"/>
    <w:multiLevelType w:val="hybridMultilevel"/>
    <w:lvl w:ilvl="0">
      <w:lvlJc w:val="left"/>
      <w:lvlText w:val="%1."/>
      <w:numFmt w:val="upperLetter"/>
      <w:start w:val="1"/>
    </w:lvl>
    <w:lvl w:ilvl="1">
      <w:lvlJc w:val="left"/>
      <w:lvlText w:val="%2."/>
      <w:numFmt w:val="decimal"/>
      <w:start w:val="1"/>
    </w:lvl>
  </w:abstractNum>
  <w:abstractNum w:abstractNumId="24">
    <w:nsid w:val="12E685FB"/>
    <w:multiLevelType w:val="hybridMultilevel"/>
    <w:lvl w:ilvl="0">
      <w:lvlJc w:val="left"/>
      <w:lvlText w:val="%1."/>
      <w:numFmt w:val="upperLetter"/>
      <w:start w:val="6"/>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1."/>
      <w:numFmt w:val="upperLetter"/>
      <w:start w:val="9"/>
    </w:lvl>
  </w:abstractNum>
  <w:abstractNum w:abstractNumId="27">
    <w:nsid w:val="374A3FE6"/>
    <w:multiLevelType w:val="hybridMultilevel"/>
    <w:lvl w:ilvl="0">
      <w:lvlJc w:val="left"/>
      <w:lvlText w:val="1"/>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2"/>
      <w:numFmt w:val="bullet"/>
      <w:start w:val="1"/>
    </w:lvl>
  </w:abstractNum>
  <w:abstractNum w:abstractNumId="32">
    <w:nsid w:val="39386575"/>
    <w:multiLevelType w:val="hybridMultilevel"/>
    <w:lvl w:ilvl="0">
      <w:lvlJc w:val="left"/>
      <w:lvlText w:val="3"/>
      <w:numFmt w:val="bullet"/>
      <w:start w:val="1"/>
    </w:lvl>
  </w:abstractNum>
  <w:abstractNum w:abstractNumId="33">
    <w:nsid w:val="1CF10FD8"/>
    <w:multiLevelType w:val="hybridMultilevel"/>
    <w:lvl w:ilvl="0">
      <w:lvlJc w:val="left"/>
      <w:lvlText w:val="%1."/>
      <w:numFmt w:val="upperLetter"/>
      <w:start w:val="35"/>
    </w:lvl>
    <w:lvl w:ilvl="1">
      <w:lvlJc w:val="left"/>
      <w:lvlText w:val="%2"/>
      <w:numFmt w:val="upperLetter"/>
      <w:start w:val="1"/>
    </w:lvl>
  </w:abstractNum>
  <w:abstractNum w:abstractNumId="34">
    <w:nsid w:val="180115BE"/>
    <w:multiLevelType w:val="hybridMultilevel"/>
    <w:lvl w:ilvl="0">
      <w:lvlJc w:val="left"/>
      <w:lvlText w:val="%1."/>
      <w:numFmt w:val="upperLetter"/>
      <w:start w:val="2"/>
    </w:lvl>
  </w:abstractNum>
  <w:abstractNum w:abstractNumId="35">
    <w:nsid w:val="235BA861"/>
    <w:multiLevelType w:val="hybridMultilevel"/>
    <w:lvl w:ilvl="0">
      <w:lvlJc w:val="left"/>
      <w:lvlText w:val="%1."/>
      <w:numFmt w:val="upperLetter"/>
      <w:start w:val="3"/>
    </w:lvl>
  </w:abstractNum>
  <w:abstractNum w:abstractNumId="36">
    <w:nsid w:val="47398C89"/>
    <w:multiLevelType w:val="hybridMultilevel"/>
    <w:lvl w:ilvl="0">
      <w:lvlJc w:val="left"/>
      <w:lvlText w:val="%1."/>
      <w:numFmt w:val="decimal"/>
      <w:start w:val="1"/>
    </w:lvl>
  </w:abstractNum>
  <w:abstractNum w:abstractNumId="37">
    <w:nsid w:val="354FE9F9"/>
    <w:multiLevelType w:val="hybridMultilevel"/>
    <w:lvl w:ilvl="0">
      <w:lvlJc w:val="left"/>
      <w:lvlText w:val="%1."/>
      <w:numFmt w:val="decimal"/>
      <w:start w:val="2"/>
    </w:lvl>
  </w:abstractNum>
  <w:abstractNum w:abstractNumId="38">
    <w:nsid w:val="15B5AF5C"/>
    <w:multiLevelType w:val="hybridMultilevel"/>
    <w:lvl w:ilvl="0">
      <w:lvlJc w:val="left"/>
      <w:lvlText w:val="%1."/>
      <w:numFmt w:val="decimal"/>
      <w:start w:val="3"/>
    </w:lvl>
    <w:lvl w:ilvl="1">
      <w:lvlJc w:val="left"/>
      <w:lvlText w:val="(%2)"/>
      <w:numFmt w:val="lowerLetter"/>
      <w:start w:val="1"/>
    </w:lvl>
  </w:abstractNum>
  <w:abstractNum w:abstractNumId="39">
    <w:nsid w:val="741226BB"/>
    <w:multiLevelType w:val="hybridMultilevel"/>
    <w:lvl w:ilvl="0">
      <w:lvlJc w:val="left"/>
      <w:lvlText w:val="(%1)"/>
      <w:numFmt w:val="lowerRoman"/>
      <w:start w:val="3"/>
    </w:lvl>
  </w:abstractNum>
  <w:abstractNum w:abstractNumId="40">
    <w:nsid w:val="D34B6A8"/>
    <w:multiLevelType w:val="hybridMultilevel"/>
    <w:lvl w:ilvl="0">
      <w:lvlJc w:val="left"/>
      <w:lvlText w:val="%1"/>
      <w:numFmt w:val="decimal"/>
      <w:start w:val="1"/>
    </w:lvl>
    <w:lvl w:ilvl="1">
      <w:lvlJc w:val="left"/>
      <w:lvlText w:val="(%2)"/>
      <w:numFmt w:val="lowerLetter"/>
      <w:start w:val="2"/>
    </w:lvl>
  </w:abstractNum>
  <w:abstractNum w:abstractNumId="41">
    <w:nsid w:val="10233C99"/>
    <w:multiLevelType w:val="hybridMultilevel"/>
    <w:lvl w:ilvl="0">
      <w:lvlJc w:val="left"/>
      <w:lvlText w:val="%1."/>
      <w:numFmt w:val="decimal"/>
      <w:start w:val="7"/>
    </w:lvl>
    <w:lvl w:ilvl="1">
      <w:lvlJc w:val="left"/>
      <w:lvlText w:val="(%2)"/>
      <w:numFmt w:val="lowerLetter"/>
      <w:start w:val="1"/>
    </w:lvl>
  </w:abstractNum>
  <w:abstractNum w:abstractNumId="42">
    <w:nsid w:val="3F6AB60F"/>
    <w:multiLevelType w:val="hybridMultilevel"/>
    <w:lvl w:ilvl="0">
      <w:lvlJc w:val="left"/>
      <w:lvlText w:val="(%1)"/>
      <w:numFmt w:val="decimal"/>
      <w:start w:val="212"/>
    </w:lvl>
  </w:abstractNum>
  <w:abstractNum w:abstractNumId="43">
    <w:nsid w:val="61574095"/>
    <w:multiLevelType w:val="hybridMultilevel"/>
    <w:lvl w:ilvl="0">
      <w:lvlJc w:val="left"/>
      <w:lvlText w:val="(%1)"/>
      <w:numFmt w:val="decimal"/>
      <w:start w:val="202"/>
    </w:lvl>
  </w:abstractNum>
  <w:abstractNum w:abstractNumId="44">
    <w:nsid w:val="7E0C57B1"/>
    <w:multiLevelType w:val="hybridMultilevel"/>
    <w:lvl w:ilvl="0">
      <w:lvlJc w:val="left"/>
      <w:lvlText w:val="%1."/>
      <w:numFmt w:val="upperLetter"/>
      <w:start w:val="1"/>
    </w:lvl>
    <w:lvl w:ilvl="1">
      <w:lvlJc w:val="left"/>
      <w:lvlText w:val="%2."/>
      <w:numFmt w:val="decimal"/>
      <w:start w:val="1"/>
    </w:lvl>
  </w:abstractNum>
  <w:abstractNum w:abstractNumId="45">
    <w:nsid w:val="77AE35EB"/>
    <w:multiLevelType w:val="hybridMultilevel"/>
    <w:lvl w:ilvl="0">
      <w:lvlJc w:val="left"/>
      <w:lvlText w:val="%1."/>
      <w:numFmt w:val="upperLetter"/>
      <w:start w:val="2"/>
    </w:lvl>
  </w:abstractNum>
  <w:abstractNum w:abstractNumId="46">
    <w:nsid w:val="579BE4F1"/>
    <w:multiLevelType w:val="hybridMultilevel"/>
    <w:lvl w:ilvl="0">
      <w:lvlJc w:val="left"/>
      <w:lvlText w:val="%1"/>
      <w:numFmt w:val="upperLetter"/>
      <w:start w:val="1"/>
    </w:lvl>
    <w:lvl w:ilvl="1">
      <w:lvlJc w:val="left"/>
      <w:lvlText w:val="%2."/>
      <w:numFmt w:val="decimal"/>
      <w:start w:val="1"/>
    </w:lvl>
  </w:abstractNum>
  <w:abstractNum w:abstractNumId="47">
    <w:nsid w:val="310C50B3"/>
    <w:multiLevelType w:val="hybridMultilevel"/>
    <w:lvl w:ilvl="0">
      <w:lvlJc w:val="left"/>
      <w:lvlText w:val="%1."/>
      <w:numFmt w:val="upperLetter"/>
      <w:start w:val="3"/>
    </w:lvl>
    <w:lvl w:ilvl="1">
      <w:lvlJc w:val="left"/>
      <w:lvlText w:val="%2."/>
      <w:numFmt w:val="decimal"/>
      <w:start w:val="1"/>
    </w:lvl>
  </w:abstractNum>
  <w:abstractNum w:abstractNumId="48">
    <w:nsid w:val="5FF87E05"/>
    <w:multiLevelType w:val="hybridMultilevel"/>
    <w:lvl w:ilvl="0">
      <w:lvlJc w:val="left"/>
      <w:lvlText w:val="%1"/>
      <w:numFmt w:val="upperLetter"/>
      <w:start w:val="1"/>
    </w:lvl>
    <w:lvl w:ilvl="1">
      <w:lvlJc w:val="left"/>
      <w:lvlText w:val="%2."/>
      <w:numFmt w:val="decimal"/>
      <w:start w:val="1"/>
    </w:lvl>
  </w:abstractNum>
  <w:abstractNum w:abstractNumId="49">
    <w:nsid w:val="2F305DEF"/>
    <w:multiLevelType w:val="hybridMultilevel"/>
    <w:lvl w:ilvl="0">
      <w:lvlJc w:val="left"/>
      <w:lvlText w:val="%1"/>
      <w:numFmt w:val="upperLetter"/>
      <w:start w:val="1"/>
    </w:lvl>
    <w:lvl w:ilvl="1">
      <w:lvlJc w:val="left"/>
      <w:lvlText w:val="%2."/>
      <w:numFmt w:val="decimal"/>
      <w:start w:val="1"/>
    </w:lvl>
  </w:abstractNum>
  <w:abstractNum w:abstractNumId="50">
    <w:nsid w:val="25A70BF7"/>
    <w:multiLevelType w:val="hybridMultilevel"/>
    <w:lvl w:ilvl="0">
      <w:lvlJc w:val="left"/>
      <w:lvlText w:val="(%1)"/>
      <w:numFmt w:val="decimal"/>
      <w:start w:val="202"/>
    </w:lvl>
  </w:abstractNum>
  <w:abstractNum w:abstractNumId="51">
    <w:nsid w:val="1DBABF00"/>
    <w:multiLevelType w:val="hybridMultilevel"/>
    <w:lvl w:ilvl="0">
      <w:lvlJc w:val="left"/>
      <w:lvlText w:val="%1."/>
      <w:numFmt w:val="upperLetter"/>
      <w:start w:val="9"/>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1"/>
      <w:numFmt w:val="bullet"/>
      <w:start w:val="1"/>
    </w:lvl>
  </w:abstractNum>
  <w:abstractNum w:abstractNumId="54">
    <w:nsid w:val="1381823A"/>
    <w:multiLevelType w:val="hybridMultilevel"/>
    <w:lvl w:ilvl="0">
      <w:lvlJc w:val="left"/>
      <w:lvlText w:val="2"/>
      <w:numFmt w:val="bullet"/>
      <w:start w:val="1"/>
    </w:lvl>
  </w:abstractNum>
  <w:abstractNum w:abstractNumId="55">
    <w:nsid w:val="5DB70AE5"/>
    <w:multiLevelType w:val="hybridMultilevel"/>
    <w:lvl w:ilvl="0">
      <w:lvlJc w:val="left"/>
      <w:lvlText w:val="3"/>
      <w:numFmt w:val="bullet"/>
      <w:start w:val="1"/>
    </w:lvl>
  </w:abstractNum>
  <w:abstractNum w:abstractNumId="56">
    <w:nsid w:val="100F8FCA"/>
    <w:multiLevelType w:val="hybridMultilevel"/>
    <w:lvl w:ilvl="0">
      <w:lvlJc w:val="left"/>
      <w:lvlText w:val="4"/>
      <w:numFmt w:val="bullet"/>
      <w:start w:val="1"/>
    </w:lvl>
  </w:abstractNum>
  <w:abstractNum w:abstractNumId="57">
    <w:nsid w:val="6590700B"/>
    <w:multiLevelType w:val="hybridMultilevel"/>
    <w:lvl w:ilvl="0">
      <w:lvlJc w:val="left"/>
      <w:lvlText w:val="6"/>
      <w:numFmt w:val="bullet"/>
      <w:start w:val="1"/>
    </w:lvl>
  </w:abstractNum>
  <w:abstractNum w:abstractNumId="58">
    <w:nsid w:val="15014ACB"/>
    <w:multiLevelType w:val="hybridMultilevel"/>
    <w:lvl w:ilvl="0">
      <w:lvlJc w:val="left"/>
      <w:lvlText w:val="7"/>
      <w:numFmt w:val="bullet"/>
      <w:start w:val="1"/>
    </w:lvl>
  </w:abstractNum>
  <w:abstractNum w:abstractNumId="59">
    <w:nsid w:val="5F5E7FD0"/>
    <w:multiLevelType w:val="hybridMultilevel"/>
    <w:lvl w:ilvl="0">
      <w:lvlJc w:val="left"/>
      <w:lvlText w:val="8"/>
      <w:numFmt w:val="bullet"/>
      <w:start w:val="1"/>
    </w:lvl>
  </w:abstractNum>
  <w:abstractNum w:abstractNumId="60">
    <w:nsid w:val="98A3148"/>
    <w:multiLevelType w:val="hybridMultilevel"/>
    <w:lvl w:ilvl="0">
      <w:lvlJc w:val="left"/>
      <w:lvlText w:val="9"/>
      <w:numFmt w:val="bullet"/>
      <w:start w:val="1"/>
    </w:lvl>
  </w:abstractNum>
  <w:abstractNum w:abstractNumId="61">
    <w:nsid w:val="799D0247"/>
    <w:multiLevelType w:val="hybridMultilevel"/>
    <w:lvl w:ilvl="0">
      <w:lvlJc w:val="left"/>
      <w:lvlText w:val="%1."/>
      <w:numFmt w:val="upperLetter"/>
      <w:start w:val="1"/>
    </w:lvl>
  </w:abstractNum>
  <w:abstractNum w:abstractNumId="62">
    <w:nsid w:val="6B94764"/>
    <w:multiLevelType w:val="hybridMultilevel"/>
    <w:lvl w:ilvl="0">
      <w:lvlJc w:val="left"/>
      <w:lvlText w:val="%1."/>
      <w:numFmt w:val="upperLetter"/>
      <w:start w:val="2"/>
    </w:lvl>
  </w:abstractNum>
  <w:abstractNum w:abstractNumId="63">
    <w:nsid w:val="42C296BD"/>
    <w:multiLevelType w:val="hybridMultilevel"/>
    <w:lvl w:ilvl="0">
      <w:lvlJc w:val="left"/>
      <w:lvlText w:val="%1."/>
      <w:numFmt w:val="upperLetter"/>
      <w:start w:val="3"/>
    </w:lvl>
  </w:abstractNum>
  <w:abstractNum w:abstractNumId="64">
    <w:nsid w:val="168E121F"/>
    <w:multiLevelType w:val="hybridMultilevel"/>
    <w:lvl w:ilvl="0">
      <w:lvlJc w:val="left"/>
      <w:lvlText w:val="%1"/>
      <w:numFmt w:val="decimal"/>
      <w:start w:val="10"/>
    </w:lvl>
  </w:abstractNum>
  <w:abstractNum w:abstractNumId="65">
    <w:nsid w:val="1EBA5D23"/>
    <w:multiLevelType w:val="hybridMultilevel"/>
    <w:lvl w:ilvl="0">
      <w:lvlJc w:val="left"/>
      <w:lvlText w:val="%1"/>
      <w:numFmt w:val="decimal"/>
      <w:start w:val="12"/>
    </w:lvl>
  </w:abstractNum>
  <w:abstractNum w:abstractNumId="66">
    <w:nsid w:val="661E3F1E"/>
    <w:multiLevelType w:val="hybridMultilevel"/>
    <w:lvl w:ilvl="0">
      <w:lvlJc w:val="left"/>
      <w:lvlText w:val="%1."/>
      <w:numFmt w:val="decimal"/>
      <w:start w:val="1"/>
    </w:lvl>
  </w:abstractNum>
  <w:abstractNum w:abstractNumId="67">
    <w:nsid w:val="5DC79EA8"/>
    <w:multiLevelType w:val="hybridMultilevel"/>
    <w:lvl w:ilvl="0">
      <w:lvlJc w:val="left"/>
      <w:lvlText w:val="%1"/>
      <w:numFmt w:val="decimal"/>
      <w:start w:val="13"/>
    </w:lvl>
    <w:lvl w:ilvl="1">
      <w:lvlJc w:val="left"/>
      <w:lvlText w:val="(%2)"/>
      <w:numFmt w:val="lowerRoman"/>
      <w:start w:val="3"/>
    </w:lvl>
  </w:abstractNum>
  <w:abstractNum w:abstractNumId="68">
    <w:nsid w:val="540A471C"/>
    <w:multiLevelType w:val="hybridMultilevel"/>
    <w:lvl w:ilvl="0">
      <w:lvlJc w:val="left"/>
      <w:lvlText w:val="%1."/>
      <w:numFmt w:val="decimal"/>
      <w:start w:val="3"/>
    </w:lvl>
    <w:lvl w:ilvl="1">
      <w:lvlJc w:val="left"/>
      <w:lvlText w:val="(%2)"/>
      <w:numFmt w:val="lowerLetter"/>
      <w:start w:val="1"/>
    </w:lvl>
  </w:abstractNum>
  <w:abstractNum w:abstractNumId="69">
    <w:nsid w:val="7BD3EE7B"/>
    <w:multiLevelType w:val="hybridMultilevel"/>
    <w:lvl w:ilvl="0">
      <w:lvlJc w:val="left"/>
      <w:lvlText w:val="%1"/>
      <w:numFmt w:val="decimal"/>
      <w:start w:val="16"/>
    </w:lvl>
  </w:abstractNum>
  <w:abstractNum w:abstractNumId="70">
    <w:nsid w:val="51D9C564"/>
    <w:multiLevelType w:val="hybridMultilevel"/>
    <w:lvl w:ilvl="0">
      <w:lvlJc w:val="left"/>
      <w:lvlText w:val="%1."/>
      <w:numFmt w:val="decimal"/>
      <w:start w:val="7"/>
    </w:lvl>
    <w:lvl w:ilvl="1">
      <w:lvlJc w:val="left"/>
      <w:lvlText w:val="(%2)"/>
      <w:numFmt w:val="lowerLetter"/>
      <w:start w:val="1"/>
    </w:lvl>
  </w:abstractNum>
  <w:abstractNum w:abstractNumId="71">
    <w:nsid w:val="613EFDC5"/>
    <w:multiLevelType w:val="hybridMultilevel"/>
    <w:lvl w:ilvl="0">
      <w:lvlJc w:val="left"/>
      <w:lvlText w:val="%1"/>
      <w:numFmt w:val="decimal"/>
      <w:start w:val="21"/>
    </w:lvl>
  </w:abstractNum>
  <w:abstractNum w:abstractNumId="72">
    <w:nsid w:val="BF72B14"/>
    <w:multiLevelType w:val="hybridMultilevel"/>
    <w:lvl w:ilvl="0">
      <w:lvlJc w:val="left"/>
      <w:lvlText w:val="%1"/>
      <w:numFmt w:val="decimal"/>
      <w:start w:val="22"/>
    </w:lvl>
  </w:abstractNum>
  <w:abstractNum w:abstractNumId="73">
    <w:nsid w:val="11447B73"/>
    <w:multiLevelType w:val="hybridMultilevel"/>
    <w:lvl w:ilvl="0">
      <w:lvlJc w:val="left"/>
      <w:lvlText w:val="%1."/>
      <w:numFmt w:val="upperLetter"/>
      <w:start w:val="1"/>
    </w:lvl>
    <w:lvl w:ilvl="1">
      <w:lvlJc w:val="left"/>
      <w:lvlText w:val="%2."/>
      <w:numFmt w:val="decimal"/>
      <w:start w:val="1"/>
    </w:lvl>
  </w:abstractNum>
  <w:abstractNum w:abstractNumId="74">
    <w:nsid w:val="42963E5A"/>
    <w:multiLevelType w:val="hybridMultilevel"/>
    <w:lvl w:ilvl="0">
      <w:lvlJc w:val="left"/>
      <w:lvlText w:val="%1"/>
      <w:numFmt w:val="upperLetter"/>
      <w:start w:val="1"/>
    </w:lvl>
    <w:lvl w:ilvl="1">
      <w:lvlJc w:val="left"/>
      <w:lvlText w:val="%2."/>
      <w:numFmt w:val="decimal"/>
      <w:start w:val="5"/>
    </w:lvl>
  </w:abstractNum>
  <w:abstractNum w:abstractNumId="75">
    <w:nsid w:val="A0382C5"/>
    <w:multiLevelType w:val="hybridMultilevel"/>
    <w:lvl w:ilvl="0">
      <w:lvlJc w:val="left"/>
      <w:lvlText w:val="%1"/>
      <w:numFmt w:val="upperLetter"/>
      <w:start w:val="1"/>
    </w:lvl>
    <w:lvl w:ilvl="1">
      <w:lvlJc w:val="left"/>
      <w:lvlText w:val="%2."/>
      <w:numFmt w:val="decimal"/>
      <w:start w:val="1"/>
    </w:lvl>
  </w:abstractNum>
  <w:abstractNum w:abstractNumId="76">
    <w:nsid w:val="8F2B15E"/>
    <w:multiLevelType w:val="hybridMultilevel"/>
    <w:lvl w:ilvl="0">
      <w:lvlJc w:val="left"/>
      <w:lvlText w:val="%1."/>
      <w:numFmt w:val="upperLetter"/>
      <w:start w:val="3"/>
    </w:lvl>
    <w:lvl w:ilvl="1">
      <w:lvlJc w:val="left"/>
      <w:lvlText w:val="%2."/>
      <w:numFmt w:val="decimal"/>
      <w:start w:val="1"/>
    </w:lvl>
  </w:abstractNum>
  <w:abstractNum w:abstractNumId="77">
    <w:nsid w:val="1A32234B"/>
    <w:multiLevelType w:val="hybridMultilevel"/>
    <w:lvl w:ilvl="0">
      <w:lvlJc w:val="left"/>
      <w:lvlText w:val="%1"/>
      <w:numFmt w:val="upperLetter"/>
      <w:start w:val="1"/>
    </w:lvl>
    <w:lvl w:ilvl="1">
      <w:lvlJc w:val="left"/>
      <w:lvlText w:val="%2."/>
      <w:numFmt w:val="decimal"/>
      <w:start w:val="8"/>
    </w:lvl>
  </w:abstractNum>
  <w:abstractNum w:abstractNumId="78">
    <w:nsid w:val="3B0FD379"/>
    <w:multiLevelType w:val="hybridMultilevel"/>
    <w:lvl w:ilvl="0">
      <w:lvlJc w:val="left"/>
      <w:lvlText w:val="%1"/>
      <w:numFmt w:val="upperLetter"/>
      <w:start w:val="1"/>
    </w:lvl>
    <w:lvl w:ilvl="1">
      <w:lvlJc w:val="left"/>
      <w:lvlText w:val="%2."/>
      <w:numFmt w:val="decimal"/>
      <w:start w:val="1"/>
    </w:lvl>
  </w:abstractNum>
  <w:abstractNum w:abstractNumId="79">
    <w:nsid w:val="68EB2F63"/>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2026-03-19T05:09:11Z</dcterms:created>
  <dcterms:modified xsi:type="dcterms:W3CDTF">2026-03-19T05:09:11Z</dcterms:modified>
</cp:coreProperties>
</file>