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rFonts w:ascii="Times New Roman" w:hAnsi="Times New Roman"/>
          <w:b w:val="false"/>
          <w:sz w:val="20"/>
        </w:rPr>
      </w:pPr>
      <w:r>
        <w:rPr>
          <w:rFonts w:ascii="Times New Roman" w:hAnsi="Times New Roman"/>
          <w:b w:val="false"/>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10-Q</w:t>
      </w:r>
    </w:p>
    <w:p>
      <w:pPr>
        <w:pStyle w:val="TextBody"/>
        <w:bidi w:val="0"/>
        <w:spacing w:before="0" w:after="0"/>
        <w:jc w:val="left"/>
        <w:rPr>
          <w:rFonts w:ascii="Times New Roman" w:hAnsi="Times New Roman"/>
          <w:b w:val="false"/>
          <w:sz w:val="20"/>
        </w:rPr>
      </w:pPr>
      <w:r>
        <w:rPr>
          <w:rFonts w:ascii="Times New Roman" w:hAnsi="Times New Roman"/>
          <w:b w:val="false"/>
          <w:sz w:val="20"/>
        </w:rPr>
      </w:r>
    </w:p>
    <w:p>
      <w:pPr>
        <w:pStyle w:val="HorizontalLine"/>
        <w:bidi w:val="0"/>
        <w:jc w:val="left"/>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(Mark One)</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pPr>
            <w:r>
              <w:rPr/>
              <w:t>QUARTERLY REPORT PURSUANT TO SECTION 13 OR 15(d) OF THE SECURITIES EXCHANGE ACT OF 1934</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 the Quarterly Period Ended June 30, 2024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OR</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color w:val="000000"/>
              </w:rPr>
            </w:pPr>
            <w:r>
              <w:rPr>
                <w:color w:val="000000"/>
              </w:rPr>
              <w:t>☐</w:t>
            </w:r>
          </w:p>
        </w:tc>
        <w:tc>
          <w:tcPr>
            <w:tcW w:w="9960" w:type="dxa"/>
            <w:tcBorders/>
            <w:vAlign w:val="center"/>
          </w:tcPr>
          <w:p>
            <w:pPr>
              <w:pStyle w:val="TableContents"/>
              <w:bidi w:val="0"/>
              <w:spacing w:before="0" w:after="0"/>
              <w:jc w:val="left"/>
              <w:rPr/>
            </w:pPr>
            <w:r>
              <w:rPr/>
              <w:t>TRANSITION REPORT PURSUANT TO SECTION 13 OR 15(d) OF THE SECURITIES EXCHANGE ACT OF 1934</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Commission file number: 001-40564</w:t>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SILVER SPIKE INVESTMENT CORP.</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bidi w:val="0"/>
        <w:jc w:val="center"/>
        <w:rPr/>
      </w:pPr>
      <w:r>
        <w:rPr/>
      </w:r>
    </w:p>
    <w:p>
      <w:pPr>
        <w:pStyle w:val="TextBody"/>
        <w:bidi w:val="0"/>
        <w:spacing w:before="0" w:after="0"/>
        <w:jc w:val="center"/>
        <w:rPr>
          <w:rFonts w:ascii="Times New Roman" w:hAnsi="Times New Roman"/>
          <w:sz w:val="20"/>
        </w:rPr>
      </w:pPr>
      <w:r>
        <w:rPr>
          <w:rFonts w:ascii="Times New Roman" w:hAnsi="Times New Roman"/>
          <w:sz w:val="20"/>
        </w:rPr>
      </w:r>
    </w:p>
    <w:tbl>
      <w:tblPr>
        <w:tblW w:w="7113" w:type="dxa"/>
        <w:jc w:val="left"/>
        <w:tblInd w:w="0" w:type="dxa"/>
        <w:tblLayout w:type="fixed"/>
        <w:tblCellMar>
          <w:top w:w="0" w:type="dxa"/>
          <w:left w:w="0" w:type="dxa"/>
          <w:bottom w:w="0" w:type="dxa"/>
          <w:right w:w="0" w:type="dxa"/>
        </w:tblCellMar>
      </w:tblPr>
      <w:tblGrid>
        <w:gridCol w:w="3755"/>
        <w:gridCol w:w="23"/>
        <w:gridCol w:w="3335"/>
      </w:tblGrid>
      <w:tr>
        <w:trPr/>
        <w:tc>
          <w:tcPr>
            <w:tcW w:w="3755" w:type="dxa"/>
            <w:tcBorders/>
            <w:vAlign w:val="center"/>
          </w:tcPr>
          <w:p>
            <w:pPr>
              <w:pStyle w:val="TableContents"/>
              <w:bidi w:val="0"/>
              <w:spacing w:before="0" w:after="0"/>
              <w:jc w:val="center"/>
              <w:rPr>
                <w:b/>
              </w:rPr>
            </w:pPr>
            <w:r>
              <w:rPr>
                <w:b/>
              </w:rPr>
              <w:t>Maryland</w:t>
            </w:r>
          </w:p>
        </w:tc>
        <w:tc>
          <w:tcPr>
            <w:tcW w:w="23" w:type="dxa"/>
            <w:tcBorders/>
            <w:vAlign w:val="center"/>
          </w:tcPr>
          <w:p>
            <w:pPr>
              <w:pStyle w:val="TableContents"/>
              <w:bidi w:val="0"/>
              <w:spacing w:before="0" w:after="283"/>
              <w:jc w:val="left"/>
              <w:rPr/>
            </w:pPr>
            <w:r>
              <w:rPr/>
            </w:r>
          </w:p>
        </w:tc>
        <w:tc>
          <w:tcPr>
            <w:tcW w:w="3335" w:type="dxa"/>
            <w:tcBorders/>
            <w:vAlign w:val="center"/>
          </w:tcPr>
          <w:p>
            <w:pPr>
              <w:pStyle w:val="TableContents"/>
              <w:bidi w:val="0"/>
              <w:spacing w:before="0" w:after="0"/>
              <w:jc w:val="center"/>
              <w:rPr>
                <w:b/>
              </w:rPr>
            </w:pPr>
            <w:r>
              <w:rPr>
                <w:b/>
              </w:rPr>
              <w:t>86-2872887</w:t>
            </w:r>
          </w:p>
        </w:tc>
      </w:tr>
      <w:tr>
        <w:trPr/>
        <w:tc>
          <w:tcPr>
            <w:tcW w:w="3755" w:type="dxa"/>
            <w:tcBorders/>
            <w:vAlign w:val="center"/>
          </w:tcPr>
          <w:p>
            <w:pPr>
              <w:pStyle w:val="TableContents"/>
              <w:bidi w:val="0"/>
              <w:spacing w:before="0" w:after="0"/>
              <w:jc w:val="center"/>
              <w:rPr/>
            </w:pPr>
            <w:r>
              <w:rPr/>
              <w:t>(State or other jurisdiction of</w:t>
            </w:r>
          </w:p>
          <w:p>
            <w:pPr>
              <w:pStyle w:val="TableContents"/>
              <w:bidi w:val="0"/>
              <w:spacing w:before="0" w:after="0"/>
              <w:jc w:val="center"/>
              <w:rPr/>
            </w:pPr>
            <w:r>
              <w:rPr/>
              <w:t>incorporation or organization)</w:t>
            </w:r>
          </w:p>
        </w:tc>
        <w:tc>
          <w:tcPr>
            <w:tcW w:w="23" w:type="dxa"/>
            <w:tcBorders/>
            <w:vAlign w:val="center"/>
          </w:tcPr>
          <w:p>
            <w:pPr>
              <w:pStyle w:val="TableContents"/>
              <w:bidi w:val="0"/>
              <w:spacing w:before="0" w:after="283"/>
              <w:jc w:val="left"/>
              <w:rPr/>
            </w:pPr>
            <w:r>
              <w:rPr/>
            </w:r>
          </w:p>
        </w:tc>
        <w:tc>
          <w:tcPr>
            <w:tcW w:w="3335" w:type="dxa"/>
            <w:tcBorders/>
            <w:vAlign w:val="center"/>
          </w:tcPr>
          <w:p>
            <w:pPr>
              <w:pStyle w:val="TableContents"/>
              <w:bidi w:val="0"/>
              <w:spacing w:before="0" w:after="283"/>
              <w:jc w:val="center"/>
              <w:rPr/>
            </w:pPr>
            <w:r>
              <w:rPr/>
              <w:t xml:space="preserve">(IRS Employer Identification No.) </w:t>
            </w:r>
          </w:p>
        </w:tc>
      </w:tr>
      <w:tr>
        <w:trPr/>
        <w:tc>
          <w:tcPr>
            <w:tcW w:w="375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3335" w:type="dxa"/>
            <w:tcBorders/>
            <w:vAlign w:val="center"/>
          </w:tcPr>
          <w:p>
            <w:pPr>
              <w:pStyle w:val="TableContents"/>
              <w:bidi w:val="0"/>
              <w:spacing w:before="0" w:after="0"/>
              <w:jc w:val="center"/>
              <w:rPr/>
            </w:pPr>
            <w:r>
              <w:rPr/>
            </w:r>
          </w:p>
        </w:tc>
      </w:tr>
      <w:tr>
        <w:trPr/>
        <w:tc>
          <w:tcPr>
            <w:tcW w:w="3755" w:type="dxa"/>
            <w:tcBorders/>
            <w:vAlign w:val="center"/>
          </w:tcPr>
          <w:p>
            <w:pPr>
              <w:pStyle w:val="TableContents"/>
              <w:bidi w:val="0"/>
              <w:spacing w:before="0" w:after="0"/>
              <w:jc w:val="center"/>
              <w:rPr>
                <w:b/>
              </w:rPr>
            </w:pPr>
            <w:r>
              <w:rPr>
                <w:b/>
              </w:rPr>
              <w:t>600 Madison Avenue, Suite 1800</w:t>
            </w:r>
          </w:p>
        </w:tc>
        <w:tc>
          <w:tcPr>
            <w:tcW w:w="23" w:type="dxa"/>
            <w:tcBorders/>
            <w:vAlign w:val="center"/>
          </w:tcPr>
          <w:p>
            <w:pPr>
              <w:pStyle w:val="TableContents"/>
              <w:bidi w:val="0"/>
              <w:spacing w:before="0" w:after="283"/>
              <w:jc w:val="left"/>
              <w:rPr/>
            </w:pPr>
            <w:r>
              <w:rPr/>
            </w:r>
          </w:p>
        </w:tc>
        <w:tc>
          <w:tcPr>
            <w:tcW w:w="3335" w:type="dxa"/>
            <w:tcBorders/>
            <w:vAlign w:val="center"/>
          </w:tcPr>
          <w:p>
            <w:pPr>
              <w:pStyle w:val="TableContents"/>
              <w:bidi w:val="0"/>
              <w:spacing w:before="0" w:after="283"/>
              <w:jc w:val="center"/>
              <w:rPr/>
            </w:pPr>
            <w:r>
              <w:rPr/>
              <w:t> </w:t>
            </w:r>
          </w:p>
        </w:tc>
      </w:tr>
      <w:tr>
        <w:trPr/>
        <w:tc>
          <w:tcPr>
            <w:tcW w:w="3755" w:type="dxa"/>
            <w:tcBorders/>
            <w:vAlign w:val="center"/>
          </w:tcPr>
          <w:p>
            <w:pPr>
              <w:pStyle w:val="TableContents"/>
              <w:bidi w:val="0"/>
              <w:spacing w:before="0" w:after="0"/>
              <w:jc w:val="center"/>
              <w:rPr>
                <w:b/>
              </w:rPr>
            </w:pPr>
            <w:r>
              <w:rPr>
                <w:b/>
              </w:rPr>
              <w:t>New York, NY</w:t>
            </w:r>
          </w:p>
        </w:tc>
        <w:tc>
          <w:tcPr>
            <w:tcW w:w="23" w:type="dxa"/>
            <w:tcBorders/>
            <w:vAlign w:val="center"/>
          </w:tcPr>
          <w:p>
            <w:pPr>
              <w:pStyle w:val="TableContents"/>
              <w:bidi w:val="0"/>
              <w:spacing w:before="0" w:after="283"/>
              <w:jc w:val="left"/>
              <w:rPr/>
            </w:pPr>
            <w:r>
              <w:rPr/>
            </w:r>
          </w:p>
        </w:tc>
        <w:tc>
          <w:tcPr>
            <w:tcW w:w="3335" w:type="dxa"/>
            <w:tcBorders/>
            <w:vAlign w:val="center"/>
          </w:tcPr>
          <w:p>
            <w:pPr>
              <w:pStyle w:val="TableContents"/>
              <w:bidi w:val="0"/>
              <w:spacing w:before="0" w:after="283"/>
              <w:jc w:val="center"/>
              <w:rPr/>
            </w:pPr>
            <w:r>
              <w:rPr/>
              <w:t> </w:t>
            </w:r>
          </w:p>
        </w:tc>
      </w:tr>
      <w:tr>
        <w:trPr/>
        <w:tc>
          <w:tcPr>
            <w:tcW w:w="3755" w:type="dxa"/>
            <w:tcBorders/>
            <w:vAlign w:val="center"/>
          </w:tcPr>
          <w:p>
            <w:pPr>
              <w:pStyle w:val="TableContents"/>
              <w:bidi w:val="0"/>
              <w:spacing w:before="0" w:after="283"/>
              <w:jc w:val="center"/>
              <w:rPr/>
            </w:pPr>
            <w:r>
              <w:rPr/>
              <w:t> </w:t>
            </w:r>
          </w:p>
        </w:tc>
        <w:tc>
          <w:tcPr>
            <w:tcW w:w="23" w:type="dxa"/>
            <w:tcBorders/>
            <w:vAlign w:val="center"/>
          </w:tcPr>
          <w:p>
            <w:pPr>
              <w:pStyle w:val="TableContents"/>
              <w:bidi w:val="0"/>
              <w:spacing w:before="0" w:after="283"/>
              <w:jc w:val="left"/>
              <w:rPr/>
            </w:pPr>
            <w:r>
              <w:rPr/>
            </w:r>
          </w:p>
        </w:tc>
        <w:tc>
          <w:tcPr>
            <w:tcW w:w="3335" w:type="dxa"/>
            <w:tcBorders/>
            <w:vAlign w:val="center"/>
          </w:tcPr>
          <w:p>
            <w:pPr>
              <w:pStyle w:val="TableContents"/>
              <w:bidi w:val="0"/>
              <w:spacing w:before="0" w:after="0"/>
              <w:jc w:val="center"/>
              <w:rPr>
                <w:b/>
              </w:rPr>
            </w:pPr>
            <w:r>
              <w:rPr>
                <w:b/>
              </w:rPr>
              <w:t>10022</w:t>
            </w:r>
          </w:p>
        </w:tc>
      </w:tr>
      <w:tr>
        <w:trPr/>
        <w:tc>
          <w:tcPr>
            <w:tcW w:w="3755" w:type="dxa"/>
            <w:tcBorders/>
            <w:vAlign w:val="center"/>
          </w:tcPr>
          <w:p>
            <w:pPr>
              <w:pStyle w:val="TableContents"/>
              <w:bidi w:val="0"/>
              <w:spacing w:before="0" w:after="0"/>
              <w:jc w:val="center"/>
              <w:rPr/>
            </w:pPr>
            <w:r>
              <w:rPr/>
              <w:t>(Address of principal executive offices)</w:t>
            </w:r>
          </w:p>
        </w:tc>
        <w:tc>
          <w:tcPr>
            <w:tcW w:w="23" w:type="dxa"/>
            <w:tcBorders/>
            <w:vAlign w:val="center"/>
          </w:tcPr>
          <w:p>
            <w:pPr>
              <w:pStyle w:val="TableContents"/>
              <w:bidi w:val="0"/>
              <w:spacing w:before="0" w:after="283"/>
              <w:jc w:val="left"/>
              <w:rPr/>
            </w:pPr>
            <w:r>
              <w:rPr/>
            </w:r>
          </w:p>
        </w:tc>
        <w:tc>
          <w:tcPr>
            <w:tcW w:w="3335" w:type="dxa"/>
            <w:tcBorders/>
            <w:vAlign w:val="center"/>
          </w:tcPr>
          <w:p>
            <w:pPr>
              <w:pStyle w:val="TableContents"/>
              <w:bidi w:val="0"/>
              <w:spacing w:before="0" w:after="0"/>
              <w:jc w:val="center"/>
              <w:rPr/>
            </w:pPr>
            <w:r>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(212) 905-4923</w:t>
      </w:r>
    </w:p>
    <w:p>
      <w:pPr>
        <w:pStyle w:val="TextBody"/>
        <w:bidi w:val="0"/>
        <w:spacing w:before="0" w:after="0"/>
        <w:jc w:val="center"/>
        <w:rPr>
          <w:color w:val="000000"/>
          <w:shd w:fill="FFFFFF" w:val="clear"/>
        </w:rPr>
      </w:pPr>
      <w:r>
        <w:rPr>
          <w:color w:val="000000"/>
          <w:shd w:fill="FFFFFF" w:val="clear"/>
        </w:rPr>
        <w:t> </w:t>
      </w:r>
      <w:r>
        <w:rPr>
          <w:rFonts w:ascii="Times New Roman" w:hAnsi="Times New Roman"/>
          <w:color w:val="000000"/>
          <w:sz w:val="20"/>
          <w:shd w:fill="FFFFFF" w:val="clear"/>
        </w:rPr>
        <w:t xml:space="preserve">(Registrant’s telephone number, including area code) </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10155" w:type="dxa"/>
        <w:jc w:val="left"/>
        <w:tblInd w:w="0" w:type="dxa"/>
        <w:tblLayout w:type="fixed"/>
        <w:tblCellMar>
          <w:top w:w="0" w:type="dxa"/>
          <w:left w:w="0" w:type="dxa"/>
          <w:bottom w:w="28" w:type="dxa"/>
          <w:right w:w="0" w:type="dxa"/>
        </w:tblCellMar>
      </w:tblPr>
      <w:tblGrid>
        <w:gridCol w:w="4010"/>
        <w:gridCol w:w="60"/>
        <w:gridCol w:w="1805"/>
        <w:gridCol w:w="60"/>
        <w:gridCol w:w="4220"/>
      </w:tblGrid>
      <w:tr>
        <w:trPr/>
        <w:tc>
          <w:tcPr>
            <w:tcW w:w="4010" w:type="dxa"/>
            <w:tcBorders>
              <w:bottom w:val="single" w:sz="12" w:space="0" w:color="000000"/>
            </w:tcBorders>
            <w:vAlign w:val="center"/>
          </w:tcPr>
          <w:p>
            <w:pPr>
              <w:pStyle w:val="TableContents"/>
              <w:bidi w:val="0"/>
              <w:spacing w:before="0" w:after="0"/>
              <w:jc w:val="center"/>
              <w:rPr/>
            </w:pPr>
            <w:r>
              <w:rPr/>
              <w:t>Title of Each Class</w:t>
            </w:r>
          </w:p>
        </w:tc>
        <w:tc>
          <w:tcPr>
            <w:tcW w:w="60" w:type="dxa"/>
            <w:tcBorders/>
            <w:tcMar>
              <w:bottom w:w="0" w:type="dxa"/>
            </w:tcMar>
            <w:vAlign w:val="center"/>
          </w:tcPr>
          <w:p>
            <w:pPr>
              <w:pStyle w:val="TableContents"/>
              <w:bidi w:val="0"/>
              <w:spacing w:before="0" w:after="283"/>
              <w:jc w:val="left"/>
              <w:rPr/>
            </w:pPr>
            <w:r>
              <w:rPr/>
              <w:t> </w:t>
            </w:r>
          </w:p>
        </w:tc>
        <w:tc>
          <w:tcPr>
            <w:tcW w:w="1805" w:type="dxa"/>
            <w:tcBorders>
              <w:bottom w:val="single" w:sz="12" w:space="0" w:color="000000"/>
            </w:tcBorders>
            <w:vAlign w:val="center"/>
          </w:tcPr>
          <w:p>
            <w:pPr>
              <w:pStyle w:val="TableContents"/>
              <w:bidi w:val="0"/>
              <w:spacing w:before="0" w:after="0"/>
              <w:jc w:val="center"/>
              <w:rPr/>
            </w:pPr>
            <w:r>
              <w:rPr/>
              <w:t>Trading Symbol(s)</w:t>
            </w:r>
          </w:p>
        </w:tc>
        <w:tc>
          <w:tcPr>
            <w:tcW w:w="60" w:type="dxa"/>
            <w:tcBorders/>
            <w:tcMar>
              <w:bottom w:w="0" w:type="dxa"/>
            </w:tcMar>
            <w:vAlign w:val="center"/>
          </w:tcPr>
          <w:p>
            <w:pPr>
              <w:pStyle w:val="TableContents"/>
              <w:bidi w:val="0"/>
              <w:spacing w:before="0" w:after="283"/>
              <w:jc w:val="left"/>
              <w:rPr/>
            </w:pPr>
            <w:r>
              <w:rPr/>
              <w:t> </w:t>
            </w:r>
          </w:p>
        </w:tc>
        <w:tc>
          <w:tcPr>
            <w:tcW w:w="4220" w:type="dxa"/>
            <w:tcBorders>
              <w:bottom w:val="single" w:sz="12" w:space="0" w:color="000000"/>
            </w:tcBorders>
            <w:vAlign w:val="center"/>
          </w:tcPr>
          <w:p>
            <w:pPr>
              <w:pStyle w:val="TableContents"/>
              <w:bidi w:val="0"/>
              <w:spacing w:before="0" w:after="0"/>
              <w:jc w:val="center"/>
              <w:rPr/>
            </w:pPr>
            <w:r>
              <w:rPr/>
              <w:t>Name of each exchange on which registered</w:t>
            </w:r>
          </w:p>
        </w:tc>
      </w:tr>
      <w:tr>
        <w:trPr/>
        <w:tc>
          <w:tcPr>
            <w:tcW w:w="4010" w:type="dxa"/>
            <w:tcBorders/>
            <w:tcMar>
              <w:bottom w:w="0" w:type="dxa"/>
            </w:tcMar>
            <w:vAlign w:val="center"/>
          </w:tcPr>
          <w:p>
            <w:pPr>
              <w:pStyle w:val="TableContents"/>
              <w:bidi w:val="0"/>
              <w:spacing w:before="0" w:after="0"/>
              <w:jc w:val="center"/>
              <w:rPr/>
            </w:pPr>
            <w:r>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805" w:type="dxa"/>
            <w:tcBorders/>
            <w:tcMar>
              <w:bottom w:w="0" w:type="dxa"/>
            </w:tcMar>
            <w:vAlign w:val="center"/>
          </w:tcPr>
          <w:p>
            <w:pPr>
              <w:pStyle w:val="TableContents"/>
              <w:bidi w:val="0"/>
              <w:spacing w:before="0" w:after="0"/>
              <w:jc w:val="center"/>
              <w:rPr/>
            </w:pPr>
            <w:r>
              <w:rPr/>
              <w:t>SSIC</w:t>
            </w:r>
          </w:p>
        </w:tc>
        <w:tc>
          <w:tcPr>
            <w:tcW w:w="60" w:type="dxa"/>
            <w:tcBorders/>
            <w:tcMar>
              <w:bottom w:w="0" w:type="dxa"/>
            </w:tcMar>
            <w:vAlign w:val="center"/>
          </w:tcPr>
          <w:p>
            <w:pPr>
              <w:pStyle w:val="TableContents"/>
              <w:bidi w:val="0"/>
              <w:spacing w:before="0" w:after="283"/>
              <w:jc w:val="left"/>
              <w:rPr/>
            </w:pPr>
            <w:r>
              <w:rPr/>
              <w:t> </w:t>
            </w:r>
          </w:p>
        </w:tc>
        <w:tc>
          <w:tcPr>
            <w:tcW w:w="4220" w:type="dxa"/>
            <w:tcBorders/>
            <w:tcMar>
              <w:bottom w:w="0" w:type="dxa"/>
            </w:tcMar>
            <w:vAlign w:val="center"/>
          </w:tcPr>
          <w:p>
            <w:pPr>
              <w:pStyle w:val="TableContents"/>
              <w:bidi w:val="0"/>
              <w:spacing w:before="0" w:after="283"/>
              <w:jc w:val="center"/>
              <w:rPr/>
            </w:pPr>
            <w:r>
              <w:rPr/>
              <w:t>The NASDAQ Stock Market LLC</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Yes ☒ No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Yes ☒ No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rFonts w:ascii="Times New Roman" w:hAnsi="Times New Roman"/>
          <w:sz w:val="20"/>
        </w:rPr>
      </w:pPr>
      <w:r>
        <w:rPr>
          <w:rFonts w:ascii="Times New Roman" w:hAnsi="Times New Roman"/>
          <w:sz w:val="20"/>
        </w:rPr>
      </w:r>
    </w:p>
    <w:tbl>
      <w:tblPr>
        <w:tblW w:w="5255" w:type="dxa"/>
        <w:jc w:val="left"/>
        <w:tblInd w:w="0" w:type="dxa"/>
        <w:tblLayout w:type="fixed"/>
        <w:tblCellMar>
          <w:top w:w="0" w:type="dxa"/>
          <w:left w:w="0" w:type="dxa"/>
          <w:bottom w:w="0" w:type="dxa"/>
          <w:right w:w="0" w:type="dxa"/>
        </w:tblCellMar>
      </w:tblPr>
      <w:tblGrid>
        <w:gridCol w:w="2120"/>
        <w:gridCol w:w="230"/>
        <w:gridCol w:w="60"/>
        <w:gridCol w:w="2615"/>
        <w:gridCol w:w="230"/>
      </w:tblGrid>
      <w:tr>
        <w:trPr/>
        <w:tc>
          <w:tcPr>
            <w:tcW w:w="2120" w:type="dxa"/>
            <w:tcBorders/>
            <w:vAlign w:val="center"/>
          </w:tcPr>
          <w:p>
            <w:pPr>
              <w:pStyle w:val="TableContents"/>
              <w:bidi w:val="0"/>
              <w:spacing w:before="0" w:after="0"/>
              <w:jc w:val="left"/>
              <w:rPr/>
            </w:pPr>
            <w:r>
              <w:rPr/>
              <w:t>Large accelerated filer</w:t>
            </w:r>
          </w:p>
        </w:tc>
        <w:tc>
          <w:tcPr>
            <w:tcW w:w="230" w:type="dxa"/>
            <w:tcBorders/>
            <w:vAlign w:val="center"/>
          </w:tcPr>
          <w:p>
            <w:pPr>
              <w:pStyle w:val="TableContents"/>
              <w:bidi w:val="0"/>
              <w:spacing w:before="0" w:after="0"/>
              <w:jc w:val="right"/>
              <w:rPr>
                <w:color w:val="000000"/>
              </w:rPr>
            </w:pPr>
            <w:r>
              <w:rPr>
                <w:color w:val="000000"/>
              </w:rPr>
              <w:t>☐</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left"/>
              <w:rPr/>
            </w:pPr>
            <w:r>
              <w:rPr/>
              <w:t>Accelerated filer</w:t>
            </w:r>
          </w:p>
        </w:tc>
        <w:tc>
          <w:tcPr>
            <w:tcW w:w="230" w:type="dxa"/>
            <w:tcBorders/>
            <w:vAlign w:val="center"/>
          </w:tcPr>
          <w:p>
            <w:pPr>
              <w:pStyle w:val="TableContents"/>
              <w:bidi w:val="0"/>
              <w:spacing w:before="0" w:after="0"/>
              <w:jc w:val="right"/>
              <w:rPr>
                <w:color w:val="000000"/>
              </w:rPr>
            </w:pPr>
            <w:r>
              <w:rPr>
                <w:color w:val="000000"/>
              </w:rPr>
              <w:t>☐</w:t>
            </w:r>
          </w:p>
        </w:tc>
      </w:tr>
      <w:tr>
        <w:trPr/>
        <w:tc>
          <w:tcPr>
            <w:tcW w:w="2120" w:type="dxa"/>
            <w:tcBorders/>
            <w:vAlign w:val="center"/>
          </w:tcPr>
          <w:p>
            <w:pPr>
              <w:pStyle w:val="TableContents"/>
              <w:bidi w:val="0"/>
              <w:spacing w:before="0" w:after="0"/>
              <w:jc w:val="both"/>
              <w:rPr/>
            </w:pPr>
            <w:r>
              <w:rPr/>
              <w:t>Non-accelerated filer</w:t>
            </w:r>
          </w:p>
        </w:tc>
        <w:tc>
          <w:tcPr>
            <w:tcW w:w="23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left"/>
              <w:rPr/>
            </w:pPr>
            <w:r>
              <w:rPr/>
              <w:t>Smaller reporting company</w:t>
            </w:r>
          </w:p>
        </w:tc>
        <w:tc>
          <w:tcPr>
            <w:tcW w:w="230" w:type="dxa"/>
            <w:tcBorders/>
            <w:vAlign w:val="center"/>
          </w:tcPr>
          <w:p>
            <w:pPr>
              <w:pStyle w:val="TableContents"/>
              <w:bidi w:val="0"/>
              <w:spacing w:before="0" w:after="0"/>
              <w:jc w:val="right"/>
              <w:rPr>
                <w:color w:val="000000"/>
              </w:rPr>
            </w:pPr>
            <w:r>
              <w:rPr>
                <w:color w:val="000000"/>
              </w:rPr>
              <w:t>☐</w:t>
            </w:r>
          </w:p>
        </w:tc>
      </w:tr>
      <w:tr>
        <w:trPr/>
        <w:tc>
          <w:tcPr>
            <w:tcW w:w="2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left"/>
              <w:rPr/>
            </w:pPr>
            <w:r>
              <w:rPr/>
              <w:t>Emerging growth company</w:t>
            </w:r>
          </w:p>
        </w:tc>
        <w:tc>
          <w:tcPr>
            <w:tcW w:w="230" w:type="dxa"/>
            <w:tcBorders/>
            <w:vAlign w:val="center"/>
          </w:tcPr>
          <w:p>
            <w:pPr>
              <w:pStyle w:val="TableContents"/>
              <w:bidi w:val="0"/>
              <w:spacing w:before="0" w:after="0"/>
              <w:jc w:val="right"/>
              <w:rPr/>
            </w:pPr>
            <w:r>
              <w:rPr/>
              <w: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Act). Yes ☐          No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hanging="0"/>
        <w:jc w:val="left"/>
        <w:rPr>
          <w:rFonts w:ascii="Times New Roman" w:hAnsi="Times New Roman"/>
          <w:color w:val="000000"/>
          <w:sz w:val="20"/>
          <w:shd w:fill="FFFFFF" w:val="clear"/>
        </w:rPr>
      </w:pPr>
      <w:r>
        <w:rPr>
          <w:rFonts w:ascii="Times New Roman" w:hAnsi="Times New Roman"/>
          <w:color w:val="000000"/>
          <w:sz w:val="20"/>
          <w:shd w:fill="FFFFFF" w:val="clear"/>
        </w:rPr>
        <w:t xml:space="preserve">As of </w:t>
      </w:r>
      <w:r>
        <w:rPr>
          <w:rFonts w:ascii="Times New Roman" w:hAnsi="Times New Roman"/>
          <w:b w:val="false"/>
          <w:i w:val="false"/>
          <w:caps w:val="false"/>
          <w:smallCaps w:val="false"/>
          <w:color w:val="000000"/>
          <w:spacing w:val="0"/>
          <w:sz w:val="20"/>
          <w:shd w:fill="FFFFFF" w:val="clear"/>
        </w:rPr>
        <w:t>August 6, 2024,</w:t>
      </w:r>
      <w:r>
        <w:rPr>
          <w:rFonts w:ascii="Times New Roman" w:hAnsi="Times New Roman"/>
          <w:color w:val="000000"/>
          <w:sz w:val="20"/>
          <w:shd w:fill="FFFFFF" w:val="clear"/>
        </w:rPr>
        <w:t xml:space="preserve"> the registrant had 6,214,964 shares of common stock ($0.01 par value per share) outstanding.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INVESTMENT CORP.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 10-Q</w:t>
      </w:r>
    </w:p>
    <w:p>
      <w:pPr>
        <w:pStyle w:val="TextBody"/>
        <w:bidi w:val="0"/>
        <w:spacing w:before="0" w:after="0"/>
        <w:jc w:val="center"/>
        <w:rPr>
          <w:rFonts w:ascii="Times New Roman" w:hAnsi="Times New Roman"/>
          <w:b/>
          <w:sz w:val="20"/>
        </w:rPr>
      </w:pPr>
      <w:r>
        <w:rPr>
          <w:rFonts w:ascii="Times New Roman" w:hAnsi="Times New Roman"/>
          <w:b/>
          <w:sz w:val="20"/>
        </w:rPr>
      </w:r>
    </w:p>
    <w:p>
      <w:pPr>
        <w:pStyle w:val="Normal"/>
        <w:bidi w:val="0"/>
        <w:spacing w:before="0" w:after="0"/>
        <w:jc w:val="left"/>
        <w:rPr>
          <w:sz w:val="4"/>
          <w:szCs w:val="4"/>
        </w:rPr>
      </w:pPr>
      <w:r>
        <w:rPr>
          <w:sz w:val="4"/>
          <w:szCs w:val="4"/>
        </w:rPr>
      </w:r>
      <w:bookmarkStart w:id="0" w:name="TABLEOFCONTENTS"/>
      <w:bookmarkStart w:id="1" w:name="TABLEOFCONTENTS"/>
      <w:bookmarkEnd w:id="1"/>
    </w:p>
    <w:tbl>
      <w:tblPr>
        <w:tblW w:w="8602" w:type="dxa"/>
        <w:jc w:val="left"/>
        <w:tblInd w:w="0" w:type="dxa"/>
        <w:tblLayout w:type="fixed"/>
        <w:tblCellMar>
          <w:top w:w="0" w:type="dxa"/>
          <w:left w:w="0" w:type="dxa"/>
          <w:bottom w:w="0" w:type="dxa"/>
          <w:right w:w="0" w:type="dxa"/>
        </w:tblCellMar>
      </w:tblPr>
      <w:tblGrid>
        <w:gridCol w:w="740"/>
        <w:gridCol w:w="7280"/>
        <w:gridCol w:w="582"/>
      </w:tblGrid>
      <w:tr>
        <w:trPr/>
        <w:tc>
          <w:tcPr>
            <w:tcW w:w="740"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7280" w:type="dxa"/>
            <w:tcBorders/>
            <w:vAlign w:val="center"/>
          </w:tcPr>
          <w:p>
            <w:pPr>
              <w:pStyle w:val="TableContents"/>
              <w:bidi w:val="0"/>
              <w:spacing w:before="0" w:after="0"/>
              <w:ind w:left="2622" w:right="2550" w:hanging="0"/>
              <w:jc w:val="center"/>
              <w:rPr>
                <w:rFonts w:ascii="Times New Roman" w:hAnsi="Times New Roman"/>
                <w:b/>
                <w:sz w:val="20"/>
              </w:rPr>
            </w:pPr>
            <w:r>
              <w:rPr>
                <w:rFonts w:ascii="Times New Roman" w:hAnsi="Times New Roman"/>
                <w:b/>
                <w:sz w:val="20"/>
              </w:rPr>
              <w:t>TABLE OF CONTENTS</w:t>
            </w:r>
          </w:p>
        </w:tc>
        <w:tc>
          <w:tcPr>
            <w:tcW w:w="582" w:type="dxa"/>
            <w:tcBorders/>
            <w:vAlign w:val="center"/>
          </w:tcPr>
          <w:p>
            <w:pPr>
              <w:pStyle w:val="TableContents"/>
              <w:bidi w:val="0"/>
              <w:spacing w:before="0" w:after="283"/>
              <w:jc w:val="left"/>
              <w:rPr/>
            </w:pPr>
            <w:r>
              <w:rPr/>
              <w:t> </w:t>
            </w:r>
          </w:p>
        </w:tc>
      </w:tr>
      <w:tr>
        <w:trPr/>
        <w:tc>
          <w:tcPr>
            <w:tcW w:w="740" w:type="dxa"/>
            <w:vMerge w:val="continue"/>
            <w:tcBorders/>
            <w:vAlign w:val="center"/>
          </w:tcPr>
          <w:p>
            <w:pPr>
              <w:pStyle w:val="Normal"/>
              <w:bidi w:val="0"/>
              <w:jc w:val="left"/>
              <w:rPr/>
            </w:pPr>
            <w:r>
              <w:rPr/>
            </w:r>
          </w:p>
        </w:tc>
        <w:tc>
          <w:tcPr>
            <w:tcW w:w="7280"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0"/>
              <w:ind w:left="145" w:right="22" w:hanging="0"/>
              <w:jc w:val="center"/>
              <w:rPr>
                <w:rFonts w:ascii="Times New Roman" w:hAnsi="Times New Roman"/>
                <w:b/>
                <w:sz w:val="20"/>
              </w:rPr>
            </w:pPr>
            <w:r>
              <w:rPr>
                <w:rFonts w:ascii="Times New Roman" w:hAnsi="Times New Roman"/>
                <w:b/>
                <w:sz w:val="20"/>
              </w:rPr>
              <w:t>PAGE</w:t>
            </w:r>
          </w:p>
          <w:p>
            <w:pPr>
              <w:pStyle w:val="TableContents"/>
              <w:bidi w:val="0"/>
              <w:spacing w:before="0" w:after="0"/>
              <w:ind w:left="194" w:right="22" w:hanging="0"/>
              <w:jc w:val="center"/>
              <w:rPr>
                <w:rFonts w:ascii="Times New Roman" w:hAnsi="Times New Roman"/>
                <w:b/>
                <w:sz w:val="20"/>
              </w:rPr>
            </w:pPr>
            <w:r>
              <w:rPr>
                <w:rFonts w:ascii="Times New Roman" w:hAnsi="Times New Roman"/>
                <w:b/>
                <w:sz w:val="20"/>
              </w:rPr>
              <w:t>NO.</w:t>
            </w:r>
          </w:p>
        </w:tc>
      </w:tr>
      <w:tr>
        <w:trPr/>
        <w:tc>
          <w:tcPr>
            <w:tcW w:w="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PART I</w:t>
            </w:r>
          </w:p>
        </w:tc>
        <w:tc>
          <w:tcPr>
            <w:tcW w:w="72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INFORMATION</w:t>
            </w:r>
          </w:p>
        </w:tc>
        <w:tc>
          <w:tcPr>
            <w:tcW w:w="582"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7280" w:type="dxa"/>
            <w:tcBorders/>
            <w:shd w:fill="CCEEFF" w:val="clear"/>
            <w:vAlign w:val="center"/>
          </w:tcPr>
          <w:p>
            <w:pPr>
              <w:pStyle w:val="TableContents"/>
              <w:bidi w:val="0"/>
              <w:spacing w:before="0" w:after="0"/>
              <w:jc w:val="left"/>
              <w:rPr/>
            </w:pPr>
            <w:hyperlink w:anchor="FinancialStatements">
              <w:r>
                <w:rPr>
                  <w:rStyle w:val="InternetLink"/>
                  <w:rFonts w:ascii="Times New Roman" w:hAnsi="Times New Roman"/>
                  <w:sz w:val="20"/>
                </w:rPr>
                <w:t>Financial Statements (unaudited)</w:t>
              </w:r>
            </w:hyperlink>
          </w:p>
        </w:tc>
        <w:tc>
          <w:tcPr>
            <w:tcW w:w="582"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5</w:t>
            </w:r>
          </w:p>
        </w:tc>
      </w:tr>
      <w:tr>
        <w:trPr/>
        <w:tc>
          <w:tcPr>
            <w:tcW w:w="74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StatementsofAssetsandLiab">
              <w:r>
                <w:rPr>
                  <w:rStyle w:val="InternetLink"/>
                  <w:rFonts w:ascii="Times New Roman" w:hAnsi="Times New Roman"/>
                  <w:sz w:val="20"/>
                </w:rPr>
                <w:t>Statements of Assets and Liabilities</w:t>
              </w:r>
            </w:hyperlink>
          </w:p>
        </w:tc>
        <w:tc>
          <w:tcPr>
            <w:tcW w:w="582"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5</w:t>
            </w:r>
          </w:p>
        </w:tc>
      </w:tr>
      <w:tr>
        <w:trPr/>
        <w:tc>
          <w:tcPr>
            <w:tcW w:w="74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jc w:val="left"/>
              <w:rPr/>
            </w:pPr>
            <w:hyperlink w:anchor="StatementsofOperations">
              <w:r>
                <w:rPr>
                  <w:rStyle w:val="InternetLink"/>
                  <w:rFonts w:ascii="Times New Roman" w:hAnsi="Times New Roman"/>
                  <w:sz w:val="20"/>
                </w:rPr>
                <w:t>Statements of Operations</w:t>
              </w:r>
            </w:hyperlink>
          </w:p>
        </w:tc>
        <w:tc>
          <w:tcPr>
            <w:tcW w:w="582"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6</w:t>
            </w:r>
          </w:p>
        </w:tc>
      </w:tr>
      <w:tr>
        <w:trPr/>
        <w:tc>
          <w:tcPr>
            <w:tcW w:w="74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StatementsofChangesinNetA">
              <w:r>
                <w:rPr>
                  <w:rStyle w:val="InternetLink"/>
                  <w:rFonts w:ascii="Times New Roman" w:hAnsi="Times New Roman"/>
                  <w:sz w:val="20"/>
                </w:rPr>
                <w:t>Statements of Changes in Net Assets</w:t>
              </w:r>
            </w:hyperlink>
          </w:p>
        </w:tc>
        <w:tc>
          <w:tcPr>
            <w:tcW w:w="582"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7</w:t>
            </w:r>
          </w:p>
        </w:tc>
      </w:tr>
      <w:tr>
        <w:trPr/>
        <w:tc>
          <w:tcPr>
            <w:tcW w:w="74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jc w:val="left"/>
              <w:rPr/>
            </w:pPr>
            <w:hyperlink w:anchor="StatementsofCashFlows">
              <w:r>
                <w:rPr>
                  <w:rStyle w:val="InternetLink"/>
                  <w:rFonts w:ascii="Times New Roman" w:hAnsi="Times New Roman"/>
                  <w:sz w:val="20"/>
                </w:rPr>
                <w:t>Statements of Cash Flows</w:t>
              </w:r>
            </w:hyperlink>
          </w:p>
        </w:tc>
        <w:tc>
          <w:tcPr>
            <w:tcW w:w="582"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9</w:t>
            </w:r>
          </w:p>
        </w:tc>
      </w:tr>
      <w:tr>
        <w:trPr/>
        <w:tc>
          <w:tcPr>
            <w:tcW w:w="74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ScheduleofInvestments">
              <w:r>
                <w:rPr>
                  <w:rStyle w:val="InternetLink"/>
                  <w:rFonts w:ascii="Times New Roman" w:hAnsi="Times New Roman"/>
                  <w:sz w:val="20"/>
                </w:rPr>
                <w:t>Schedule of Investments</w:t>
              </w:r>
            </w:hyperlink>
          </w:p>
        </w:tc>
        <w:tc>
          <w:tcPr>
            <w:tcW w:w="582"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10</w:t>
            </w:r>
          </w:p>
        </w:tc>
      </w:tr>
      <w:tr>
        <w:trPr/>
        <w:tc>
          <w:tcPr>
            <w:tcW w:w="74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jc w:val="left"/>
              <w:rPr/>
            </w:pPr>
            <w:hyperlink w:anchor="NotestoFinancialStatement">
              <w:r>
                <w:rPr>
                  <w:rStyle w:val="InternetLink"/>
                  <w:rFonts w:ascii="Times New Roman" w:hAnsi="Times New Roman"/>
                  <w:sz w:val="20"/>
                </w:rPr>
                <w:t>Notes to Financial Statements</w:t>
              </w:r>
            </w:hyperlink>
          </w:p>
        </w:tc>
        <w:tc>
          <w:tcPr>
            <w:tcW w:w="582"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12</w:t>
            </w:r>
          </w:p>
        </w:tc>
      </w:tr>
      <w:tr>
        <w:trPr/>
        <w:tc>
          <w:tcPr>
            <w:tcW w:w="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7280" w:type="dxa"/>
            <w:tcBorders/>
            <w:vAlign w:val="center"/>
          </w:tcPr>
          <w:p>
            <w:pPr>
              <w:pStyle w:val="TableContents"/>
              <w:bidi w:val="0"/>
              <w:spacing w:before="0" w:after="0"/>
              <w:jc w:val="left"/>
              <w:rPr/>
            </w:pPr>
            <w:hyperlink w:anchor="ManagementsDiscussionandA">
              <w:r>
                <w:rPr>
                  <w:rStyle w:val="InternetLink"/>
                  <w:rFonts w:ascii="Times New Roman" w:hAnsi="Times New Roman"/>
                  <w:sz w:val="20"/>
                </w:rPr>
                <w:t>Management’s Discussion and Analysis of Financial Condition and Results of Operations</w:t>
              </w:r>
            </w:hyperlink>
          </w:p>
        </w:tc>
        <w:tc>
          <w:tcPr>
            <w:tcW w:w="582"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27</w:t>
            </w:r>
          </w:p>
        </w:tc>
      </w:tr>
      <w:tr>
        <w:trPr/>
        <w:tc>
          <w:tcPr>
            <w:tcW w:w="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7280" w:type="dxa"/>
            <w:tcBorders/>
            <w:shd w:fill="CCEEFF" w:val="clear"/>
            <w:vAlign w:val="center"/>
          </w:tcPr>
          <w:p>
            <w:pPr>
              <w:pStyle w:val="TableContents"/>
              <w:bidi w:val="0"/>
              <w:spacing w:before="0" w:after="0"/>
              <w:jc w:val="left"/>
              <w:rPr/>
            </w:pPr>
            <w:hyperlink w:anchor="QuantitativeandQualitativ">
              <w:r>
                <w:rPr>
                  <w:rStyle w:val="InternetLink"/>
                  <w:rFonts w:ascii="Times New Roman" w:hAnsi="Times New Roman"/>
                  <w:sz w:val="20"/>
                </w:rPr>
                <w:t>Quantitative and Qualitative Disclosures About Market Risk</w:t>
              </w:r>
            </w:hyperlink>
          </w:p>
        </w:tc>
        <w:tc>
          <w:tcPr>
            <w:tcW w:w="582"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40</w:t>
            </w:r>
          </w:p>
        </w:tc>
      </w:tr>
      <w:tr>
        <w:trPr/>
        <w:tc>
          <w:tcPr>
            <w:tcW w:w="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7280" w:type="dxa"/>
            <w:tcBorders/>
            <w:vAlign w:val="center"/>
          </w:tcPr>
          <w:p>
            <w:pPr>
              <w:pStyle w:val="TableContents"/>
              <w:bidi w:val="0"/>
              <w:spacing w:before="0" w:after="0"/>
              <w:jc w:val="left"/>
              <w:rPr/>
            </w:pPr>
            <w:hyperlink w:anchor="ControlsandProcedures">
              <w:r>
                <w:rPr>
                  <w:rStyle w:val="InternetLink"/>
                  <w:rFonts w:ascii="Times New Roman" w:hAnsi="Times New Roman"/>
                  <w:sz w:val="20"/>
                </w:rPr>
                <w:t>Controls and Procedures</w:t>
              </w:r>
            </w:hyperlink>
          </w:p>
        </w:tc>
        <w:tc>
          <w:tcPr>
            <w:tcW w:w="582"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41</w:t>
            </w:r>
          </w:p>
        </w:tc>
      </w:tr>
      <w:tr>
        <w:trPr/>
        <w:tc>
          <w:tcPr>
            <w:tcW w:w="7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PART II</w:t>
            </w:r>
          </w:p>
        </w:tc>
        <w:tc>
          <w:tcPr>
            <w:tcW w:w="72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OTHER INFORMATION</w:t>
            </w:r>
          </w:p>
        </w:tc>
        <w:tc>
          <w:tcPr>
            <w:tcW w:w="582" w:type="dxa"/>
            <w:tcBorders/>
            <w:shd w:fill="CCEEFF" w:val="clear"/>
            <w:vAlign w:val="center"/>
          </w:tcPr>
          <w:p>
            <w:pPr>
              <w:pStyle w:val="TableContents"/>
              <w:bidi w:val="0"/>
              <w:spacing w:before="0" w:after="283"/>
              <w:jc w:val="center"/>
              <w:rPr/>
            </w:pPr>
            <w:r>
              <w:rPr/>
              <w:t> </w:t>
            </w:r>
          </w:p>
        </w:tc>
      </w:tr>
      <w:tr>
        <w:trPr/>
        <w:tc>
          <w:tcPr>
            <w:tcW w:w="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7280" w:type="dxa"/>
            <w:tcBorders/>
            <w:vAlign w:val="center"/>
          </w:tcPr>
          <w:p>
            <w:pPr>
              <w:pStyle w:val="TableContents"/>
              <w:bidi w:val="0"/>
              <w:spacing w:before="0" w:after="0"/>
              <w:jc w:val="left"/>
              <w:rPr/>
            </w:pPr>
            <w:hyperlink w:anchor="LegalProceedings">
              <w:r>
                <w:rPr>
                  <w:rStyle w:val="InternetLink"/>
                  <w:rFonts w:ascii="Times New Roman" w:hAnsi="Times New Roman"/>
                  <w:sz w:val="20"/>
                </w:rPr>
                <w:t>Legal Proceedings</w:t>
              </w:r>
            </w:hyperlink>
          </w:p>
        </w:tc>
        <w:tc>
          <w:tcPr>
            <w:tcW w:w="582"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41</w:t>
            </w:r>
          </w:p>
        </w:tc>
      </w:tr>
      <w:tr>
        <w:trPr/>
        <w:tc>
          <w:tcPr>
            <w:tcW w:w="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7280" w:type="dxa"/>
            <w:tcBorders/>
            <w:shd w:fill="CCEEFF" w:val="clear"/>
            <w:vAlign w:val="center"/>
          </w:tcPr>
          <w:p>
            <w:pPr>
              <w:pStyle w:val="TableContents"/>
              <w:bidi w:val="0"/>
              <w:spacing w:before="0" w:after="0"/>
              <w:jc w:val="left"/>
              <w:rPr/>
            </w:pPr>
            <w:hyperlink w:anchor="RiskFactors">
              <w:r>
                <w:rPr>
                  <w:rStyle w:val="InternetLink"/>
                  <w:rFonts w:ascii="Times New Roman" w:hAnsi="Times New Roman"/>
                  <w:sz w:val="20"/>
                </w:rPr>
                <w:t>Risk Factors</w:t>
              </w:r>
            </w:hyperlink>
          </w:p>
        </w:tc>
        <w:tc>
          <w:tcPr>
            <w:tcW w:w="582"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41</w:t>
            </w:r>
          </w:p>
        </w:tc>
      </w:tr>
      <w:tr>
        <w:trPr/>
        <w:tc>
          <w:tcPr>
            <w:tcW w:w="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7280" w:type="dxa"/>
            <w:tcBorders/>
            <w:vAlign w:val="center"/>
          </w:tcPr>
          <w:p>
            <w:pPr>
              <w:pStyle w:val="TableContents"/>
              <w:bidi w:val="0"/>
              <w:spacing w:before="0" w:after="0"/>
              <w:jc w:val="left"/>
              <w:rPr/>
            </w:pPr>
            <w:hyperlink w:anchor="UnregisteredSalesofEquity">
              <w:r>
                <w:rPr>
                  <w:rStyle w:val="InternetLink"/>
                  <w:rFonts w:ascii="Times New Roman" w:hAnsi="Times New Roman"/>
                  <w:sz w:val="20"/>
                </w:rPr>
                <w:t>Unregistered Sales of Equity Securities and Use of Proceeds</w:t>
              </w:r>
            </w:hyperlink>
          </w:p>
        </w:tc>
        <w:tc>
          <w:tcPr>
            <w:tcW w:w="582"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41</w:t>
            </w:r>
          </w:p>
        </w:tc>
      </w:tr>
      <w:tr>
        <w:trPr/>
        <w:tc>
          <w:tcPr>
            <w:tcW w:w="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7280" w:type="dxa"/>
            <w:tcBorders/>
            <w:shd w:fill="CCEEFF" w:val="clear"/>
            <w:vAlign w:val="center"/>
          </w:tcPr>
          <w:p>
            <w:pPr>
              <w:pStyle w:val="TableContents"/>
              <w:bidi w:val="0"/>
              <w:spacing w:before="0" w:after="0"/>
              <w:jc w:val="left"/>
              <w:rPr/>
            </w:pPr>
            <w:hyperlink w:anchor="DefaultsUponSeniorSecurit">
              <w:r>
                <w:rPr>
                  <w:rStyle w:val="InternetLink"/>
                  <w:rFonts w:ascii="Times New Roman" w:hAnsi="Times New Roman"/>
                  <w:sz w:val="20"/>
                </w:rPr>
                <w:t>Defaults Upon Senior Securities</w:t>
              </w:r>
            </w:hyperlink>
          </w:p>
        </w:tc>
        <w:tc>
          <w:tcPr>
            <w:tcW w:w="582"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41</w:t>
            </w:r>
          </w:p>
        </w:tc>
      </w:tr>
      <w:tr>
        <w:trPr/>
        <w:tc>
          <w:tcPr>
            <w:tcW w:w="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7280" w:type="dxa"/>
            <w:tcBorders/>
            <w:vAlign w:val="center"/>
          </w:tcPr>
          <w:p>
            <w:pPr>
              <w:pStyle w:val="TableContents"/>
              <w:bidi w:val="0"/>
              <w:spacing w:before="0" w:after="0"/>
              <w:jc w:val="left"/>
              <w:rPr/>
            </w:pPr>
            <w:hyperlink w:anchor="MineSafetyDisclosures">
              <w:r>
                <w:rPr>
                  <w:rStyle w:val="InternetLink"/>
                  <w:rFonts w:ascii="Times New Roman" w:hAnsi="Times New Roman"/>
                  <w:sz w:val="20"/>
                </w:rPr>
                <w:t>Mine Safety Disclosures</w:t>
              </w:r>
            </w:hyperlink>
          </w:p>
        </w:tc>
        <w:tc>
          <w:tcPr>
            <w:tcW w:w="582"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41</w:t>
            </w:r>
          </w:p>
        </w:tc>
      </w:tr>
      <w:tr>
        <w:trPr/>
        <w:tc>
          <w:tcPr>
            <w:tcW w:w="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7280" w:type="dxa"/>
            <w:tcBorders/>
            <w:shd w:fill="CCEEFF" w:val="clear"/>
            <w:vAlign w:val="center"/>
          </w:tcPr>
          <w:p>
            <w:pPr>
              <w:pStyle w:val="TableContents"/>
              <w:bidi w:val="0"/>
              <w:spacing w:before="0" w:after="0"/>
              <w:jc w:val="left"/>
              <w:rPr/>
            </w:pPr>
            <w:hyperlink w:anchor="OtherInformation">
              <w:r>
                <w:rPr>
                  <w:rStyle w:val="InternetLink"/>
                  <w:rFonts w:ascii="Times New Roman" w:hAnsi="Times New Roman"/>
                  <w:sz w:val="20"/>
                </w:rPr>
                <w:t>Other Information</w:t>
              </w:r>
            </w:hyperlink>
          </w:p>
        </w:tc>
        <w:tc>
          <w:tcPr>
            <w:tcW w:w="582"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41</w:t>
            </w:r>
          </w:p>
        </w:tc>
      </w:tr>
      <w:tr>
        <w:trPr/>
        <w:tc>
          <w:tcPr>
            <w:tcW w:w="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7280" w:type="dxa"/>
            <w:tcBorders/>
            <w:vAlign w:val="center"/>
          </w:tcPr>
          <w:p>
            <w:pPr>
              <w:pStyle w:val="TableContents"/>
              <w:bidi w:val="0"/>
              <w:spacing w:before="0" w:after="0"/>
              <w:jc w:val="left"/>
              <w:rPr/>
            </w:pPr>
            <w:hyperlink w:anchor="Exhibits">
              <w:r>
                <w:rPr>
                  <w:rStyle w:val="InternetLink"/>
                  <w:rFonts w:ascii="Times New Roman" w:hAnsi="Times New Roman"/>
                  <w:sz w:val="20"/>
                </w:rPr>
                <w:t>Exhibits</w:t>
              </w:r>
            </w:hyperlink>
          </w:p>
        </w:tc>
        <w:tc>
          <w:tcPr>
            <w:tcW w:w="582"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41</w:t>
            </w:r>
          </w:p>
        </w:tc>
      </w:tr>
      <w:tr>
        <w:trPr/>
        <w:tc>
          <w:tcPr>
            <w:tcW w:w="8020" w:type="dxa"/>
            <w:gridSpan w:val="2"/>
            <w:tcBorders/>
            <w:shd w:fill="CCEEFF" w:val="clear"/>
            <w:vAlign w:val="center"/>
          </w:tcPr>
          <w:p>
            <w:pPr>
              <w:pStyle w:val="TableContents"/>
              <w:bidi w:val="0"/>
              <w:spacing w:before="0" w:after="0"/>
              <w:jc w:val="left"/>
              <w:rPr/>
            </w:pPr>
            <w:hyperlink w:anchor="SIGNATURES">
              <w:r>
                <w:rPr>
                  <w:rStyle w:val="InternetLink"/>
                  <w:rFonts w:ascii="Times New Roman" w:hAnsi="Times New Roman"/>
                  <w:b/>
                  <w:sz w:val="20"/>
                </w:rPr>
                <w:t>SIGNATURES</w:t>
              </w:r>
            </w:hyperlink>
          </w:p>
        </w:tc>
        <w:tc>
          <w:tcPr>
            <w:tcW w:w="582"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43</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SPECIAL NOTE REGARDING FORWARD-LOOKING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Except where the context suggests otherwise, the terms “we,” “us,” “our,” “the Company,” and “SSIC” refer to Silver Spike Investment Corp. In addition, the terms “SSC,” “Adviser,” “investment adviser” and “administrator” refer to Silver Spike Capital, LLC, our external investment adviser and administrator.</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Some of the statements in this quarterly report on Form 10-Q constitute forward-looking statements because they relate to future events or our future performance or financial condition. The forward-looking statements contained in this quarterly report on Form 10-Q may include statements as to:</w:t>
      </w:r>
    </w:p>
    <w:p>
      <w:pPr>
        <w:pStyle w:val="TextBody"/>
        <w:bidi w:val="0"/>
        <w:spacing w:before="0" w:after="0"/>
        <w:jc w:val="left"/>
        <w:rPr>
          <w:color w:val="000000"/>
          <w:shd w:fill="FFFFFF" w:val="clear"/>
        </w:rPr>
      </w:pPr>
      <w:r>
        <w:rPr>
          <w:color w:val="000000"/>
          <w:shd w:fill="FFFFFF" w:val="clear"/>
        </w:rPr>
        <w:t> </w:t>
      </w:r>
    </w:p>
    <w:tbl>
      <w:tblPr>
        <w:tblW w:w="4720" w:type="dxa"/>
        <w:jc w:val="left"/>
        <w:tblInd w:w="0" w:type="dxa"/>
        <w:tblLayout w:type="fixed"/>
        <w:tblCellMar>
          <w:top w:w="0" w:type="dxa"/>
          <w:left w:w="0" w:type="dxa"/>
          <w:bottom w:w="0" w:type="dxa"/>
          <w:right w:w="0" w:type="dxa"/>
        </w:tblCellMar>
      </w:tblPr>
      <w:tblGrid>
        <w:gridCol w:w="125"/>
        <w:gridCol w:w="4595"/>
      </w:tblGrid>
      <w:tr>
        <w:trPr/>
        <w:tc>
          <w:tcPr>
            <w:tcW w:w="125" w:type="dxa"/>
            <w:tcBorders/>
            <w:vAlign w:val="center"/>
          </w:tcPr>
          <w:p>
            <w:pPr>
              <w:pStyle w:val="TableContents"/>
              <w:bidi w:val="0"/>
              <w:spacing w:before="0" w:after="283"/>
              <w:jc w:val="left"/>
              <w:rPr>
                <w:color w:val="000000"/>
              </w:rPr>
            </w:pPr>
            <w:r>
              <w:rPr>
                <w:color w:val="000000"/>
              </w:rPr>
              <w:t>•</w:t>
            </w:r>
          </w:p>
        </w:tc>
        <w:tc>
          <w:tcPr>
            <w:tcW w:w="45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our future operating results and distribution projections;</w:t>
            </w:r>
          </w:p>
        </w:tc>
      </w:tr>
    </w:tbl>
    <w:p>
      <w:pPr>
        <w:pStyle w:val="TextBody"/>
        <w:bidi w:val="0"/>
        <w:spacing w:before="0" w:after="0"/>
        <w:jc w:val="left"/>
        <w:rPr>
          <w:color w:val="000000"/>
          <w:shd w:fill="FFFFFF" w:val="clear"/>
        </w:rPr>
      </w:pPr>
      <w:r>
        <w:rPr>
          <w:color w:val="000000"/>
          <w:shd w:fill="FFFFFF" w:val="clear"/>
        </w:rPr>
        <w:t> </w:t>
      </w:r>
    </w:p>
    <w:tbl>
      <w:tblPr>
        <w:tblW w:w="8125" w:type="dxa"/>
        <w:jc w:val="left"/>
        <w:tblInd w:w="0" w:type="dxa"/>
        <w:tblLayout w:type="fixed"/>
        <w:tblCellMar>
          <w:top w:w="0" w:type="dxa"/>
          <w:left w:w="0" w:type="dxa"/>
          <w:bottom w:w="0" w:type="dxa"/>
          <w:right w:w="0" w:type="dxa"/>
        </w:tblCellMar>
      </w:tblPr>
      <w:tblGrid>
        <w:gridCol w:w="125"/>
        <w:gridCol w:w="8000"/>
      </w:tblGrid>
      <w:tr>
        <w:trPr/>
        <w:tc>
          <w:tcPr>
            <w:tcW w:w="125" w:type="dxa"/>
            <w:tcBorders/>
            <w:vAlign w:val="center"/>
          </w:tcPr>
          <w:p>
            <w:pPr>
              <w:pStyle w:val="TableContents"/>
              <w:bidi w:val="0"/>
              <w:spacing w:before="0" w:after="283"/>
              <w:jc w:val="left"/>
              <w:rPr>
                <w:color w:val="000000"/>
              </w:rPr>
            </w:pPr>
            <w:r>
              <w:rPr>
                <w:color w:val="000000"/>
              </w:rPr>
              <w:t>•</w:t>
            </w:r>
          </w:p>
        </w:tc>
        <w:tc>
          <w:tcPr>
            <w:tcW w:w="80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ability of Silver Spike Capital, LLC (“SSC”) to attract and retain highly talented professionals;</w:t>
            </w:r>
          </w:p>
        </w:tc>
      </w:tr>
    </w:tbl>
    <w:p>
      <w:pPr>
        <w:pStyle w:val="TextBody"/>
        <w:bidi w:val="0"/>
        <w:spacing w:before="0" w:after="0"/>
        <w:jc w:val="left"/>
        <w:rPr>
          <w:color w:val="000000"/>
          <w:shd w:fill="FFFFFF" w:val="clear"/>
        </w:rPr>
      </w:pPr>
      <w:r>
        <w:rPr>
          <w:color w:val="000000"/>
          <w:shd w:fill="FFFFFF" w:val="clear"/>
        </w:rPr>
        <w:t> </w:t>
      </w:r>
    </w:p>
    <w:tbl>
      <w:tblPr>
        <w:tblW w:w="5695" w:type="dxa"/>
        <w:jc w:val="left"/>
        <w:tblInd w:w="0" w:type="dxa"/>
        <w:tblLayout w:type="fixed"/>
        <w:tblCellMar>
          <w:top w:w="0" w:type="dxa"/>
          <w:left w:w="0" w:type="dxa"/>
          <w:bottom w:w="0" w:type="dxa"/>
          <w:right w:w="0" w:type="dxa"/>
        </w:tblCellMar>
      </w:tblPr>
      <w:tblGrid>
        <w:gridCol w:w="125"/>
        <w:gridCol w:w="5570"/>
      </w:tblGrid>
      <w:tr>
        <w:trPr/>
        <w:tc>
          <w:tcPr>
            <w:tcW w:w="125" w:type="dxa"/>
            <w:tcBorders/>
            <w:vAlign w:val="center"/>
          </w:tcPr>
          <w:p>
            <w:pPr>
              <w:pStyle w:val="TableContents"/>
              <w:bidi w:val="0"/>
              <w:spacing w:before="0" w:after="283"/>
              <w:jc w:val="left"/>
              <w:rPr>
                <w:color w:val="000000"/>
              </w:rPr>
            </w:pPr>
            <w:r>
              <w:rPr>
                <w:color w:val="000000"/>
              </w:rPr>
              <w:t>•</w:t>
            </w:r>
          </w:p>
        </w:tc>
        <w:tc>
          <w:tcPr>
            <w:tcW w:w="55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our business prospects and the prospects of our portfolio companies;</w:t>
            </w:r>
          </w:p>
        </w:tc>
      </w:tr>
    </w:tbl>
    <w:p>
      <w:pPr>
        <w:pStyle w:val="TextBody"/>
        <w:bidi w:val="0"/>
        <w:spacing w:before="0" w:after="0"/>
        <w:jc w:val="left"/>
        <w:rPr>
          <w:color w:val="000000"/>
          <w:shd w:fill="FFFFFF" w:val="clear"/>
        </w:rPr>
      </w:pPr>
      <w:r>
        <w:rPr>
          <w:color w:val="000000"/>
          <w:shd w:fill="FFFFFF" w:val="clear"/>
        </w:rPr>
        <w:t> </w:t>
      </w:r>
    </w:p>
    <w:tbl>
      <w:tblPr>
        <w:tblW w:w="9220" w:type="dxa"/>
        <w:jc w:val="left"/>
        <w:tblInd w:w="0" w:type="dxa"/>
        <w:tblLayout w:type="fixed"/>
        <w:tblCellMar>
          <w:top w:w="0" w:type="dxa"/>
          <w:left w:w="0" w:type="dxa"/>
          <w:bottom w:w="0" w:type="dxa"/>
          <w:right w:w="0" w:type="dxa"/>
        </w:tblCellMar>
      </w:tblPr>
      <w:tblGrid>
        <w:gridCol w:w="125"/>
        <w:gridCol w:w="9095"/>
      </w:tblGrid>
      <w:tr>
        <w:trPr/>
        <w:tc>
          <w:tcPr>
            <w:tcW w:w="125" w:type="dxa"/>
            <w:tcBorders/>
            <w:vAlign w:val="center"/>
          </w:tcPr>
          <w:p>
            <w:pPr>
              <w:pStyle w:val="TableContents"/>
              <w:bidi w:val="0"/>
              <w:spacing w:before="0" w:after="283"/>
              <w:jc w:val="left"/>
              <w:rPr>
                <w:color w:val="000000"/>
              </w:rPr>
            </w:pPr>
            <w:r>
              <w:rPr>
                <w:color w:val="000000"/>
              </w:rPr>
              <w:t>•</w:t>
            </w:r>
          </w:p>
        </w:tc>
        <w:tc>
          <w:tcPr>
            <w:tcW w:w="9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impact of interest and inflation rates on our business prospects and the prospects of our portfolio companies;</w:t>
            </w:r>
          </w:p>
        </w:tc>
      </w:tr>
    </w:tbl>
    <w:p>
      <w:pPr>
        <w:pStyle w:val="TextBody"/>
        <w:bidi w:val="0"/>
        <w:spacing w:before="0" w:after="0"/>
        <w:jc w:val="left"/>
        <w:rPr>
          <w:color w:val="000000"/>
          <w:shd w:fill="FFFFFF" w:val="clear"/>
        </w:rPr>
      </w:pPr>
      <w:r>
        <w:rPr>
          <w:color w:val="000000"/>
          <w:shd w:fill="FFFFFF" w:val="clear"/>
        </w:rPr>
        <w:t> </w:t>
      </w:r>
    </w:p>
    <w:tbl>
      <w:tblPr>
        <w:tblW w:w="4510" w:type="dxa"/>
        <w:jc w:val="left"/>
        <w:tblInd w:w="0" w:type="dxa"/>
        <w:tblLayout w:type="fixed"/>
        <w:tblCellMar>
          <w:top w:w="0" w:type="dxa"/>
          <w:left w:w="0" w:type="dxa"/>
          <w:bottom w:w="0" w:type="dxa"/>
          <w:right w:w="0" w:type="dxa"/>
        </w:tblCellMar>
      </w:tblPr>
      <w:tblGrid>
        <w:gridCol w:w="125"/>
        <w:gridCol w:w="4385"/>
      </w:tblGrid>
      <w:tr>
        <w:trPr/>
        <w:tc>
          <w:tcPr>
            <w:tcW w:w="125" w:type="dxa"/>
            <w:tcBorders/>
            <w:vAlign w:val="center"/>
          </w:tcPr>
          <w:p>
            <w:pPr>
              <w:pStyle w:val="TableContents"/>
              <w:bidi w:val="0"/>
              <w:spacing w:before="0" w:after="283"/>
              <w:jc w:val="left"/>
              <w:rPr>
                <w:color w:val="000000"/>
              </w:rPr>
            </w:pPr>
            <w:r>
              <w:rPr>
                <w:color w:val="000000"/>
              </w:rPr>
              <w:t>•</w:t>
            </w:r>
          </w:p>
        </w:tc>
        <w:tc>
          <w:tcPr>
            <w:tcW w:w="43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impact of the investments that we expect to make;</w:t>
            </w:r>
          </w:p>
        </w:tc>
      </w:tr>
    </w:tbl>
    <w:p>
      <w:pPr>
        <w:pStyle w:val="TextBody"/>
        <w:bidi w:val="0"/>
        <w:spacing w:before="0" w:after="0"/>
        <w:jc w:val="left"/>
        <w:rPr>
          <w:color w:val="000000"/>
          <w:shd w:fill="FFFFFF" w:val="clear"/>
        </w:rPr>
      </w:pPr>
      <w:r>
        <w:rPr>
          <w:color w:val="000000"/>
          <w:shd w:fill="FFFFFF" w:val="clear"/>
        </w:rPr>
        <w:t> </w:t>
      </w:r>
    </w:p>
    <w:tbl>
      <w:tblPr>
        <w:tblW w:w="5455" w:type="dxa"/>
        <w:jc w:val="left"/>
        <w:tblInd w:w="0" w:type="dxa"/>
        <w:tblLayout w:type="fixed"/>
        <w:tblCellMar>
          <w:top w:w="0" w:type="dxa"/>
          <w:left w:w="0" w:type="dxa"/>
          <w:bottom w:w="0" w:type="dxa"/>
          <w:right w:w="0" w:type="dxa"/>
        </w:tblCellMar>
      </w:tblPr>
      <w:tblGrid>
        <w:gridCol w:w="125"/>
        <w:gridCol w:w="5330"/>
      </w:tblGrid>
      <w:tr>
        <w:trPr/>
        <w:tc>
          <w:tcPr>
            <w:tcW w:w="125" w:type="dxa"/>
            <w:tcBorders/>
            <w:vAlign w:val="center"/>
          </w:tcPr>
          <w:p>
            <w:pPr>
              <w:pStyle w:val="TableContents"/>
              <w:bidi w:val="0"/>
              <w:spacing w:before="0" w:after="283"/>
              <w:jc w:val="left"/>
              <w:rPr>
                <w:color w:val="000000"/>
              </w:rPr>
            </w:pPr>
            <w:r>
              <w:rPr>
                <w:color w:val="000000"/>
              </w:rPr>
              <w:t>•</w:t>
            </w:r>
          </w:p>
        </w:tc>
        <w:tc>
          <w:tcPr>
            <w:tcW w:w="53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ability of our portfolio companies to achieve their objectives;</w:t>
            </w:r>
          </w:p>
        </w:tc>
      </w:tr>
    </w:tbl>
    <w:p>
      <w:pPr>
        <w:pStyle w:val="TextBody"/>
        <w:bidi w:val="0"/>
        <w:spacing w:before="0" w:after="0"/>
        <w:jc w:val="left"/>
        <w:rPr>
          <w:color w:val="000000"/>
          <w:shd w:fill="FFFFFF" w:val="clear"/>
        </w:rPr>
      </w:pPr>
      <w:r>
        <w:rPr>
          <w:color w:val="000000"/>
          <w:shd w:fill="FFFFFF" w:val="clear"/>
        </w:rPr>
        <w:t> </w:t>
      </w:r>
    </w:p>
    <w:tbl>
      <w:tblPr>
        <w:tblW w:w="8140" w:type="dxa"/>
        <w:jc w:val="left"/>
        <w:tblInd w:w="0" w:type="dxa"/>
        <w:tblLayout w:type="fixed"/>
        <w:tblCellMar>
          <w:top w:w="0" w:type="dxa"/>
          <w:left w:w="0" w:type="dxa"/>
          <w:bottom w:w="0" w:type="dxa"/>
          <w:right w:w="0" w:type="dxa"/>
        </w:tblCellMar>
      </w:tblPr>
      <w:tblGrid>
        <w:gridCol w:w="125"/>
        <w:gridCol w:w="8015"/>
      </w:tblGrid>
      <w:tr>
        <w:trPr/>
        <w:tc>
          <w:tcPr>
            <w:tcW w:w="125" w:type="dxa"/>
            <w:tcBorders/>
            <w:vAlign w:val="center"/>
          </w:tcPr>
          <w:p>
            <w:pPr>
              <w:pStyle w:val="TableContents"/>
              <w:bidi w:val="0"/>
              <w:spacing w:before="0" w:after="283"/>
              <w:jc w:val="left"/>
              <w:rPr>
                <w:color w:val="000000"/>
              </w:rPr>
            </w:pPr>
            <w:r>
              <w:rPr>
                <w:color w:val="000000"/>
              </w:rPr>
              <w:t>•</w:t>
            </w:r>
          </w:p>
        </w:tc>
        <w:tc>
          <w:tcPr>
            <w:tcW w:w="8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our expected financings and investments and the timing of our investments in our initial portfolio;</w:t>
            </w:r>
          </w:p>
        </w:tc>
      </w:tr>
    </w:tbl>
    <w:p>
      <w:pPr>
        <w:pStyle w:val="TextBody"/>
        <w:bidi w:val="0"/>
        <w:spacing w:before="0" w:after="0"/>
        <w:jc w:val="left"/>
        <w:rPr>
          <w:color w:val="000000"/>
          <w:shd w:fill="FFFFFF" w:val="clear"/>
        </w:rPr>
      </w:pPr>
      <w:r>
        <w:rPr>
          <w:color w:val="000000"/>
          <w:shd w:fill="FFFFFF" w:val="clear"/>
        </w:rPr>
        <w:t> </w:t>
      </w:r>
    </w:p>
    <w:tbl>
      <w:tblPr>
        <w:tblW w:w="4630" w:type="dxa"/>
        <w:jc w:val="left"/>
        <w:tblInd w:w="0" w:type="dxa"/>
        <w:tblLayout w:type="fixed"/>
        <w:tblCellMar>
          <w:top w:w="0" w:type="dxa"/>
          <w:left w:w="0" w:type="dxa"/>
          <w:bottom w:w="0" w:type="dxa"/>
          <w:right w:w="0" w:type="dxa"/>
        </w:tblCellMar>
      </w:tblPr>
      <w:tblGrid>
        <w:gridCol w:w="125"/>
        <w:gridCol w:w="4505"/>
      </w:tblGrid>
      <w:tr>
        <w:trPr/>
        <w:tc>
          <w:tcPr>
            <w:tcW w:w="125" w:type="dxa"/>
            <w:tcBorders/>
            <w:vAlign w:val="center"/>
          </w:tcPr>
          <w:p>
            <w:pPr>
              <w:pStyle w:val="TableContents"/>
              <w:bidi w:val="0"/>
              <w:spacing w:before="0" w:after="283"/>
              <w:jc w:val="left"/>
              <w:rPr>
                <w:color w:val="000000"/>
              </w:rPr>
            </w:pPr>
            <w:r>
              <w:rPr>
                <w:color w:val="000000"/>
              </w:rPr>
              <w:t>•</w:t>
            </w:r>
          </w:p>
        </w:tc>
        <w:tc>
          <w:tcPr>
            <w:tcW w:w="45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changes in regulation impacting the cannabis industry;</w:t>
            </w:r>
          </w:p>
        </w:tc>
      </w:tr>
    </w:tbl>
    <w:p>
      <w:pPr>
        <w:pStyle w:val="TextBody"/>
        <w:bidi w:val="0"/>
        <w:spacing w:before="0" w:after="0"/>
        <w:jc w:val="left"/>
        <w:rPr>
          <w:color w:val="000000"/>
          <w:shd w:fill="FFFFFF" w:val="clear"/>
        </w:rPr>
      </w:pPr>
      <w:r>
        <w:rPr>
          <w:color w:val="000000"/>
          <w:shd w:fill="FFFFFF" w:val="clear"/>
        </w:rPr>
        <w:t> </w:t>
      </w:r>
    </w:p>
    <w:tbl>
      <w:tblPr>
        <w:tblW w:w="4690" w:type="dxa"/>
        <w:jc w:val="left"/>
        <w:tblInd w:w="0" w:type="dxa"/>
        <w:tblLayout w:type="fixed"/>
        <w:tblCellMar>
          <w:top w:w="0" w:type="dxa"/>
          <w:left w:w="0" w:type="dxa"/>
          <w:bottom w:w="0" w:type="dxa"/>
          <w:right w:w="0" w:type="dxa"/>
        </w:tblCellMar>
      </w:tblPr>
      <w:tblGrid>
        <w:gridCol w:w="125"/>
        <w:gridCol w:w="4565"/>
      </w:tblGrid>
      <w:tr>
        <w:trPr/>
        <w:tc>
          <w:tcPr>
            <w:tcW w:w="125" w:type="dxa"/>
            <w:tcBorders/>
            <w:vAlign w:val="center"/>
          </w:tcPr>
          <w:p>
            <w:pPr>
              <w:pStyle w:val="TableContents"/>
              <w:bidi w:val="0"/>
              <w:spacing w:before="0" w:after="283"/>
              <w:jc w:val="left"/>
              <w:rPr>
                <w:color w:val="000000"/>
              </w:rPr>
            </w:pPr>
            <w:r>
              <w:rPr>
                <w:color w:val="000000"/>
              </w:rPr>
              <w:t>•</w:t>
            </w:r>
          </w:p>
        </w:tc>
        <w:tc>
          <w:tcPr>
            <w:tcW w:w="45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adequacy of our cash resources and working capital;</w:t>
            </w:r>
          </w:p>
        </w:tc>
      </w:tr>
    </w:tbl>
    <w:p>
      <w:pPr>
        <w:pStyle w:val="TextBody"/>
        <w:bidi w:val="0"/>
        <w:spacing w:before="0" w:after="0"/>
        <w:jc w:val="left"/>
        <w:rPr/>
      </w:pPr>
      <w:r>
        <w:rPr/>
      </w:r>
    </w:p>
    <w:tbl>
      <w:tblPr>
        <w:tblW w:w="7615" w:type="dxa"/>
        <w:jc w:val="left"/>
        <w:tblInd w:w="0" w:type="dxa"/>
        <w:tblLayout w:type="fixed"/>
        <w:tblCellMar>
          <w:top w:w="0" w:type="dxa"/>
          <w:left w:w="0" w:type="dxa"/>
          <w:bottom w:w="0" w:type="dxa"/>
          <w:right w:w="0" w:type="dxa"/>
        </w:tblCellMar>
      </w:tblPr>
      <w:tblGrid>
        <w:gridCol w:w="125"/>
        <w:gridCol w:w="7490"/>
      </w:tblGrid>
      <w:tr>
        <w:trPr/>
        <w:tc>
          <w:tcPr>
            <w:tcW w:w="125" w:type="dxa"/>
            <w:tcBorders/>
            <w:vAlign w:val="center"/>
          </w:tcPr>
          <w:p>
            <w:pPr>
              <w:pStyle w:val="TableContents"/>
              <w:bidi w:val="0"/>
              <w:spacing w:before="0" w:after="283"/>
              <w:jc w:val="left"/>
              <w:rPr>
                <w:color w:val="000000"/>
              </w:rPr>
            </w:pPr>
            <w:r>
              <w:rPr>
                <w:color w:val="000000"/>
              </w:rPr>
              <w:t>•</w:t>
            </w:r>
          </w:p>
        </w:tc>
        <w:tc>
          <w:tcPr>
            <w:tcW w:w="74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current and future effects of the COVID-19 pandemic on us and our portfolio companies;</w:t>
            </w:r>
          </w:p>
        </w:tc>
      </w:tr>
    </w:tbl>
    <w:p>
      <w:pPr>
        <w:pStyle w:val="TextBody"/>
        <w:bidi w:val="0"/>
        <w:spacing w:before="0" w:after="0"/>
        <w:jc w:val="left"/>
        <w:rPr>
          <w:color w:val="000000"/>
          <w:shd w:fill="FFFFFF" w:val="clear"/>
        </w:rPr>
      </w:pPr>
      <w:r>
        <w:rPr>
          <w:color w:val="000000"/>
          <w:shd w:fill="FFFFFF" w:val="clear"/>
        </w:rPr>
        <w:t> </w:t>
      </w:r>
    </w:p>
    <w:tbl>
      <w:tblPr>
        <w:tblW w:w="6925" w:type="dxa"/>
        <w:jc w:val="left"/>
        <w:tblInd w:w="0" w:type="dxa"/>
        <w:tblLayout w:type="fixed"/>
        <w:tblCellMar>
          <w:top w:w="0" w:type="dxa"/>
          <w:left w:w="0" w:type="dxa"/>
          <w:bottom w:w="0" w:type="dxa"/>
          <w:right w:w="0" w:type="dxa"/>
        </w:tblCellMar>
      </w:tblPr>
      <w:tblGrid>
        <w:gridCol w:w="125"/>
        <w:gridCol w:w="6800"/>
      </w:tblGrid>
      <w:tr>
        <w:trPr/>
        <w:tc>
          <w:tcPr>
            <w:tcW w:w="125" w:type="dxa"/>
            <w:tcBorders/>
            <w:vAlign w:val="center"/>
          </w:tcPr>
          <w:p>
            <w:pPr>
              <w:pStyle w:val="TableContents"/>
              <w:bidi w:val="0"/>
              <w:spacing w:before="0" w:after="283"/>
              <w:jc w:val="left"/>
              <w:rPr>
                <w:color w:val="000000"/>
              </w:rPr>
            </w:pPr>
            <w:r>
              <w:rPr>
                <w:color w:val="000000"/>
              </w:rPr>
              <w:t>•</w:t>
            </w:r>
          </w:p>
        </w:tc>
        <w:tc>
          <w:tcPr>
            <w:tcW w:w="68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timing of cash flows, if any, from the operations of our portfolio companies;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Loan Portfolio Acquisition (as defined below), the likelihood the Loan Portfolio Acquisition is completed, and the anticipated timing of its completion. See “Note 12 – Proposed Loan Portfolio Acquisition” in the notes to the financial statements included with this quarterly report on Form 10-Q for further information regarding the Loan Portfolio Acquisition Agreement and the Loan Portfolio Acquisition.</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words such as “anticipate,” “believe,” “expect,” “seek,” “plan,” “should,” “estimate,” “project” and “intend” indicate forward-looking statements, although not all forward-looking statements include these words. The forward-looking statements contained in this quarterly report on Form 10-Q involve risks and uncertainties. Our actual results could differ materially from those implied or expressed in the forward-looking statements for any reason, including the factors set forth in “Item 1A. Risk Factors” in our annual report on Form 10-K for the fiscal year ended December 31, 2023 and elsewhere in this quarterly report on Form 10-Q. Other factors that could cause actual results to differ materially include:</w:t>
      </w:r>
    </w:p>
    <w:p>
      <w:pPr>
        <w:pStyle w:val="TextBody"/>
        <w:bidi w:val="0"/>
        <w:spacing w:before="0" w:after="0"/>
        <w:jc w:val="left"/>
        <w:rPr>
          <w:color w:val="000000"/>
          <w:shd w:fill="FFFFFF" w:val="clear"/>
        </w:rPr>
      </w:pPr>
      <w:r>
        <w:rPr>
          <w:color w:val="000000"/>
          <w:shd w:fill="FFFFFF" w:val="clear"/>
        </w:rPr>
        <w:t> </w:t>
      </w:r>
    </w:p>
    <w:tbl>
      <w:tblPr>
        <w:tblW w:w="2560" w:type="dxa"/>
        <w:jc w:val="left"/>
        <w:tblInd w:w="0" w:type="dxa"/>
        <w:tblLayout w:type="fixed"/>
        <w:tblCellMar>
          <w:top w:w="0" w:type="dxa"/>
          <w:left w:w="0" w:type="dxa"/>
          <w:bottom w:w="0" w:type="dxa"/>
          <w:right w:w="0" w:type="dxa"/>
        </w:tblCellMar>
      </w:tblPr>
      <w:tblGrid>
        <w:gridCol w:w="125"/>
        <w:gridCol w:w="2435"/>
      </w:tblGrid>
      <w:tr>
        <w:trPr/>
        <w:tc>
          <w:tcPr>
            <w:tcW w:w="125" w:type="dxa"/>
            <w:tcBorders/>
            <w:vAlign w:val="center"/>
          </w:tcPr>
          <w:p>
            <w:pPr>
              <w:pStyle w:val="TableContents"/>
              <w:bidi w:val="0"/>
              <w:spacing w:before="0" w:after="283"/>
              <w:jc w:val="left"/>
              <w:rPr>
                <w:color w:val="000000"/>
              </w:rPr>
            </w:pPr>
            <w:r>
              <w:rPr>
                <w:color w:val="000000"/>
              </w:rPr>
              <w:t>•</w:t>
            </w:r>
          </w:p>
        </w:tc>
        <w:tc>
          <w:tcPr>
            <w:tcW w:w="24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our limited operating history;</w:t>
            </w:r>
          </w:p>
        </w:tc>
      </w:tr>
    </w:tbl>
    <w:p>
      <w:pPr>
        <w:pStyle w:val="TextBody"/>
        <w:bidi w:val="0"/>
        <w:spacing w:before="0" w:after="0"/>
        <w:jc w:val="left"/>
        <w:rPr/>
      </w:pPr>
      <w:r>
        <w:rPr/>
      </w:r>
    </w:p>
    <w:tbl>
      <w:tblPr>
        <w:tblW w:w="8905" w:type="dxa"/>
        <w:jc w:val="left"/>
        <w:tblInd w:w="0" w:type="dxa"/>
        <w:tblLayout w:type="fixed"/>
        <w:tblCellMar>
          <w:top w:w="0" w:type="dxa"/>
          <w:left w:w="0" w:type="dxa"/>
          <w:bottom w:w="0" w:type="dxa"/>
          <w:right w:w="0" w:type="dxa"/>
        </w:tblCellMar>
      </w:tblPr>
      <w:tblGrid>
        <w:gridCol w:w="125"/>
        <w:gridCol w:w="8780"/>
      </w:tblGrid>
      <w:tr>
        <w:trPr/>
        <w:tc>
          <w:tcPr>
            <w:tcW w:w="125" w:type="dxa"/>
            <w:tcBorders/>
            <w:vAlign w:val="center"/>
          </w:tcPr>
          <w:p>
            <w:pPr>
              <w:pStyle w:val="TableContents"/>
              <w:bidi w:val="0"/>
              <w:spacing w:before="0" w:after="283"/>
              <w:jc w:val="left"/>
              <w:rPr>
                <w:color w:val="000000"/>
              </w:rPr>
            </w:pPr>
            <w:r>
              <w:rPr>
                <w:color w:val="000000"/>
              </w:rPr>
              <w:t>•</w:t>
            </w:r>
          </w:p>
        </w:tc>
        <w:tc>
          <w:tcPr>
            <w:tcW w:w="87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changes or potential disruptions in our operations, the economy, financial markets or political environment;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risks associated with possible disruption in our operations or the economy generally due to terrorism, natural disasters, the Russia-Ukraine war, or the Israel-Hamas war and the potential for volatility in energy prices and other commodities and their impact on the industries in which we invest;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impact of information technology system failures, data security breaches, data privacy compliance, network disruptions, and cybersecurity attacks;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future changes in laws or regulations (including the interpretation of these laws and regulations by regulatory authorities) and conditions in our operating areas, particularly with respect to business development companies (“BDCs”) or regulated investment companies (“RICs”); and</w:t>
            </w:r>
          </w:p>
        </w:tc>
      </w:tr>
    </w:tbl>
    <w:p>
      <w:pPr>
        <w:pStyle w:val="TextBody"/>
        <w:bidi w:val="0"/>
        <w:spacing w:before="0" w:after="0"/>
        <w:jc w:val="left"/>
        <w:rPr/>
      </w:pPr>
      <w:r>
        <w:rPr/>
      </w:r>
    </w:p>
    <w:tbl>
      <w:tblPr>
        <w:tblW w:w="9310" w:type="dxa"/>
        <w:jc w:val="left"/>
        <w:tblInd w:w="0" w:type="dxa"/>
        <w:tblLayout w:type="fixed"/>
        <w:tblCellMar>
          <w:top w:w="0" w:type="dxa"/>
          <w:left w:w="0" w:type="dxa"/>
          <w:bottom w:w="0" w:type="dxa"/>
          <w:right w:w="0" w:type="dxa"/>
        </w:tblCellMar>
      </w:tblPr>
      <w:tblGrid>
        <w:gridCol w:w="125"/>
        <w:gridCol w:w="9185"/>
      </w:tblGrid>
      <w:tr>
        <w:trPr/>
        <w:tc>
          <w:tcPr>
            <w:tcW w:w="125" w:type="dxa"/>
            <w:tcBorders/>
            <w:vAlign w:val="center"/>
          </w:tcPr>
          <w:p>
            <w:pPr>
              <w:pStyle w:val="TableContents"/>
              <w:bidi w:val="0"/>
              <w:spacing w:before="0" w:after="283"/>
              <w:jc w:val="left"/>
              <w:rPr>
                <w:color w:val="000000"/>
              </w:rPr>
            </w:pPr>
            <w:r>
              <w:rPr>
                <w:color w:val="000000"/>
              </w:rPr>
              <w:t>•</w:t>
            </w:r>
          </w:p>
        </w:tc>
        <w:tc>
          <w:tcPr>
            <w:tcW w:w="91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other considerations that may be disclosed from time to time in our publicly disseminated documents and filings.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have based the forward-looking statements included in this quarterly report on Form 10-Q on information available to us on the date of this quarterly report on Form 10-Q,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 The forward-looking statements contained in this quarterly report on Form 10-Q are excluded from the safe harbor protection provided by Section 21E of the Securities Exchange Act of 1934, as amended (the “Exchange Act”).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PART I: FINANCIAL INFORMATION</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 w:name="FinancialStatements"/>
      <w:bookmarkStart w:id="3" w:name="FinancialStatements"/>
      <w:bookmarkEnd w:id="3"/>
    </w:p>
    <w:tbl>
      <w:tblPr>
        <w:tblW w:w="2890" w:type="dxa"/>
        <w:jc w:val="left"/>
        <w:tblInd w:w="0" w:type="dxa"/>
        <w:tblLayout w:type="fixed"/>
        <w:tblCellMar>
          <w:top w:w="0" w:type="dxa"/>
          <w:left w:w="0" w:type="dxa"/>
          <w:bottom w:w="0" w:type="dxa"/>
          <w:right w:w="0" w:type="dxa"/>
        </w:tblCellMar>
      </w:tblPr>
      <w:tblGrid>
        <w:gridCol w:w="740"/>
        <w:gridCol w:w="2150"/>
      </w:tblGrid>
      <w:tr>
        <w:trPr/>
        <w:tc>
          <w:tcPr>
            <w:tcW w:w="740" w:type="dxa"/>
            <w:tcBorders/>
            <w:vAlign w:val="center"/>
          </w:tcPr>
          <w:p>
            <w:pPr>
              <w:pStyle w:val="TableContents"/>
              <w:bidi w:val="0"/>
              <w:spacing w:before="0" w:after="0"/>
              <w:jc w:val="left"/>
              <w:rPr>
                <w:b/>
              </w:rPr>
            </w:pPr>
            <w:r>
              <w:rPr>
                <w:b/>
              </w:rPr>
              <w:t>Item 1.</w:t>
            </w:r>
          </w:p>
        </w:tc>
        <w:tc>
          <w:tcPr>
            <w:tcW w:w="2150" w:type="dxa"/>
            <w:tcBorders/>
            <w:vAlign w:val="center"/>
          </w:tcPr>
          <w:p>
            <w:pPr>
              <w:pStyle w:val="TableContents"/>
              <w:bidi w:val="0"/>
              <w:spacing w:before="0" w:after="0"/>
              <w:jc w:val="left"/>
              <w:rPr>
                <w:b/>
              </w:rPr>
            </w:pPr>
            <w:r>
              <w:rPr>
                <w:b/>
              </w:rPr>
              <w:t>Financial Statements</w:t>
            </w:r>
          </w:p>
        </w:tc>
      </w:tr>
    </w:tbl>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bookmarkStart w:id="4" w:name="StatementsofAssetsandLiab"/>
      <w:bookmarkEnd w:id="4"/>
      <w:r>
        <w:rPr>
          <w:rFonts w:ascii="Times New Roman" w:hAnsi="Times New Roman"/>
          <w:b/>
          <w:color w:val="000000"/>
          <w:sz w:val="20"/>
          <w:shd w:fill="FFFFFF" w:val="clear"/>
        </w:rPr>
        <w:t>Statements of Assets and Liabilities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6996"/>
        <w:gridCol w:w="60"/>
        <w:gridCol w:w="178"/>
        <w:gridCol w:w="1147"/>
        <w:gridCol w:w="95"/>
        <w:gridCol w:w="60"/>
        <w:gridCol w:w="179"/>
        <w:gridCol w:w="1412"/>
        <w:gridCol w:w="78"/>
      </w:tblGrid>
      <w:tr>
        <w:trPr/>
        <w:tc>
          <w:tcPr>
            <w:tcW w:w="6996"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center"/>
              <w:rPr/>
            </w:pPr>
            <w:r>
              <w:rPr/>
              <w:t> </w:t>
            </w:r>
          </w:p>
        </w:tc>
        <w:tc>
          <w:tcPr>
            <w:tcW w:w="132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June 30, 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1"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December 31, 2023</w:t>
            </w:r>
          </w:p>
        </w:tc>
        <w:tc>
          <w:tcPr>
            <w:tcW w:w="78" w:type="dxa"/>
            <w:tcBorders/>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vAlign w:val="bottom"/>
          </w:tcPr>
          <w:p>
            <w:pPr>
              <w:pStyle w:val="TableContents"/>
              <w:bidi w:val="0"/>
              <w:spacing w:before="0" w:after="0"/>
              <w:jc w:val="center"/>
              <w:rPr>
                <w:b/>
                <w:color w:val="000000"/>
              </w:rPr>
            </w:pPr>
            <w:r>
              <w:rPr>
                <w:b/>
                <w:color w:val="000000"/>
              </w:rPr>
              <w:t>(unaudited)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1" w:type="dxa"/>
            <w:gridSpan w:val="2"/>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0"/>
              <w:ind w:left="180" w:right="0" w:hanging="180"/>
              <w:jc w:val="left"/>
              <w:rPr>
                <w:b/>
              </w:rPr>
            </w:pPr>
            <w:r>
              <w:rPr>
                <w:b/>
              </w:rPr>
              <w:t>ASSETS</w:t>
            </w:r>
          </w:p>
        </w:tc>
        <w:tc>
          <w:tcPr>
            <w:tcW w:w="60" w:type="dxa"/>
            <w:tcBorders/>
            <w:vAlign w:val="bottom"/>
          </w:tcPr>
          <w:p>
            <w:pPr>
              <w:pStyle w:val="TableContents"/>
              <w:bidi w:val="0"/>
              <w:spacing w:before="0" w:after="283"/>
              <w:jc w:val="left"/>
              <w:rPr/>
            </w:pPr>
            <w:r>
              <w:rPr/>
              <w:t> </w:t>
            </w:r>
          </w:p>
        </w:tc>
        <w:tc>
          <w:tcPr>
            <w:tcW w:w="132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1" w:type="dxa"/>
            <w:gridSpan w:val="2"/>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0"/>
              <w:ind w:left="180" w:right="0" w:hanging="180"/>
              <w:jc w:val="left"/>
              <w:rPr/>
            </w:pPr>
            <w:r>
              <w:rPr/>
              <w:t>Investments at fair value:</w:t>
            </w:r>
          </w:p>
        </w:tc>
        <w:tc>
          <w:tcPr>
            <w:tcW w:w="60" w:type="dxa"/>
            <w:tcBorders/>
            <w:vAlign w:val="bottom"/>
          </w:tcPr>
          <w:p>
            <w:pPr>
              <w:pStyle w:val="TableContents"/>
              <w:bidi w:val="0"/>
              <w:spacing w:before="0" w:after="283"/>
              <w:jc w:val="left"/>
              <w:rPr/>
            </w:pPr>
            <w:r>
              <w:rPr/>
              <w:t> </w:t>
            </w:r>
          </w:p>
        </w:tc>
        <w:tc>
          <w:tcPr>
            <w:tcW w:w="132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1" w:type="dxa"/>
            <w:gridSpan w:val="2"/>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r>
      <w:tr>
        <w:trPr/>
        <w:tc>
          <w:tcPr>
            <w:tcW w:w="6996" w:type="dxa"/>
            <w:tcBorders/>
            <w:shd w:fill="CCEEFF" w:val="clear"/>
            <w:vAlign w:val="bottom"/>
          </w:tcPr>
          <w:p>
            <w:pPr>
              <w:pStyle w:val="TableContents"/>
              <w:bidi w:val="0"/>
              <w:spacing w:before="0" w:after="0"/>
              <w:ind w:left="360" w:right="0" w:hanging="0"/>
              <w:jc w:val="left"/>
              <w:rPr/>
            </w:pPr>
            <w:r>
              <w:rPr/>
              <w:t>Non-control/non-affiliate investments at fair value (amortized cost of $52,382,633 and $53,471,317, respectively)</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0"/>
              <w:jc w:val="left"/>
              <w:rPr/>
            </w:pPr>
            <w:r>
              <w:rPr/>
              <w:t>$</w:t>
            </w:r>
          </w:p>
        </w:tc>
        <w:tc>
          <w:tcPr>
            <w:tcW w:w="1147" w:type="dxa"/>
            <w:tcBorders/>
            <w:shd w:fill="CCEEFF" w:val="clear"/>
            <w:vAlign w:val="bottom"/>
          </w:tcPr>
          <w:p>
            <w:pPr>
              <w:pStyle w:val="TableContents"/>
              <w:bidi w:val="0"/>
              <w:spacing w:before="0" w:after="0"/>
              <w:jc w:val="right"/>
              <w:rPr/>
            </w:pPr>
            <w:r>
              <w:rPr/>
              <w:t>53,398,164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0"/>
              <w:jc w:val="left"/>
              <w:rPr/>
            </w:pPr>
            <w:r>
              <w:rPr/>
              <w:t>$</w:t>
            </w:r>
          </w:p>
        </w:tc>
        <w:tc>
          <w:tcPr>
            <w:tcW w:w="1412" w:type="dxa"/>
            <w:tcBorders/>
            <w:shd w:fill="CCEEFF" w:val="clear"/>
            <w:vAlign w:val="bottom"/>
          </w:tcPr>
          <w:p>
            <w:pPr>
              <w:pStyle w:val="TableContents"/>
              <w:bidi w:val="0"/>
              <w:spacing w:before="0" w:after="0"/>
              <w:jc w:val="right"/>
              <w:rPr/>
            </w:pPr>
            <w:r>
              <w:rPr/>
              <w:t>54,120,000</w:t>
            </w:r>
          </w:p>
        </w:tc>
        <w:tc>
          <w:tcPr>
            <w:tcW w:w="78"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r>
      <w:tr>
        <w:trPr/>
        <w:tc>
          <w:tcPr>
            <w:tcW w:w="6996" w:type="dxa"/>
            <w:tcBorders/>
            <w:shd w:fill="CCEEFF" w:val="clear"/>
            <w:vAlign w:val="bottom"/>
          </w:tcPr>
          <w:p>
            <w:pPr>
              <w:pStyle w:val="TableContents"/>
              <w:bidi w:val="0"/>
              <w:spacing w:before="0" w:after="0"/>
              <w:ind w:left="180" w:right="0" w:hanging="180"/>
              <w:jc w:val="left"/>
              <w:rPr/>
            </w:pPr>
            <w:r>
              <w:rPr/>
              <w:t>Cash and cash equivalents</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0"/>
              <w:jc w:val="right"/>
              <w:rPr/>
            </w:pPr>
            <w:r>
              <w:rPr/>
              <w:t>34,003,851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0"/>
              <w:jc w:val="right"/>
              <w:rPr/>
            </w:pPr>
            <w:r>
              <w:rPr/>
              <w:t>32,611,635</w:t>
            </w:r>
          </w:p>
        </w:tc>
        <w:tc>
          <w:tcPr>
            <w:tcW w:w="78"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0"/>
              <w:ind w:left="180" w:right="0" w:hanging="180"/>
              <w:jc w:val="left"/>
              <w:rPr/>
            </w:pPr>
            <w:r>
              <w:rPr/>
              <w:t>Interest receivable</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0"/>
              <w:jc w:val="right"/>
              <w:rPr/>
            </w:pPr>
            <w:r>
              <w:rPr/>
              <w:t>1,638,987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0"/>
              <w:jc w:val="right"/>
              <w:rPr/>
            </w:pPr>
            <w:r>
              <w:rPr/>
              <w:t>1,755,360</w:t>
            </w:r>
          </w:p>
        </w:tc>
        <w:tc>
          <w:tcPr>
            <w:tcW w:w="78" w:type="dxa"/>
            <w:tcBorders/>
            <w:vAlign w:val="bottom"/>
          </w:tcPr>
          <w:p>
            <w:pPr>
              <w:pStyle w:val="TableContents"/>
              <w:bidi w:val="0"/>
              <w:spacing w:before="0" w:after="283"/>
              <w:jc w:val="left"/>
              <w:rPr/>
            </w:pPr>
            <w:r>
              <w:rPr/>
              <w:t> </w:t>
            </w:r>
          </w:p>
        </w:tc>
      </w:tr>
      <w:tr>
        <w:trPr/>
        <w:tc>
          <w:tcPr>
            <w:tcW w:w="6996" w:type="dxa"/>
            <w:tcBorders/>
            <w:shd w:fill="CCEEFF" w:val="clear"/>
            <w:vAlign w:val="bottom"/>
          </w:tcPr>
          <w:p>
            <w:pPr>
              <w:pStyle w:val="TableContents"/>
              <w:bidi w:val="0"/>
              <w:spacing w:before="0" w:after="283"/>
              <w:jc w:val="left"/>
              <w:rPr/>
            </w:pPr>
            <w:r>
              <w:rPr/>
              <w:t>Deferred offering costs</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761,867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w:t>
            </w:r>
          </w:p>
        </w:tc>
        <w:tc>
          <w:tcPr>
            <w:tcW w:w="78"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0"/>
              <w:ind w:left="180" w:right="0" w:hanging="180"/>
              <w:jc w:val="left"/>
              <w:rPr/>
            </w:pPr>
            <w:r>
              <w:rPr/>
              <w:t>Prepaid expenses</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0"/>
              <w:jc w:val="right"/>
              <w:rPr/>
            </w:pPr>
            <w:r>
              <w:rPr/>
              <w:t>182,945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0"/>
              <w:jc w:val="right"/>
              <w:rPr/>
            </w:pPr>
            <w:r>
              <w:rPr/>
              <w:t>39,276</w:t>
            </w:r>
          </w:p>
        </w:tc>
        <w:tc>
          <w:tcPr>
            <w:tcW w:w="78" w:type="dxa"/>
            <w:tcBorders/>
            <w:vAlign w:val="bottom"/>
          </w:tcPr>
          <w:p>
            <w:pPr>
              <w:pStyle w:val="TableContents"/>
              <w:bidi w:val="0"/>
              <w:spacing w:before="0" w:after="283"/>
              <w:jc w:val="left"/>
              <w:rPr/>
            </w:pPr>
            <w:r>
              <w:rPr/>
              <w:t> </w:t>
            </w:r>
          </w:p>
        </w:tc>
      </w:tr>
      <w:tr>
        <w:trPr/>
        <w:tc>
          <w:tcPr>
            <w:tcW w:w="6996"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Other assets</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69,913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50,000</w:t>
            </w:r>
          </w:p>
        </w:tc>
        <w:tc>
          <w:tcPr>
            <w:tcW w:w="78"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283"/>
              <w:jc w:val="left"/>
              <w:rPr/>
            </w:pPr>
            <w:r>
              <w:rPr/>
              <w:t xml:space="preserve">Paydown receivable </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21,000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w:t>
            </w:r>
          </w:p>
        </w:tc>
        <w:tc>
          <w:tcPr>
            <w:tcW w:w="78" w:type="dxa"/>
            <w:tcBorders/>
            <w:vAlign w:val="bottom"/>
          </w:tcPr>
          <w:p>
            <w:pPr>
              <w:pStyle w:val="TableContents"/>
              <w:bidi w:val="0"/>
              <w:spacing w:before="0" w:after="283"/>
              <w:jc w:val="left"/>
              <w:rPr/>
            </w:pPr>
            <w:r>
              <w:rPr/>
              <w:t> </w:t>
            </w:r>
          </w:p>
        </w:tc>
      </w:tr>
      <w:tr>
        <w:trPr/>
        <w:tc>
          <w:tcPr>
            <w:tcW w:w="6996" w:type="dxa"/>
            <w:tcBorders/>
            <w:shd w:fill="CCEEFF" w:val="clear"/>
            <w:vAlign w:val="bottom"/>
          </w:tcPr>
          <w:p>
            <w:pPr>
              <w:pStyle w:val="TableContents"/>
              <w:bidi w:val="0"/>
              <w:spacing w:before="0" w:after="283"/>
              <w:jc w:val="left"/>
              <w:rPr/>
            </w:pPr>
            <w:r>
              <w:rPr/>
              <w:t xml:space="preserve">Due from affiliate  </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w:t>
            </w:r>
          </w:p>
        </w:tc>
        <w:tc>
          <w:tcPr>
            <w:tcW w:w="78"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283"/>
              <w:jc w:val="left"/>
              <w:rPr/>
            </w:pPr>
            <w:r>
              <w:rPr/>
              <w:t xml:space="preserve">Deferred financing costs </w:t>
            </w:r>
          </w:p>
        </w:tc>
        <w:tc>
          <w:tcPr>
            <w:tcW w:w="60" w:type="dxa"/>
            <w:tcBorders/>
            <w:vAlign w:val="bottom"/>
          </w:tcPr>
          <w:p>
            <w:pPr>
              <w:pStyle w:val="TableContents"/>
              <w:bidi w:val="0"/>
              <w:spacing w:before="0" w:after="283"/>
              <w:jc w:val="righ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7"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1412" w:type="dxa"/>
            <w:tcBorders>
              <w:bottom w:val="single" w:sz="12" w:space="0" w:color="000000"/>
            </w:tcBorders>
            <w:tcMar>
              <w:bottom w:w="28" w:type="dxa"/>
            </w:tcMar>
            <w:vAlign w:val="bottom"/>
          </w:tcPr>
          <w:p>
            <w:pPr>
              <w:pStyle w:val="TableContents"/>
              <w:bidi w:val="0"/>
              <w:spacing w:before="0" w:after="283"/>
              <w:jc w:val="right"/>
              <w:rPr/>
            </w:pPr>
            <w:r>
              <w:rPr/>
              <w:t>-</w:t>
            </w:r>
          </w:p>
        </w:tc>
        <w:tc>
          <w:tcPr>
            <w:tcW w:w="78" w:type="dxa"/>
            <w:tcBorders/>
            <w:vAlign w:val="bottom"/>
          </w:tcPr>
          <w:p>
            <w:pPr>
              <w:pStyle w:val="TableContents"/>
              <w:bidi w:val="0"/>
              <w:spacing w:before="0" w:after="283"/>
              <w:jc w:val="left"/>
              <w:rPr/>
            </w:pPr>
            <w:r>
              <w:rPr/>
              <w:t> </w:t>
            </w:r>
          </w:p>
        </w:tc>
      </w:tr>
      <w:tr>
        <w:trPr/>
        <w:tc>
          <w:tcPr>
            <w:tcW w:w="6996" w:type="dxa"/>
            <w:tcBorders/>
            <w:shd w:fill="CCEEFF" w:val="clear"/>
            <w:vAlign w:val="bottom"/>
          </w:tcPr>
          <w:p>
            <w:pPr>
              <w:pStyle w:val="TableContents"/>
              <w:bidi w:val="0"/>
              <w:spacing w:before="0" w:after="0"/>
              <w:ind w:left="360" w:right="0" w:hanging="180"/>
              <w:jc w:val="left"/>
              <w:rPr>
                <w:b/>
              </w:rPr>
            </w:pPr>
            <w:r>
              <w:rPr>
                <w:b/>
              </w:rPr>
              <w:t>Total assets</w:t>
            </w:r>
          </w:p>
        </w:tc>
        <w:tc>
          <w:tcPr>
            <w:tcW w:w="60" w:type="dxa"/>
            <w:tcBorders/>
            <w:shd w:fill="CCEEFF" w:val="clear"/>
            <w:vAlign w:val="bottom"/>
          </w:tcPr>
          <w:p>
            <w:pPr>
              <w:pStyle w:val="TableContents"/>
              <w:bidi w:val="0"/>
              <w:spacing w:before="0" w:after="283"/>
              <w:jc w:val="right"/>
              <w:rPr/>
            </w:pPr>
            <w:r>
              <w:rPr/>
              <w:t> </w:t>
            </w:r>
          </w:p>
        </w:tc>
        <w:tc>
          <w:tcPr>
            <w:tcW w:w="17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bottom"/>
          </w:tcPr>
          <w:p>
            <w:pPr>
              <w:pStyle w:val="TableContents"/>
              <w:bidi w:val="0"/>
              <w:spacing w:before="0" w:after="0"/>
              <w:jc w:val="right"/>
              <w:rPr/>
            </w:pPr>
            <w:r>
              <w:rPr/>
              <w:t>90,076,727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12" w:type="dxa"/>
            <w:tcBorders>
              <w:bottom w:val="single" w:sz="12" w:space="0" w:color="000000"/>
            </w:tcBorders>
            <w:shd w:fill="CCEEFF" w:val="clear"/>
            <w:tcMar>
              <w:bottom w:w="28" w:type="dxa"/>
            </w:tcMar>
            <w:vAlign w:val="bottom"/>
          </w:tcPr>
          <w:p>
            <w:pPr>
              <w:pStyle w:val="TableContents"/>
              <w:bidi w:val="0"/>
              <w:spacing w:before="0" w:after="0"/>
              <w:jc w:val="right"/>
              <w:rPr/>
            </w:pPr>
            <w:r>
              <w:rPr/>
              <w:t>88,576,271</w:t>
            </w:r>
          </w:p>
        </w:tc>
        <w:tc>
          <w:tcPr>
            <w:tcW w:w="78"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r>
      <w:tr>
        <w:trPr/>
        <w:tc>
          <w:tcPr>
            <w:tcW w:w="6996" w:type="dxa"/>
            <w:tcBorders/>
            <w:shd w:fill="CCEEFF" w:val="clear"/>
            <w:vAlign w:val="bottom"/>
          </w:tcPr>
          <w:p>
            <w:pPr>
              <w:pStyle w:val="TableContents"/>
              <w:bidi w:val="0"/>
              <w:spacing w:before="0" w:after="0"/>
              <w:ind w:left="180" w:right="0" w:hanging="180"/>
              <w:jc w:val="left"/>
              <w:rPr>
                <w:b/>
              </w:rPr>
            </w:pPr>
            <w:r>
              <w:rPr>
                <w:b/>
              </w:rPr>
              <w:t>LIABILITIES</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283"/>
              <w:jc w:val="left"/>
              <w:rPr/>
            </w:pPr>
            <w:r>
              <w:rPr/>
              <w:t>Transaction fees payable related to the Loan Portfolio Acquisition</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2,506,784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711,264</w:t>
            </w:r>
          </w:p>
        </w:tc>
        <w:tc>
          <w:tcPr>
            <w:tcW w:w="78" w:type="dxa"/>
            <w:tcBorders/>
            <w:vAlign w:val="bottom"/>
          </w:tcPr>
          <w:p>
            <w:pPr>
              <w:pStyle w:val="TableContents"/>
              <w:bidi w:val="0"/>
              <w:spacing w:before="0" w:after="283"/>
              <w:jc w:val="left"/>
              <w:rPr/>
            </w:pPr>
            <w:r>
              <w:rPr/>
              <w:t> </w:t>
            </w:r>
          </w:p>
        </w:tc>
      </w:tr>
      <w:tr>
        <w:trPr/>
        <w:tc>
          <w:tcPr>
            <w:tcW w:w="6996" w:type="dxa"/>
            <w:tcBorders/>
            <w:shd w:fill="CCEEFF" w:val="clear"/>
            <w:vAlign w:val="bottom"/>
          </w:tcPr>
          <w:p>
            <w:pPr>
              <w:pStyle w:val="TableContents"/>
              <w:bidi w:val="0"/>
              <w:spacing w:before="0" w:after="0"/>
              <w:ind w:left="180" w:right="0" w:hanging="180"/>
              <w:jc w:val="left"/>
              <w:rPr/>
            </w:pPr>
            <w:r>
              <w:rPr/>
              <w:t>Income-based incentive fees payable</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1,839,756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1,511,253</w:t>
            </w:r>
          </w:p>
        </w:tc>
        <w:tc>
          <w:tcPr>
            <w:tcW w:w="78"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283"/>
              <w:jc w:val="left"/>
              <w:rPr/>
            </w:pPr>
            <w:r>
              <w:rPr/>
              <w:t>Offering costs payable</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676,791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w:t>
            </w:r>
          </w:p>
        </w:tc>
        <w:tc>
          <w:tcPr>
            <w:tcW w:w="78" w:type="dxa"/>
            <w:tcBorders/>
            <w:vAlign w:val="bottom"/>
          </w:tcPr>
          <w:p>
            <w:pPr>
              <w:pStyle w:val="TableContents"/>
              <w:bidi w:val="0"/>
              <w:spacing w:before="0" w:after="283"/>
              <w:jc w:val="left"/>
              <w:rPr/>
            </w:pPr>
            <w:r>
              <w:rPr/>
              <w:t> </w:t>
            </w:r>
          </w:p>
        </w:tc>
      </w:tr>
      <w:tr>
        <w:trPr/>
        <w:tc>
          <w:tcPr>
            <w:tcW w:w="6996" w:type="dxa"/>
            <w:tcBorders/>
            <w:shd w:fill="CCEEFF" w:val="clear"/>
            <w:vAlign w:val="bottom"/>
          </w:tcPr>
          <w:p>
            <w:pPr>
              <w:pStyle w:val="TableContents"/>
              <w:bidi w:val="0"/>
              <w:spacing w:before="0" w:after="0"/>
              <w:ind w:left="180" w:right="0" w:hanging="180"/>
              <w:jc w:val="left"/>
              <w:rPr/>
            </w:pPr>
            <w:r>
              <w:rPr/>
              <w:t>Management fee payable</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246,324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257,121</w:t>
            </w:r>
          </w:p>
        </w:tc>
        <w:tc>
          <w:tcPr>
            <w:tcW w:w="78"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283"/>
              <w:jc w:val="left"/>
              <w:rPr/>
            </w:pPr>
            <w:r>
              <w:rPr/>
              <w:t>Capital gains incentive fees payable</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160,953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87,583</w:t>
            </w:r>
          </w:p>
        </w:tc>
        <w:tc>
          <w:tcPr>
            <w:tcW w:w="78" w:type="dxa"/>
            <w:tcBorders/>
            <w:vAlign w:val="bottom"/>
          </w:tcPr>
          <w:p>
            <w:pPr>
              <w:pStyle w:val="TableContents"/>
              <w:bidi w:val="0"/>
              <w:spacing w:before="0" w:after="283"/>
              <w:jc w:val="left"/>
              <w:rPr/>
            </w:pPr>
            <w:r>
              <w:rPr/>
              <w:t> </w:t>
            </w:r>
          </w:p>
        </w:tc>
      </w:tr>
      <w:tr>
        <w:trPr/>
        <w:tc>
          <w:tcPr>
            <w:tcW w:w="6996" w:type="dxa"/>
            <w:tcBorders/>
            <w:shd w:fill="CCEEFF" w:val="clear"/>
            <w:vAlign w:val="bottom"/>
          </w:tcPr>
          <w:p>
            <w:pPr>
              <w:pStyle w:val="TableContents"/>
              <w:bidi w:val="0"/>
              <w:spacing w:before="0" w:after="283"/>
              <w:jc w:val="left"/>
              <w:rPr/>
            </w:pPr>
            <w:r>
              <w:rPr/>
              <w:t xml:space="preserve">Audit fees payable </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147,848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123,998</w:t>
            </w:r>
          </w:p>
        </w:tc>
        <w:tc>
          <w:tcPr>
            <w:tcW w:w="78"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283"/>
              <w:jc w:val="left"/>
              <w:rPr/>
            </w:pPr>
            <w:r>
              <w:rPr/>
              <w:t>Unearned interest income</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62,189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w:t>
            </w:r>
          </w:p>
        </w:tc>
        <w:tc>
          <w:tcPr>
            <w:tcW w:w="78" w:type="dxa"/>
            <w:tcBorders/>
            <w:vAlign w:val="bottom"/>
          </w:tcPr>
          <w:p>
            <w:pPr>
              <w:pStyle w:val="TableContents"/>
              <w:bidi w:val="0"/>
              <w:spacing w:before="0" w:after="283"/>
              <w:jc w:val="left"/>
              <w:rPr/>
            </w:pPr>
            <w:r>
              <w:rPr/>
              <w:t> </w:t>
            </w:r>
          </w:p>
        </w:tc>
      </w:tr>
      <w:tr>
        <w:trPr/>
        <w:tc>
          <w:tcPr>
            <w:tcW w:w="6996" w:type="dxa"/>
            <w:tcBorders/>
            <w:shd w:fill="CCEEFF" w:val="clear"/>
            <w:vAlign w:val="bottom"/>
          </w:tcPr>
          <w:p>
            <w:pPr>
              <w:pStyle w:val="TableContents"/>
              <w:bidi w:val="0"/>
              <w:spacing w:before="0" w:after="0"/>
              <w:ind w:left="180" w:right="0" w:hanging="180"/>
              <w:jc w:val="left"/>
              <w:rPr/>
            </w:pPr>
            <w:r>
              <w:rPr/>
              <w:t>Legal fees payable</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56,595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84,824</w:t>
            </w:r>
          </w:p>
        </w:tc>
        <w:tc>
          <w:tcPr>
            <w:tcW w:w="78"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283"/>
              <w:jc w:val="left"/>
              <w:rPr/>
            </w:pPr>
            <w:r>
              <w:rPr/>
              <w:t xml:space="preserve">Valuation fees payable </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34,485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24,675</w:t>
            </w:r>
          </w:p>
        </w:tc>
        <w:tc>
          <w:tcPr>
            <w:tcW w:w="78" w:type="dxa"/>
            <w:tcBorders/>
            <w:vAlign w:val="bottom"/>
          </w:tcPr>
          <w:p>
            <w:pPr>
              <w:pStyle w:val="TableContents"/>
              <w:bidi w:val="0"/>
              <w:spacing w:before="0" w:after="283"/>
              <w:jc w:val="left"/>
              <w:rPr/>
            </w:pPr>
            <w:r>
              <w:rPr/>
              <w:t> </w:t>
            </w:r>
          </w:p>
        </w:tc>
      </w:tr>
      <w:tr>
        <w:trPr/>
        <w:tc>
          <w:tcPr>
            <w:tcW w:w="6996" w:type="dxa"/>
            <w:tcBorders/>
            <w:shd w:fill="CCEEFF" w:val="clear"/>
            <w:vAlign w:val="bottom"/>
          </w:tcPr>
          <w:p>
            <w:pPr>
              <w:pStyle w:val="TableContents"/>
              <w:bidi w:val="0"/>
              <w:spacing w:before="0" w:after="283"/>
              <w:jc w:val="left"/>
              <w:rPr/>
            </w:pPr>
            <w:r>
              <w:rPr/>
              <w:t xml:space="preserve">Directors fees payable </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32,974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94,760</w:t>
            </w:r>
          </w:p>
        </w:tc>
        <w:tc>
          <w:tcPr>
            <w:tcW w:w="78"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0"/>
              <w:ind w:left="180" w:right="0" w:hanging="180"/>
              <w:jc w:val="left"/>
              <w:rPr/>
            </w:pPr>
            <w:r>
              <w:rPr/>
              <w:t>Administrator fees payable</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28,019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86,463</w:t>
            </w:r>
          </w:p>
        </w:tc>
        <w:tc>
          <w:tcPr>
            <w:tcW w:w="78" w:type="dxa"/>
            <w:tcBorders/>
            <w:vAlign w:val="bottom"/>
          </w:tcPr>
          <w:p>
            <w:pPr>
              <w:pStyle w:val="TableContents"/>
              <w:bidi w:val="0"/>
              <w:spacing w:before="0" w:after="283"/>
              <w:jc w:val="left"/>
              <w:rPr/>
            </w:pPr>
            <w:r>
              <w:rPr/>
              <w:t> </w:t>
            </w:r>
          </w:p>
        </w:tc>
      </w:tr>
      <w:tr>
        <w:trPr/>
        <w:tc>
          <w:tcPr>
            <w:tcW w:w="6996" w:type="dxa"/>
            <w:tcBorders/>
            <w:shd w:fill="CCEEFF" w:val="clear"/>
            <w:vAlign w:val="bottom"/>
          </w:tcPr>
          <w:p>
            <w:pPr>
              <w:pStyle w:val="TableContents"/>
              <w:bidi w:val="0"/>
              <w:spacing w:before="0" w:after="283"/>
              <w:jc w:val="left"/>
              <w:rPr/>
            </w:pPr>
            <w:r>
              <w:rPr/>
              <w:t>Other payables</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16,628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13,822</w:t>
            </w:r>
          </w:p>
        </w:tc>
        <w:tc>
          <w:tcPr>
            <w:tcW w:w="78"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283"/>
              <w:jc w:val="left"/>
              <w:rPr/>
            </w:pPr>
            <w:r>
              <w:rPr/>
              <w:t>Professional fees payable</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8,815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17,233</w:t>
            </w:r>
          </w:p>
        </w:tc>
        <w:tc>
          <w:tcPr>
            <w:tcW w:w="78" w:type="dxa"/>
            <w:tcBorders/>
            <w:vAlign w:val="bottom"/>
          </w:tcPr>
          <w:p>
            <w:pPr>
              <w:pStyle w:val="TableContents"/>
              <w:bidi w:val="0"/>
              <w:spacing w:before="0" w:after="283"/>
              <w:jc w:val="left"/>
              <w:rPr/>
            </w:pPr>
            <w:r>
              <w:rPr/>
              <w:t> </w:t>
            </w:r>
          </w:p>
        </w:tc>
      </w:tr>
      <w:tr>
        <w:trPr/>
        <w:tc>
          <w:tcPr>
            <w:tcW w:w="6996" w:type="dxa"/>
            <w:tcBorders/>
            <w:shd w:fill="CCEEFF" w:val="clear"/>
            <w:vAlign w:val="bottom"/>
          </w:tcPr>
          <w:p>
            <w:pPr>
              <w:pStyle w:val="TableContents"/>
              <w:bidi w:val="0"/>
              <w:spacing w:before="0" w:after="283"/>
              <w:jc w:val="left"/>
              <w:rPr/>
            </w:pPr>
            <w:r>
              <w:rPr/>
              <w:t>Due to affiliate</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0"/>
              <w:jc w:val="right"/>
              <w:rPr/>
            </w:pPr>
            <w:r>
              <w:rPr/>
              <w:t>493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w:t>
            </w:r>
          </w:p>
        </w:tc>
        <w:tc>
          <w:tcPr>
            <w:tcW w:w="78"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283"/>
              <w:jc w:val="left"/>
              <w:rPr/>
            </w:pPr>
            <w:r>
              <w:rPr/>
              <w:t>Distributions payable</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2</w:t>
            </w:r>
          </w:p>
        </w:tc>
        <w:tc>
          <w:tcPr>
            <w:tcW w:w="78" w:type="dxa"/>
            <w:tcBorders/>
            <w:vAlign w:val="bottom"/>
          </w:tcPr>
          <w:p>
            <w:pPr>
              <w:pStyle w:val="TableContents"/>
              <w:bidi w:val="0"/>
              <w:spacing w:before="0" w:after="283"/>
              <w:jc w:val="left"/>
              <w:rPr/>
            </w:pPr>
            <w:r>
              <w:rPr/>
              <w:t> </w:t>
            </w:r>
          </w:p>
        </w:tc>
      </w:tr>
      <w:tr>
        <w:trPr/>
        <w:tc>
          <w:tcPr>
            <w:tcW w:w="6996" w:type="dxa"/>
            <w:tcBorders/>
            <w:shd w:fill="CCEEFF" w:val="clear"/>
            <w:vAlign w:val="bottom"/>
          </w:tcPr>
          <w:p>
            <w:pPr>
              <w:pStyle w:val="TableContents"/>
              <w:bidi w:val="0"/>
              <w:spacing w:before="0" w:after="283"/>
              <w:jc w:val="left"/>
              <w:rPr/>
            </w:pPr>
            <w:r>
              <w:rPr/>
              <w:t>Excise tax payable</w:t>
            </w:r>
          </w:p>
        </w:tc>
        <w:tc>
          <w:tcPr>
            <w:tcW w:w="60" w:type="dxa"/>
            <w:tcBorders/>
            <w:shd w:fill="CCEEFF" w:val="clear"/>
            <w:vAlign w:val="bottom"/>
          </w:tcPr>
          <w:p>
            <w:pPr>
              <w:pStyle w:val="TableContents"/>
              <w:bidi w:val="0"/>
              <w:spacing w:before="0" w:after="283"/>
              <w:jc w:val="right"/>
              <w:rPr/>
            </w:pPr>
            <w:r>
              <w:rPr/>
              <w:t> </w:t>
            </w:r>
          </w:p>
        </w:tc>
        <w:tc>
          <w:tcPr>
            <w:tcW w:w="17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12" w:type="dxa"/>
            <w:tcBorders>
              <w:bottom w:val="single" w:sz="12" w:space="0" w:color="000000"/>
            </w:tcBorders>
            <w:shd w:fill="CCEEFF" w:val="clear"/>
            <w:tcMar>
              <w:bottom w:w="28" w:type="dxa"/>
            </w:tcMar>
            <w:vAlign w:val="bottom"/>
          </w:tcPr>
          <w:p>
            <w:pPr>
              <w:pStyle w:val="TableContents"/>
              <w:bidi w:val="0"/>
              <w:spacing w:before="0" w:after="283"/>
              <w:jc w:val="right"/>
              <w:rPr/>
            </w:pPr>
            <w:r>
              <w:rPr/>
              <w:t>10,655</w:t>
            </w:r>
          </w:p>
        </w:tc>
        <w:tc>
          <w:tcPr>
            <w:tcW w:w="78"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0"/>
              <w:ind w:left="360" w:right="0" w:hanging="180"/>
              <w:jc w:val="left"/>
              <w:rPr>
                <w:b/>
              </w:rPr>
            </w:pPr>
            <w:r>
              <w:rPr>
                <w:b/>
              </w:rPr>
              <w:t>Total liabilities</w:t>
            </w:r>
          </w:p>
        </w:tc>
        <w:tc>
          <w:tcPr>
            <w:tcW w:w="60" w:type="dxa"/>
            <w:tcBorders/>
            <w:vAlign w:val="bottom"/>
          </w:tcPr>
          <w:p>
            <w:pPr>
              <w:pStyle w:val="TableContents"/>
              <w:bidi w:val="0"/>
              <w:spacing w:before="0" w:after="283"/>
              <w:jc w:val="righ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7" w:type="dxa"/>
            <w:tcBorders>
              <w:bottom w:val="single" w:sz="12" w:space="0" w:color="000000"/>
            </w:tcBorders>
            <w:tcMar>
              <w:bottom w:w="28" w:type="dxa"/>
            </w:tcMar>
            <w:vAlign w:val="bottom"/>
          </w:tcPr>
          <w:p>
            <w:pPr>
              <w:pStyle w:val="TableContents"/>
              <w:bidi w:val="0"/>
              <w:spacing w:before="0" w:after="0"/>
              <w:jc w:val="right"/>
              <w:rPr/>
            </w:pPr>
            <w:r>
              <w:rPr/>
              <w:t>5,818,654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1412" w:type="dxa"/>
            <w:tcBorders>
              <w:bottom w:val="single" w:sz="12" w:space="0" w:color="000000"/>
            </w:tcBorders>
            <w:tcMar>
              <w:bottom w:w="28" w:type="dxa"/>
            </w:tcMar>
            <w:vAlign w:val="bottom"/>
          </w:tcPr>
          <w:p>
            <w:pPr>
              <w:pStyle w:val="TableContents"/>
              <w:bidi w:val="0"/>
              <w:spacing w:before="0" w:after="0"/>
              <w:jc w:val="right"/>
              <w:rPr/>
            </w:pPr>
            <w:r>
              <w:rPr/>
              <w:t>3,023,653</w:t>
            </w:r>
          </w:p>
        </w:tc>
        <w:tc>
          <w:tcPr>
            <w:tcW w:w="78" w:type="dxa"/>
            <w:tcBorders/>
            <w:vAlign w:val="bottom"/>
          </w:tcPr>
          <w:p>
            <w:pPr>
              <w:pStyle w:val="TableContents"/>
              <w:bidi w:val="0"/>
              <w:spacing w:before="0" w:after="283"/>
              <w:jc w:val="left"/>
              <w:rPr/>
            </w:pPr>
            <w:r>
              <w:rPr/>
              <w:t> </w:t>
            </w:r>
          </w:p>
        </w:tc>
      </w:tr>
      <w:tr>
        <w:trPr/>
        <w:tc>
          <w:tcPr>
            <w:tcW w:w="6996"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0"/>
              <w:ind w:left="180" w:right="0" w:hanging="180"/>
              <w:jc w:val="left"/>
              <w:rPr/>
            </w:pPr>
            <w:r>
              <w:rPr/>
              <w:t>Commitments and contingencies (Note 6)</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w:t>
            </w:r>
          </w:p>
        </w:tc>
        <w:tc>
          <w:tcPr>
            <w:tcW w:w="78" w:type="dxa"/>
            <w:tcBorders/>
            <w:vAlign w:val="bottom"/>
          </w:tcPr>
          <w:p>
            <w:pPr>
              <w:pStyle w:val="TableContents"/>
              <w:bidi w:val="0"/>
              <w:spacing w:before="0" w:after="283"/>
              <w:jc w:val="left"/>
              <w:rPr/>
            </w:pPr>
            <w:r>
              <w:rPr/>
              <w:t> </w:t>
            </w:r>
          </w:p>
        </w:tc>
      </w:tr>
      <w:tr>
        <w:trPr/>
        <w:tc>
          <w:tcPr>
            <w:tcW w:w="6996"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0"/>
              <w:ind w:left="180" w:right="0" w:hanging="180"/>
              <w:jc w:val="left"/>
              <w:rPr>
                <w:color w:val="000000"/>
              </w:rPr>
            </w:pPr>
            <w:r>
              <w:rPr>
                <w:color w:val="000000"/>
              </w:rPr>
              <w:t> </w:t>
            </w:r>
            <w:r>
              <w:rPr>
                <w:b/>
                <w:color w:val="000000"/>
              </w:rPr>
              <w:t>NET ASSETS</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r>
      <w:tr>
        <w:trPr/>
        <w:tc>
          <w:tcPr>
            <w:tcW w:w="6996" w:type="dxa"/>
            <w:tcBorders/>
            <w:shd w:fill="CCEEFF" w:val="clear"/>
            <w:vAlign w:val="bottom"/>
          </w:tcPr>
          <w:p>
            <w:pPr>
              <w:pStyle w:val="TableContents"/>
              <w:bidi w:val="0"/>
              <w:spacing w:before="0" w:after="0"/>
              <w:ind w:left="180" w:right="0" w:hanging="0"/>
              <w:jc w:val="left"/>
              <w:rPr/>
            </w:pPr>
            <w:r>
              <w:rPr/>
              <w:t>Common Stock, $0.01 par value, 100,000,000 shares authorized, 6,214,964 and  6,214,941 shares issued and outstanding, respectively</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0"/>
              <w:jc w:val="right"/>
              <w:rPr/>
            </w:pPr>
            <w:r>
              <w:rPr/>
              <w:t>62,149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0"/>
              <w:jc w:val="right"/>
              <w:rPr/>
            </w:pPr>
            <w:r>
              <w:rPr/>
              <w:t>62,149</w:t>
            </w:r>
          </w:p>
        </w:tc>
        <w:tc>
          <w:tcPr>
            <w:tcW w:w="78"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0"/>
              <w:ind w:left="180" w:right="0" w:hanging="180"/>
              <w:jc w:val="left"/>
              <w:rPr/>
            </w:pPr>
            <w:r>
              <w:rPr/>
              <w:t>Additional paid-in-capital</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0"/>
              <w:jc w:val="right"/>
              <w:rPr/>
            </w:pPr>
            <w:r>
              <w:rPr/>
              <w:t>85,030,784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0"/>
              <w:jc w:val="right"/>
              <w:rPr/>
            </w:pPr>
            <w:r>
              <w:rPr/>
              <w:t>85,041,203</w:t>
            </w:r>
          </w:p>
        </w:tc>
        <w:tc>
          <w:tcPr>
            <w:tcW w:w="78" w:type="dxa"/>
            <w:tcBorders/>
            <w:vAlign w:val="bottom"/>
          </w:tcPr>
          <w:p>
            <w:pPr>
              <w:pStyle w:val="TableContents"/>
              <w:bidi w:val="0"/>
              <w:spacing w:before="0" w:after="283"/>
              <w:jc w:val="left"/>
              <w:rPr/>
            </w:pPr>
            <w:r>
              <w:rPr/>
              <w:t> </w:t>
            </w:r>
          </w:p>
        </w:tc>
      </w:tr>
      <w:tr>
        <w:trPr/>
        <w:tc>
          <w:tcPr>
            <w:tcW w:w="6996" w:type="dxa"/>
            <w:tcBorders/>
            <w:shd w:fill="CCEEFF" w:val="clear"/>
            <w:vAlign w:val="bottom"/>
          </w:tcPr>
          <w:p>
            <w:pPr>
              <w:pStyle w:val="TableContents"/>
              <w:bidi w:val="0"/>
              <w:spacing w:before="0" w:after="0"/>
              <w:ind w:left="180" w:right="0" w:hanging="180"/>
              <w:jc w:val="left"/>
              <w:rPr>
                <w:b w:val="false"/>
              </w:rPr>
            </w:pPr>
            <w:r>
              <w:rPr>
                <w:b w:val="false"/>
              </w:rPr>
              <w:t>Distributable earnings (Accumulated losses)</w:t>
            </w:r>
          </w:p>
        </w:tc>
        <w:tc>
          <w:tcPr>
            <w:tcW w:w="60" w:type="dxa"/>
            <w:tcBorders/>
            <w:shd w:fill="CCEEFF" w:val="clear"/>
            <w:vAlign w:val="bottom"/>
          </w:tcPr>
          <w:p>
            <w:pPr>
              <w:pStyle w:val="TableContents"/>
              <w:bidi w:val="0"/>
              <w:spacing w:before="0" w:after="283"/>
              <w:jc w:val="right"/>
              <w:rPr/>
            </w:pPr>
            <w:r>
              <w:rPr/>
              <w:t> </w:t>
            </w:r>
          </w:p>
        </w:tc>
        <w:tc>
          <w:tcPr>
            <w:tcW w:w="17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bottom"/>
          </w:tcPr>
          <w:p>
            <w:pPr>
              <w:pStyle w:val="TableContents"/>
              <w:bidi w:val="0"/>
              <w:spacing w:before="0" w:after="0"/>
              <w:jc w:val="right"/>
              <w:rPr/>
            </w:pPr>
            <w:r>
              <w:rPr/>
              <w:t>(834,860</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12" w:type="dxa"/>
            <w:tcBorders>
              <w:bottom w:val="single" w:sz="12" w:space="0" w:color="000000"/>
            </w:tcBorders>
            <w:shd w:fill="CCEEFF" w:val="clear"/>
            <w:tcMar>
              <w:bottom w:w="28" w:type="dxa"/>
            </w:tcMar>
            <w:vAlign w:val="bottom"/>
          </w:tcPr>
          <w:p>
            <w:pPr>
              <w:pStyle w:val="TableContents"/>
              <w:bidi w:val="0"/>
              <w:spacing w:before="0" w:after="0"/>
              <w:jc w:val="right"/>
              <w:rPr/>
            </w:pPr>
            <w:r>
              <w:rPr/>
              <w:t>449,266</w:t>
            </w:r>
          </w:p>
        </w:tc>
        <w:tc>
          <w:tcPr>
            <w:tcW w:w="78"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0"/>
              <w:ind w:left="360" w:right="0" w:hanging="180"/>
              <w:jc w:val="left"/>
              <w:rPr>
                <w:b/>
              </w:rPr>
            </w:pPr>
            <w:r>
              <w:rPr>
                <w:b/>
              </w:rPr>
              <w:t>Total net assets</w:t>
            </w:r>
          </w:p>
        </w:tc>
        <w:tc>
          <w:tcPr>
            <w:tcW w:w="60" w:type="dxa"/>
            <w:tcBorders/>
            <w:vAlign w:val="bottom"/>
          </w:tcPr>
          <w:p>
            <w:pPr>
              <w:pStyle w:val="TableContents"/>
              <w:bidi w:val="0"/>
              <w:spacing w:before="0" w:after="283"/>
              <w:jc w:val="right"/>
              <w:rPr/>
            </w:pPr>
            <w:r>
              <w:rPr/>
              <w:t> </w:t>
            </w:r>
          </w:p>
        </w:tc>
        <w:tc>
          <w:tcPr>
            <w:tcW w:w="178" w:type="dxa"/>
            <w:tcBorders>
              <w:bottom w:val="single" w:sz="12" w:space="0" w:color="000000"/>
            </w:tcBorders>
            <w:tcMar>
              <w:bottom w:w="28" w:type="dxa"/>
            </w:tcMar>
            <w:vAlign w:val="bottom"/>
          </w:tcPr>
          <w:p>
            <w:pPr>
              <w:pStyle w:val="TableContents"/>
              <w:bidi w:val="0"/>
              <w:spacing w:before="0" w:after="0"/>
              <w:jc w:val="left"/>
              <w:rPr/>
            </w:pPr>
            <w:r>
              <w:rPr/>
              <w:t>$</w:t>
            </w:r>
          </w:p>
        </w:tc>
        <w:tc>
          <w:tcPr>
            <w:tcW w:w="1147" w:type="dxa"/>
            <w:tcBorders>
              <w:bottom w:val="single" w:sz="12" w:space="0" w:color="000000"/>
            </w:tcBorders>
            <w:tcMar>
              <w:bottom w:w="28" w:type="dxa"/>
            </w:tcMar>
            <w:vAlign w:val="bottom"/>
          </w:tcPr>
          <w:p>
            <w:pPr>
              <w:pStyle w:val="TableContents"/>
              <w:bidi w:val="0"/>
              <w:spacing w:before="0" w:after="0"/>
              <w:jc w:val="right"/>
              <w:rPr/>
            </w:pPr>
            <w:r>
              <w:rPr/>
              <w:t>84,258,073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bottom w:val="single" w:sz="12" w:space="0" w:color="000000"/>
            </w:tcBorders>
            <w:tcMar>
              <w:bottom w:w="28" w:type="dxa"/>
            </w:tcMar>
            <w:vAlign w:val="bottom"/>
          </w:tcPr>
          <w:p>
            <w:pPr>
              <w:pStyle w:val="TableContents"/>
              <w:bidi w:val="0"/>
              <w:spacing w:before="0" w:after="0"/>
              <w:jc w:val="left"/>
              <w:rPr/>
            </w:pPr>
            <w:r>
              <w:rPr/>
              <w:t>$</w:t>
            </w:r>
          </w:p>
        </w:tc>
        <w:tc>
          <w:tcPr>
            <w:tcW w:w="1412" w:type="dxa"/>
            <w:tcBorders>
              <w:bottom w:val="single" w:sz="12" w:space="0" w:color="000000"/>
            </w:tcBorders>
            <w:tcMar>
              <w:bottom w:w="28" w:type="dxa"/>
            </w:tcMar>
            <w:vAlign w:val="bottom"/>
          </w:tcPr>
          <w:p>
            <w:pPr>
              <w:pStyle w:val="TableContents"/>
              <w:bidi w:val="0"/>
              <w:spacing w:before="0" w:after="0"/>
              <w:jc w:val="right"/>
              <w:rPr/>
            </w:pPr>
            <w:r>
              <w:rPr/>
              <w:t>85,552,618</w:t>
            </w:r>
          </w:p>
        </w:tc>
        <w:tc>
          <w:tcPr>
            <w:tcW w:w="78" w:type="dxa"/>
            <w:tcBorders/>
            <w:vAlign w:val="bottom"/>
          </w:tcPr>
          <w:p>
            <w:pPr>
              <w:pStyle w:val="TableContents"/>
              <w:bidi w:val="0"/>
              <w:spacing w:before="0" w:after="283"/>
              <w:jc w:val="left"/>
              <w:rPr/>
            </w:pPr>
            <w:r>
              <w:rPr/>
              <w:t> </w:t>
            </w:r>
          </w:p>
        </w:tc>
      </w:tr>
      <w:tr>
        <w:trPr/>
        <w:tc>
          <w:tcPr>
            <w:tcW w:w="6996" w:type="dxa"/>
            <w:tcBorders/>
            <w:shd w:fill="CCEEFF" w:val="clear"/>
            <w:vAlign w:val="bottom"/>
          </w:tcPr>
          <w:p>
            <w:pPr>
              <w:pStyle w:val="TableContents"/>
              <w:bidi w:val="0"/>
              <w:spacing w:before="0" w:after="283"/>
              <w:jc w:val="left"/>
              <w:rPr/>
            </w:pPr>
            <w:r>
              <w:rPr/>
              <w:t xml:space="preserve">Total liabilities and net assets </w:t>
            </w:r>
          </w:p>
        </w:tc>
        <w:tc>
          <w:tcPr>
            <w:tcW w:w="60" w:type="dxa"/>
            <w:tcBorders/>
            <w:shd w:fill="CCEEFF" w:val="clear"/>
            <w:vAlign w:val="bottom"/>
          </w:tcPr>
          <w:p>
            <w:pPr>
              <w:pStyle w:val="TableContents"/>
              <w:bidi w:val="0"/>
              <w:spacing w:before="0" w:after="283"/>
              <w:jc w:val="right"/>
              <w:rPr/>
            </w:pPr>
            <w:r>
              <w:rPr/>
              <w:t> </w:t>
            </w:r>
          </w:p>
        </w:tc>
        <w:tc>
          <w:tcPr>
            <w:tcW w:w="178" w:type="dxa"/>
            <w:tcBorders>
              <w:bottom w:val="double" w:sz="8" w:space="0" w:color="000000"/>
            </w:tcBorders>
            <w:shd w:fill="CCEEFF" w:val="clear"/>
            <w:tcMar>
              <w:bottom w:w="28" w:type="dxa"/>
            </w:tcMar>
            <w:vAlign w:val="bottom"/>
          </w:tcPr>
          <w:p>
            <w:pPr>
              <w:pStyle w:val="TableContents"/>
              <w:bidi w:val="0"/>
              <w:spacing w:before="0" w:after="283"/>
              <w:jc w:val="left"/>
              <w:rPr/>
            </w:pPr>
            <w:r>
              <w:rPr/>
              <w:t xml:space="preserve">$ </w:t>
            </w:r>
          </w:p>
        </w:tc>
        <w:tc>
          <w:tcPr>
            <w:tcW w:w="1147" w:type="dxa"/>
            <w:tcBorders>
              <w:bottom w:val="double" w:sz="8" w:space="0" w:color="000000"/>
            </w:tcBorders>
            <w:shd w:fill="CCEEFF" w:val="clear"/>
            <w:tcMar>
              <w:bottom w:w="28" w:type="dxa"/>
            </w:tcMar>
            <w:vAlign w:val="bottom"/>
          </w:tcPr>
          <w:p>
            <w:pPr>
              <w:pStyle w:val="TableContents"/>
              <w:bidi w:val="0"/>
              <w:spacing w:before="0" w:after="283"/>
              <w:jc w:val="right"/>
              <w:rPr/>
            </w:pPr>
            <w:r>
              <w:rPr/>
              <w:t>90,076,727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412" w:type="dxa"/>
            <w:tcBorders>
              <w:bottom w:val="double" w:sz="8" w:space="0" w:color="000000"/>
            </w:tcBorders>
            <w:shd w:fill="CCEEFF" w:val="clear"/>
            <w:tcMar>
              <w:bottom w:w="28" w:type="dxa"/>
            </w:tcMar>
            <w:vAlign w:val="bottom"/>
          </w:tcPr>
          <w:p>
            <w:pPr>
              <w:pStyle w:val="TableContents"/>
              <w:bidi w:val="0"/>
              <w:spacing w:before="0" w:after="283"/>
              <w:jc w:val="right"/>
              <w:rPr/>
            </w:pPr>
            <w:r>
              <w:rPr/>
              <w:t>88,576,271</w:t>
            </w:r>
          </w:p>
        </w:tc>
        <w:tc>
          <w:tcPr>
            <w:tcW w:w="78"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0"/>
              <w:ind w:left="180" w:right="0" w:hanging="180"/>
              <w:jc w:val="left"/>
              <w:rPr>
                <w:b/>
              </w:rPr>
            </w:pPr>
            <w:r>
              <w:rPr>
                <w:b/>
              </w:rPr>
              <w:t>NET ASSET VALUE PER SHARE</w:t>
            </w:r>
          </w:p>
        </w:tc>
        <w:tc>
          <w:tcPr>
            <w:tcW w:w="60" w:type="dxa"/>
            <w:tcBorders/>
            <w:vAlign w:val="bottom"/>
          </w:tcPr>
          <w:p>
            <w:pPr>
              <w:pStyle w:val="TableContents"/>
              <w:bidi w:val="0"/>
              <w:spacing w:before="0" w:after="283"/>
              <w:jc w:val="right"/>
              <w:rPr/>
            </w:pPr>
            <w:r>
              <w:rPr/>
              <w:t> </w:t>
            </w:r>
          </w:p>
        </w:tc>
        <w:tc>
          <w:tcPr>
            <w:tcW w:w="178" w:type="dxa"/>
            <w:tcBorders>
              <w:bottom w:val="double" w:sz="8" w:space="0" w:color="000000"/>
            </w:tcBorders>
            <w:tcMar>
              <w:bottom w:w="28" w:type="dxa"/>
            </w:tcMar>
            <w:vAlign w:val="bottom"/>
          </w:tcPr>
          <w:p>
            <w:pPr>
              <w:pStyle w:val="TableContents"/>
              <w:bidi w:val="0"/>
              <w:spacing w:before="0" w:after="0"/>
              <w:jc w:val="left"/>
              <w:rPr/>
            </w:pPr>
            <w:r>
              <w:rPr/>
              <w:t>$</w:t>
            </w:r>
          </w:p>
        </w:tc>
        <w:tc>
          <w:tcPr>
            <w:tcW w:w="1147" w:type="dxa"/>
            <w:tcBorders>
              <w:bottom w:val="double" w:sz="8" w:space="0" w:color="000000"/>
            </w:tcBorders>
            <w:tcMar>
              <w:bottom w:w="28" w:type="dxa"/>
            </w:tcMar>
            <w:vAlign w:val="bottom"/>
          </w:tcPr>
          <w:p>
            <w:pPr>
              <w:pStyle w:val="TableContents"/>
              <w:bidi w:val="0"/>
              <w:spacing w:before="0" w:after="0"/>
              <w:jc w:val="right"/>
              <w:rPr/>
            </w:pPr>
            <w:r>
              <w:rPr/>
              <w:t>13.56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bottom w:val="double" w:sz="8" w:space="0" w:color="000000"/>
            </w:tcBorders>
            <w:tcMar>
              <w:bottom w:w="28" w:type="dxa"/>
            </w:tcMar>
            <w:vAlign w:val="bottom"/>
          </w:tcPr>
          <w:p>
            <w:pPr>
              <w:pStyle w:val="TableContents"/>
              <w:bidi w:val="0"/>
              <w:spacing w:before="0" w:after="0"/>
              <w:jc w:val="left"/>
              <w:rPr/>
            </w:pPr>
            <w:r>
              <w:rPr/>
              <w:t>$</w:t>
            </w:r>
          </w:p>
        </w:tc>
        <w:tc>
          <w:tcPr>
            <w:tcW w:w="1412" w:type="dxa"/>
            <w:tcBorders>
              <w:bottom w:val="double" w:sz="8" w:space="0" w:color="000000"/>
            </w:tcBorders>
            <w:tcMar>
              <w:bottom w:w="28" w:type="dxa"/>
            </w:tcMar>
            <w:vAlign w:val="bottom"/>
          </w:tcPr>
          <w:p>
            <w:pPr>
              <w:pStyle w:val="TableContents"/>
              <w:bidi w:val="0"/>
              <w:spacing w:before="0" w:after="0"/>
              <w:jc w:val="right"/>
              <w:rPr/>
            </w:pPr>
            <w:r>
              <w:rPr/>
              <w:t>13.77</w:t>
            </w:r>
          </w:p>
        </w:tc>
        <w:tc>
          <w:tcPr>
            <w:tcW w:w="78" w:type="dxa"/>
            <w:tcBorders/>
            <w:vAlign w:val="bottom"/>
          </w:tcPr>
          <w:p>
            <w:pPr>
              <w:pStyle w:val="TableContents"/>
              <w:bidi w:val="0"/>
              <w:spacing w:before="0" w:after="283"/>
              <w:jc w:val="left"/>
              <w:rPr/>
            </w:pPr>
            <w:r>
              <w:rPr/>
              <w:t> </w:t>
            </w:r>
          </w:p>
        </w:tc>
      </w:tr>
    </w:tbl>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color w:val="000000"/>
          <w:shd w:fill="FFFFFF" w:val="clear"/>
        </w:rPr>
      </w:pPr>
      <w:r>
        <w:rPr>
          <w:color w:val="000000"/>
          <w:shd w:fill="FFFFFF" w:val="clear"/>
        </w:rPr>
        <w:t> </w:t>
      </w:r>
      <w:r>
        <w:rPr>
          <w:rFonts w:ascii="Times New Roman" w:hAnsi="Times New Roman"/>
          <w:color w:val="000000"/>
          <w:sz w:val="20"/>
          <w:shd w:fill="FFFFFF" w:val="clear"/>
        </w:rPr>
        <w:t>See notes to financial statements.</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bookmarkStart w:id="5" w:name="StatementsofOperations"/>
      <w:bookmarkEnd w:id="5"/>
      <w:r>
        <w:rPr>
          <w:rFonts w:ascii="Times New Roman" w:hAnsi="Times New Roman"/>
          <w:b/>
          <w:color w:val="000000"/>
          <w:sz w:val="20"/>
          <w:shd w:fill="FFFFFF" w:val="clear"/>
        </w:rPr>
        <w:t>Statements of Operations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4883"/>
        <w:gridCol w:w="60"/>
        <w:gridCol w:w="149"/>
        <w:gridCol w:w="1049"/>
        <w:gridCol w:w="95"/>
        <w:gridCol w:w="60"/>
        <w:gridCol w:w="149"/>
        <w:gridCol w:w="1049"/>
        <w:gridCol w:w="95"/>
        <w:gridCol w:w="60"/>
        <w:gridCol w:w="142"/>
        <w:gridCol w:w="996"/>
        <w:gridCol w:w="60"/>
        <w:gridCol w:w="60"/>
        <w:gridCol w:w="149"/>
        <w:gridCol w:w="1049"/>
        <w:gridCol w:w="100"/>
      </w:tblGrid>
      <w:tr>
        <w:trPr/>
        <w:tc>
          <w:tcPr>
            <w:tcW w:w="4883"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255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456" w:type="dxa"/>
            <w:gridSpan w:val="6"/>
            <w:tcBorders>
              <w:bottom w:val="single" w:sz="12" w:space="0" w:color="000000"/>
            </w:tcBorders>
            <w:tcMar>
              <w:bottom w:w="28" w:type="dxa"/>
            </w:tcMar>
            <w:vAlign w:val="bottom"/>
          </w:tcPr>
          <w:p>
            <w:pPr>
              <w:pStyle w:val="TableContents"/>
              <w:bidi w:val="0"/>
              <w:spacing w:before="0" w:after="283"/>
              <w:jc w:val="center"/>
              <w:rPr/>
            </w:pPr>
            <w:r>
              <w:rPr>
                <w:b/>
              </w:rPr>
              <w:t>Six Months Ended</w:t>
            </w:r>
            <w:r>
              <w:rPr/>
              <w:t xml:space="preserve"> </w:t>
            </w:r>
          </w:p>
        </w:tc>
        <w:tc>
          <w:tcPr>
            <w:tcW w:w="100" w:type="dxa"/>
            <w:tcBorders/>
            <w:vAlign w:val="bottom"/>
          </w:tcPr>
          <w:p>
            <w:pPr>
              <w:pStyle w:val="TableContents"/>
              <w:bidi w:val="0"/>
              <w:spacing w:before="0" w:after="283"/>
              <w:jc w:val="left"/>
              <w:rPr/>
            </w:pPr>
            <w:r>
              <w:rPr/>
              <w:t> </w:t>
            </w:r>
          </w:p>
        </w:tc>
      </w:tr>
      <w:tr>
        <w:trPr/>
        <w:tc>
          <w:tcPr>
            <w:tcW w:w="4883"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19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38"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June 30,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98"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June 30, 2023</w:t>
            </w:r>
          </w:p>
        </w:tc>
        <w:tc>
          <w:tcPr>
            <w:tcW w:w="100" w:type="dxa"/>
            <w:tcBorders/>
            <w:vAlign w:val="bottom"/>
          </w:tcPr>
          <w:p>
            <w:pPr>
              <w:pStyle w:val="TableContents"/>
              <w:bidi w:val="0"/>
              <w:spacing w:before="0" w:after="283"/>
              <w:jc w:val="left"/>
              <w:rPr/>
            </w:pPr>
            <w:r>
              <w:rPr/>
              <w:t> </w:t>
            </w:r>
          </w:p>
        </w:tc>
      </w:tr>
      <w:tr>
        <w:trPr/>
        <w:tc>
          <w:tcPr>
            <w:tcW w:w="4883" w:type="dxa"/>
            <w:tcBorders/>
            <w:vAlign w:val="bottom"/>
          </w:tcPr>
          <w:p>
            <w:pPr>
              <w:pStyle w:val="TableContents"/>
              <w:bidi w:val="0"/>
              <w:spacing w:before="0" w:after="0"/>
              <w:ind w:left="180" w:right="0" w:hanging="180"/>
              <w:jc w:val="left"/>
              <w:rPr>
                <w:b/>
                <w:color w:val="000000"/>
              </w:rPr>
            </w:pPr>
            <w:r>
              <w:rPr>
                <w:b/>
                <w:color w:val="000000"/>
              </w:rPr>
              <w:t>INVESTMENT INCOME</w:t>
            </w:r>
          </w:p>
        </w:tc>
        <w:tc>
          <w:tcPr>
            <w:tcW w:w="60" w:type="dxa"/>
            <w:tcBorders/>
            <w:vAlign w:val="bottom"/>
          </w:tcPr>
          <w:p>
            <w:pPr>
              <w:pStyle w:val="TableContents"/>
              <w:bidi w:val="0"/>
              <w:spacing w:before="0" w:after="283"/>
              <w:jc w:val="left"/>
              <w:rPr/>
            </w:pPr>
            <w:r>
              <w:rPr/>
              <w:t> </w:t>
            </w:r>
          </w:p>
        </w:tc>
        <w:tc>
          <w:tcPr>
            <w:tcW w:w="1198"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8"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38"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98" w:type="dxa"/>
            <w:gridSpan w:val="2"/>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r>
      <w:tr>
        <w:trPr/>
        <w:tc>
          <w:tcPr>
            <w:tcW w:w="4883" w:type="dxa"/>
            <w:tcBorders/>
            <w:vAlign w:val="bottom"/>
          </w:tcPr>
          <w:p>
            <w:pPr>
              <w:pStyle w:val="TableContents"/>
              <w:bidi w:val="0"/>
              <w:spacing w:before="0" w:after="0"/>
              <w:ind w:left="180" w:right="0" w:hanging="180"/>
              <w:jc w:val="left"/>
              <w:rPr>
                <w:b/>
                <w:color w:val="000000"/>
              </w:rPr>
            </w:pPr>
            <w:r>
              <w:rPr>
                <w:b/>
                <w:color w:val="000000"/>
              </w:rPr>
              <w:t>Non-control/non-affiliate investment income</w:t>
            </w:r>
          </w:p>
        </w:tc>
        <w:tc>
          <w:tcPr>
            <w:tcW w:w="60" w:type="dxa"/>
            <w:tcBorders/>
            <w:vAlign w:val="bottom"/>
          </w:tcPr>
          <w:p>
            <w:pPr>
              <w:pStyle w:val="TableContents"/>
              <w:bidi w:val="0"/>
              <w:spacing w:before="0" w:after="283"/>
              <w:jc w:val="left"/>
              <w:rPr/>
            </w:pPr>
            <w:r>
              <w:rPr/>
              <w:t> </w:t>
            </w:r>
          </w:p>
        </w:tc>
        <w:tc>
          <w:tcPr>
            <w:tcW w:w="1198"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8"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38"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98" w:type="dxa"/>
            <w:gridSpan w:val="2"/>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r>
      <w:tr>
        <w:trPr/>
        <w:tc>
          <w:tcPr>
            <w:tcW w:w="4883" w:type="dxa"/>
            <w:tcBorders/>
            <w:shd w:fill="CCEEFF" w:val="clear"/>
            <w:vAlign w:val="bottom"/>
          </w:tcPr>
          <w:p>
            <w:pPr>
              <w:pStyle w:val="TableContents"/>
              <w:bidi w:val="0"/>
              <w:spacing w:before="0" w:after="0"/>
              <w:ind w:left="360" w:right="0" w:hanging="180"/>
              <w:jc w:val="left"/>
              <w:rPr>
                <w:color w:val="000000"/>
              </w:rPr>
            </w:pPr>
            <w:r>
              <w:rPr>
                <w:color w:val="000000"/>
              </w:rPr>
              <w:t>Interest income</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0"/>
              <w:jc w:val="left"/>
              <w:rPr>
                <w:color w:val="000000"/>
              </w:rPr>
            </w:pPr>
            <w:r>
              <w:rPr>
                <w:color w:val="000000"/>
              </w:rPr>
              <w:t>$</w:t>
            </w:r>
          </w:p>
        </w:tc>
        <w:tc>
          <w:tcPr>
            <w:tcW w:w="1049" w:type="dxa"/>
            <w:tcBorders/>
            <w:shd w:fill="CCEEFF" w:val="clear"/>
            <w:vAlign w:val="bottom"/>
          </w:tcPr>
          <w:p>
            <w:pPr>
              <w:pStyle w:val="TableContents"/>
              <w:bidi w:val="0"/>
              <w:spacing w:before="0" w:after="0"/>
              <w:jc w:val="right"/>
              <w:rPr>
                <w:color w:val="000000"/>
              </w:rPr>
            </w:pPr>
            <w:r>
              <w:rPr>
                <w:color w:val="000000"/>
              </w:rPr>
              <w:t>2,790,333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0"/>
              <w:jc w:val="left"/>
              <w:rPr>
                <w:color w:val="000000"/>
              </w:rPr>
            </w:pPr>
            <w:r>
              <w:rPr>
                <w:color w:val="000000"/>
              </w:rPr>
              <w:t>$</w:t>
            </w:r>
          </w:p>
        </w:tc>
        <w:tc>
          <w:tcPr>
            <w:tcW w:w="1049" w:type="dxa"/>
            <w:tcBorders/>
            <w:shd w:fill="CCEEFF" w:val="clear"/>
            <w:vAlign w:val="bottom"/>
          </w:tcPr>
          <w:p>
            <w:pPr>
              <w:pStyle w:val="TableContents"/>
              <w:bidi w:val="0"/>
              <w:spacing w:before="0" w:after="0"/>
              <w:jc w:val="right"/>
              <w:rPr>
                <w:color w:val="000000"/>
              </w:rPr>
            </w:pPr>
            <w:r>
              <w:rPr>
                <w:color w:val="000000"/>
              </w:rPr>
              <w:t>2,762,449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w:t>
            </w:r>
          </w:p>
        </w:tc>
        <w:tc>
          <w:tcPr>
            <w:tcW w:w="996" w:type="dxa"/>
            <w:tcBorders/>
            <w:shd w:fill="CCEEFF" w:val="clear"/>
            <w:vAlign w:val="bottom"/>
          </w:tcPr>
          <w:p>
            <w:pPr>
              <w:pStyle w:val="TableContents"/>
              <w:bidi w:val="0"/>
              <w:spacing w:before="0" w:after="283"/>
              <w:jc w:val="right"/>
              <w:rPr/>
            </w:pPr>
            <w:r>
              <w:rPr/>
              <w:t>5,516,830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w:t>
            </w:r>
          </w:p>
        </w:tc>
        <w:tc>
          <w:tcPr>
            <w:tcW w:w="1049" w:type="dxa"/>
            <w:tcBorders/>
            <w:shd w:fill="CCEEFF" w:val="clear"/>
            <w:vAlign w:val="bottom"/>
          </w:tcPr>
          <w:p>
            <w:pPr>
              <w:pStyle w:val="TableContents"/>
              <w:bidi w:val="0"/>
              <w:spacing w:before="0" w:after="283"/>
              <w:jc w:val="right"/>
              <w:rPr/>
            </w:pPr>
            <w:r>
              <w:rPr/>
              <w:t>5,220,288</w:t>
            </w:r>
          </w:p>
        </w:tc>
        <w:tc>
          <w:tcPr>
            <w:tcW w:w="100" w:type="dxa"/>
            <w:tcBorders/>
            <w:shd w:fill="CCEEFF" w:val="clear"/>
            <w:vAlign w:val="bottom"/>
          </w:tcPr>
          <w:p>
            <w:pPr>
              <w:pStyle w:val="TableContents"/>
              <w:bidi w:val="0"/>
              <w:spacing w:before="0" w:after="283"/>
              <w:jc w:val="left"/>
              <w:rPr/>
            </w:pPr>
            <w:r>
              <w:rPr/>
              <w:t> </w:t>
            </w:r>
          </w:p>
        </w:tc>
      </w:tr>
      <w:tr>
        <w:trPr/>
        <w:tc>
          <w:tcPr>
            <w:tcW w:w="4883" w:type="dxa"/>
            <w:tcBorders/>
            <w:vAlign w:val="bottom"/>
          </w:tcPr>
          <w:p>
            <w:pPr>
              <w:pStyle w:val="TableContents"/>
              <w:bidi w:val="0"/>
              <w:spacing w:before="0" w:after="0"/>
              <w:ind w:left="360" w:right="0" w:hanging="180"/>
              <w:jc w:val="left"/>
              <w:rPr>
                <w:color w:val="000000"/>
              </w:rPr>
            </w:pPr>
            <w:r>
              <w:rPr>
                <w:color w:val="000000"/>
              </w:rPr>
              <w:t>Fee income</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291,000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131,250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tcMar>
              <w:bottom w:w="28" w:type="dxa"/>
            </w:tcMar>
            <w:vAlign w:val="bottom"/>
          </w:tcPr>
          <w:p>
            <w:pPr>
              <w:pStyle w:val="TableContents"/>
              <w:bidi w:val="0"/>
              <w:spacing w:before="0" w:after="283"/>
              <w:jc w:val="right"/>
              <w:rPr/>
            </w:pPr>
            <w:r>
              <w:rPr/>
              <w:t>324,750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tcMar>
              <w:bottom w:w="28" w:type="dxa"/>
            </w:tcMar>
            <w:vAlign w:val="bottom"/>
          </w:tcPr>
          <w:p>
            <w:pPr>
              <w:pStyle w:val="TableContents"/>
              <w:bidi w:val="0"/>
              <w:spacing w:before="0" w:after="283"/>
              <w:jc w:val="right"/>
              <w:rPr/>
            </w:pPr>
            <w:r>
              <w:rPr/>
              <w:t>131,250</w:t>
            </w:r>
          </w:p>
        </w:tc>
        <w:tc>
          <w:tcPr>
            <w:tcW w:w="100" w:type="dxa"/>
            <w:tcBorders/>
            <w:vAlign w:val="bottom"/>
          </w:tcPr>
          <w:p>
            <w:pPr>
              <w:pStyle w:val="TableContents"/>
              <w:bidi w:val="0"/>
              <w:spacing w:before="0" w:after="283"/>
              <w:jc w:val="left"/>
              <w:rPr/>
            </w:pPr>
            <w:r>
              <w:rPr/>
              <w:t> </w:t>
            </w:r>
          </w:p>
        </w:tc>
      </w:tr>
      <w:tr>
        <w:trPr/>
        <w:tc>
          <w:tcPr>
            <w:tcW w:w="4883" w:type="dxa"/>
            <w:tcBorders/>
            <w:shd w:fill="CCEEFF" w:val="clear"/>
            <w:vAlign w:val="bottom"/>
          </w:tcPr>
          <w:p>
            <w:pPr>
              <w:pStyle w:val="TableContents"/>
              <w:bidi w:val="0"/>
              <w:spacing w:before="0" w:after="0"/>
              <w:ind w:left="180" w:right="0" w:hanging="180"/>
              <w:jc w:val="left"/>
              <w:rPr>
                <w:b/>
                <w:color w:val="000000"/>
              </w:rPr>
            </w:pPr>
            <w:r>
              <w:rPr>
                <w:b/>
                <w:color w:val="000000"/>
              </w:rPr>
              <w:t>Total investment income</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3,081,333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2,893,699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bidi w:val="0"/>
              <w:spacing w:before="0" w:after="283"/>
              <w:jc w:val="right"/>
              <w:rPr/>
            </w:pPr>
            <w:r>
              <w:rPr/>
              <w:t>5,841,580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bidi w:val="0"/>
              <w:spacing w:before="0" w:after="283"/>
              <w:jc w:val="right"/>
              <w:rPr/>
            </w:pPr>
            <w:r>
              <w:rPr/>
              <w:t>5,351,538</w:t>
            </w:r>
          </w:p>
        </w:tc>
        <w:tc>
          <w:tcPr>
            <w:tcW w:w="100" w:type="dxa"/>
            <w:tcBorders/>
            <w:shd w:fill="CCEEFF" w:val="clear"/>
            <w:vAlign w:val="bottom"/>
          </w:tcPr>
          <w:p>
            <w:pPr>
              <w:pStyle w:val="TableContents"/>
              <w:bidi w:val="0"/>
              <w:spacing w:before="0" w:after="283"/>
              <w:jc w:val="left"/>
              <w:rPr/>
            </w:pPr>
            <w:r>
              <w:rPr/>
              <w:t> </w:t>
            </w:r>
          </w:p>
        </w:tc>
      </w:tr>
      <w:tr>
        <w:trPr/>
        <w:tc>
          <w:tcPr>
            <w:tcW w:w="4883"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r>
      <w:tr>
        <w:trPr/>
        <w:tc>
          <w:tcPr>
            <w:tcW w:w="4883" w:type="dxa"/>
            <w:tcBorders/>
            <w:shd w:fill="CCEEFF" w:val="clear"/>
            <w:vAlign w:val="bottom"/>
          </w:tcPr>
          <w:p>
            <w:pPr>
              <w:pStyle w:val="TableContents"/>
              <w:bidi w:val="0"/>
              <w:spacing w:before="0" w:after="0"/>
              <w:ind w:left="180" w:right="0" w:hanging="180"/>
              <w:jc w:val="left"/>
              <w:rPr>
                <w:b/>
                <w:color w:val="000000"/>
              </w:rPr>
            </w:pPr>
            <w:r>
              <w:rPr>
                <w:b/>
                <w:color w:val="000000"/>
              </w:rPr>
              <w:t>EXPENSES</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r>
      <w:tr>
        <w:trPr/>
        <w:tc>
          <w:tcPr>
            <w:tcW w:w="4883" w:type="dxa"/>
            <w:tcBorders/>
            <w:vAlign w:val="bottom"/>
          </w:tcPr>
          <w:p>
            <w:pPr>
              <w:pStyle w:val="TableContents"/>
              <w:bidi w:val="0"/>
              <w:spacing w:before="0" w:after="0"/>
              <w:ind w:left="360" w:right="0" w:hanging="180"/>
              <w:jc w:val="left"/>
              <w:rPr>
                <w:color w:val="000000"/>
              </w:rPr>
            </w:pPr>
            <w:r>
              <w:rPr>
                <w:color w:val="000000"/>
              </w:rPr>
              <w:t>Transaction expenses related to the Loan Portfolio Acquisition</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0"/>
              <w:jc w:val="right"/>
              <w:rPr>
                <w:color w:val="000000"/>
              </w:rPr>
            </w:pPr>
            <w:r>
              <w:rPr>
                <w:color w:val="000000"/>
              </w:rPr>
              <w:t>533,019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2,639,069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w:t>
            </w:r>
          </w:p>
        </w:tc>
        <w:tc>
          <w:tcPr>
            <w:tcW w:w="100" w:type="dxa"/>
            <w:tcBorders/>
            <w:vAlign w:val="bottom"/>
          </w:tcPr>
          <w:p>
            <w:pPr>
              <w:pStyle w:val="TableContents"/>
              <w:bidi w:val="0"/>
              <w:spacing w:before="0" w:after="283"/>
              <w:jc w:val="left"/>
              <w:rPr/>
            </w:pPr>
            <w:r>
              <w:rPr/>
              <w:t> </w:t>
            </w:r>
          </w:p>
        </w:tc>
      </w:tr>
      <w:tr>
        <w:trPr/>
        <w:tc>
          <w:tcPr>
            <w:tcW w:w="4883"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Management fee</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246,324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257,489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492,455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495,908</w:t>
            </w:r>
          </w:p>
        </w:tc>
        <w:tc>
          <w:tcPr>
            <w:tcW w:w="100" w:type="dxa"/>
            <w:tcBorders/>
            <w:shd w:fill="CCEEFF" w:val="clear"/>
            <w:vAlign w:val="bottom"/>
          </w:tcPr>
          <w:p>
            <w:pPr>
              <w:pStyle w:val="TableContents"/>
              <w:bidi w:val="0"/>
              <w:spacing w:before="0" w:after="283"/>
              <w:jc w:val="left"/>
              <w:rPr/>
            </w:pPr>
            <w:r>
              <w:rPr/>
              <w:t> </w:t>
            </w:r>
          </w:p>
        </w:tc>
      </w:tr>
      <w:tr>
        <w:trPr/>
        <w:tc>
          <w:tcPr>
            <w:tcW w:w="4883" w:type="dxa"/>
            <w:tcBorders/>
            <w:vAlign w:val="bottom"/>
          </w:tcPr>
          <w:p>
            <w:pPr>
              <w:pStyle w:val="TableContents"/>
              <w:bidi w:val="0"/>
              <w:spacing w:before="0" w:after="0"/>
              <w:ind w:left="360" w:right="0" w:hanging="180"/>
              <w:jc w:val="left"/>
              <w:rPr/>
            </w:pPr>
            <w:r>
              <w:rPr/>
              <w:t xml:space="preserve">Income-based incentive fees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328,503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442,673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328,503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646,494</w:t>
            </w:r>
          </w:p>
        </w:tc>
        <w:tc>
          <w:tcPr>
            <w:tcW w:w="100" w:type="dxa"/>
            <w:tcBorders/>
            <w:vAlign w:val="bottom"/>
          </w:tcPr>
          <w:p>
            <w:pPr>
              <w:pStyle w:val="TableContents"/>
              <w:bidi w:val="0"/>
              <w:spacing w:before="0" w:after="283"/>
              <w:jc w:val="left"/>
              <w:rPr/>
            </w:pPr>
            <w:r>
              <w:rPr/>
              <w:t> </w:t>
            </w:r>
          </w:p>
        </w:tc>
      </w:tr>
      <w:tr>
        <w:trPr/>
        <w:tc>
          <w:tcPr>
            <w:tcW w:w="4883" w:type="dxa"/>
            <w:tcBorders/>
            <w:shd w:fill="CCEEFF" w:val="clear"/>
            <w:vAlign w:val="bottom"/>
          </w:tcPr>
          <w:p>
            <w:pPr>
              <w:pStyle w:val="TableContents"/>
              <w:bidi w:val="0"/>
              <w:spacing w:before="0" w:after="0"/>
              <w:ind w:left="360" w:right="0" w:hanging="180"/>
              <w:jc w:val="left"/>
              <w:rPr/>
            </w:pPr>
            <w:r>
              <w:rPr/>
              <w:t>Audit expense</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96,925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87,500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203,550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185,383</w:t>
            </w:r>
          </w:p>
        </w:tc>
        <w:tc>
          <w:tcPr>
            <w:tcW w:w="100" w:type="dxa"/>
            <w:tcBorders/>
            <w:shd w:fill="CCEEFF" w:val="clear"/>
            <w:vAlign w:val="bottom"/>
          </w:tcPr>
          <w:p>
            <w:pPr>
              <w:pStyle w:val="TableContents"/>
              <w:bidi w:val="0"/>
              <w:spacing w:before="0" w:after="283"/>
              <w:jc w:val="left"/>
              <w:rPr/>
            </w:pPr>
            <w:r>
              <w:rPr/>
              <w:t> </w:t>
            </w:r>
          </w:p>
        </w:tc>
      </w:tr>
      <w:tr>
        <w:trPr/>
        <w:tc>
          <w:tcPr>
            <w:tcW w:w="4883" w:type="dxa"/>
            <w:tcBorders/>
            <w:vAlign w:val="bottom"/>
          </w:tcPr>
          <w:p>
            <w:pPr>
              <w:pStyle w:val="TableContents"/>
              <w:bidi w:val="0"/>
              <w:spacing w:before="0" w:after="0"/>
              <w:ind w:left="360" w:right="0" w:hanging="180"/>
              <w:jc w:val="left"/>
              <w:rPr>
                <w:color w:val="000000"/>
              </w:rPr>
            </w:pPr>
            <w:r>
              <w:rPr>
                <w:color w:val="000000"/>
              </w:rPr>
              <w:t>Administrator fees</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0"/>
              <w:jc w:val="right"/>
              <w:rPr>
                <w:color w:val="000000"/>
              </w:rPr>
            </w:pPr>
            <w:r>
              <w:rPr>
                <w:color w:val="000000"/>
              </w:rPr>
              <w:t>101,187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0"/>
              <w:jc w:val="right"/>
              <w:rPr>
                <w:color w:val="000000"/>
              </w:rPr>
            </w:pPr>
            <w:r>
              <w:rPr>
                <w:color w:val="000000"/>
              </w:rPr>
              <w:t>87,853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199,643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165,697</w:t>
            </w:r>
          </w:p>
        </w:tc>
        <w:tc>
          <w:tcPr>
            <w:tcW w:w="100" w:type="dxa"/>
            <w:tcBorders/>
            <w:vAlign w:val="bottom"/>
          </w:tcPr>
          <w:p>
            <w:pPr>
              <w:pStyle w:val="TableContents"/>
              <w:bidi w:val="0"/>
              <w:spacing w:before="0" w:after="283"/>
              <w:jc w:val="left"/>
              <w:rPr/>
            </w:pPr>
            <w:r>
              <w:rPr/>
              <w:t> </w:t>
            </w:r>
          </w:p>
        </w:tc>
      </w:tr>
      <w:tr>
        <w:trPr/>
        <w:tc>
          <w:tcPr>
            <w:tcW w:w="4883" w:type="dxa"/>
            <w:tcBorders/>
            <w:shd w:fill="CCEEFF" w:val="clear"/>
            <w:vAlign w:val="bottom"/>
          </w:tcPr>
          <w:p>
            <w:pPr>
              <w:pStyle w:val="TableContents"/>
              <w:bidi w:val="0"/>
              <w:spacing w:before="0" w:after="0"/>
              <w:ind w:left="360" w:right="0" w:hanging="180"/>
              <w:jc w:val="left"/>
              <w:rPr>
                <w:color w:val="000000"/>
              </w:rPr>
            </w:pPr>
            <w:r>
              <w:rPr>
                <w:color w:val="000000"/>
              </w:rPr>
              <w:t>Legal expenses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0"/>
              <w:jc w:val="right"/>
              <w:rPr>
                <w:color w:val="000000"/>
              </w:rPr>
            </w:pPr>
            <w:r>
              <w:rPr>
                <w:color w:val="000000"/>
              </w:rPr>
              <w:t>81,822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0"/>
              <w:jc w:val="right"/>
              <w:rPr>
                <w:color w:val="000000"/>
              </w:rPr>
            </w:pPr>
            <w:r>
              <w:rPr>
                <w:color w:val="000000"/>
              </w:rPr>
              <w:t>87,256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139,873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186,016</w:t>
            </w:r>
          </w:p>
        </w:tc>
        <w:tc>
          <w:tcPr>
            <w:tcW w:w="100" w:type="dxa"/>
            <w:tcBorders/>
            <w:shd w:fill="CCEEFF" w:val="clear"/>
            <w:vAlign w:val="bottom"/>
          </w:tcPr>
          <w:p>
            <w:pPr>
              <w:pStyle w:val="TableContents"/>
              <w:bidi w:val="0"/>
              <w:spacing w:before="0" w:after="283"/>
              <w:jc w:val="left"/>
              <w:rPr/>
            </w:pPr>
            <w:r>
              <w:rPr/>
              <w:t> </w:t>
            </w:r>
          </w:p>
        </w:tc>
      </w:tr>
      <w:tr>
        <w:trPr/>
        <w:tc>
          <w:tcPr>
            <w:tcW w:w="4883" w:type="dxa"/>
            <w:tcBorders/>
            <w:vAlign w:val="bottom"/>
          </w:tcPr>
          <w:p>
            <w:pPr>
              <w:pStyle w:val="TableContents"/>
              <w:bidi w:val="0"/>
              <w:spacing w:before="0" w:after="0"/>
              <w:ind w:left="360" w:right="0" w:hanging="180"/>
              <w:jc w:val="left"/>
              <w:rPr/>
            </w:pPr>
            <w:r>
              <w:rPr/>
              <w:t xml:space="preserve">Insurance expense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66,212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66,393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132,491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135,475</w:t>
            </w:r>
          </w:p>
        </w:tc>
        <w:tc>
          <w:tcPr>
            <w:tcW w:w="100" w:type="dxa"/>
            <w:tcBorders/>
            <w:vAlign w:val="bottom"/>
          </w:tcPr>
          <w:p>
            <w:pPr>
              <w:pStyle w:val="TableContents"/>
              <w:bidi w:val="0"/>
              <w:spacing w:before="0" w:after="283"/>
              <w:jc w:val="left"/>
              <w:rPr/>
            </w:pPr>
            <w:r>
              <w:rPr/>
              <w:t> </w:t>
            </w:r>
          </w:p>
        </w:tc>
      </w:tr>
      <w:tr>
        <w:trPr/>
        <w:tc>
          <w:tcPr>
            <w:tcW w:w="4883" w:type="dxa"/>
            <w:tcBorders/>
            <w:shd w:fill="CCEEFF" w:val="clear"/>
            <w:vAlign w:val="bottom"/>
          </w:tcPr>
          <w:p>
            <w:pPr>
              <w:pStyle w:val="TableContents"/>
              <w:bidi w:val="0"/>
              <w:spacing w:before="0" w:after="0"/>
              <w:ind w:left="360" w:right="0" w:hanging="180"/>
              <w:jc w:val="left"/>
              <w:rPr/>
            </w:pPr>
            <w:r>
              <w:rPr/>
              <w:t xml:space="preserve">Capital gains incentive fees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(46,555</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(137,602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73,369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5,000</w:t>
            </w:r>
          </w:p>
        </w:tc>
        <w:tc>
          <w:tcPr>
            <w:tcW w:w="100" w:type="dxa"/>
            <w:tcBorders/>
            <w:shd w:fill="CCEEFF" w:val="clear"/>
            <w:vAlign w:val="bottom"/>
          </w:tcPr>
          <w:p>
            <w:pPr>
              <w:pStyle w:val="TableContents"/>
              <w:bidi w:val="0"/>
              <w:spacing w:before="0" w:after="283"/>
              <w:jc w:val="left"/>
              <w:rPr/>
            </w:pPr>
            <w:r>
              <w:rPr/>
              <w:t> </w:t>
            </w:r>
          </w:p>
        </w:tc>
      </w:tr>
      <w:tr>
        <w:trPr/>
        <w:tc>
          <w:tcPr>
            <w:tcW w:w="4883" w:type="dxa"/>
            <w:tcBorders/>
            <w:vAlign w:val="bottom"/>
          </w:tcPr>
          <w:p>
            <w:pPr>
              <w:pStyle w:val="TableContents"/>
              <w:bidi w:val="0"/>
              <w:spacing w:before="0" w:after="0"/>
              <w:ind w:left="360" w:right="0" w:hanging="180"/>
              <w:jc w:val="left"/>
              <w:rPr/>
            </w:pPr>
            <w:r>
              <w:rPr/>
              <w:t>Other expenses</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47,476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20,204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66,667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39,708</w:t>
            </w:r>
          </w:p>
        </w:tc>
        <w:tc>
          <w:tcPr>
            <w:tcW w:w="100" w:type="dxa"/>
            <w:tcBorders/>
            <w:vAlign w:val="bottom"/>
          </w:tcPr>
          <w:p>
            <w:pPr>
              <w:pStyle w:val="TableContents"/>
              <w:bidi w:val="0"/>
              <w:spacing w:before="0" w:after="283"/>
              <w:jc w:val="left"/>
              <w:rPr/>
            </w:pPr>
            <w:r>
              <w:rPr/>
              <w:t> </w:t>
            </w:r>
          </w:p>
        </w:tc>
      </w:tr>
      <w:tr>
        <w:trPr/>
        <w:tc>
          <w:tcPr>
            <w:tcW w:w="4883" w:type="dxa"/>
            <w:tcBorders/>
            <w:shd w:fill="CCEEFF" w:val="clear"/>
            <w:vAlign w:val="bottom"/>
          </w:tcPr>
          <w:p>
            <w:pPr>
              <w:pStyle w:val="TableContents"/>
              <w:bidi w:val="0"/>
              <w:spacing w:before="0" w:after="0"/>
              <w:ind w:left="360" w:right="0" w:hanging="180"/>
              <w:jc w:val="left"/>
              <w:rPr>
                <w:color w:val="000000"/>
              </w:rPr>
            </w:pPr>
            <w:r>
              <w:rPr>
                <w:color w:val="000000"/>
              </w:rPr>
              <w:t>Director expenses</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0"/>
              <w:jc w:val="right"/>
              <w:rPr>
                <w:color w:val="000000"/>
              </w:rPr>
            </w:pPr>
            <w:r>
              <w:rPr>
                <w:color w:val="000000"/>
              </w:rPr>
              <w:t>48,793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0"/>
              <w:jc w:val="right"/>
              <w:rPr>
                <w:color w:val="000000"/>
              </w:rPr>
            </w:pPr>
            <w:r>
              <w:rPr>
                <w:color w:val="000000"/>
              </w:rPr>
              <w:t>31,746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54,319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67,690</w:t>
            </w:r>
          </w:p>
        </w:tc>
        <w:tc>
          <w:tcPr>
            <w:tcW w:w="100" w:type="dxa"/>
            <w:tcBorders/>
            <w:shd w:fill="CCEEFF" w:val="clear"/>
            <w:vAlign w:val="bottom"/>
          </w:tcPr>
          <w:p>
            <w:pPr>
              <w:pStyle w:val="TableContents"/>
              <w:bidi w:val="0"/>
              <w:spacing w:before="0" w:after="283"/>
              <w:jc w:val="left"/>
              <w:rPr/>
            </w:pPr>
            <w:r>
              <w:rPr/>
              <w:t> </w:t>
            </w:r>
          </w:p>
        </w:tc>
      </w:tr>
      <w:tr>
        <w:trPr/>
        <w:tc>
          <w:tcPr>
            <w:tcW w:w="4883" w:type="dxa"/>
            <w:tcBorders/>
            <w:vAlign w:val="bottom"/>
          </w:tcPr>
          <w:p>
            <w:pPr>
              <w:pStyle w:val="TableContents"/>
              <w:bidi w:val="0"/>
              <w:spacing w:before="0" w:after="0"/>
              <w:ind w:left="360" w:right="0" w:hanging="18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Valuation fees</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25,080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21,000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27,053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94,065</w:t>
            </w:r>
          </w:p>
        </w:tc>
        <w:tc>
          <w:tcPr>
            <w:tcW w:w="100" w:type="dxa"/>
            <w:tcBorders/>
            <w:vAlign w:val="bottom"/>
          </w:tcPr>
          <w:p>
            <w:pPr>
              <w:pStyle w:val="TableContents"/>
              <w:bidi w:val="0"/>
              <w:spacing w:before="0" w:after="283"/>
              <w:jc w:val="left"/>
              <w:rPr/>
            </w:pPr>
            <w:r>
              <w:rPr/>
              <w:t> </w:t>
            </w:r>
          </w:p>
        </w:tc>
      </w:tr>
      <w:tr>
        <w:trPr/>
        <w:tc>
          <w:tcPr>
            <w:tcW w:w="4883" w:type="dxa"/>
            <w:tcBorders/>
            <w:shd w:fill="CCEEFF" w:val="clear"/>
            <w:vAlign w:val="bottom"/>
          </w:tcPr>
          <w:p>
            <w:pPr>
              <w:pStyle w:val="TableContents"/>
              <w:bidi w:val="0"/>
              <w:spacing w:before="0" w:after="0"/>
              <w:ind w:left="360" w:right="0" w:hanging="180"/>
              <w:jc w:val="left"/>
              <w:rPr/>
            </w:pPr>
            <w:r>
              <w:rPr/>
              <w:t>Custodian fees</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12,000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12,000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23,850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24,000</w:t>
            </w:r>
          </w:p>
        </w:tc>
        <w:tc>
          <w:tcPr>
            <w:tcW w:w="100" w:type="dxa"/>
            <w:tcBorders/>
            <w:shd w:fill="CCEEFF" w:val="clear"/>
            <w:vAlign w:val="bottom"/>
          </w:tcPr>
          <w:p>
            <w:pPr>
              <w:pStyle w:val="TableContents"/>
              <w:bidi w:val="0"/>
              <w:spacing w:before="0" w:after="283"/>
              <w:jc w:val="left"/>
              <w:rPr/>
            </w:pPr>
            <w:r>
              <w:rPr/>
              <w:t> </w:t>
            </w:r>
          </w:p>
        </w:tc>
      </w:tr>
      <w:tr>
        <w:trPr/>
        <w:tc>
          <w:tcPr>
            <w:tcW w:w="4883" w:type="dxa"/>
            <w:tcBorders/>
            <w:vAlign w:val="bottom"/>
          </w:tcPr>
          <w:p>
            <w:pPr>
              <w:pStyle w:val="TableContents"/>
              <w:bidi w:val="0"/>
              <w:spacing w:before="0" w:after="0"/>
              <w:ind w:left="360" w:right="0" w:hanging="180"/>
              <w:jc w:val="left"/>
              <w:rPr>
                <w:color w:val="000000"/>
              </w:rPr>
            </w:pPr>
            <w:r>
              <w:rPr>
                <w:color w:val="000000"/>
              </w:rPr>
              <w:t>Professional fees</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14,914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17,775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tcMar>
              <w:bottom w:w="28" w:type="dxa"/>
            </w:tcMar>
            <w:vAlign w:val="bottom"/>
          </w:tcPr>
          <w:p>
            <w:pPr>
              <w:pStyle w:val="TableContents"/>
              <w:bidi w:val="0"/>
              <w:spacing w:before="0" w:after="283"/>
              <w:jc w:val="right"/>
              <w:rPr/>
            </w:pPr>
            <w:r>
              <w:rPr/>
              <w:t>14,914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tcMar>
              <w:bottom w:w="28" w:type="dxa"/>
            </w:tcMar>
            <w:vAlign w:val="bottom"/>
          </w:tcPr>
          <w:p>
            <w:pPr>
              <w:pStyle w:val="TableContents"/>
              <w:bidi w:val="0"/>
              <w:spacing w:before="0" w:after="283"/>
              <w:jc w:val="right"/>
              <w:rPr/>
            </w:pPr>
            <w:r>
              <w:rPr/>
              <w:t>35,967</w:t>
            </w:r>
          </w:p>
        </w:tc>
        <w:tc>
          <w:tcPr>
            <w:tcW w:w="100" w:type="dxa"/>
            <w:tcBorders/>
            <w:vAlign w:val="bottom"/>
          </w:tcPr>
          <w:p>
            <w:pPr>
              <w:pStyle w:val="TableContents"/>
              <w:bidi w:val="0"/>
              <w:spacing w:before="0" w:after="283"/>
              <w:jc w:val="left"/>
              <w:rPr/>
            </w:pPr>
            <w:r>
              <w:rPr/>
              <w:t> </w:t>
            </w:r>
          </w:p>
        </w:tc>
      </w:tr>
      <w:tr>
        <w:trPr/>
        <w:tc>
          <w:tcPr>
            <w:tcW w:w="4883" w:type="dxa"/>
            <w:tcBorders/>
            <w:shd w:fill="CCEEFF" w:val="clear"/>
            <w:vAlign w:val="bottom"/>
          </w:tcPr>
          <w:p>
            <w:pPr>
              <w:pStyle w:val="TableContents"/>
              <w:bidi w:val="0"/>
              <w:spacing w:before="0" w:after="0"/>
              <w:ind w:left="180" w:right="0" w:hanging="180"/>
              <w:jc w:val="left"/>
              <w:rPr>
                <w:b/>
                <w:color w:val="000000"/>
              </w:rPr>
            </w:pPr>
            <w:r>
              <w:rPr>
                <w:b/>
                <w:color w:val="000000"/>
              </w:rPr>
              <w:t>Total expenses</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1,555,700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994,287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bidi w:val="0"/>
              <w:spacing w:before="0" w:after="283"/>
              <w:jc w:val="right"/>
              <w:rPr/>
            </w:pPr>
            <w:r>
              <w:rPr/>
              <w:t>4,395,756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bidi w:val="0"/>
              <w:spacing w:before="0" w:after="283"/>
              <w:jc w:val="right"/>
              <w:rPr/>
            </w:pPr>
            <w:r>
              <w:rPr/>
              <w:t>2,081,403</w:t>
            </w:r>
          </w:p>
        </w:tc>
        <w:tc>
          <w:tcPr>
            <w:tcW w:w="100" w:type="dxa"/>
            <w:tcBorders/>
            <w:shd w:fill="CCEEFF" w:val="clear"/>
            <w:vAlign w:val="bottom"/>
          </w:tcPr>
          <w:p>
            <w:pPr>
              <w:pStyle w:val="TableContents"/>
              <w:bidi w:val="0"/>
              <w:spacing w:before="0" w:after="283"/>
              <w:jc w:val="left"/>
              <w:rPr/>
            </w:pPr>
            <w:r>
              <w:rPr/>
              <w:t> </w:t>
            </w:r>
          </w:p>
        </w:tc>
      </w:tr>
      <w:tr>
        <w:trPr/>
        <w:tc>
          <w:tcPr>
            <w:tcW w:w="4883"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r>
      <w:tr>
        <w:trPr/>
        <w:tc>
          <w:tcPr>
            <w:tcW w:w="4883" w:type="dxa"/>
            <w:tcBorders/>
            <w:shd w:fill="CCEEFF" w:val="clear"/>
            <w:vAlign w:val="bottom"/>
          </w:tcPr>
          <w:p>
            <w:pPr>
              <w:pStyle w:val="TableContents"/>
              <w:bidi w:val="0"/>
              <w:spacing w:before="0" w:after="0"/>
              <w:ind w:left="180" w:right="0" w:hanging="180"/>
              <w:jc w:val="left"/>
              <w:rPr>
                <w:b/>
                <w:color w:val="000000"/>
              </w:rPr>
            </w:pPr>
            <w:r>
              <w:rPr>
                <w:b/>
                <w:color w:val="000000"/>
              </w:rPr>
              <w:t>NET INVESTMENT INCOME (LOSS)</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1,525,633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1,899,412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bidi w:val="0"/>
              <w:spacing w:before="0" w:after="283"/>
              <w:jc w:val="right"/>
              <w:rPr/>
            </w:pPr>
            <w:r>
              <w:rPr/>
              <w:t>1,445,824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bidi w:val="0"/>
              <w:spacing w:before="0" w:after="283"/>
              <w:jc w:val="right"/>
              <w:rPr/>
            </w:pPr>
            <w:r>
              <w:rPr/>
              <w:t>3,270,135</w:t>
            </w:r>
          </w:p>
        </w:tc>
        <w:tc>
          <w:tcPr>
            <w:tcW w:w="100" w:type="dxa"/>
            <w:tcBorders/>
            <w:shd w:fill="CCEEFF" w:val="clear"/>
            <w:vAlign w:val="bottom"/>
          </w:tcPr>
          <w:p>
            <w:pPr>
              <w:pStyle w:val="TableContents"/>
              <w:bidi w:val="0"/>
              <w:spacing w:before="0" w:after="283"/>
              <w:jc w:val="left"/>
              <w:rPr/>
            </w:pPr>
            <w:r>
              <w:rPr/>
              <w:t> </w:t>
            </w:r>
          </w:p>
        </w:tc>
      </w:tr>
      <w:tr>
        <w:trPr/>
        <w:tc>
          <w:tcPr>
            <w:tcW w:w="4883"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r>
      <w:tr>
        <w:trPr/>
        <w:tc>
          <w:tcPr>
            <w:tcW w:w="4883" w:type="dxa"/>
            <w:tcBorders/>
            <w:shd w:fill="CCEEFF" w:val="clear"/>
            <w:vAlign w:val="bottom"/>
          </w:tcPr>
          <w:p>
            <w:pPr>
              <w:pStyle w:val="TableContents"/>
              <w:bidi w:val="0"/>
              <w:spacing w:before="0" w:after="0"/>
              <w:ind w:left="180" w:right="0" w:hanging="180"/>
              <w:jc w:val="left"/>
              <w:rPr>
                <w:b/>
              </w:rPr>
            </w:pPr>
            <w:r>
              <w:rPr>
                <w:b/>
              </w:rPr>
              <w:t>NET REALIZED GAIN (LOSS) FROM INVESTMENTS</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r>
      <w:tr>
        <w:trPr/>
        <w:tc>
          <w:tcPr>
            <w:tcW w:w="4883" w:type="dxa"/>
            <w:tcBorders/>
            <w:vAlign w:val="bottom"/>
          </w:tcPr>
          <w:p>
            <w:pPr>
              <w:pStyle w:val="TableContents"/>
              <w:bidi w:val="0"/>
              <w:spacing w:before="0" w:after="0"/>
              <w:ind w:left="360" w:right="0" w:hanging="180"/>
              <w:jc w:val="left"/>
              <w:rPr/>
            </w:pPr>
            <w:r>
              <w:rPr/>
              <w:t>Non-controlled/non-affiliate investments</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tcMar>
              <w:bottom w:w="28" w:type="dxa"/>
            </w:tcMar>
            <w:vAlign w:val="bottom"/>
          </w:tcPr>
          <w:p>
            <w:pPr>
              <w:pStyle w:val="TableContents"/>
              <w:bidi w:val="0"/>
              <w:spacing w:before="0" w:after="283"/>
              <w:jc w:val="right"/>
              <w:rPr/>
            </w:pPr>
            <w:r>
              <w:rPr/>
              <w:t>(210,767</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tcMar>
              <w:bottom w:w="28" w:type="dxa"/>
            </w:tcMar>
            <w:vAlign w:val="bottom"/>
          </w:tcPr>
          <w:p>
            <w:pPr>
              <w:pStyle w:val="TableContents"/>
              <w:bidi w:val="0"/>
              <w:spacing w:before="0" w:after="283"/>
              <w:jc w:val="right"/>
              <w:rPr/>
            </w:pPr>
            <w:r>
              <w:rPr/>
              <w:t>(210,767</w:t>
            </w:r>
          </w:p>
        </w:tc>
        <w:tc>
          <w:tcPr>
            <w:tcW w:w="100" w:type="dxa"/>
            <w:tcBorders/>
            <w:vAlign w:val="bottom"/>
          </w:tcPr>
          <w:p>
            <w:pPr>
              <w:pStyle w:val="TableContents"/>
              <w:bidi w:val="0"/>
              <w:spacing w:before="0" w:after="283"/>
              <w:jc w:val="left"/>
              <w:rPr/>
            </w:pPr>
            <w:r>
              <w:rPr/>
              <w:t>)</w:t>
            </w:r>
          </w:p>
        </w:tc>
      </w:tr>
      <w:tr>
        <w:trPr/>
        <w:tc>
          <w:tcPr>
            <w:tcW w:w="4883" w:type="dxa"/>
            <w:tcBorders/>
            <w:shd w:fill="CCEEFF" w:val="clear"/>
            <w:vAlign w:val="bottom"/>
          </w:tcPr>
          <w:p>
            <w:pPr>
              <w:pStyle w:val="TableContents"/>
              <w:bidi w:val="0"/>
              <w:spacing w:before="0" w:after="0"/>
              <w:ind w:left="180" w:right="0" w:hanging="180"/>
              <w:jc w:val="left"/>
              <w:rPr>
                <w:b/>
              </w:rPr>
            </w:pPr>
            <w:r>
              <w:rPr>
                <w:b/>
              </w:rPr>
              <w:t>Net realized gain (loss) from investments</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bidi w:val="0"/>
              <w:spacing w:before="0" w:after="0"/>
              <w:jc w:val="right"/>
              <w:rPr/>
            </w:pPr>
            <w:r>
              <w:rPr/>
              <w:t>(210,767</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bidi w:val="0"/>
              <w:spacing w:before="0" w:after="283"/>
              <w:jc w:val="right"/>
              <w:rPr/>
            </w:pPr>
            <w:r>
              <w:rPr/>
              <w:t>(210,767</w:t>
            </w:r>
          </w:p>
        </w:tc>
        <w:tc>
          <w:tcPr>
            <w:tcW w:w="100" w:type="dxa"/>
            <w:tcBorders/>
            <w:shd w:fill="CCEEFF" w:val="clear"/>
            <w:vAlign w:val="bottom"/>
          </w:tcPr>
          <w:p>
            <w:pPr>
              <w:pStyle w:val="TableContents"/>
              <w:bidi w:val="0"/>
              <w:spacing w:before="0" w:after="283"/>
              <w:jc w:val="left"/>
              <w:rPr/>
            </w:pPr>
            <w:r>
              <w:rPr/>
              <w:t>)</w:t>
            </w:r>
          </w:p>
        </w:tc>
      </w:tr>
      <w:tr>
        <w:trPr/>
        <w:tc>
          <w:tcPr>
            <w:tcW w:w="4883"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r>
      <w:tr>
        <w:trPr/>
        <w:tc>
          <w:tcPr>
            <w:tcW w:w="4883" w:type="dxa"/>
            <w:tcBorders/>
            <w:shd w:fill="CCEEFF" w:val="clear"/>
            <w:vAlign w:val="bottom"/>
          </w:tcPr>
          <w:p>
            <w:pPr>
              <w:pStyle w:val="TableContents"/>
              <w:bidi w:val="0"/>
              <w:spacing w:before="0" w:after="0"/>
              <w:ind w:left="180" w:right="0" w:hanging="180"/>
              <w:jc w:val="left"/>
              <w:rPr>
                <w:b/>
              </w:rPr>
            </w:pPr>
            <w:r>
              <w:rPr>
                <w:b/>
              </w:rPr>
              <w:t>NET CHANGE IN UNREALIZED APPRECIATION (DEPRECIATION) FROM INVESTMENTS</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r>
      <w:tr>
        <w:trPr/>
        <w:tc>
          <w:tcPr>
            <w:tcW w:w="4883" w:type="dxa"/>
            <w:tcBorders/>
            <w:vAlign w:val="bottom"/>
          </w:tcPr>
          <w:p>
            <w:pPr>
              <w:pStyle w:val="TableContents"/>
              <w:bidi w:val="0"/>
              <w:spacing w:before="0" w:after="0"/>
              <w:ind w:left="360" w:right="0" w:hanging="180"/>
              <w:jc w:val="left"/>
              <w:rPr/>
            </w:pPr>
            <w:r>
              <w:rPr/>
              <w:t>Non-controlled/non-affiliate investments</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tcMar>
              <w:bottom w:w="28" w:type="dxa"/>
            </w:tcMar>
            <w:vAlign w:val="bottom"/>
          </w:tcPr>
          <w:p>
            <w:pPr>
              <w:pStyle w:val="TableContents"/>
              <w:bidi w:val="0"/>
              <w:spacing w:before="0" w:after="0"/>
              <w:jc w:val="right"/>
              <w:rPr/>
            </w:pPr>
            <w:r>
              <w:rPr/>
              <w:t>(232,772</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tcMar>
              <w:bottom w:w="28" w:type="dxa"/>
            </w:tcMar>
            <w:vAlign w:val="bottom"/>
          </w:tcPr>
          <w:p>
            <w:pPr>
              <w:pStyle w:val="TableContents"/>
              <w:bidi w:val="0"/>
              <w:spacing w:before="0" w:after="0"/>
              <w:jc w:val="right"/>
              <w:rPr/>
            </w:pPr>
            <w:r>
              <w:rPr/>
              <w:t>(477,241</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tcMar>
              <w:bottom w:w="28" w:type="dxa"/>
            </w:tcMar>
            <w:vAlign w:val="bottom"/>
          </w:tcPr>
          <w:p>
            <w:pPr>
              <w:pStyle w:val="TableContents"/>
              <w:bidi w:val="0"/>
              <w:spacing w:before="0" w:after="283"/>
              <w:jc w:val="right"/>
              <w:rPr/>
            </w:pPr>
            <w:r>
              <w:rPr/>
              <w:t>366,848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tcMar>
              <w:bottom w:w="28" w:type="dxa"/>
            </w:tcMar>
            <w:vAlign w:val="bottom"/>
          </w:tcPr>
          <w:p>
            <w:pPr>
              <w:pStyle w:val="TableContents"/>
              <w:bidi w:val="0"/>
              <w:spacing w:before="0" w:after="283"/>
              <w:jc w:val="right"/>
              <w:rPr/>
            </w:pPr>
            <w:r>
              <w:rPr/>
              <w:t>509,116</w:t>
            </w:r>
          </w:p>
        </w:tc>
        <w:tc>
          <w:tcPr>
            <w:tcW w:w="100" w:type="dxa"/>
            <w:tcBorders/>
            <w:vAlign w:val="bottom"/>
          </w:tcPr>
          <w:p>
            <w:pPr>
              <w:pStyle w:val="TableContents"/>
              <w:bidi w:val="0"/>
              <w:spacing w:before="0" w:after="283"/>
              <w:jc w:val="left"/>
              <w:rPr/>
            </w:pPr>
            <w:r>
              <w:rPr/>
              <w:t> </w:t>
            </w:r>
          </w:p>
        </w:tc>
      </w:tr>
      <w:tr>
        <w:trPr/>
        <w:tc>
          <w:tcPr>
            <w:tcW w:w="4883" w:type="dxa"/>
            <w:tcBorders/>
            <w:shd w:fill="CCEEFF" w:val="clear"/>
            <w:vAlign w:val="bottom"/>
          </w:tcPr>
          <w:p>
            <w:pPr>
              <w:pStyle w:val="TableContents"/>
              <w:bidi w:val="0"/>
              <w:spacing w:before="0" w:after="0"/>
              <w:ind w:left="180" w:right="0" w:hanging="180"/>
              <w:jc w:val="left"/>
              <w:rPr>
                <w:b/>
              </w:rPr>
            </w:pPr>
            <w:r>
              <w:rPr>
                <w:b/>
              </w:rPr>
              <w:t>Net change in unrealized appreciation (depreciation) from investments</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bidi w:val="0"/>
              <w:spacing w:before="0" w:after="0"/>
              <w:jc w:val="right"/>
              <w:rPr/>
            </w:pPr>
            <w:r>
              <w:rPr/>
              <w:t>(232,772</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bidi w:val="0"/>
              <w:spacing w:before="0" w:after="0"/>
              <w:jc w:val="right"/>
              <w:rPr/>
            </w:pPr>
            <w:r>
              <w:rPr/>
              <w:t>(477,241</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bidi w:val="0"/>
              <w:spacing w:before="0" w:after="283"/>
              <w:jc w:val="right"/>
              <w:rPr/>
            </w:pPr>
            <w:r>
              <w:rPr/>
              <w:t>366,848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bidi w:val="0"/>
              <w:spacing w:before="0" w:after="283"/>
              <w:jc w:val="right"/>
              <w:rPr/>
            </w:pPr>
            <w:r>
              <w:rPr/>
              <w:t>509,116</w:t>
            </w:r>
          </w:p>
        </w:tc>
        <w:tc>
          <w:tcPr>
            <w:tcW w:w="100" w:type="dxa"/>
            <w:tcBorders/>
            <w:shd w:fill="CCEEFF" w:val="clear"/>
            <w:vAlign w:val="bottom"/>
          </w:tcPr>
          <w:p>
            <w:pPr>
              <w:pStyle w:val="TableContents"/>
              <w:bidi w:val="0"/>
              <w:spacing w:before="0" w:after="283"/>
              <w:jc w:val="left"/>
              <w:rPr/>
            </w:pPr>
            <w:r>
              <w:rPr/>
              <w:t> </w:t>
            </w:r>
          </w:p>
        </w:tc>
      </w:tr>
      <w:tr>
        <w:trPr/>
        <w:tc>
          <w:tcPr>
            <w:tcW w:w="4883" w:type="dxa"/>
            <w:tcBorders/>
            <w:vAlign w:val="bottom"/>
          </w:tcPr>
          <w:p>
            <w:pPr>
              <w:pStyle w:val="TableContents"/>
              <w:bidi w:val="0"/>
              <w:spacing w:before="0" w:after="283"/>
              <w:jc w:val="left"/>
              <w:rPr/>
            </w:pPr>
            <w:r>
              <w:rPr/>
              <w:t>Net realized and unrealized gains (losses)</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tcMar>
              <w:bottom w:w="28" w:type="dxa"/>
            </w:tcMar>
            <w:vAlign w:val="bottom"/>
          </w:tcPr>
          <w:p>
            <w:pPr>
              <w:pStyle w:val="TableContents"/>
              <w:bidi w:val="0"/>
              <w:spacing w:before="0" w:after="283"/>
              <w:jc w:val="right"/>
              <w:rPr/>
            </w:pPr>
            <w:r>
              <w:rPr/>
              <w:t>(232,772</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tcMar>
              <w:bottom w:w="28" w:type="dxa"/>
            </w:tcMar>
            <w:vAlign w:val="bottom"/>
          </w:tcPr>
          <w:p>
            <w:pPr>
              <w:pStyle w:val="TableContents"/>
              <w:bidi w:val="0"/>
              <w:spacing w:before="0" w:after="283"/>
              <w:jc w:val="right"/>
              <w:rPr/>
            </w:pPr>
            <w:r>
              <w:rPr/>
              <w:t>(688,008</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tcMar>
              <w:bottom w:w="28" w:type="dxa"/>
            </w:tcMar>
            <w:vAlign w:val="bottom"/>
          </w:tcPr>
          <w:p>
            <w:pPr>
              <w:pStyle w:val="TableContents"/>
              <w:bidi w:val="0"/>
              <w:spacing w:before="0" w:after="283"/>
              <w:jc w:val="right"/>
              <w:rPr/>
            </w:pPr>
            <w:r>
              <w:rPr/>
              <w:t>366,848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tcMar>
              <w:bottom w:w="28" w:type="dxa"/>
            </w:tcMar>
            <w:vAlign w:val="bottom"/>
          </w:tcPr>
          <w:p>
            <w:pPr>
              <w:pStyle w:val="TableContents"/>
              <w:bidi w:val="0"/>
              <w:spacing w:before="0" w:after="283"/>
              <w:jc w:val="right"/>
              <w:rPr/>
            </w:pPr>
            <w:r>
              <w:rPr/>
              <w:t>298,349</w:t>
            </w:r>
          </w:p>
        </w:tc>
        <w:tc>
          <w:tcPr>
            <w:tcW w:w="100" w:type="dxa"/>
            <w:tcBorders/>
            <w:vAlign w:val="bottom"/>
          </w:tcPr>
          <w:p>
            <w:pPr>
              <w:pStyle w:val="TableContents"/>
              <w:bidi w:val="0"/>
              <w:spacing w:before="0" w:after="283"/>
              <w:jc w:val="left"/>
              <w:rPr/>
            </w:pPr>
            <w:r>
              <w:rPr/>
              <w:t> </w:t>
            </w:r>
          </w:p>
        </w:tc>
      </w:tr>
      <w:tr>
        <w:trPr/>
        <w:tc>
          <w:tcPr>
            <w:tcW w:w="4883"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r>
      <w:tr>
        <w:trPr/>
        <w:tc>
          <w:tcPr>
            <w:tcW w:w="4883" w:type="dxa"/>
            <w:tcBorders/>
            <w:vAlign w:val="bottom"/>
          </w:tcPr>
          <w:p>
            <w:pPr>
              <w:pStyle w:val="TableContents"/>
              <w:bidi w:val="0"/>
              <w:spacing w:before="0" w:after="0"/>
              <w:ind w:left="180" w:right="0" w:hanging="180"/>
              <w:jc w:val="left"/>
              <w:rPr>
                <w:b/>
              </w:rPr>
            </w:pPr>
            <w:r>
              <w:rPr>
                <w:b/>
              </w:rPr>
              <w:t>NET INCREASE (DECREASE) IN NET ASSETS RESULTING FROM OPERATIONS</w:t>
            </w:r>
          </w:p>
        </w:tc>
        <w:tc>
          <w:tcPr>
            <w:tcW w:w="60" w:type="dxa"/>
            <w:tcBorders/>
            <w:vAlign w:val="bottom"/>
          </w:tcPr>
          <w:p>
            <w:pPr>
              <w:pStyle w:val="TableContents"/>
              <w:bidi w:val="0"/>
              <w:spacing w:before="0" w:after="283"/>
              <w:jc w:val="right"/>
              <w:rPr/>
            </w:pPr>
            <w:r>
              <w:rPr/>
              <w:t> </w:t>
            </w:r>
          </w:p>
        </w:tc>
        <w:tc>
          <w:tcPr>
            <w:tcW w:w="14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4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1,292,861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4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1,211,404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bottom w:val="double" w:sz="8" w:space="0" w:color="000000"/>
            </w:tcBorders>
            <w:tcMar>
              <w:bottom w:w="28" w:type="dxa"/>
            </w:tcMar>
            <w:vAlign w:val="bottom"/>
          </w:tcPr>
          <w:p>
            <w:pPr>
              <w:pStyle w:val="TableContents"/>
              <w:bidi w:val="0"/>
              <w:spacing w:before="0" w:after="283"/>
              <w:jc w:val="left"/>
              <w:rPr/>
            </w:pPr>
            <w:r>
              <w:rPr/>
              <w:t>$</w:t>
            </w:r>
          </w:p>
        </w:tc>
        <w:tc>
          <w:tcPr>
            <w:tcW w:w="996" w:type="dxa"/>
            <w:tcBorders>
              <w:bottom w:val="double" w:sz="8" w:space="0" w:color="000000"/>
            </w:tcBorders>
            <w:tcMar>
              <w:bottom w:w="28" w:type="dxa"/>
            </w:tcMar>
            <w:vAlign w:val="bottom"/>
          </w:tcPr>
          <w:p>
            <w:pPr>
              <w:pStyle w:val="TableContents"/>
              <w:bidi w:val="0"/>
              <w:spacing w:before="0" w:after="283"/>
              <w:jc w:val="right"/>
              <w:rPr/>
            </w:pPr>
            <w:r>
              <w:rPr/>
              <w:t>1,812,672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bottom w:val="double" w:sz="8" w:space="0" w:color="000000"/>
            </w:tcBorders>
            <w:tcMar>
              <w:bottom w:w="28" w:type="dxa"/>
            </w:tcMar>
            <w:vAlign w:val="bottom"/>
          </w:tcPr>
          <w:p>
            <w:pPr>
              <w:pStyle w:val="TableContents"/>
              <w:bidi w:val="0"/>
              <w:spacing w:before="0" w:after="283"/>
              <w:jc w:val="left"/>
              <w:rPr/>
            </w:pPr>
            <w:r>
              <w:rPr/>
              <w:t>$</w:t>
            </w:r>
          </w:p>
        </w:tc>
        <w:tc>
          <w:tcPr>
            <w:tcW w:w="1049" w:type="dxa"/>
            <w:tcBorders>
              <w:bottom w:val="double" w:sz="8" w:space="0" w:color="000000"/>
            </w:tcBorders>
            <w:tcMar>
              <w:bottom w:w="28" w:type="dxa"/>
            </w:tcMar>
            <w:vAlign w:val="bottom"/>
          </w:tcPr>
          <w:p>
            <w:pPr>
              <w:pStyle w:val="TableContents"/>
              <w:bidi w:val="0"/>
              <w:spacing w:before="0" w:after="283"/>
              <w:jc w:val="right"/>
              <w:rPr/>
            </w:pPr>
            <w:r>
              <w:rPr/>
              <w:t>3,568,484</w:t>
            </w:r>
          </w:p>
        </w:tc>
        <w:tc>
          <w:tcPr>
            <w:tcW w:w="100" w:type="dxa"/>
            <w:tcBorders/>
            <w:vAlign w:val="bottom"/>
          </w:tcPr>
          <w:p>
            <w:pPr>
              <w:pStyle w:val="TableContents"/>
              <w:bidi w:val="0"/>
              <w:spacing w:before="0" w:after="283"/>
              <w:jc w:val="left"/>
              <w:rPr/>
            </w:pPr>
            <w:r>
              <w:rPr/>
              <w:t> </w:t>
            </w:r>
          </w:p>
        </w:tc>
      </w:tr>
      <w:tr>
        <w:trPr/>
        <w:tc>
          <w:tcPr>
            <w:tcW w:w="4883"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r>
      <w:tr>
        <w:trPr/>
        <w:tc>
          <w:tcPr>
            <w:tcW w:w="4883" w:type="dxa"/>
            <w:tcBorders/>
            <w:vAlign w:val="bottom"/>
          </w:tcPr>
          <w:p>
            <w:pPr>
              <w:pStyle w:val="TableContents"/>
              <w:bidi w:val="0"/>
              <w:spacing w:before="0" w:after="0"/>
              <w:ind w:left="180" w:right="0" w:hanging="180"/>
              <w:jc w:val="left"/>
              <w:rPr/>
            </w:pPr>
            <w:r>
              <w:rPr/>
              <w:t>NET INVESTMENT INCOME (LOSS) PER SHARE — BASIC AND DILUTED</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0"/>
              <w:jc w:val="left"/>
              <w:rPr/>
            </w:pPr>
            <w:r>
              <w:rPr/>
              <w:t>$</w:t>
            </w:r>
          </w:p>
        </w:tc>
        <w:tc>
          <w:tcPr>
            <w:tcW w:w="1049" w:type="dxa"/>
            <w:tcBorders/>
            <w:vAlign w:val="bottom"/>
          </w:tcPr>
          <w:p>
            <w:pPr>
              <w:pStyle w:val="TableContents"/>
              <w:bidi w:val="0"/>
              <w:spacing w:before="0" w:after="0"/>
              <w:jc w:val="right"/>
              <w:rPr/>
            </w:pPr>
            <w:r>
              <w:rPr/>
              <w:t>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0"/>
              <w:jc w:val="left"/>
              <w:rPr/>
            </w:pPr>
            <w:r>
              <w:rPr/>
              <w:t>$</w:t>
            </w:r>
          </w:p>
        </w:tc>
        <w:tc>
          <w:tcPr>
            <w:tcW w:w="1049" w:type="dxa"/>
            <w:tcBorders/>
            <w:vAlign w:val="bottom"/>
          </w:tcPr>
          <w:p>
            <w:pPr>
              <w:pStyle w:val="TableContents"/>
              <w:bidi w:val="0"/>
              <w:spacing w:before="0" w:after="0"/>
              <w:jc w:val="right"/>
              <w:rPr/>
            </w:pPr>
            <w:r>
              <w:rPr/>
              <w:t>0.31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w:t>
            </w:r>
          </w:p>
        </w:tc>
        <w:tc>
          <w:tcPr>
            <w:tcW w:w="1049" w:type="dxa"/>
            <w:tcBorders/>
            <w:vAlign w:val="bottom"/>
          </w:tcPr>
          <w:p>
            <w:pPr>
              <w:pStyle w:val="TableContents"/>
              <w:bidi w:val="0"/>
              <w:spacing w:before="0" w:after="283"/>
              <w:jc w:val="right"/>
              <w:rPr/>
            </w:pPr>
            <w:r>
              <w:rPr/>
              <w:t>0.53</w:t>
            </w:r>
          </w:p>
        </w:tc>
        <w:tc>
          <w:tcPr>
            <w:tcW w:w="100" w:type="dxa"/>
            <w:tcBorders/>
            <w:vAlign w:val="bottom"/>
          </w:tcPr>
          <w:p>
            <w:pPr>
              <w:pStyle w:val="TableContents"/>
              <w:bidi w:val="0"/>
              <w:spacing w:before="0" w:after="283"/>
              <w:jc w:val="left"/>
              <w:rPr/>
            </w:pPr>
            <w:r>
              <w:rPr/>
              <w:t> </w:t>
            </w:r>
          </w:p>
        </w:tc>
      </w:tr>
      <w:tr>
        <w:trPr/>
        <w:tc>
          <w:tcPr>
            <w:tcW w:w="4883" w:type="dxa"/>
            <w:tcBorders/>
            <w:shd w:fill="CCEEFF" w:val="clear"/>
            <w:vAlign w:val="bottom"/>
          </w:tcPr>
          <w:p>
            <w:pPr>
              <w:pStyle w:val="TableContents"/>
              <w:bidi w:val="0"/>
              <w:spacing w:before="0" w:after="0"/>
              <w:ind w:left="180" w:right="0" w:hanging="180"/>
              <w:jc w:val="left"/>
              <w:rPr>
                <w:color w:val="000000"/>
              </w:rPr>
            </w:pPr>
            <w:r>
              <w:rPr>
                <w:color w:val="000000"/>
              </w:rPr>
              <w:t>NET INCREASE (DECREASE) IN NET ASSETS RESULTING FROM OPERATIONS PER SHARE — BASIC AND DILUTED</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0"/>
              <w:jc w:val="left"/>
              <w:rPr>
                <w:color w:val="000000"/>
              </w:rPr>
            </w:pPr>
            <w:r>
              <w:rPr>
                <w:color w:val="000000"/>
              </w:rPr>
              <w:t>$</w:t>
            </w:r>
          </w:p>
        </w:tc>
        <w:tc>
          <w:tcPr>
            <w:tcW w:w="1049" w:type="dxa"/>
            <w:tcBorders/>
            <w:shd w:fill="CCEEFF" w:val="clear"/>
            <w:vAlign w:val="bottom"/>
          </w:tcPr>
          <w:p>
            <w:pPr>
              <w:pStyle w:val="TableContents"/>
              <w:bidi w:val="0"/>
              <w:spacing w:before="0" w:after="0"/>
              <w:jc w:val="right"/>
              <w:rPr>
                <w:color w:val="000000"/>
              </w:rPr>
            </w:pPr>
            <w:r>
              <w:rPr>
                <w:color w:val="000000"/>
              </w:rPr>
              <w:t>0.21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0"/>
              <w:jc w:val="left"/>
              <w:rPr>
                <w:color w:val="000000"/>
              </w:rPr>
            </w:pPr>
            <w:r>
              <w:rPr>
                <w:color w:val="000000"/>
              </w:rPr>
              <w:t>$</w:t>
            </w:r>
          </w:p>
        </w:tc>
        <w:tc>
          <w:tcPr>
            <w:tcW w:w="1049" w:type="dxa"/>
            <w:tcBorders/>
            <w:shd w:fill="CCEEFF" w:val="clear"/>
            <w:vAlign w:val="bottom"/>
          </w:tcPr>
          <w:p>
            <w:pPr>
              <w:pStyle w:val="TableContents"/>
              <w:bidi w:val="0"/>
              <w:spacing w:before="0" w:after="0"/>
              <w:jc w:val="right"/>
              <w:rPr>
                <w:color w:val="000000"/>
              </w:rPr>
            </w:pPr>
            <w:r>
              <w:rPr>
                <w:color w:val="000000"/>
              </w:rPr>
              <w:t>0.19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w:t>
            </w:r>
          </w:p>
        </w:tc>
        <w:tc>
          <w:tcPr>
            <w:tcW w:w="996" w:type="dxa"/>
            <w:tcBorders/>
            <w:shd w:fill="CCEEFF" w:val="clear"/>
            <w:vAlign w:val="bottom"/>
          </w:tcPr>
          <w:p>
            <w:pPr>
              <w:pStyle w:val="TableContents"/>
              <w:bidi w:val="0"/>
              <w:spacing w:before="0" w:after="283"/>
              <w:jc w:val="right"/>
              <w:rPr/>
            </w:pPr>
            <w:r>
              <w:rPr/>
              <w:t>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w:t>
            </w:r>
          </w:p>
        </w:tc>
        <w:tc>
          <w:tcPr>
            <w:tcW w:w="1049" w:type="dxa"/>
            <w:tcBorders/>
            <w:shd w:fill="CCEEFF" w:val="clear"/>
            <w:vAlign w:val="bottom"/>
          </w:tcPr>
          <w:p>
            <w:pPr>
              <w:pStyle w:val="TableContents"/>
              <w:bidi w:val="0"/>
              <w:spacing w:before="0" w:after="283"/>
              <w:jc w:val="right"/>
              <w:rPr/>
            </w:pPr>
            <w:r>
              <w:rPr/>
              <w:t>0.57</w:t>
            </w:r>
          </w:p>
        </w:tc>
        <w:tc>
          <w:tcPr>
            <w:tcW w:w="100" w:type="dxa"/>
            <w:tcBorders/>
            <w:shd w:fill="CCEEFF" w:val="clear"/>
            <w:vAlign w:val="bottom"/>
          </w:tcPr>
          <w:p>
            <w:pPr>
              <w:pStyle w:val="TableContents"/>
              <w:bidi w:val="0"/>
              <w:spacing w:before="0" w:after="283"/>
              <w:jc w:val="left"/>
              <w:rPr/>
            </w:pPr>
            <w:r>
              <w:rPr/>
              <w:t> </w:t>
            </w:r>
          </w:p>
        </w:tc>
      </w:tr>
      <w:tr>
        <w:trPr/>
        <w:tc>
          <w:tcPr>
            <w:tcW w:w="4883" w:type="dxa"/>
            <w:tcBorders/>
            <w:vAlign w:val="bottom"/>
          </w:tcPr>
          <w:p>
            <w:pPr>
              <w:pStyle w:val="TableContents"/>
              <w:bidi w:val="0"/>
              <w:spacing w:before="0" w:after="0"/>
              <w:ind w:left="180" w:right="0" w:hanging="180"/>
              <w:jc w:val="left"/>
              <w:rPr>
                <w:color w:val="000000"/>
              </w:rPr>
            </w:pPr>
            <w:r>
              <w:rPr>
                <w:color w:val="000000"/>
              </w:rPr>
              <w:t>WEIGHTED AVERAGE SHARES OUTSTANDING — BASIC AND DILUTED</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0"/>
              <w:jc w:val="right"/>
              <w:rPr/>
            </w:pPr>
            <w:r>
              <w:rPr/>
              <w:t>6,214,949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0"/>
              <w:jc w:val="right"/>
              <w:rPr/>
            </w:pPr>
            <w:r>
              <w:rPr/>
              <w:t>6,214,672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6,214,945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6,214,672</w:t>
            </w:r>
          </w:p>
        </w:tc>
        <w:tc>
          <w:tcPr>
            <w:tcW w:w="10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notes to financial statements.</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bookmarkStart w:id="6" w:name="StatementsofChangesinNetA"/>
      <w:bookmarkEnd w:id="6"/>
      <w:r>
        <w:rPr>
          <w:rFonts w:ascii="Times New Roman" w:hAnsi="Times New Roman"/>
          <w:b/>
          <w:color w:val="000000"/>
          <w:sz w:val="20"/>
          <w:shd w:fill="FFFFFF" w:val="clear"/>
        </w:rPr>
        <w:t>Statements of Changes in Net Assets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069"/>
        <w:gridCol w:w="60"/>
        <w:gridCol w:w="60"/>
        <w:gridCol w:w="980"/>
        <w:gridCol w:w="60"/>
        <w:gridCol w:w="60"/>
        <w:gridCol w:w="153"/>
        <w:gridCol w:w="747"/>
        <w:gridCol w:w="60"/>
        <w:gridCol w:w="60"/>
        <w:gridCol w:w="168"/>
        <w:gridCol w:w="1322"/>
        <w:gridCol w:w="60"/>
        <w:gridCol w:w="60"/>
        <w:gridCol w:w="207"/>
        <w:gridCol w:w="1570"/>
        <w:gridCol w:w="95"/>
        <w:gridCol w:w="60"/>
        <w:gridCol w:w="140"/>
        <w:gridCol w:w="1100"/>
        <w:gridCol w:w="114"/>
      </w:tblGrid>
      <w:tr>
        <w:trPr/>
        <w:tc>
          <w:tcPr>
            <w:tcW w:w="3069"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367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7"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r>
      <w:tr>
        <w:trPr/>
        <w:tc>
          <w:tcPr>
            <w:tcW w:w="3069" w:type="dxa"/>
            <w:tcBorders>
              <w:bottom w:val="single" w:sz="12" w:space="0" w:color="000000"/>
            </w:tcBorders>
            <w:tcMar>
              <w:bottom w:w="28" w:type="dxa"/>
            </w:tcMar>
            <w:vAlign w:val="bottom"/>
          </w:tcPr>
          <w:p>
            <w:pPr>
              <w:pStyle w:val="TableContents"/>
              <w:bidi w:val="0"/>
              <w:spacing w:before="0" w:after="0"/>
              <w:jc w:val="left"/>
              <w:rPr>
                <w:b/>
              </w:rPr>
            </w:pPr>
            <w:r>
              <w:rPr>
                <w:b/>
              </w:rPr>
            </w:r>
          </w:p>
          <w:p>
            <w:pPr>
              <w:pStyle w:val="TableContents"/>
              <w:bidi w:val="0"/>
              <w:spacing w:before="0" w:after="0"/>
              <w:jc w:val="left"/>
              <w:rPr>
                <w:b/>
              </w:rPr>
            </w:pPr>
            <w:r>
              <w:rPr>
                <w:b/>
              </w:rPr>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Par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Additional</w:t>
              <w:br/>
              <w:t>paid-in-capital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Distributable Earnings/</w:t>
            </w:r>
          </w:p>
          <w:p>
            <w:pPr>
              <w:pStyle w:val="TableContents"/>
              <w:bidi w:val="0"/>
              <w:spacing w:before="0" w:after="0"/>
              <w:jc w:val="center"/>
              <w:rPr>
                <w:b/>
                <w:color w:val="000000"/>
              </w:rPr>
            </w:pPr>
            <w:r>
              <w:rPr>
                <w:b/>
                <w:color w:val="000000"/>
              </w:rPr>
              <w:t>(Accumulated Loss)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Total </w:t>
            </w:r>
          </w:p>
          <w:p>
            <w:pPr>
              <w:pStyle w:val="TableContents"/>
              <w:bidi w:val="0"/>
              <w:spacing w:before="0" w:after="0"/>
              <w:jc w:val="center"/>
              <w:rPr>
                <w:b/>
                <w:color w:val="000000"/>
              </w:rPr>
            </w:pPr>
            <w:r>
              <w:rPr>
                <w:b/>
                <w:color w:val="000000"/>
              </w:rPr>
              <w:t>net assets</w:t>
            </w:r>
          </w:p>
        </w:tc>
        <w:tc>
          <w:tcPr>
            <w:tcW w:w="114" w:type="dxa"/>
            <w:tcBorders/>
            <w:vAlign w:val="bottom"/>
          </w:tcPr>
          <w:p>
            <w:pPr>
              <w:pStyle w:val="TableContents"/>
              <w:bidi w:val="0"/>
              <w:spacing w:before="0" w:after="283"/>
              <w:jc w:val="left"/>
              <w:rPr/>
            </w:pPr>
            <w:r>
              <w:rPr/>
              <w:t> </w:t>
            </w:r>
          </w:p>
        </w:tc>
      </w:tr>
      <w:tr>
        <w:trPr/>
        <w:tc>
          <w:tcPr>
            <w:tcW w:w="3069" w:type="dxa"/>
            <w:tcBorders/>
            <w:shd w:fill="CCEEFF" w:val="clear"/>
            <w:vAlign w:val="bottom"/>
          </w:tcPr>
          <w:p>
            <w:pPr>
              <w:pStyle w:val="TableContents"/>
              <w:bidi w:val="0"/>
              <w:spacing w:before="0" w:after="0"/>
              <w:ind w:left="180" w:right="0" w:hanging="180"/>
              <w:jc w:val="left"/>
              <w:rPr>
                <w:b/>
                <w:color w:val="000000"/>
              </w:rPr>
            </w:pPr>
            <w:r>
              <w:rPr>
                <w:b/>
                <w:color w:val="000000"/>
              </w:rPr>
              <w:t>Balance, March 31, 2024</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6,214,949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0"/>
              <w:jc w:val="left"/>
              <w:rPr>
                <w:color w:val="000000"/>
              </w:rPr>
            </w:pPr>
            <w:r>
              <w:rPr>
                <w:color w:val="000000"/>
              </w:rPr>
              <w:t>$</w:t>
            </w:r>
          </w:p>
        </w:tc>
        <w:tc>
          <w:tcPr>
            <w:tcW w:w="747" w:type="dxa"/>
            <w:tcBorders/>
            <w:shd w:fill="CCEEFF" w:val="clear"/>
            <w:vAlign w:val="bottom"/>
          </w:tcPr>
          <w:p>
            <w:pPr>
              <w:pStyle w:val="TableContents"/>
              <w:bidi w:val="0"/>
              <w:spacing w:before="0" w:after="0"/>
              <w:jc w:val="right"/>
              <w:rPr>
                <w:color w:val="000000"/>
              </w:rPr>
            </w:pPr>
            <w:r>
              <w:rPr>
                <w:color w:val="000000"/>
              </w:rPr>
              <w:t>62,149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color w:val="000000"/>
              </w:rPr>
            </w:pPr>
            <w:r>
              <w:rPr>
                <w:color w:val="000000"/>
              </w:rPr>
              <w:t>$</w:t>
            </w:r>
          </w:p>
        </w:tc>
        <w:tc>
          <w:tcPr>
            <w:tcW w:w="1322" w:type="dxa"/>
            <w:tcBorders/>
            <w:shd w:fill="CCEEFF" w:val="clear"/>
            <w:vAlign w:val="bottom"/>
          </w:tcPr>
          <w:p>
            <w:pPr>
              <w:pStyle w:val="TableContents"/>
              <w:bidi w:val="0"/>
              <w:spacing w:before="0" w:after="0"/>
              <w:jc w:val="right"/>
              <w:rPr>
                <w:color w:val="000000"/>
              </w:rPr>
            </w:pPr>
            <w:r>
              <w:rPr>
                <w:color w:val="000000"/>
              </w:rPr>
              <w:t>85,030,601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0"/>
              <w:jc w:val="left"/>
              <w:rPr>
                <w:color w:val="000000"/>
              </w:rPr>
            </w:pPr>
            <w:r>
              <w:rPr>
                <w:color w:val="000000"/>
              </w:rPr>
              <w:t>$</w:t>
            </w:r>
          </w:p>
        </w:tc>
        <w:tc>
          <w:tcPr>
            <w:tcW w:w="1570" w:type="dxa"/>
            <w:tcBorders/>
            <w:shd w:fill="CCEEFF" w:val="clear"/>
            <w:vAlign w:val="bottom"/>
          </w:tcPr>
          <w:p>
            <w:pPr>
              <w:pStyle w:val="TableContents"/>
              <w:bidi w:val="0"/>
              <w:spacing w:before="0" w:after="0"/>
              <w:jc w:val="right"/>
              <w:rPr>
                <w:color w:val="000000"/>
              </w:rPr>
            </w:pPr>
            <w:r>
              <w:rPr>
                <w:color w:val="000000"/>
              </w:rPr>
              <w:t>(573,983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84,518,767</w:t>
            </w:r>
          </w:p>
        </w:tc>
        <w:tc>
          <w:tcPr>
            <w:tcW w:w="114" w:type="dxa"/>
            <w:tcBorders/>
            <w:shd w:fill="CCEEFF" w:val="clear"/>
            <w:vAlign w:val="bottom"/>
          </w:tcPr>
          <w:p>
            <w:pPr>
              <w:pStyle w:val="TableContents"/>
              <w:bidi w:val="0"/>
              <w:spacing w:before="0" w:after="283"/>
              <w:jc w:val="left"/>
              <w:rPr/>
            </w:pPr>
            <w:r>
              <w:rPr/>
              <w:t> </w:t>
            </w:r>
          </w:p>
        </w:tc>
      </w:tr>
      <w:tr>
        <w:trPr/>
        <w:tc>
          <w:tcPr>
            <w:tcW w:w="3069" w:type="dxa"/>
            <w:tcBorders/>
            <w:vAlign w:val="bottom"/>
          </w:tcPr>
          <w:p>
            <w:pPr>
              <w:pStyle w:val="TableContents"/>
              <w:bidi w:val="0"/>
              <w:spacing w:before="0" w:after="0"/>
              <w:ind w:left="180" w:right="0" w:hanging="180"/>
              <w:jc w:val="left"/>
              <w:rPr>
                <w:i/>
                <w:color w:val="000000"/>
              </w:rPr>
            </w:pPr>
            <w:r>
              <w:rPr>
                <w:i/>
                <w:color w:val="000000"/>
              </w:rPr>
              <w:t>Net increase (decrease) in net assets resulting from operations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57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r>
      <w:tr>
        <w:trPr/>
        <w:tc>
          <w:tcPr>
            <w:tcW w:w="3069" w:type="dxa"/>
            <w:tcBorders/>
            <w:shd w:fill="CCEEFF" w:val="clear"/>
            <w:vAlign w:val="bottom"/>
          </w:tcPr>
          <w:p>
            <w:pPr>
              <w:pStyle w:val="TableContents"/>
              <w:bidi w:val="0"/>
              <w:spacing w:before="0" w:after="0"/>
              <w:ind w:left="360" w:right="0" w:hanging="180"/>
              <w:jc w:val="left"/>
              <w:rPr>
                <w:color w:val="000000"/>
              </w:rPr>
            </w:pPr>
            <w:r>
              <w:rPr>
                <w:color w:val="000000"/>
              </w:rPr>
              <w:t>Net investment income (loss)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570" w:type="dxa"/>
            <w:tcBorders/>
            <w:shd w:fill="CCEEFF" w:val="clear"/>
            <w:vAlign w:val="bottom"/>
          </w:tcPr>
          <w:p>
            <w:pPr>
              <w:pStyle w:val="TableContents"/>
              <w:bidi w:val="0"/>
              <w:spacing w:before="0" w:after="0"/>
              <w:jc w:val="right"/>
              <w:rPr>
                <w:color w:val="000000"/>
              </w:rPr>
            </w:pPr>
            <w:r>
              <w:rPr>
                <w:color w:val="000000"/>
              </w:rPr>
              <w:t>1,525,633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1,525,633</w:t>
            </w:r>
          </w:p>
        </w:tc>
        <w:tc>
          <w:tcPr>
            <w:tcW w:w="114" w:type="dxa"/>
            <w:tcBorders/>
            <w:shd w:fill="CCEEFF" w:val="clear"/>
            <w:vAlign w:val="bottom"/>
          </w:tcPr>
          <w:p>
            <w:pPr>
              <w:pStyle w:val="TableContents"/>
              <w:bidi w:val="0"/>
              <w:spacing w:before="0" w:after="283"/>
              <w:jc w:val="left"/>
              <w:rPr/>
            </w:pPr>
            <w:r>
              <w:rPr/>
              <w:t> </w:t>
            </w:r>
          </w:p>
        </w:tc>
      </w:tr>
      <w:tr>
        <w:trPr/>
        <w:tc>
          <w:tcPr>
            <w:tcW w:w="3069" w:type="dxa"/>
            <w:tcBorders/>
            <w:vAlign w:val="bottom"/>
          </w:tcPr>
          <w:p>
            <w:pPr>
              <w:pStyle w:val="TableContents"/>
              <w:bidi w:val="0"/>
              <w:spacing w:before="0" w:after="0"/>
              <w:ind w:left="360" w:right="0" w:hanging="180"/>
              <w:jc w:val="left"/>
              <w:rPr>
                <w:color w:val="000000"/>
              </w:rPr>
            </w:pPr>
            <w:r>
              <w:rPr>
                <w:color w:val="000000"/>
              </w:rPr>
              <w:t>Net realized gain (loss) from investments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57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w:t>
            </w:r>
          </w:p>
        </w:tc>
        <w:tc>
          <w:tcPr>
            <w:tcW w:w="114" w:type="dxa"/>
            <w:tcBorders/>
            <w:vAlign w:val="bottom"/>
          </w:tcPr>
          <w:p>
            <w:pPr>
              <w:pStyle w:val="TableContents"/>
              <w:bidi w:val="0"/>
              <w:spacing w:before="0" w:after="283"/>
              <w:jc w:val="left"/>
              <w:rPr/>
            </w:pPr>
            <w:r>
              <w:rPr/>
              <w:t> </w:t>
            </w:r>
          </w:p>
        </w:tc>
      </w:tr>
      <w:tr>
        <w:trPr/>
        <w:tc>
          <w:tcPr>
            <w:tcW w:w="3069" w:type="dxa"/>
            <w:tcBorders/>
            <w:shd w:fill="CCEEFF" w:val="clear"/>
            <w:vAlign w:val="bottom"/>
          </w:tcPr>
          <w:p>
            <w:pPr>
              <w:pStyle w:val="TableContents"/>
              <w:bidi w:val="0"/>
              <w:spacing w:before="0" w:after="0"/>
              <w:ind w:left="360" w:right="0" w:hanging="180"/>
              <w:jc w:val="left"/>
              <w:rPr>
                <w:color w:val="000000"/>
              </w:rPr>
            </w:pPr>
            <w:r>
              <w:rPr>
                <w:color w:val="000000"/>
              </w:rPr>
              <w:t>Net change in unrealized appreciation (depreciation) from investments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(232,772</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(232,772</w:t>
            </w:r>
          </w:p>
        </w:tc>
        <w:tc>
          <w:tcPr>
            <w:tcW w:w="114" w:type="dxa"/>
            <w:tcBorders/>
            <w:shd w:fill="CCEEFF" w:val="clear"/>
            <w:vAlign w:val="bottom"/>
          </w:tcPr>
          <w:p>
            <w:pPr>
              <w:pStyle w:val="TableContents"/>
              <w:bidi w:val="0"/>
              <w:spacing w:before="0" w:after="0"/>
              <w:jc w:val="left"/>
              <w:rPr>
                <w:color w:val="000000"/>
              </w:rPr>
            </w:pPr>
            <w:r>
              <w:rPr>
                <w:color w:val="000000"/>
              </w:rPr>
              <w:t>)</w:t>
            </w:r>
          </w:p>
        </w:tc>
      </w:tr>
      <w:tr>
        <w:trPr/>
        <w:tc>
          <w:tcPr>
            <w:tcW w:w="3069" w:type="dxa"/>
            <w:tcBorders/>
            <w:vAlign w:val="bottom"/>
          </w:tcPr>
          <w:p>
            <w:pPr>
              <w:pStyle w:val="TableContents"/>
              <w:bidi w:val="0"/>
              <w:spacing w:before="0" w:after="0"/>
              <w:ind w:left="540" w:right="0" w:hanging="180"/>
              <w:jc w:val="left"/>
              <w:rPr>
                <w:color w:val="000000"/>
              </w:rPr>
            </w:pPr>
            <w:r>
              <w:rPr>
                <w:color w:val="000000"/>
              </w:rPr>
              <w:t>Total net increase (decrease) in net assets resulting from operations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570" w:type="dxa"/>
            <w:tcBorders/>
            <w:vAlign w:val="bottom"/>
          </w:tcPr>
          <w:p>
            <w:pPr>
              <w:pStyle w:val="TableContents"/>
              <w:bidi w:val="0"/>
              <w:spacing w:before="0" w:after="0"/>
              <w:jc w:val="right"/>
              <w:rPr>
                <w:color w:val="000000"/>
              </w:rPr>
            </w:pPr>
            <w:r>
              <w:rPr>
                <w:color w:val="000000"/>
              </w:rPr>
              <w:t>1,292,861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1,292,861</w:t>
            </w:r>
          </w:p>
        </w:tc>
        <w:tc>
          <w:tcPr>
            <w:tcW w:w="114" w:type="dxa"/>
            <w:tcBorders/>
            <w:vAlign w:val="bottom"/>
          </w:tcPr>
          <w:p>
            <w:pPr>
              <w:pStyle w:val="TableContents"/>
              <w:bidi w:val="0"/>
              <w:spacing w:before="0" w:after="283"/>
              <w:jc w:val="left"/>
              <w:rPr/>
            </w:pPr>
            <w:r>
              <w:rPr/>
              <w:t> </w:t>
            </w:r>
          </w:p>
        </w:tc>
      </w:tr>
      <w:tr>
        <w:trPr/>
        <w:tc>
          <w:tcPr>
            <w:tcW w:w="3069" w:type="dxa"/>
            <w:tcBorders/>
            <w:shd w:fill="CCEEFF" w:val="clear"/>
            <w:vAlign w:val="bottom"/>
          </w:tcPr>
          <w:p>
            <w:pPr>
              <w:pStyle w:val="TableContents"/>
              <w:bidi w:val="0"/>
              <w:spacing w:before="0" w:after="0"/>
              <w:ind w:left="180" w:right="0" w:hanging="180"/>
              <w:jc w:val="left"/>
              <w:rPr>
                <w:i/>
              </w:rPr>
            </w:pPr>
            <w:r>
              <w:rPr>
                <w:i/>
              </w:rPr>
              <w:t>Distributions to stockholders from:</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57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r>
      <w:tr>
        <w:trPr/>
        <w:tc>
          <w:tcPr>
            <w:tcW w:w="3069" w:type="dxa"/>
            <w:tcBorders/>
            <w:vAlign w:val="bottom"/>
          </w:tcPr>
          <w:p>
            <w:pPr>
              <w:pStyle w:val="TableContents"/>
              <w:bidi w:val="0"/>
              <w:spacing w:before="0" w:after="0"/>
              <w:ind w:left="180" w:right="0" w:hanging="0"/>
              <w:jc w:val="left"/>
              <w:rPr/>
            </w:pPr>
            <w:r>
              <w:rPr/>
              <w:t>Investment income-net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570" w:type="dxa"/>
            <w:tcBorders/>
            <w:vAlign w:val="bottom"/>
          </w:tcPr>
          <w:p>
            <w:pPr>
              <w:pStyle w:val="TableContents"/>
              <w:bidi w:val="0"/>
              <w:spacing w:before="0" w:after="283"/>
              <w:jc w:val="right"/>
              <w:rPr/>
            </w:pPr>
            <w:r>
              <w:rPr/>
              <w:t>(1,553,738</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(1,553,738</w:t>
            </w:r>
          </w:p>
        </w:tc>
        <w:tc>
          <w:tcPr>
            <w:tcW w:w="114" w:type="dxa"/>
            <w:tcBorders/>
            <w:vAlign w:val="bottom"/>
          </w:tcPr>
          <w:p>
            <w:pPr>
              <w:pStyle w:val="TableContents"/>
              <w:bidi w:val="0"/>
              <w:spacing w:before="0" w:after="283"/>
              <w:jc w:val="left"/>
              <w:rPr/>
            </w:pPr>
            <w:r>
              <w:rPr/>
              <w:t>)</w:t>
            </w:r>
          </w:p>
        </w:tc>
      </w:tr>
      <w:tr>
        <w:trPr/>
        <w:tc>
          <w:tcPr>
            <w:tcW w:w="3069" w:type="dxa"/>
            <w:tcBorders/>
            <w:shd w:fill="CCEEFF" w:val="clear"/>
            <w:vAlign w:val="bottom"/>
          </w:tcPr>
          <w:p>
            <w:pPr>
              <w:pStyle w:val="TableContents"/>
              <w:bidi w:val="0"/>
              <w:spacing w:before="0" w:after="0"/>
              <w:ind w:left="180" w:right="0" w:hanging="180"/>
              <w:jc w:val="left"/>
              <w:rPr>
                <w:i/>
                <w:color w:val="000000"/>
              </w:rPr>
            </w:pPr>
            <w:r>
              <w:rPr>
                <w:i/>
                <w:color w:val="000000"/>
              </w:rPr>
              <w:t>Capital transactions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57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r>
      <w:tr>
        <w:trPr/>
        <w:tc>
          <w:tcPr>
            <w:tcW w:w="3069" w:type="dxa"/>
            <w:tcBorders/>
            <w:vAlign w:val="bottom"/>
          </w:tcPr>
          <w:p>
            <w:pPr>
              <w:pStyle w:val="TableContents"/>
              <w:bidi w:val="0"/>
              <w:spacing w:before="0" w:after="0"/>
              <w:ind w:left="360" w:right="0" w:hanging="180"/>
              <w:jc w:val="left"/>
              <w:rPr/>
            </w:pPr>
            <w:r>
              <w:rPr/>
              <w:t>Reinvestment of stockholder distributions</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747"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2" w:type="dxa"/>
            <w:tcBorders>
              <w:bottom w:val="single" w:sz="12" w:space="0" w:color="000000"/>
            </w:tcBorders>
            <w:tcMar>
              <w:bottom w:w="28" w:type="dxa"/>
            </w:tcMar>
            <w:vAlign w:val="bottom"/>
          </w:tcPr>
          <w:p>
            <w:pPr>
              <w:pStyle w:val="TableContents"/>
              <w:bidi w:val="0"/>
              <w:spacing w:before="0" w:after="283"/>
              <w:jc w:val="right"/>
              <w:rPr/>
            </w:pPr>
            <w:r>
              <w:rPr/>
              <w:t>183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570"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183</w:t>
            </w:r>
          </w:p>
        </w:tc>
        <w:tc>
          <w:tcPr>
            <w:tcW w:w="114" w:type="dxa"/>
            <w:tcBorders/>
            <w:vAlign w:val="bottom"/>
          </w:tcPr>
          <w:p>
            <w:pPr>
              <w:pStyle w:val="TableContents"/>
              <w:bidi w:val="0"/>
              <w:spacing w:before="0" w:after="283"/>
              <w:jc w:val="left"/>
              <w:rPr/>
            </w:pPr>
            <w:r>
              <w:rPr/>
              <w:t> </w:t>
            </w:r>
          </w:p>
        </w:tc>
      </w:tr>
      <w:tr>
        <w:trPr/>
        <w:tc>
          <w:tcPr>
            <w:tcW w:w="3069" w:type="dxa"/>
            <w:tcBorders/>
            <w:shd w:fill="CCEEFF" w:val="clear"/>
            <w:vAlign w:val="bottom"/>
          </w:tcPr>
          <w:p>
            <w:pPr>
              <w:pStyle w:val="TableContents"/>
              <w:bidi w:val="0"/>
              <w:spacing w:before="0" w:after="0"/>
              <w:ind w:left="540" w:right="0" w:hanging="180"/>
              <w:jc w:val="left"/>
              <w:rPr/>
            </w:pPr>
            <w:r>
              <w:rPr/>
              <w:t>Total net increase (decrease) in net assets from capital transactions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7"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2" w:type="dxa"/>
            <w:tcBorders>
              <w:bottom w:val="single" w:sz="12" w:space="0" w:color="000000"/>
            </w:tcBorders>
            <w:shd w:fill="CCEEFF" w:val="clear"/>
            <w:tcMar>
              <w:bottom w:w="28" w:type="dxa"/>
            </w:tcMar>
            <w:vAlign w:val="bottom"/>
          </w:tcPr>
          <w:p>
            <w:pPr>
              <w:pStyle w:val="TableContents"/>
              <w:bidi w:val="0"/>
              <w:spacing w:before="0" w:after="283"/>
              <w:jc w:val="right"/>
              <w:rPr/>
            </w:pPr>
            <w:r>
              <w:rPr/>
              <w:t>183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7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283"/>
              <w:jc w:val="right"/>
              <w:rPr/>
            </w:pPr>
            <w:r>
              <w:rPr/>
              <w:t>183</w:t>
            </w:r>
          </w:p>
        </w:tc>
        <w:tc>
          <w:tcPr>
            <w:tcW w:w="114" w:type="dxa"/>
            <w:tcBorders/>
            <w:shd w:fill="CCEEFF" w:val="clear"/>
            <w:vAlign w:val="bottom"/>
          </w:tcPr>
          <w:p>
            <w:pPr>
              <w:pStyle w:val="TableContents"/>
              <w:bidi w:val="0"/>
              <w:spacing w:before="0" w:after="283"/>
              <w:jc w:val="left"/>
              <w:rPr/>
            </w:pPr>
            <w:r>
              <w:rPr/>
              <w:t> </w:t>
            </w:r>
          </w:p>
        </w:tc>
      </w:tr>
      <w:tr>
        <w:trPr/>
        <w:tc>
          <w:tcPr>
            <w:tcW w:w="3069" w:type="dxa"/>
            <w:tcBorders/>
            <w:vAlign w:val="bottom"/>
          </w:tcPr>
          <w:p>
            <w:pPr>
              <w:pStyle w:val="TableContents"/>
              <w:bidi w:val="0"/>
              <w:spacing w:before="0" w:after="0"/>
              <w:ind w:left="180" w:right="0" w:hanging="180"/>
              <w:jc w:val="left"/>
              <w:rPr/>
            </w:pPr>
            <w:r>
              <w:rPr/>
              <w:t>Total increase (decrease) in net assets</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747"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2" w:type="dxa"/>
            <w:tcBorders>
              <w:bottom w:val="single" w:sz="12" w:space="0" w:color="000000"/>
            </w:tcBorders>
            <w:tcMar>
              <w:bottom w:w="28" w:type="dxa"/>
            </w:tcMar>
            <w:vAlign w:val="bottom"/>
          </w:tcPr>
          <w:p>
            <w:pPr>
              <w:pStyle w:val="TableContents"/>
              <w:bidi w:val="0"/>
              <w:spacing w:before="0" w:after="283"/>
              <w:jc w:val="right"/>
              <w:rPr/>
            </w:pPr>
            <w:r>
              <w:rPr/>
              <w:t>183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570" w:type="dxa"/>
            <w:tcBorders>
              <w:bottom w:val="single" w:sz="12" w:space="0" w:color="000000"/>
            </w:tcBorders>
            <w:tcMar>
              <w:bottom w:w="28" w:type="dxa"/>
            </w:tcMar>
            <w:vAlign w:val="bottom"/>
          </w:tcPr>
          <w:p>
            <w:pPr>
              <w:pStyle w:val="TableContents"/>
              <w:bidi w:val="0"/>
              <w:spacing w:before="0" w:after="283"/>
              <w:jc w:val="right"/>
              <w:rPr/>
            </w:pPr>
            <w:r>
              <w:rPr/>
              <w:t>(260,877</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(260,694</w:t>
            </w:r>
          </w:p>
        </w:tc>
        <w:tc>
          <w:tcPr>
            <w:tcW w:w="114" w:type="dxa"/>
            <w:tcBorders/>
            <w:vAlign w:val="bottom"/>
          </w:tcPr>
          <w:p>
            <w:pPr>
              <w:pStyle w:val="TableContents"/>
              <w:bidi w:val="0"/>
              <w:spacing w:before="0" w:after="283"/>
              <w:jc w:val="left"/>
              <w:rPr/>
            </w:pPr>
            <w:r>
              <w:rPr/>
              <w:t>)</w:t>
            </w:r>
          </w:p>
        </w:tc>
      </w:tr>
      <w:tr>
        <w:trPr/>
        <w:tc>
          <w:tcPr>
            <w:tcW w:w="3069" w:type="dxa"/>
            <w:tcBorders/>
            <w:shd w:fill="CCEEFF" w:val="clear"/>
            <w:vAlign w:val="bottom"/>
          </w:tcPr>
          <w:p>
            <w:pPr>
              <w:pStyle w:val="TableContents"/>
              <w:bidi w:val="0"/>
              <w:spacing w:before="0" w:after="0"/>
              <w:ind w:left="180" w:right="0" w:hanging="0"/>
              <w:jc w:val="left"/>
              <w:rPr>
                <w:b/>
                <w:color w:val="000000"/>
              </w:rPr>
            </w:pPr>
            <w:r>
              <w:rPr>
                <w:b/>
                <w:color w:val="000000"/>
              </w:rPr>
              <w:t>Balance, June 30, 2024</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6,214,964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4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62,149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2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85,030,784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7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(834,860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84,258,073</w:t>
            </w:r>
          </w:p>
        </w:tc>
        <w:tc>
          <w:tcPr>
            <w:tcW w:w="11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087"/>
        <w:gridCol w:w="60"/>
        <w:gridCol w:w="60"/>
        <w:gridCol w:w="980"/>
        <w:gridCol w:w="60"/>
        <w:gridCol w:w="60"/>
        <w:gridCol w:w="150"/>
        <w:gridCol w:w="730"/>
        <w:gridCol w:w="60"/>
        <w:gridCol w:w="60"/>
        <w:gridCol w:w="168"/>
        <w:gridCol w:w="1322"/>
        <w:gridCol w:w="60"/>
        <w:gridCol w:w="60"/>
        <w:gridCol w:w="221"/>
        <w:gridCol w:w="1559"/>
        <w:gridCol w:w="95"/>
        <w:gridCol w:w="60"/>
        <w:gridCol w:w="140"/>
        <w:gridCol w:w="1100"/>
        <w:gridCol w:w="113"/>
      </w:tblGrid>
      <w:tr>
        <w:trPr/>
        <w:tc>
          <w:tcPr>
            <w:tcW w:w="30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r>
      <w:tr>
        <w:trPr/>
        <w:tc>
          <w:tcPr>
            <w:tcW w:w="3087" w:type="dxa"/>
            <w:tcBorders>
              <w:bottom w:val="single" w:sz="12" w:space="0" w:color="000000"/>
            </w:tcBorders>
            <w:tcMar>
              <w:bottom w:w="28" w:type="dxa"/>
            </w:tcMar>
            <w:vAlign w:val="bottom"/>
          </w:tcPr>
          <w:p>
            <w:pPr>
              <w:pStyle w:val="TableContents"/>
              <w:bidi w:val="0"/>
              <w:spacing w:before="0" w:after="0"/>
              <w:jc w:val="left"/>
              <w:rPr>
                <w:b/>
              </w:rPr>
            </w:pPr>
            <w:r>
              <w:rPr>
                <w:b/>
              </w:rPr>
            </w:r>
          </w:p>
          <w:p>
            <w:pPr>
              <w:pStyle w:val="TableContents"/>
              <w:bidi w:val="0"/>
              <w:spacing w:before="0" w:after="0"/>
              <w:jc w:val="left"/>
              <w:rPr>
                <w:b/>
              </w:rPr>
            </w:pPr>
            <w:r>
              <w:rPr>
                <w:b/>
              </w:rPr>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Par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Additional</w:t>
              <w:br/>
              <w:t>paid-in-capital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Distributable Earnings/</w:t>
              <w:br/>
              <w:t>(Accumulated Loss)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p>
            <w:pPr>
              <w:pStyle w:val="TableContents"/>
              <w:bidi w:val="0"/>
              <w:spacing w:before="0" w:after="0"/>
              <w:jc w:val="center"/>
              <w:rPr>
                <w:b/>
                <w:color w:val="000000"/>
              </w:rPr>
            </w:pPr>
            <w:r>
              <w:rPr>
                <w:b/>
                <w:color w:val="000000"/>
              </w:rPr>
              <w:t>net assets</w:t>
            </w:r>
          </w:p>
        </w:tc>
        <w:tc>
          <w:tcPr>
            <w:tcW w:w="113" w:type="dxa"/>
            <w:tcBorders/>
            <w:vAlign w:val="bottom"/>
          </w:tcPr>
          <w:p>
            <w:pPr>
              <w:pStyle w:val="TableContents"/>
              <w:bidi w:val="0"/>
              <w:spacing w:before="0" w:after="283"/>
              <w:jc w:val="left"/>
              <w:rPr/>
            </w:pPr>
            <w:r>
              <w:rPr/>
              <w:t> </w:t>
            </w:r>
          </w:p>
        </w:tc>
      </w:tr>
      <w:tr>
        <w:trPr/>
        <w:tc>
          <w:tcPr>
            <w:tcW w:w="3087" w:type="dxa"/>
            <w:tcBorders/>
            <w:shd w:fill="CCEEFF" w:val="clear"/>
            <w:vAlign w:val="bottom"/>
          </w:tcPr>
          <w:p>
            <w:pPr>
              <w:pStyle w:val="TableContents"/>
              <w:bidi w:val="0"/>
              <w:spacing w:before="0" w:after="0"/>
              <w:ind w:left="180" w:right="0" w:hanging="180"/>
              <w:jc w:val="left"/>
              <w:rPr>
                <w:b/>
                <w:color w:val="000000"/>
              </w:rPr>
            </w:pPr>
            <w:r>
              <w:rPr>
                <w:b/>
                <w:color w:val="000000"/>
              </w:rPr>
              <w:t>Balance, March 31, 2023</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6,214,672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730" w:type="dxa"/>
            <w:tcBorders/>
            <w:shd w:fill="CCEEFF" w:val="clear"/>
            <w:vAlign w:val="bottom"/>
          </w:tcPr>
          <w:p>
            <w:pPr>
              <w:pStyle w:val="TableContents"/>
              <w:bidi w:val="0"/>
              <w:spacing w:before="0" w:after="0"/>
              <w:jc w:val="right"/>
              <w:rPr>
                <w:color w:val="000000"/>
              </w:rPr>
            </w:pPr>
            <w:r>
              <w:rPr>
                <w:color w:val="000000"/>
              </w:rPr>
              <w:t>62,147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color w:val="000000"/>
              </w:rPr>
            </w:pPr>
            <w:r>
              <w:rPr>
                <w:color w:val="000000"/>
              </w:rPr>
              <w:t>$</w:t>
            </w:r>
          </w:p>
        </w:tc>
        <w:tc>
          <w:tcPr>
            <w:tcW w:w="1322" w:type="dxa"/>
            <w:tcBorders/>
            <w:shd w:fill="CCEEFF" w:val="clear"/>
            <w:vAlign w:val="bottom"/>
          </w:tcPr>
          <w:p>
            <w:pPr>
              <w:pStyle w:val="TableContents"/>
              <w:bidi w:val="0"/>
              <w:spacing w:before="0" w:after="0"/>
              <w:jc w:val="right"/>
              <w:rPr>
                <w:color w:val="000000"/>
              </w:rPr>
            </w:pPr>
            <w:r>
              <w:rPr>
                <w:color w:val="000000"/>
              </w:rPr>
              <w:t>85,038,887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1" w:type="dxa"/>
            <w:tcBorders/>
            <w:shd w:fill="CCEEFF" w:val="clear"/>
            <w:vAlign w:val="bottom"/>
          </w:tcPr>
          <w:p>
            <w:pPr>
              <w:pStyle w:val="TableContents"/>
              <w:bidi w:val="0"/>
              <w:spacing w:before="0" w:after="0"/>
              <w:jc w:val="left"/>
              <w:rPr>
                <w:color w:val="000000"/>
              </w:rPr>
            </w:pPr>
            <w:r>
              <w:rPr>
                <w:color w:val="000000"/>
              </w:rPr>
              <w:t>$</w:t>
            </w:r>
          </w:p>
        </w:tc>
        <w:tc>
          <w:tcPr>
            <w:tcW w:w="1559" w:type="dxa"/>
            <w:tcBorders/>
            <w:shd w:fill="CCEEFF" w:val="clear"/>
            <w:vAlign w:val="bottom"/>
          </w:tcPr>
          <w:p>
            <w:pPr>
              <w:pStyle w:val="TableContents"/>
              <w:bidi w:val="0"/>
              <w:spacing w:before="0" w:after="0"/>
              <w:jc w:val="right"/>
              <w:rPr>
                <w:color w:val="000000"/>
              </w:rPr>
            </w:pPr>
            <w:r>
              <w:rPr>
                <w:color w:val="000000"/>
              </w:rPr>
              <w:t>3,731,775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88,832,809</w:t>
            </w:r>
          </w:p>
        </w:tc>
        <w:tc>
          <w:tcPr>
            <w:tcW w:w="113" w:type="dxa"/>
            <w:tcBorders/>
            <w:shd w:fill="CCEEFF" w:val="clear"/>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0"/>
              <w:ind w:left="180" w:right="0" w:hanging="180"/>
              <w:jc w:val="left"/>
              <w:rPr>
                <w:i/>
                <w:color w:val="000000"/>
              </w:rPr>
            </w:pPr>
            <w:r>
              <w:rPr>
                <w:i/>
                <w:color w:val="000000"/>
              </w:rPr>
              <w:t>Net increase (decrease) in net assets resulting from operations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1"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3087" w:type="dxa"/>
            <w:tcBorders/>
            <w:shd w:fill="CCEEFF" w:val="clear"/>
            <w:vAlign w:val="bottom"/>
          </w:tcPr>
          <w:p>
            <w:pPr>
              <w:pStyle w:val="TableContents"/>
              <w:bidi w:val="0"/>
              <w:spacing w:before="0" w:after="0"/>
              <w:ind w:left="360" w:right="0" w:hanging="180"/>
              <w:jc w:val="left"/>
              <w:rPr>
                <w:color w:val="000000"/>
              </w:rPr>
            </w:pPr>
            <w:r>
              <w:rPr>
                <w:color w:val="000000"/>
              </w:rPr>
              <w:t>Net investment income (loss)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1"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0"/>
              <w:jc w:val="right"/>
              <w:rPr>
                <w:color w:val="000000"/>
              </w:rPr>
            </w:pPr>
            <w:r>
              <w:rPr>
                <w:color w:val="000000"/>
              </w:rPr>
              <w:t>1,899,412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1,899,412</w:t>
            </w:r>
          </w:p>
        </w:tc>
        <w:tc>
          <w:tcPr>
            <w:tcW w:w="113" w:type="dxa"/>
            <w:tcBorders/>
            <w:shd w:fill="CCEEFF" w:val="clear"/>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0"/>
              <w:ind w:left="360" w:right="0" w:hanging="180"/>
              <w:jc w:val="left"/>
              <w:rPr>
                <w:color w:val="000000"/>
              </w:rPr>
            </w:pPr>
            <w:r>
              <w:rPr>
                <w:color w:val="000000"/>
              </w:rPr>
              <w:t>Net realized gain (loss) from investments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1"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0"/>
              <w:jc w:val="right"/>
              <w:rPr>
                <w:color w:val="000000"/>
              </w:rPr>
            </w:pPr>
            <w:r>
              <w:rPr>
                <w:color w:val="000000"/>
              </w:rPr>
              <w:t>(210,767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(210,767</w:t>
            </w:r>
          </w:p>
        </w:tc>
        <w:tc>
          <w:tcPr>
            <w:tcW w:w="113" w:type="dxa"/>
            <w:tcBorders/>
            <w:vAlign w:val="bottom"/>
          </w:tcPr>
          <w:p>
            <w:pPr>
              <w:pStyle w:val="TableContents"/>
              <w:bidi w:val="0"/>
              <w:spacing w:before="0" w:after="0"/>
              <w:jc w:val="left"/>
              <w:rPr>
                <w:color w:val="000000"/>
              </w:rPr>
            </w:pPr>
            <w:r>
              <w:rPr>
                <w:color w:val="000000"/>
              </w:rPr>
              <w:t>)</w:t>
            </w:r>
          </w:p>
        </w:tc>
      </w:tr>
      <w:tr>
        <w:trPr/>
        <w:tc>
          <w:tcPr>
            <w:tcW w:w="3087" w:type="dxa"/>
            <w:tcBorders/>
            <w:shd w:fill="CCEEFF" w:val="clear"/>
            <w:vAlign w:val="bottom"/>
          </w:tcPr>
          <w:p>
            <w:pPr>
              <w:pStyle w:val="TableContents"/>
              <w:bidi w:val="0"/>
              <w:spacing w:before="0" w:after="0"/>
              <w:ind w:left="360" w:right="0" w:hanging="180"/>
              <w:jc w:val="left"/>
              <w:rPr>
                <w:color w:val="000000"/>
              </w:rPr>
            </w:pPr>
            <w:r>
              <w:rPr>
                <w:color w:val="000000"/>
              </w:rPr>
              <w:t>Net change in unrealized appreciation (depreciation) from investments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5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(477,241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(477,241</w:t>
            </w:r>
          </w:p>
        </w:tc>
        <w:tc>
          <w:tcPr>
            <w:tcW w:w="113" w:type="dxa"/>
            <w:tcBorders/>
            <w:shd w:fill="CCEEFF" w:val="clear"/>
            <w:vAlign w:val="bottom"/>
          </w:tcPr>
          <w:p>
            <w:pPr>
              <w:pStyle w:val="TableContents"/>
              <w:bidi w:val="0"/>
              <w:spacing w:before="0" w:after="0"/>
              <w:jc w:val="left"/>
              <w:rPr>
                <w:color w:val="000000"/>
              </w:rPr>
            </w:pPr>
            <w:r>
              <w:rPr>
                <w:color w:val="000000"/>
              </w:rPr>
              <w:t>)</w:t>
            </w:r>
          </w:p>
        </w:tc>
      </w:tr>
      <w:tr>
        <w:trPr/>
        <w:tc>
          <w:tcPr>
            <w:tcW w:w="3087" w:type="dxa"/>
            <w:tcBorders/>
            <w:vAlign w:val="bottom"/>
          </w:tcPr>
          <w:p>
            <w:pPr>
              <w:pStyle w:val="TableContents"/>
              <w:bidi w:val="0"/>
              <w:spacing w:before="0" w:after="0"/>
              <w:ind w:left="540" w:right="0" w:hanging="180"/>
              <w:jc w:val="left"/>
              <w:rPr>
                <w:color w:val="000000"/>
              </w:rPr>
            </w:pPr>
            <w:r>
              <w:rPr>
                <w:color w:val="000000"/>
              </w:rPr>
              <w:t>Total net increase (decrease) in net assets resulting from operations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1"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0"/>
              <w:jc w:val="right"/>
              <w:rPr>
                <w:color w:val="000000"/>
              </w:rPr>
            </w:pPr>
            <w:r>
              <w:rPr>
                <w:color w:val="000000"/>
              </w:rPr>
              <w:t>1,211,404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1,211,404</w:t>
            </w:r>
          </w:p>
        </w:tc>
        <w:tc>
          <w:tcPr>
            <w:tcW w:w="113" w:type="dxa"/>
            <w:tcBorders/>
            <w:vAlign w:val="bottom"/>
          </w:tcPr>
          <w:p>
            <w:pPr>
              <w:pStyle w:val="TableContents"/>
              <w:bidi w:val="0"/>
              <w:spacing w:before="0" w:after="283"/>
              <w:jc w:val="left"/>
              <w:rPr/>
            </w:pPr>
            <w:r>
              <w:rPr/>
              <w:t> </w:t>
            </w:r>
          </w:p>
        </w:tc>
      </w:tr>
      <w:tr>
        <w:trPr/>
        <w:tc>
          <w:tcPr>
            <w:tcW w:w="3087" w:type="dxa"/>
            <w:tcBorders/>
            <w:shd w:fill="CCEEFF" w:val="clear"/>
            <w:vAlign w:val="bottom"/>
          </w:tcPr>
          <w:p>
            <w:pPr>
              <w:pStyle w:val="TableContents"/>
              <w:bidi w:val="0"/>
              <w:spacing w:before="0" w:after="0"/>
              <w:ind w:left="180" w:right="0" w:hanging="180"/>
              <w:jc w:val="left"/>
              <w:rPr>
                <w:i/>
                <w:color w:val="000000"/>
              </w:rPr>
            </w:pPr>
            <w:r>
              <w:rPr>
                <w:i/>
                <w:color w:val="000000"/>
              </w:rPr>
              <w:t>Capital transactions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1"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0"/>
              <w:ind w:left="360" w:right="0" w:hanging="180"/>
              <w:jc w:val="left"/>
              <w:rPr>
                <w:color w:val="000000"/>
              </w:rPr>
            </w:pPr>
            <w:r>
              <w:rPr>
                <w:color w:val="000000"/>
              </w:rPr>
              <w:t>Issuance of common stock, net of offering cost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7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1" w:type="dxa"/>
            <w:tcBorders>
              <w:bottom w:val="single" w:sz="12" w:space="0" w:color="000000"/>
            </w:tcBorders>
            <w:tcMar>
              <w:bottom w:w="28" w:type="dxa"/>
            </w:tcMar>
            <w:vAlign w:val="bottom"/>
          </w:tcPr>
          <w:p>
            <w:pPr>
              <w:pStyle w:val="TableContents"/>
              <w:bidi w:val="0"/>
              <w:spacing w:before="0" w:after="283"/>
              <w:jc w:val="left"/>
              <w:rPr/>
            </w:pPr>
            <w:r>
              <w:rPr/>
              <w:t> </w:t>
            </w:r>
          </w:p>
        </w:tc>
        <w:tc>
          <w:tcPr>
            <w:tcW w:w="155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13" w:type="dxa"/>
            <w:tcBorders/>
            <w:vAlign w:val="bottom"/>
          </w:tcPr>
          <w:p>
            <w:pPr>
              <w:pStyle w:val="TableContents"/>
              <w:bidi w:val="0"/>
              <w:spacing w:before="0" w:after="283"/>
              <w:jc w:val="left"/>
              <w:rPr/>
            </w:pPr>
            <w:r>
              <w:rPr/>
              <w:t> </w:t>
            </w:r>
          </w:p>
        </w:tc>
      </w:tr>
      <w:tr>
        <w:trPr/>
        <w:tc>
          <w:tcPr>
            <w:tcW w:w="3087" w:type="dxa"/>
            <w:tcBorders/>
            <w:shd w:fill="CCEEFF" w:val="clear"/>
            <w:vAlign w:val="bottom"/>
          </w:tcPr>
          <w:p>
            <w:pPr>
              <w:pStyle w:val="TableContents"/>
              <w:bidi w:val="0"/>
              <w:spacing w:before="0" w:after="0"/>
              <w:ind w:left="180" w:right="0" w:hanging="180"/>
              <w:jc w:val="left"/>
              <w:rPr>
                <w:color w:val="000000"/>
              </w:rPr>
            </w:pPr>
            <w:r>
              <w:rPr>
                <w:color w:val="000000"/>
              </w:rPr>
              <w:t>Total increase (decrease) in net assets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1"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0"/>
              <w:jc w:val="right"/>
              <w:rPr>
                <w:color w:val="000000"/>
              </w:rPr>
            </w:pPr>
            <w:r>
              <w:rPr>
                <w:color w:val="000000"/>
              </w:rPr>
              <w:t>1,211,404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1,211,404</w:t>
            </w:r>
          </w:p>
        </w:tc>
        <w:tc>
          <w:tcPr>
            <w:tcW w:w="113" w:type="dxa"/>
            <w:tcBorders/>
            <w:shd w:fill="CCEEFF" w:val="clear"/>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0"/>
              <w:ind w:left="180" w:right="0" w:hanging="180"/>
              <w:jc w:val="left"/>
              <w:rPr>
                <w:i/>
                <w:color w:val="000000"/>
              </w:rPr>
            </w:pPr>
            <w:r>
              <w:rPr>
                <w:i/>
                <w:color w:val="000000"/>
              </w:rPr>
              <w:t>Effect of permanent adjustments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1"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0"/>
              <w:jc w:val="left"/>
              <w:rPr>
                <w:color w:val="000000"/>
              </w:rPr>
            </w:pPr>
            <w:r>
              <w:rPr>
                <w:color w:val="000000"/>
              </w:rPr>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w:t>
            </w:r>
          </w:p>
        </w:tc>
        <w:tc>
          <w:tcPr>
            <w:tcW w:w="113" w:type="dxa"/>
            <w:tcBorders/>
            <w:vAlign w:val="bottom"/>
          </w:tcPr>
          <w:p>
            <w:pPr>
              <w:pStyle w:val="TableContents"/>
              <w:bidi w:val="0"/>
              <w:spacing w:before="0" w:after="283"/>
              <w:jc w:val="left"/>
              <w:rPr/>
            </w:pPr>
            <w:r>
              <w:rPr/>
              <w:t> </w:t>
            </w:r>
          </w:p>
        </w:tc>
      </w:tr>
      <w:tr>
        <w:trPr/>
        <w:tc>
          <w:tcPr>
            <w:tcW w:w="3087" w:type="dxa"/>
            <w:tcBorders/>
            <w:shd w:fill="CCEEFF" w:val="clear"/>
            <w:vAlign w:val="bottom"/>
          </w:tcPr>
          <w:p>
            <w:pPr>
              <w:pStyle w:val="TableContents"/>
              <w:bidi w:val="0"/>
              <w:spacing w:before="0" w:after="0"/>
              <w:ind w:left="180" w:right="0" w:hanging="180"/>
              <w:jc w:val="left"/>
              <w:rPr/>
            </w:pPr>
            <w:r>
              <w:rPr/>
              <w:t>Stock issued in connection with dividend reinvestment plan</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shd w:fill="CCEEFF" w:val="clear"/>
            <w:tcMar>
              <w:bottom w:w="28" w:type="dxa"/>
            </w:tcM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30" w:type="dxa"/>
            <w:tcBorders>
              <w:bottom w:val="double" w:sz="8"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322" w:type="dxa"/>
            <w:tcBorders>
              <w:bottom w:val="double" w:sz="8"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559" w:type="dxa"/>
            <w:tcBorders>
              <w:bottom w:val="double" w:sz="8"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shd w:fill="CCEEFF" w:val="clear"/>
            <w:tcMar>
              <w:bottom w:w="28" w:type="dxa"/>
            </w:tcMar>
            <w:vAlign w:val="bottom"/>
          </w:tcPr>
          <w:p>
            <w:pPr>
              <w:pStyle w:val="TableContents"/>
              <w:bidi w:val="0"/>
              <w:spacing w:before="0" w:after="283"/>
              <w:jc w:val="right"/>
              <w:rPr/>
            </w:pPr>
            <w:r>
              <w:rPr/>
              <w:t>-</w:t>
            </w:r>
          </w:p>
        </w:tc>
        <w:tc>
          <w:tcPr>
            <w:tcW w:w="113" w:type="dxa"/>
            <w:tcBorders/>
            <w:shd w:fill="CCEEFF" w:val="clear"/>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0"/>
              <w:ind w:left="180" w:right="0" w:hanging="0"/>
              <w:jc w:val="left"/>
              <w:rPr>
                <w:b/>
                <w:color w:val="000000"/>
              </w:rPr>
            </w:pPr>
            <w:r>
              <w:rPr>
                <w:b/>
                <w:color w:val="000000"/>
              </w:rPr>
              <w:t>Balance, June 30, 2023</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6,214,672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62,147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2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85,038,887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55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4,943,179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90,044,213</w:t>
            </w:r>
          </w:p>
        </w:tc>
        <w:tc>
          <w:tcPr>
            <w:tcW w:w="113"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notes to financial statements.</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Statements of Changes in Net Assets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041"/>
        <w:gridCol w:w="60"/>
        <w:gridCol w:w="60"/>
        <w:gridCol w:w="980"/>
        <w:gridCol w:w="60"/>
        <w:gridCol w:w="60"/>
        <w:gridCol w:w="153"/>
        <w:gridCol w:w="746"/>
        <w:gridCol w:w="60"/>
        <w:gridCol w:w="60"/>
        <w:gridCol w:w="168"/>
        <w:gridCol w:w="1322"/>
        <w:gridCol w:w="95"/>
        <w:gridCol w:w="60"/>
        <w:gridCol w:w="207"/>
        <w:gridCol w:w="1566"/>
        <w:gridCol w:w="95"/>
        <w:gridCol w:w="60"/>
        <w:gridCol w:w="140"/>
        <w:gridCol w:w="1100"/>
        <w:gridCol w:w="112"/>
      </w:tblGrid>
      <w:tr>
        <w:trPr/>
        <w:tc>
          <w:tcPr>
            <w:tcW w:w="3041"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3669"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Common Stock</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3"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r>
      <w:tr>
        <w:trPr/>
        <w:tc>
          <w:tcPr>
            <w:tcW w:w="3041" w:type="dxa"/>
            <w:tcBorders>
              <w:bottom w:val="single" w:sz="12" w:space="0" w:color="000000"/>
            </w:tcBorders>
            <w:tcMar>
              <w:bottom w:w="28" w:type="dxa"/>
            </w:tcMar>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Par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Additional</w:t>
              <w:br/>
              <w:t>paid-in-capital</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Distributable Earnings/</w:t>
            </w:r>
          </w:p>
          <w:p>
            <w:pPr>
              <w:pStyle w:val="TableContents"/>
              <w:bidi w:val="0"/>
              <w:spacing w:before="0" w:after="0"/>
              <w:jc w:val="center"/>
              <w:rPr>
                <w:b/>
                <w:color w:val="000000"/>
              </w:rPr>
            </w:pPr>
            <w:r>
              <w:rPr>
                <w:b/>
                <w:color w:val="000000"/>
              </w:rPr>
              <w:t>(Accumulated Loss)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Total </w:t>
            </w:r>
          </w:p>
          <w:p>
            <w:pPr>
              <w:pStyle w:val="TableContents"/>
              <w:bidi w:val="0"/>
              <w:spacing w:before="0" w:after="0"/>
              <w:jc w:val="center"/>
              <w:rPr>
                <w:b/>
                <w:color w:val="000000"/>
              </w:rPr>
            </w:pPr>
            <w:r>
              <w:rPr>
                <w:b/>
                <w:color w:val="000000"/>
              </w:rPr>
              <w:t>net assets</w:t>
            </w:r>
          </w:p>
        </w:tc>
        <w:tc>
          <w:tcPr>
            <w:tcW w:w="112" w:type="dxa"/>
            <w:tcBorders/>
            <w:vAlign w:val="bottom"/>
          </w:tcPr>
          <w:p>
            <w:pPr>
              <w:pStyle w:val="TableContents"/>
              <w:bidi w:val="0"/>
              <w:spacing w:before="0" w:after="283"/>
              <w:jc w:val="left"/>
              <w:rPr/>
            </w:pPr>
            <w:r>
              <w:rPr/>
              <w:t> </w:t>
            </w:r>
          </w:p>
        </w:tc>
      </w:tr>
      <w:tr>
        <w:trPr/>
        <w:tc>
          <w:tcPr>
            <w:tcW w:w="3041" w:type="dxa"/>
            <w:tcBorders/>
            <w:shd w:fill="CCEEFF" w:val="clear"/>
            <w:vAlign w:val="bottom"/>
          </w:tcPr>
          <w:p>
            <w:pPr>
              <w:pStyle w:val="TableContents"/>
              <w:bidi w:val="0"/>
              <w:spacing w:before="0" w:after="0"/>
              <w:ind w:left="180" w:right="0" w:hanging="0"/>
              <w:jc w:val="left"/>
              <w:rPr>
                <w:b/>
                <w:color w:val="000000"/>
              </w:rPr>
            </w:pPr>
            <w:r>
              <w:rPr>
                <w:b/>
                <w:color w:val="000000"/>
              </w:rPr>
              <w:t>Balance, December 31, 2023</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6,214,941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0"/>
              <w:jc w:val="left"/>
              <w:rPr>
                <w:color w:val="000000"/>
              </w:rPr>
            </w:pPr>
            <w:r>
              <w:rPr>
                <w:color w:val="000000"/>
              </w:rPr>
              <w:t>$</w:t>
            </w:r>
          </w:p>
        </w:tc>
        <w:tc>
          <w:tcPr>
            <w:tcW w:w="746" w:type="dxa"/>
            <w:tcBorders/>
            <w:shd w:fill="CCEEFF" w:val="clear"/>
            <w:vAlign w:val="bottom"/>
          </w:tcPr>
          <w:p>
            <w:pPr>
              <w:pStyle w:val="TableContents"/>
              <w:bidi w:val="0"/>
              <w:spacing w:before="0" w:after="0"/>
              <w:jc w:val="right"/>
              <w:rPr>
                <w:color w:val="000000"/>
              </w:rPr>
            </w:pPr>
            <w:r>
              <w:rPr>
                <w:color w:val="000000"/>
              </w:rPr>
              <w:t>62,149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color w:val="000000"/>
              </w:rPr>
            </w:pPr>
            <w:r>
              <w:rPr>
                <w:color w:val="000000"/>
              </w:rPr>
              <w:t>$</w:t>
            </w:r>
          </w:p>
        </w:tc>
        <w:tc>
          <w:tcPr>
            <w:tcW w:w="1322" w:type="dxa"/>
            <w:tcBorders/>
            <w:shd w:fill="CCEEFF" w:val="clear"/>
            <w:vAlign w:val="bottom"/>
          </w:tcPr>
          <w:p>
            <w:pPr>
              <w:pStyle w:val="TableContents"/>
              <w:bidi w:val="0"/>
              <w:spacing w:before="0" w:after="0"/>
              <w:jc w:val="right"/>
              <w:rPr>
                <w:color w:val="000000"/>
              </w:rPr>
            </w:pPr>
            <w:r>
              <w:rPr>
                <w:color w:val="000000"/>
              </w:rPr>
              <w:t>85,041,203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0"/>
              <w:jc w:val="left"/>
              <w:rPr>
                <w:color w:val="000000"/>
              </w:rPr>
            </w:pPr>
            <w:r>
              <w:rPr>
                <w:color w:val="000000"/>
              </w:rPr>
              <w:t>$</w:t>
            </w:r>
          </w:p>
        </w:tc>
        <w:tc>
          <w:tcPr>
            <w:tcW w:w="1566" w:type="dxa"/>
            <w:tcBorders/>
            <w:shd w:fill="CCEEFF" w:val="clear"/>
            <w:vAlign w:val="bottom"/>
          </w:tcPr>
          <w:p>
            <w:pPr>
              <w:pStyle w:val="TableContents"/>
              <w:bidi w:val="0"/>
              <w:spacing w:before="0" w:after="0"/>
              <w:jc w:val="right"/>
              <w:rPr>
                <w:color w:val="000000"/>
              </w:rPr>
            </w:pPr>
            <w:r>
              <w:rPr>
                <w:color w:val="000000"/>
              </w:rPr>
              <w:t>449,266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85,552,618</w:t>
            </w:r>
          </w:p>
        </w:tc>
        <w:tc>
          <w:tcPr>
            <w:tcW w:w="112" w:type="dxa"/>
            <w:tcBorders/>
            <w:shd w:fill="CCEEFF" w:val="clear"/>
            <w:vAlign w:val="bottom"/>
          </w:tcPr>
          <w:p>
            <w:pPr>
              <w:pStyle w:val="TableContents"/>
              <w:bidi w:val="0"/>
              <w:spacing w:before="0" w:after="283"/>
              <w:jc w:val="left"/>
              <w:rPr/>
            </w:pPr>
            <w:r>
              <w:rPr/>
              <w:t> </w:t>
            </w:r>
          </w:p>
        </w:tc>
      </w:tr>
      <w:tr>
        <w:trPr/>
        <w:tc>
          <w:tcPr>
            <w:tcW w:w="3041" w:type="dxa"/>
            <w:tcBorders/>
            <w:vAlign w:val="bottom"/>
          </w:tcPr>
          <w:p>
            <w:pPr>
              <w:pStyle w:val="TableContents"/>
              <w:bidi w:val="0"/>
              <w:spacing w:before="0" w:after="0"/>
              <w:ind w:left="180" w:right="0" w:hanging="180"/>
              <w:jc w:val="left"/>
              <w:rPr>
                <w:i/>
                <w:color w:val="000000"/>
              </w:rPr>
            </w:pPr>
            <w:r>
              <w:rPr>
                <w:i/>
                <w:color w:val="000000"/>
              </w:rPr>
              <w:t>Net increase (decrease) in net assets resulting from operations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56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r>
      <w:tr>
        <w:trPr/>
        <w:tc>
          <w:tcPr>
            <w:tcW w:w="3041" w:type="dxa"/>
            <w:tcBorders/>
            <w:shd w:fill="CCEEFF" w:val="clear"/>
            <w:vAlign w:val="bottom"/>
          </w:tcPr>
          <w:p>
            <w:pPr>
              <w:pStyle w:val="TableContents"/>
              <w:bidi w:val="0"/>
              <w:spacing w:before="0" w:after="0"/>
              <w:ind w:left="360" w:right="0" w:hanging="180"/>
              <w:jc w:val="left"/>
              <w:rPr>
                <w:color w:val="000000"/>
              </w:rPr>
            </w:pPr>
            <w:r>
              <w:rPr>
                <w:color w:val="000000"/>
              </w:rPr>
              <w:t>Net investment income (loss)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566" w:type="dxa"/>
            <w:tcBorders/>
            <w:shd w:fill="CCEEFF" w:val="clear"/>
            <w:vAlign w:val="bottom"/>
          </w:tcPr>
          <w:p>
            <w:pPr>
              <w:pStyle w:val="TableContents"/>
              <w:bidi w:val="0"/>
              <w:spacing w:before="0" w:after="0"/>
              <w:jc w:val="right"/>
              <w:rPr>
                <w:color w:val="000000"/>
              </w:rPr>
            </w:pPr>
            <w:r>
              <w:rPr>
                <w:color w:val="000000"/>
              </w:rPr>
              <w:t>1,445,824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1,445,824</w:t>
            </w:r>
          </w:p>
        </w:tc>
        <w:tc>
          <w:tcPr>
            <w:tcW w:w="112" w:type="dxa"/>
            <w:tcBorders/>
            <w:shd w:fill="CCEEFF" w:val="clear"/>
            <w:vAlign w:val="bottom"/>
          </w:tcPr>
          <w:p>
            <w:pPr>
              <w:pStyle w:val="TableContents"/>
              <w:bidi w:val="0"/>
              <w:spacing w:before="0" w:after="283"/>
              <w:jc w:val="left"/>
              <w:rPr/>
            </w:pPr>
            <w:r>
              <w:rPr/>
              <w:t> </w:t>
            </w:r>
          </w:p>
        </w:tc>
      </w:tr>
      <w:tr>
        <w:trPr/>
        <w:tc>
          <w:tcPr>
            <w:tcW w:w="3041" w:type="dxa"/>
            <w:tcBorders/>
            <w:vAlign w:val="bottom"/>
          </w:tcPr>
          <w:p>
            <w:pPr>
              <w:pStyle w:val="TableContents"/>
              <w:bidi w:val="0"/>
              <w:spacing w:before="0" w:after="0"/>
              <w:ind w:left="360" w:right="0" w:hanging="180"/>
              <w:jc w:val="left"/>
              <w:rPr>
                <w:color w:val="000000"/>
              </w:rPr>
            </w:pPr>
            <w:r>
              <w:rPr>
                <w:color w:val="000000"/>
              </w:rPr>
              <w:t>Net realized gain (loss) from investments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566"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w:t>
            </w:r>
          </w:p>
        </w:tc>
        <w:tc>
          <w:tcPr>
            <w:tcW w:w="112" w:type="dxa"/>
            <w:tcBorders/>
            <w:vAlign w:val="bottom"/>
          </w:tcPr>
          <w:p>
            <w:pPr>
              <w:pStyle w:val="TableContents"/>
              <w:bidi w:val="0"/>
              <w:spacing w:before="0" w:after="283"/>
              <w:jc w:val="left"/>
              <w:rPr/>
            </w:pPr>
            <w:r>
              <w:rPr/>
              <w:t> </w:t>
            </w:r>
          </w:p>
        </w:tc>
      </w:tr>
      <w:tr>
        <w:trPr/>
        <w:tc>
          <w:tcPr>
            <w:tcW w:w="3041" w:type="dxa"/>
            <w:tcBorders/>
            <w:shd w:fill="CCEEFF" w:val="clear"/>
            <w:vAlign w:val="bottom"/>
          </w:tcPr>
          <w:p>
            <w:pPr>
              <w:pStyle w:val="TableContents"/>
              <w:bidi w:val="0"/>
              <w:spacing w:before="0" w:after="0"/>
              <w:ind w:left="360" w:right="0" w:hanging="180"/>
              <w:jc w:val="left"/>
              <w:rPr>
                <w:color w:val="000000"/>
              </w:rPr>
            </w:pPr>
            <w:r>
              <w:rPr>
                <w:color w:val="000000"/>
              </w:rPr>
              <w:t>Net change in unrealized appreciation (depreciation) from investments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6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366,848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366,848</w:t>
            </w:r>
          </w:p>
        </w:tc>
        <w:tc>
          <w:tcPr>
            <w:tcW w:w="112" w:type="dxa"/>
            <w:tcBorders/>
            <w:shd w:fill="CCEEFF" w:val="clear"/>
            <w:vAlign w:val="bottom"/>
          </w:tcPr>
          <w:p>
            <w:pPr>
              <w:pStyle w:val="TableContents"/>
              <w:bidi w:val="0"/>
              <w:spacing w:before="0" w:after="283"/>
              <w:jc w:val="left"/>
              <w:rPr/>
            </w:pPr>
            <w:r>
              <w:rPr/>
              <w:t> </w:t>
            </w:r>
          </w:p>
        </w:tc>
      </w:tr>
      <w:tr>
        <w:trPr/>
        <w:tc>
          <w:tcPr>
            <w:tcW w:w="3041" w:type="dxa"/>
            <w:tcBorders/>
            <w:vAlign w:val="bottom"/>
          </w:tcPr>
          <w:p>
            <w:pPr>
              <w:pStyle w:val="TableContents"/>
              <w:bidi w:val="0"/>
              <w:spacing w:before="0" w:after="0"/>
              <w:ind w:left="540" w:right="0" w:hanging="180"/>
              <w:jc w:val="left"/>
              <w:rPr>
                <w:color w:val="000000"/>
              </w:rPr>
            </w:pPr>
            <w:r>
              <w:rPr>
                <w:color w:val="000000"/>
              </w:rPr>
              <w:t>Total net increase (decrease) in net assets resulting from operations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566" w:type="dxa"/>
            <w:tcBorders/>
            <w:vAlign w:val="bottom"/>
          </w:tcPr>
          <w:p>
            <w:pPr>
              <w:pStyle w:val="TableContents"/>
              <w:bidi w:val="0"/>
              <w:spacing w:before="0" w:after="0"/>
              <w:jc w:val="right"/>
              <w:rPr>
                <w:color w:val="000000"/>
              </w:rPr>
            </w:pPr>
            <w:r>
              <w:rPr>
                <w:color w:val="000000"/>
              </w:rPr>
              <w:t>1,812,672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1,812,672</w:t>
            </w:r>
          </w:p>
        </w:tc>
        <w:tc>
          <w:tcPr>
            <w:tcW w:w="112" w:type="dxa"/>
            <w:tcBorders/>
            <w:vAlign w:val="bottom"/>
          </w:tcPr>
          <w:p>
            <w:pPr>
              <w:pStyle w:val="TableContents"/>
              <w:bidi w:val="0"/>
              <w:spacing w:before="0" w:after="283"/>
              <w:jc w:val="left"/>
              <w:rPr/>
            </w:pPr>
            <w:r>
              <w:rPr/>
              <w:t> </w:t>
            </w:r>
          </w:p>
        </w:tc>
      </w:tr>
      <w:tr>
        <w:trPr/>
        <w:tc>
          <w:tcPr>
            <w:tcW w:w="3041" w:type="dxa"/>
            <w:tcBorders/>
            <w:shd w:fill="CCEEFF" w:val="clear"/>
            <w:vAlign w:val="bottom"/>
          </w:tcPr>
          <w:p>
            <w:pPr>
              <w:pStyle w:val="TableContents"/>
              <w:bidi w:val="0"/>
              <w:spacing w:before="0" w:after="0"/>
              <w:ind w:left="180" w:right="0" w:hanging="180"/>
              <w:jc w:val="left"/>
              <w:rPr>
                <w:i/>
              </w:rPr>
            </w:pPr>
            <w:r>
              <w:rPr>
                <w:i/>
              </w:rPr>
              <w:t>Distributions to stockholders from:</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56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3041" w:type="dxa"/>
            <w:tcBorders/>
            <w:vAlign w:val="bottom"/>
          </w:tcPr>
          <w:p>
            <w:pPr>
              <w:pStyle w:val="TableContents"/>
              <w:bidi w:val="0"/>
              <w:spacing w:before="0" w:after="0"/>
              <w:ind w:left="180" w:right="0" w:hanging="0"/>
              <w:jc w:val="left"/>
              <w:rPr/>
            </w:pPr>
            <w:r>
              <w:rPr/>
              <w:t>Investment income-net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566" w:type="dxa"/>
            <w:tcBorders/>
            <w:vAlign w:val="bottom"/>
          </w:tcPr>
          <w:p>
            <w:pPr>
              <w:pStyle w:val="TableContents"/>
              <w:bidi w:val="0"/>
              <w:spacing w:before="0" w:after="283"/>
              <w:jc w:val="right"/>
              <w:rPr/>
            </w:pPr>
            <w:r>
              <w:rPr/>
              <w:t>(3,107,474</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(3,107,474</w:t>
            </w:r>
          </w:p>
        </w:tc>
        <w:tc>
          <w:tcPr>
            <w:tcW w:w="112" w:type="dxa"/>
            <w:tcBorders/>
            <w:vAlign w:val="bottom"/>
          </w:tcPr>
          <w:p>
            <w:pPr>
              <w:pStyle w:val="TableContents"/>
              <w:bidi w:val="0"/>
              <w:spacing w:before="0" w:after="283"/>
              <w:jc w:val="left"/>
              <w:rPr/>
            </w:pPr>
            <w:r>
              <w:rPr/>
              <w:t>)</w:t>
            </w:r>
          </w:p>
        </w:tc>
      </w:tr>
      <w:tr>
        <w:trPr/>
        <w:tc>
          <w:tcPr>
            <w:tcW w:w="3041" w:type="dxa"/>
            <w:tcBorders/>
            <w:shd w:fill="CCEEFF" w:val="clear"/>
            <w:vAlign w:val="bottom"/>
          </w:tcPr>
          <w:p>
            <w:pPr>
              <w:pStyle w:val="TableContents"/>
              <w:bidi w:val="0"/>
              <w:spacing w:before="0" w:after="0"/>
              <w:ind w:left="180" w:right="0" w:hanging="180"/>
              <w:jc w:val="left"/>
              <w:rPr>
                <w:i/>
                <w:color w:val="000000"/>
              </w:rPr>
            </w:pPr>
            <w:r>
              <w:rPr>
                <w:i/>
                <w:color w:val="000000"/>
              </w:rPr>
              <w:t>Capital transactions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56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3041" w:type="dxa"/>
            <w:tcBorders/>
            <w:vAlign w:val="bottom"/>
          </w:tcPr>
          <w:p>
            <w:pPr>
              <w:pStyle w:val="TableContents"/>
              <w:bidi w:val="0"/>
              <w:spacing w:before="0" w:after="0"/>
              <w:ind w:left="360" w:right="0" w:hanging="180"/>
              <w:jc w:val="left"/>
              <w:rPr/>
            </w:pPr>
            <w:r>
              <w:rPr/>
              <w:t>Reinvestment of stockholder distributions</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746"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2" w:type="dxa"/>
            <w:tcBorders>
              <w:bottom w:val="single" w:sz="12" w:space="0" w:color="000000"/>
            </w:tcBorders>
            <w:tcMar>
              <w:bottom w:w="28" w:type="dxa"/>
            </w:tcMar>
            <w:vAlign w:val="bottom"/>
          </w:tcPr>
          <w:p>
            <w:pPr>
              <w:pStyle w:val="TableContents"/>
              <w:bidi w:val="0"/>
              <w:spacing w:before="0" w:after="283"/>
              <w:jc w:val="right"/>
              <w:rPr/>
            </w:pPr>
            <w:r>
              <w:rPr/>
              <w:t>257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566"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257</w:t>
            </w:r>
          </w:p>
        </w:tc>
        <w:tc>
          <w:tcPr>
            <w:tcW w:w="112" w:type="dxa"/>
            <w:tcBorders/>
            <w:vAlign w:val="bottom"/>
          </w:tcPr>
          <w:p>
            <w:pPr>
              <w:pStyle w:val="TableContents"/>
              <w:bidi w:val="0"/>
              <w:spacing w:before="0" w:after="283"/>
              <w:jc w:val="left"/>
              <w:rPr/>
            </w:pPr>
            <w:r>
              <w:rPr/>
              <w:t> </w:t>
            </w:r>
          </w:p>
        </w:tc>
      </w:tr>
      <w:tr>
        <w:trPr/>
        <w:tc>
          <w:tcPr>
            <w:tcW w:w="3041" w:type="dxa"/>
            <w:tcBorders/>
            <w:shd w:fill="CCEEFF" w:val="clear"/>
            <w:vAlign w:val="bottom"/>
          </w:tcPr>
          <w:p>
            <w:pPr>
              <w:pStyle w:val="TableContents"/>
              <w:bidi w:val="0"/>
              <w:spacing w:before="0" w:after="0"/>
              <w:ind w:left="540" w:right="0" w:hanging="180"/>
              <w:jc w:val="left"/>
              <w:rPr/>
            </w:pPr>
            <w:r>
              <w:rPr/>
              <w:t>Total net increase (decrease) in net assets from capital transactions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283"/>
              <w:jc w:val="right"/>
              <w:rPr/>
            </w:pPr>
            <w:r>
              <w:rPr/>
              <w:t>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6"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2" w:type="dxa"/>
            <w:tcBorders>
              <w:bottom w:val="single" w:sz="12" w:space="0" w:color="000000"/>
            </w:tcBorders>
            <w:shd w:fill="CCEEFF" w:val="clear"/>
            <w:tcMar>
              <w:bottom w:w="28" w:type="dxa"/>
            </w:tcMar>
            <w:vAlign w:val="bottom"/>
          </w:tcPr>
          <w:p>
            <w:pPr>
              <w:pStyle w:val="TableContents"/>
              <w:bidi w:val="0"/>
              <w:spacing w:before="0" w:after="283"/>
              <w:jc w:val="right"/>
              <w:rPr/>
            </w:pPr>
            <w:r>
              <w:rPr/>
              <w:t>257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66"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283"/>
              <w:jc w:val="right"/>
              <w:rPr/>
            </w:pPr>
            <w:r>
              <w:rPr/>
              <w:t>257</w:t>
            </w:r>
          </w:p>
        </w:tc>
        <w:tc>
          <w:tcPr>
            <w:tcW w:w="112" w:type="dxa"/>
            <w:tcBorders/>
            <w:shd w:fill="CCEEFF" w:val="clear"/>
            <w:vAlign w:val="bottom"/>
          </w:tcPr>
          <w:p>
            <w:pPr>
              <w:pStyle w:val="TableContents"/>
              <w:bidi w:val="0"/>
              <w:spacing w:before="0" w:after="283"/>
              <w:jc w:val="left"/>
              <w:rPr/>
            </w:pPr>
            <w:r>
              <w:rPr/>
              <w:t> </w:t>
            </w:r>
          </w:p>
        </w:tc>
      </w:tr>
      <w:tr>
        <w:trPr/>
        <w:tc>
          <w:tcPr>
            <w:tcW w:w="3041" w:type="dxa"/>
            <w:tcBorders/>
            <w:vAlign w:val="bottom"/>
          </w:tcPr>
          <w:p>
            <w:pPr>
              <w:pStyle w:val="TableContents"/>
              <w:bidi w:val="0"/>
              <w:spacing w:before="0" w:after="0"/>
              <w:ind w:left="180" w:right="0" w:hanging="180"/>
              <w:jc w:val="left"/>
              <w:rPr/>
            </w:pPr>
            <w:r>
              <w:rPr/>
              <w:t>Total increase (decrease) in net assets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257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566" w:type="dxa"/>
            <w:tcBorders/>
            <w:vAlign w:val="bottom"/>
          </w:tcPr>
          <w:p>
            <w:pPr>
              <w:pStyle w:val="TableContents"/>
              <w:bidi w:val="0"/>
              <w:spacing w:before="0" w:after="283"/>
              <w:jc w:val="right"/>
              <w:rPr/>
            </w:pPr>
            <w:r>
              <w:rPr/>
              <w:t>(1,294,802</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(1,294,545</w:t>
            </w:r>
          </w:p>
        </w:tc>
        <w:tc>
          <w:tcPr>
            <w:tcW w:w="112" w:type="dxa"/>
            <w:tcBorders/>
            <w:vAlign w:val="bottom"/>
          </w:tcPr>
          <w:p>
            <w:pPr>
              <w:pStyle w:val="TableContents"/>
              <w:bidi w:val="0"/>
              <w:spacing w:before="0" w:after="283"/>
              <w:jc w:val="left"/>
              <w:rPr/>
            </w:pPr>
            <w:r>
              <w:rPr/>
              <w:t>)</w:t>
            </w:r>
          </w:p>
        </w:tc>
      </w:tr>
      <w:tr>
        <w:trPr/>
        <w:tc>
          <w:tcPr>
            <w:tcW w:w="3041" w:type="dxa"/>
            <w:tcBorders/>
            <w:shd w:fill="CCEEFF" w:val="clear"/>
            <w:vAlign w:val="bottom"/>
          </w:tcPr>
          <w:p>
            <w:pPr>
              <w:pStyle w:val="TableContents"/>
              <w:bidi w:val="0"/>
              <w:spacing w:before="0" w:after="283"/>
              <w:jc w:val="left"/>
              <w:rPr/>
            </w:pPr>
            <w:r>
              <w:rPr/>
              <w:t>Effect of permanent adjustments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6"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2" w:type="dxa"/>
            <w:tcBorders>
              <w:bottom w:val="single" w:sz="12" w:space="0" w:color="000000"/>
            </w:tcBorders>
            <w:shd w:fill="CCEEFF" w:val="clear"/>
            <w:tcMar>
              <w:bottom w:w="28" w:type="dxa"/>
            </w:tcMar>
            <w:vAlign w:val="bottom"/>
          </w:tcPr>
          <w:p>
            <w:pPr>
              <w:pStyle w:val="TableContents"/>
              <w:bidi w:val="0"/>
              <w:spacing w:before="0" w:after="283"/>
              <w:jc w:val="right"/>
              <w:rPr/>
            </w:pPr>
            <w:r>
              <w:rPr/>
              <w:t>(10,676</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66" w:type="dxa"/>
            <w:tcBorders>
              <w:bottom w:val="single" w:sz="12" w:space="0" w:color="000000"/>
            </w:tcBorders>
            <w:shd w:fill="CCEEFF" w:val="clear"/>
            <w:tcMar>
              <w:bottom w:w="28" w:type="dxa"/>
            </w:tcMar>
            <w:vAlign w:val="bottom"/>
          </w:tcPr>
          <w:p>
            <w:pPr>
              <w:pStyle w:val="TableContents"/>
              <w:bidi w:val="0"/>
              <w:spacing w:before="0" w:after="283"/>
              <w:jc w:val="right"/>
              <w:rPr/>
            </w:pPr>
            <w:r>
              <w:rPr/>
              <w:t>10,676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112" w:type="dxa"/>
            <w:tcBorders/>
            <w:shd w:fill="CCEEFF" w:val="clear"/>
            <w:vAlign w:val="bottom"/>
          </w:tcPr>
          <w:p>
            <w:pPr>
              <w:pStyle w:val="TableContents"/>
              <w:bidi w:val="0"/>
              <w:spacing w:before="0" w:after="283"/>
              <w:jc w:val="left"/>
              <w:rPr/>
            </w:pPr>
            <w:r>
              <w:rPr/>
              <w:t> </w:t>
            </w:r>
          </w:p>
        </w:tc>
      </w:tr>
      <w:tr>
        <w:trPr/>
        <w:tc>
          <w:tcPr>
            <w:tcW w:w="3041" w:type="dxa"/>
            <w:tcBorders/>
            <w:vAlign w:val="bottom"/>
          </w:tcPr>
          <w:p>
            <w:pPr>
              <w:pStyle w:val="TableContents"/>
              <w:bidi w:val="0"/>
              <w:spacing w:before="0" w:after="0"/>
              <w:ind w:left="180" w:right="0" w:hanging="0"/>
              <w:jc w:val="left"/>
              <w:rPr>
                <w:b/>
                <w:color w:val="000000"/>
              </w:rPr>
            </w:pPr>
            <w:r>
              <w:rPr>
                <w:b/>
                <w:color w:val="000000"/>
              </w:rPr>
              <w:t>Balance, June 30, 2024</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6,214,964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4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62,149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2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85,030,784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56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(834,860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84,258,073</w:t>
            </w:r>
          </w:p>
        </w:tc>
        <w:tc>
          <w:tcPr>
            <w:tcW w:w="112"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087"/>
        <w:gridCol w:w="60"/>
        <w:gridCol w:w="60"/>
        <w:gridCol w:w="980"/>
        <w:gridCol w:w="60"/>
        <w:gridCol w:w="60"/>
        <w:gridCol w:w="150"/>
        <w:gridCol w:w="730"/>
        <w:gridCol w:w="60"/>
        <w:gridCol w:w="60"/>
        <w:gridCol w:w="168"/>
        <w:gridCol w:w="1322"/>
        <w:gridCol w:w="60"/>
        <w:gridCol w:w="60"/>
        <w:gridCol w:w="221"/>
        <w:gridCol w:w="1559"/>
        <w:gridCol w:w="95"/>
        <w:gridCol w:w="60"/>
        <w:gridCol w:w="140"/>
        <w:gridCol w:w="1100"/>
        <w:gridCol w:w="113"/>
      </w:tblGrid>
      <w:tr>
        <w:trPr/>
        <w:tc>
          <w:tcPr>
            <w:tcW w:w="30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r>
      <w:tr>
        <w:trPr/>
        <w:tc>
          <w:tcPr>
            <w:tcW w:w="3087" w:type="dxa"/>
            <w:tcBorders>
              <w:bottom w:val="single" w:sz="12" w:space="0" w:color="000000"/>
            </w:tcBorders>
            <w:tcMar>
              <w:bottom w:w="28" w:type="dxa"/>
            </w:tcMar>
            <w:vAlign w:val="bottom"/>
          </w:tcPr>
          <w:p>
            <w:pPr>
              <w:pStyle w:val="TableContents"/>
              <w:bidi w:val="0"/>
              <w:spacing w:before="0" w:after="0"/>
              <w:jc w:val="left"/>
              <w:rPr>
                <w:b/>
              </w:rPr>
            </w:pPr>
            <w:r>
              <w:rPr>
                <w:b/>
              </w:rPr>
            </w:r>
          </w:p>
          <w:p>
            <w:pPr>
              <w:pStyle w:val="TableContents"/>
              <w:bidi w:val="0"/>
              <w:spacing w:before="0" w:after="0"/>
              <w:jc w:val="left"/>
              <w:rPr>
                <w:b/>
              </w:rPr>
            </w:pPr>
            <w:r>
              <w:rPr>
                <w:b/>
              </w:rPr>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Par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Additional</w:t>
              <w:br/>
              <w:t>paid-in-capital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Distributable Earnings/</w:t>
            </w:r>
          </w:p>
          <w:p>
            <w:pPr>
              <w:pStyle w:val="TableContents"/>
              <w:bidi w:val="0"/>
              <w:spacing w:before="0" w:after="0"/>
              <w:jc w:val="center"/>
              <w:rPr>
                <w:b/>
                <w:color w:val="000000"/>
              </w:rPr>
            </w:pPr>
            <w:r>
              <w:rPr>
                <w:b/>
                <w:color w:val="000000"/>
              </w:rPr>
              <w:t>(Accumulated Loss)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p>
            <w:pPr>
              <w:pStyle w:val="TableContents"/>
              <w:bidi w:val="0"/>
              <w:spacing w:before="0" w:after="0"/>
              <w:jc w:val="center"/>
              <w:rPr>
                <w:b/>
                <w:color w:val="000000"/>
              </w:rPr>
            </w:pPr>
            <w:r>
              <w:rPr>
                <w:b/>
                <w:color w:val="000000"/>
              </w:rPr>
              <w:t>net assets</w:t>
            </w:r>
          </w:p>
        </w:tc>
        <w:tc>
          <w:tcPr>
            <w:tcW w:w="113" w:type="dxa"/>
            <w:tcBorders/>
            <w:vAlign w:val="bottom"/>
          </w:tcPr>
          <w:p>
            <w:pPr>
              <w:pStyle w:val="TableContents"/>
              <w:bidi w:val="0"/>
              <w:spacing w:before="0" w:after="283"/>
              <w:jc w:val="left"/>
              <w:rPr/>
            </w:pPr>
            <w:r>
              <w:rPr/>
              <w:t> </w:t>
            </w:r>
          </w:p>
        </w:tc>
      </w:tr>
      <w:tr>
        <w:trPr/>
        <w:tc>
          <w:tcPr>
            <w:tcW w:w="3087" w:type="dxa"/>
            <w:tcBorders/>
            <w:shd w:fill="CCEEFF" w:val="clear"/>
            <w:vAlign w:val="bottom"/>
          </w:tcPr>
          <w:p>
            <w:pPr>
              <w:pStyle w:val="TableContents"/>
              <w:bidi w:val="0"/>
              <w:spacing w:before="0" w:after="0"/>
              <w:ind w:left="180" w:right="0" w:hanging="0"/>
              <w:jc w:val="left"/>
              <w:rPr>
                <w:b/>
                <w:color w:val="000000"/>
              </w:rPr>
            </w:pPr>
            <w:r>
              <w:rPr>
                <w:b/>
                <w:color w:val="000000"/>
              </w:rPr>
              <w:t>Balance, December 31, 2022</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6,214,672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730" w:type="dxa"/>
            <w:tcBorders/>
            <w:shd w:fill="CCEEFF" w:val="clear"/>
            <w:vAlign w:val="bottom"/>
          </w:tcPr>
          <w:p>
            <w:pPr>
              <w:pStyle w:val="TableContents"/>
              <w:bidi w:val="0"/>
              <w:spacing w:before="0" w:after="0"/>
              <w:jc w:val="right"/>
              <w:rPr>
                <w:color w:val="000000"/>
              </w:rPr>
            </w:pPr>
            <w:r>
              <w:rPr>
                <w:color w:val="000000"/>
              </w:rPr>
              <w:t>62,147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color w:val="000000"/>
              </w:rPr>
            </w:pPr>
            <w:r>
              <w:rPr>
                <w:color w:val="000000"/>
              </w:rPr>
              <w:t>$</w:t>
            </w:r>
          </w:p>
        </w:tc>
        <w:tc>
          <w:tcPr>
            <w:tcW w:w="1322" w:type="dxa"/>
            <w:tcBorders/>
            <w:shd w:fill="CCEEFF" w:val="clear"/>
            <w:vAlign w:val="bottom"/>
          </w:tcPr>
          <w:p>
            <w:pPr>
              <w:pStyle w:val="TableContents"/>
              <w:bidi w:val="0"/>
              <w:spacing w:before="0" w:after="0"/>
              <w:jc w:val="right"/>
              <w:rPr>
                <w:color w:val="000000"/>
              </w:rPr>
            </w:pPr>
            <w:r>
              <w:rPr>
                <w:color w:val="000000"/>
              </w:rPr>
              <w:t>84,917,788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1" w:type="dxa"/>
            <w:tcBorders/>
            <w:shd w:fill="CCEEFF" w:val="clear"/>
            <w:vAlign w:val="bottom"/>
          </w:tcPr>
          <w:p>
            <w:pPr>
              <w:pStyle w:val="TableContents"/>
              <w:bidi w:val="0"/>
              <w:spacing w:before="0" w:after="0"/>
              <w:jc w:val="left"/>
              <w:rPr>
                <w:color w:val="000000"/>
              </w:rPr>
            </w:pPr>
            <w:r>
              <w:rPr>
                <w:color w:val="000000"/>
              </w:rPr>
              <w:t>$</w:t>
            </w:r>
          </w:p>
        </w:tc>
        <w:tc>
          <w:tcPr>
            <w:tcW w:w="1559" w:type="dxa"/>
            <w:tcBorders/>
            <w:shd w:fill="CCEEFF" w:val="clear"/>
            <w:vAlign w:val="bottom"/>
          </w:tcPr>
          <w:p>
            <w:pPr>
              <w:pStyle w:val="TableContents"/>
              <w:bidi w:val="0"/>
              <w:spacing w:before="0" w:after="0"/>
              <w:jc w:val="right"/>
              <w:rPr>
                <w:color w:val="000000"/>
              </w:rPr>
            </w:pPr>
            <w:r>
              <w:rPr>
                <w:color w:val="000000"/>
              </w:rPr>
              <w:t>1,495,794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86,475,729</w:t>
            </w:r>
          </w:p>
        </w:tc>
        <w:tc>
          <w:tcPr>
            <w:tcW w:w="113" w:type="dxa"/>
            <w:tcBorders/>
            <w:shd w:fill="CCEEFF" w:val="clear"/>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0"/>
              <w:ind w:left="180" w:right="0" w:hanging="180"/>
              <w:jc w:val="left"/>
              <w:rPr>
                <w:i/>
                <w:color w:val="000000"/>
              </w:rPr>
            </w:pPr>
            <w:r>
              <w:rPr>
                <w:i/>
                <w:color w:val="000000"/>
              </w:rPr>
              <w:t>Net increase (decrease) in net assets resulting from operations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1"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3087" w:type="dxa"/>
            <w:tcBorders/>
            <w:shd w:fill="CCEEFF" w:val="clear"/>
            <w:vAlign w:val="bottom"/>
          </w:tcPr>
          <w:p>
            <w:pPr>
              <w:pStyle w:val="TableContents"/>
              <w:bidi w:val="0"/>
              <w:spacing w:before="0" w:after="0"/>
              <w:ind w:left="360" w:right="0" w:hanging="180"/>
              <w:jc w:val="left"/>
              <w:rPr>
                <w:color w:val="000000"/>
              </w:rPr>
            </w:pPr>
            <w:r>
              <w:rPr>
                <w:color w:val="000000"/>
              </w:rPr>
              <w:t>Net investment income (loss)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1"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0"/>
              <w:jc w:val="right"/>
              <w:rPr>
                <w:color w:val="000000"/>
              </w:rPr>
            </w:pPr>
            <w:r>
              <w:rPr>
                <w:color w:val="000000"/>
              </w:rPr>
              <w:t>3,270,135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3,270,135</w:t>
            </w:r>
          </w:p>
        </w:tc>
        <w:tc>
          <w:tcPr>
            <w:tcW w:w="113" w:type="dxa"/>
            <w:tcBorders/>
            <w:shd w:fill="CCEEFF" w:val="clear"/>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0"/>
              <w:ind w:left="360" w:right="0" w:hanging="180"/>
              <w:jc w:val="left"/>
              <w:rPr>
                <w:color w:val="000000"/>
              </w:rPr>
            </w:pPr>
            <w:r>
              <w:rPr>
                <w:color w:val="000000"/>
              </w:rPr>
              <w:t>Net realized gain (loss) from investments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1"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0"/>
              <w:jc w:val="right"/>
              <w:rPr>
                <w:color w:val="000000"/>
              </w:rPr>
            </w:pPr>
            <w:r>
              <w:rPr>
                <w:color w:val="000000"/>
              </w:rPr>
              <w:t>(210,767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(210,767</w:t>
            </w:r>
          </w:p>
        </w:tc>
        <w:tc>
          <w:tcPr>
            <w:tcW w:w="113" w:type="dxa"/>
            <w:tcBorders/>
            <w:vAlign w:val="bottom"/>
          </w:tcPr>
          <w:p>
            <w:pPr>
              <w:pStyle w:val="TableContents"/>
              <w:bidi w:val="0"/>
              <w:spacing w:before="0" w:after="0"/>
              <w:jc w:val="left"/>
              <w:rPr>
                <w:color w:val="000000"/>
              </w:rPr>
            </w:pPr>
            <w:r>
              <w:rPr>
                <w:color w:val="000000"/>
              </w:rPr>
              <w:t>)</w:t>
            </w:r>
          </w:p>
        </w:tc>
      </w:tr>
      <w:tr>
        <w:trPr/>
        <w:tc>
          <w:tcPr>
            <w:tcW w:w="3087" w:type="dxa"/>
            <w:tcBorders/>
            <w:shd w:fill="CCEEFF" w:val="clear"/>
            <w:vAlign w:val="bottom"/>
          </w:tcPr>
          <w:p>
            <w:pPr>
              <w:pStyle w:val="TableContents"/>
              <w:bidi w:val="0"/>
              <w:spacing w:before="0" w:after="0"/>
              <w:ind w:left="360" w:right="0" w:hanging="180"/>
              <w:jc w:val="left"/>
              <w:rPr>
                <w:color w:val="000000"/>
              </w:rPr>
            </w:pPr>
            <w:r>
              <w:rPr>
                <w:color w:val="000000"/>
              </w:rPr>
              <w:t>Net change in unrealized appreciation (depreciation) from investments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5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509,116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509,116</w:t>
            </w:r>
          </w:p>
        </w:tc>
        <w:tc>
          <w:tcPr>
            <w:tcW w:w="113" w:type="dxa"/>
            <w:tcBorders/>
            <w:shd w:fill="CCEEFF" w:val="clear"/>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0"/>
              <w:ind w:left="540" w:right="0" w:hanging="180"/>
              <w:jc w:val="left"/>
              <w:rPr>
                <w:color w:val="000000"/>
              </w:rPr>
            </w:pPr>
            <w:r>
              <w:rPr>
                <w:color w:val="000000"/>
              </w:rPr>
              <w:t>Total net increase (decrease) in net assets resulting from operations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1"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0"/>
              <w:jc w:val="right"/>
              <w:rPr>
                <w:color w:val="000000"/>
              </w:rPr>
            </w:pPr>
            <w:r>
              <w:rPr>
                <w:color w:val="000000"/>
              </w:rPr>
              <w:t>3,568,484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3,568,484</w:t>
            </w:r>
          </w:p>
        </w:tc>
        <w:tc>
          <w:tcPr>
            <w:tcW w:w="113" w:type="dxa"/>
            <w:tcBorders/>
            <w:vAlign w:val="bottom"/>
          </w:tcPr>
          <w:p>
            <w:pPr>
              <w:pStyle w:val="TableContents"/>
              <w:bidi w:val="0"/>
              <w:spacing w:before="0" w:after="283"/>
              <w:jc w:val="left"/>
              <w:rPr/>
            </w:pPr>
            <w:r>
              <w:rPr/>
              <w:t> </w:t>
            </w:r>
          </w:p>
        </w:tc>
      </w:tr>
      <w:tr>
        <w:trPr/>
        <w:tc>
          <w:tcPr>
            <w:tcW w:w="3087" w:type="dxa"/>
            <w:tcBorders/>
            <w:shd w:fill="CCEEFF" w:val="clear"/>
            <w:vAlign w:val="bottom"/>
          </w:tcPr>
          <w:p>
            <w:pPr>
              <w:pStyle w:val="TableContents"/>
              <w:bidi w:val="0"/>
              <w:spacing w:before="0" w:after="0"/>
              <w:ind w:left="180" w:right="0" w:hanging="180"/>
              <w:jc w:val="left"/>
              <w:rPr>
                <w:i/>
                <w:color w:val="000000"/>
              </w:rPr>
            </w:pPr>
            <w:r>
              <w:rPr>
                <w:i/>
                <w:color w:val="000000"/>
              </w:rPr>
              <w:t>Capital transactions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1"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0"/>
              <w:ind w:left="360" w:right="0" w:hanging="180"/>
              <w:jc w:val="left"/>
              <w:rPr>
                <w:color w:val="000000"/>
              </w:rPr>
            </w:pPr>
            <w:r>
              <w:rPr>
                <w:color w:val="000000"/>
              </w:rPr>
              <w:t>Issuance of common stock</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7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1" w:type="dxa"/>
            <w:tcBorders>
              <w:bottom w:val="single" w:sz="12" w:space="0" w:color="000000"/>
            </w:tcBorders>
            <w:tcMar>
              <w:bottom w:w="28" w:type="dxa"/>
            </w:tcMar>
            <w:vAlign w:val="bottom"/>
          </w:tcPr>
          <w:p>
            <w:pPr>
              <w:pStyle w:val="TableContents"/>
              <w:bidi w:val="0"/>
              <w:spacing w:before="0" w:after="283"/>
              <w:jc w:val="left"/>
              <w:rPr/>
            </w:pPr>
            <w:r>
              <w:rPr/>
              <w:t> </w:t>
            </w:r>
          </w:p>
        </w:tc>
        <w:tc>
          <w:tcPr>
            <w:tcW w:w="155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13" w:type="dxa"/>
            <w:tcBorders/>
            <w:vAlign w:val="bottom"/>
          </w:tcPr>
          <w:p>
            <w:pPr>
              <w:pStyle w:val="TableContents"/>
              <w:bidi w:val="0"/>
              <w:spacing w:before="0" w:after="283"/>
              <w:jc w:val="left"/>
              <w:rPr/>
            </w:pPr>
            <w:r>
              <w:rPr/>
              <w:t> </w:t>
            </w:r>
          </w:p>
        </w:tc>
      </w:tr>
      <w:tr>
        <w:trPr/>
        <w:tc>
          <w:tcPr>
            <w:tcW w:w="3087" w:type="dxa"/>
            <w:tcBorders/>
            <w:shd w:fill="CCEEFF" w:val="clear"/>
            <w:vAlign w:val="bottom"/>
          </w:tcPr>
          <w:p>
            <w:pPr>
              <w:pStyle w:val="TableContents"/>
              <w:bidi w:val="0"/>
              <w:spacing w:before="0" w:after="0"/>
              <w:ind w:left="180" w:right="0" w:hanging="180"/>
              <w:jc w:val="left"/>
              <w:rPr>
                <w:color w:val="000000"/>
              </w:rPr>
            </w:pPr>
            <w:r>
              <w:rPr>
                <w:color w:val="000000"/>
              </w:rPr>
              <w:t>Total increase (decrease) in net assets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1"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0"/>
              <w:jc w:val="right"/>
              <w:rPr>
                <w:color w:val="000000"/>
              </w:rPr>
            </w:pPr>
            <w:r>
              <w:rPr>
                <w:color w:val="000000"/>
              </w:rPr>
              <w:t>3,568,484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3,568,484</w:t>
            </w:r>
          </w:p>
        </w:tc>
        <w:tc>
          <w:tcPr>
            <w:tcW w:w="113" w:type="dxa"/>
            <w:tcBorders/>
            <w:shd w:fill="CCEEFF" w:val="clear"/>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0"/>
              <w:ind w:left="180" w:right="0" w:hanging="180"/>
              <w:jc w:val="left"/>
              <w:rPr>
                <w:i w:val="false"/>
                <w:caps w:val="false"/>
                <w:smallCaps w:val="false"/>
                <w:color w:val="000000"/>
              </w:rPr>
            </w:pPr>
            <w:r>
              <w:rPr>
                <w:i w:val="false"/>
                <w:caps w:val="false"/>
                <w:smallCaps w:val="false"/>
                <w:color w:val="000000"/>
              </w:rPr>
              <w:t>Effect of permanent adjustments</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7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121,099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1" w:type="dxa"/>
            <w:tcBorders>
              <w:bottom w:val="single" w:sz="12" w:space="0" w:color="000000"/>
            </w:tcBorders>
            <w:tcMar>
              <w:bottom w:w="28" w:type="dxa"/>
            </w:tcMar>
            <w:vAlign w:val="bottom"/>
          </w:tcPr>
          <w:p>
            <w:pPr>
              <w:pStyle w:val="TableContents"/>
              <w:bidi w:val="0"/>
              <w:spacing w:before="0" w:after="283"/>
              <w:jc w:val="left"/>
              <w:rPr/>
            </w:pPr>
            <w:r>
              <w:rPr/>
              <w:t> </w:t>
            </w:r>
          </w:p>
        </w:tc>
        <w:tc>
          <w:tcPr>
            <w:tcW w:w="155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(121,099</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13" w:type="dxa"/>
            <w:tcBorders/>
            <w:vAlign w:val="bottom"/>
          </w:tcPr>
          <w:p>
            <w:pPr>
              <w:pStyle w:val="TableContents"/>
              <w:bidi w:val="0"/>
              <w:spacing w:before="0" w:after="283"/>
              <w:jc w:val="left"/>
              <w:rPr/>
            </w:pPr>
            <w:r>
              <w:rPr/>
              <w:t> </w:t>
            </w:r>
          </w:p>
        </w:tc>
      </w:tr>
      <w:tr>
        <w:trPr/>
        <w:tc>
          <w:tcPr>
            <w:tcW w:w="3087" w:type="dxa"/>
            <w:tcBorders/>
            <w:shd w:fill="CCEEFF" w:val="clear"/>
            <w:vAlign w:val="bottom"/>
          </w:tcPr>
          <w:p>
            <w:pPr>
              <w:pStyle w:val="TableContents"/>
              <w:bidi w:val="0"/>
              <w:spacing w:before="0" w:after="0"/>
              <w:ind w:left="180" w:right="0" w:hanging="0"/>
              <w:jc w:val="left"/>
              <w:rPr>
                <w:b/>
                <w:color w:val="000000"/>
              </w:rPr>
            </w:pPr>
            <w:r>
              <w:rPr>
                <w:b/>
                <w:color w:val="000000"/>
              </w:rPr>
              <w:t>Balance, June 30, 2023</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6,214,672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62,147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2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85,038,887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5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4,943,179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90,044,213</w:t>
            </w:r>
          </w:p>
        </w:tc>
        <w:tc>
          <w:tcPr>
            <w:tcW w:w="11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notes to financial statements.</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bookmarkStart w:id="7" w:name="StatementsofCashFlows"/>
      <w:bookmarkEnd w:id="7"/>
      <w:r>
        <w:rPr>
          <w:rFonts w:ascii="Times New Roman" w:hAnsi="Times New Roman"/>
          <w:b/>
          <w:color w:val="000000"/>
          <w:sz w:val="20"/>
          <w:shd w:fill="FFFFFF" w:val="clear"/>
        </w:rPr>
        <w:t>Statements of Cash Flows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7171"/>
        <w:gridCol w:w="60"/>
        <w:gridCol w:w="156"/>
        <w:gridCol w:w="1227"/>
        <w:gridCol w:w="95"/>
        <w:gridCol w:w="60"/>
        <w:gridCol w:w="149"/>
        <w:gridCol w:w="1175"/>
        <w:gridCol w:w="112"/>
      </w:tblGrid>
      <w:tr>
        <w:trPr/>
        <w:tc>
          <w:tcPr>
            <w:tcW w:w="7171"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2862" w:type="dxa"/>
            <w:gridSpan w:val="6"/>
            <w:tcBorders/>
            <w:vAlign w:val="bottom"/>
          </w:tcPr>
          <w:p>
            <w:pPr>
              <w:pStyle w:val="TableContents"/>
              <w:bidi w:val="0"/>
              <w:spacing w:before="0" w:after="0"/>
              <w:jc w:val="center"/>
              <w:rPr>
                <w:b/>
                <w:color w:val="000000"/>
              </w:rPr>
            </w:pPr>
            <w:r>
              <w:rPr>
                <w:b/>
                <w:color w:val="000000"/>
              </w:rPr>
              <w:t>For the six months ended</w:t>
            </w:r>
          </w:p>
        </w:tc>
        <w:tc>
          <w:tcPr>
            <w:tcW w:w="112" w:type="dxa"/>
            <w:tcBorders/>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383"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xml:space="preserve">  </w:t>
            </w:r>
            <w:r>
              <w:rPr>
                <w:b/>
                <w:color w:val="000000"/>
              </w:rPr>
              <w:t>June 30, 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2023</w:t>
            </w:r>
          </w:p>
        </w:tc>
        <w:tc>
          <w:tcPr>
            <w:tcW w:w="112" w:type="dxa"/>
            <w:tcBorders/>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0"/>
              <w:ind w:left="180" w:right="0" w:hanging="180"/>
              <w:jc w:val="left"/>
              <w:rPr>
                <w:b/>
                <w:color w:val="000000"/>
              </w:rPr>
            </w:pPr>
            <w:r>
              <w:rPr>
                <w:b/>
                <w:color w:val="000000"/>
              </w:rPr>
              <w:t>Cash flows from operating activities</w:t>
            </w:r>
          </w:p>
        </w:tc>
        <w:tc>
          <w:tcPr>
            <w:tcW w:w="60" w:type="dxa"/>
            <w:tcBorders/>
            <w:vAlign w:val="bottom"/>
          </w:tcPr>
          <w:p>
            <w:pPr>
              <w:pStyle w:val="TableContents"/>
              <w:bidi w:val="0"/>
              <w:spacing w:before="0" w:after="283"/>
              <w:jc w:val="left"/>
              <w:rPr/>
            </w:pPr>
            <w:r>
              <w:rPr/>
              <w:t> </w:t>
            </w:r>
          </w:p>
        </w:tc>
        <w:tc>
          <w:tcPr>
            <w:tcW w:w="1383"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4" w:type="dxa"/>
            <w:gridSpan w:val="2"/>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r>
      <w:tr>
        <w:trPr/>
        <w:tc>
          <w:tcPr>
            <w:tcW w:w="7171" w:type="dxa"/>
            <w:tcBorders/>
            <w:shd w:fill="CCEEFF" w:val="clear"/>
            <w:vAlign w:val="bottom"/>
          </w:tcPr>
          <w:p>
            <w:pPr>
              <w:pStyle w:val="TableContents"/>
              <w:bidi w:val="0"/>
              <w:spacing w:before="0" w:after="0"/>
              <w:ind w:left="180" w:right="0" w:hanging="180"/>
              <w:jc w:val="left"/>
              <w:rPr>
                <w:color w:val="000000"/>
              </w:rPr>
            </w:pPr>
            <w:r>
              <w:rPr>
                <w:color w:val="000000"/>
              </w:rPr>
              <w:t>Net increase (decrease) in net assets resulting from operations</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0"/>
              <w:jc w:val="left"/>
              <w:rPr>
                <w:color w:val="000000"/>
              </w:rPr>
            </w:pPr>
            <w:r>
              <w:rPr>
                <w:color w:val="000000"/>
              </w:rPr>
              <w:t>$</w:t>
            </w:r>
          </w:p>
        </w:tc>
        <w:tc>
          <w:tcPr>
            <w:tcW w:w="1227" w:type="dxa"/>
            <w:tcBorders/>
            <w:shd w:fill="CCEEFF" w:val="clear"/>
            <w:vAlign w:val="bottom"/>
          </w:tcPr>
          <w:p>
            <w:pPr>
              <w:pStyle w:val="TableContents"/>
              <w:bidi w:val="0"/>
              <w:spacing w:before="0" w:after="0"/>
              <w:jc w:val="right"/>
              <w:rPr>
                <w:color w:val="000000"/>
              </w:rPr>
            </w:pPr>
            <w:r>
              <w:rPr>
                <w:color w:val="000000"/>
              </w:rPr>
              <w:t>1,812,672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0"/>
              <w:jc w:val="left"/>
              <w:rPr>
                <w:color w:val="000000"/>
              </w:rPr>
            </w:pPr>
            <w:r>
              <w:rPr>
                <w:color w:val="000000"/>
              </w:rPr>
              <w:t>$</w:t>
            </w:r>
          </w:p>
        </w:tc>
        <w:tc>
          <w:tcPr>
            <w:tcW w:w="1175" w:type="dxa"/>
            <w:tcBorders/>
            <w:shd w:fill="CCEEFF" w:val="clear"/>
            <w:vAlign w:val="bottom"/>
          </w:tcPr>
          <w:p>
            <w:pPr>
              <w:pStyle w:val="TableContents"/>
              <w:bidi w:val="0"/>
              <w:spacing w:before="0" w:after="0"/>
              <w:jc w:val="right"/>
              <w:rPr>
                <w:color w:val="000000"/>
              </w:rPr>
            </w:pPr>
            <w:r>
              <w:rPr>
                <w:color w:val="000000"/>
              </w:rPr>
              <w:t>3,568,484</w:t>
            </w:r>
          </w:p>
        </w:tc>
        <w:tc>
          <w:tcPr>
            <w:tcW w:w="112" w:type="dxa"/>
            <w:tcBorders/>
            <w:shd w:fill="CCEEFF" w:val="clear"/>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0"/>
              <w:ind w:left="360" w:right="0" w:hanging="180"/>
              <w:jc w:val="left"/>
              <w:rPr>
                <w:color w:val="000000"/>
              </w:rPr>
            </w:pPr>
            <w:r>
              <w:rPr>
                <w:color w:val="000000"/>
              </w:rPr>
              <w:t>Adjustments to reconcile net increase (decrease) in net assets resulting from operations to net cash provided by (used in) operating activities:</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r>
      <w:tr>
        <w:trPr/>
        <w:tc>
          <w:tcPr>
            <w:tcW w:w="7171" w:type="dxa"/>
            <w:tcBorders/>
            <w:shd w:fill="CCEEFF" w:val="clear"/>
            <w:vAlign w:val="bottom"/>
          </w:tcPr>
          <w:p>
            <w:pPr>
              <w:pStyle w:val="TableContents"/>
              <w:bidi w:val="0"/>
              <w:spacing w:before="0" w:after="0"/>
              <w:ind w:left="360" w:right="0" w:hanging="0"/>
              <w:jc w:val="left"/>
              <w:rPr/>
            </w:pPr>
            <w:r>
              <w:rPr/>
              <w:t>Net realized (gain) loss from investments</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210,767</w:t>
            </w:r>
          </w:p>
        </w:tc>
        <w:tc>
          <w:tcPr>
            <w:tcW w:w="112" w:type="dxa"/>
            <w:tcBorders/>
            <w:shd w:fill="CCEEFF" w:val="clear"/>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0"/>
              <w:ind w:left="540" w:right="0" w:hanging="180"/>
              <w:jc w:val="left"/>
              <w:rPr/>
            </w:pPr>
            <w:r>
              <w:rPr/>
              <w:t>Net change in unrealized (appreciation) depreciation from investments</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0"/>
              <w:jc w:val="right"/>
              <w:rPr>
                <w:color w:val="000000"/>
              </w:rPr>
            </w:pPr>
            <w:r>
              <w:rPr>
                <w:color w:val="000000"/>
              </w:rPr>
              <w:t>(366,848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(509,116</w:t>
            </w:r>
          </w:p>
        </w:tc>
        <w:tc>
          <w:tcPr>
            <w:tcW w:w="112" w:type="dxa"/>
            <w:tcBorders/>
            <w:vAlign w:val="bottom"/>
          </w:tcPr>
          <w:p>
            <w:pPr>
              <w:pStyle w:val="TableContents"/>
              <w:bidi w:val="0"/>
              <w:spacing w:before="0" w:after="0"/>
              <w:jc w:val="left"/>
              <w:rPr>
                <w:color w:val="000000"/>
              </w:rPr>
            </w:pPr>
            <w:r>
              <w:rPr>
                <w:color w:val="000000"/>
              </w:rPr>
              <w:t>)</w:t>
            </w:r>
          </w:p>
        </w:tc>
      </w:tr>
      <w:tr>
        <w:trPr/>
        <w:tc>
          <w:tcPr>
            <w:tcW w:w="7171" w:type="dxa"/>
            <w:tcBorders/>
            <w:shd w:fill="CCEEFF" w:val="clear"/>
            <w:vAlign w:val="bottom"/>
          </w:tcPr>
          <w:p>
            <w:pPr>
              <w:pStyle w:val="TableContents"/>
              <w:bidi w:val="0"/>
              <w:spacing w:before="0" w:after="0"/>
              <w:ind w:left="540" w:right="0" w:hanging="180"/>
              <w:jc w:val="left"/>
              <w:rPr>
                <w:color w:val="000000"/>
              </w:rPr>
            </w:pPr>
            <w:r>
              <w:rPr>
                <w:color w:val="000000"/>
              </w:rPr>
              <w:t>Net (accretion of discounts) and amortization of premiums</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0"/>
              <w:jc w:val="right"/>
              <w:rPr>
                <w:color w:val="000000"/>
              </w:rPr>
            </w:pPr>
            <w:r>
              <w:rPr>
                <w:color w:val="000000"/>
              </w:rPr>
              <w:t>(349,179</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(301,558</w:t>
            </w:r>
          </w:p>
        </w:tc>
        <w:tc>
          <w:tcPr>
            <w:tcW w:w="112" w:type="dxa"/>
            <w:tcBorders/>
            <w:shd w:fill="CCEEFF" w:val="clear"/>
            <w:vAlign w:val="bottom"/>
          </w:tcPr>
          <w:p>
            <w:pPr>
              <w:pStyle w:val="TableContents"/>
              <w:bidi w:val="0"/>
              <w:spacing w:before="0" w:after="0"/>
              <w:jc w:val="left"/>
              <w:rPr>
                <w:color w:val="000000"/>
              </w:rPr>
            </w:pPr>
            <w:r>
              <w:rPr>
                <w:color w:val="000000"/>
              </w:rPr>
              <w:t>)</w:t>
            </w:r>
          </w:p>
        </w:tc>
      </w:tr>
      <w:tr>
        <w:trPr/>
        <w:tc>
          <w:tcPr>
            <w:tcW w:w="7171" w:type="dxa"/>
            <w:tcBorders/>
            <w:vAlign w:val="bottom"/>
          </w:tcPr>
          <w:p>
            <w:pPr>
              <w:pStyle w:val="TableContents"/>
              <w:bidi w:val="0"/>
              <w:spacing w:before="0" w:after="0"/>
              <w:ind w:left="540" w:right="0" w:hanging="180"/>
              <w:jc w:val="left"/>
              <w:rPr>
                <w:color w:val="000000"/>
              </w:rPr>
            </w:pPr>
            <w:r>
              <w:rPr>
                <w:color w:val="000000"/>
              </w:rPr>
              <w:t>Purchase of investments</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0"/>
              <w:jc w:val="right"/>
              <w:rPr>
                <w:color w:val="000000"/>
              </w:rPr>
            </w:pPr>
            <w:r>
              <w:rPr>
                <w:color w:val="000000"/>
              </w:rPr>
              <w:t>(1,575,000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(8,442,000</w:t>
            </w:r>
          </w:p>
        </w:tc>
        <w:tc>
          <w:tcPr>
            <w:tcW w:w="112" w:type="dxa"/>
            <w:tcBorders/>
            <w:vAlign w:val="bottom"/>
          </w:tcPr>
          <w:p>
            <w:pPr>
              <w:pStyle w:val="TableContents"/>
              <w:bidi w:val="0"/>
              <w:spacing w:before="0" w:after="0"/>
              <w:jc w:val="left"/>
              <w:rPr>
                <w:color w:val="000000"/>
              </w:rPr>
            </w:pPr>
            <w:r>
              <w:rPr>
                <w:color w:val="000000"/>
              </w:rPr>
              <w:t>)</w:t>
            </w:r>
          </w:p>
        </w:tc>
      </w:tr>
      <w:tr>
        <w:trPr/>
        <w:tc>
          <w:tcPr>
            <w:tcW w:w="7171" w:type="dxa"/>
            <w:tcBorders/>
            <w:shd w:fill="CCEEFF" w:val="clear"/>
            <w:vAlign w:val="bottom"/>
          </w:tcPr>
          <w:p>
            <w:pPr>
              <w:pStyle w:val="TableContents"/>
              <w:bidi w:val="0"/>
              <w:spacing w:before="0" w:after="0"/>
              <w:ind w:left="360" w:right="0" w:hanging="0"/>
              <w:jc w:val="left"/>
              <w:rPr/>
            </w:pPr>
            <w:r>
              <w:rPr/>
              <w:t>PIK interest capitalized</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(113,137</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(62,587</w:t>
            </w:r>
          </w:p>
        </w:tc>
        <w:tc>
          <w:tcPr>
            <w:tcW w:w="112" w:type="dxa"/>
            <w:tcBorders/>
            <w:shd w:fill="CCEEFF" w:val="clear"/>
            <w:vAlign w:val="bottom"/>
          </w:tcPr>
          <w:p>
            <w:pPr>
              <w:pStyle w:val="TableContents"/>
              <w:bidi w:val="0"/>
              <w:spacing w:before="0" w:after="283"/>
              <w:jc w:val="left"/>
              <w:rPr/>
            </w:pPr>
            <w:r>
              <w:rPr/>
              <w:t>)</w:t>
            </w:r>
          </w:p>
        </w:tc>
      </w:tr>
      <w:tr>
        <w:trPr/>
        <w:tc>
          <w:tcPr>
            <w:tcW w:w="7171" w:type="dxa"/>
            <w:tcBorders/>
            <w:vAlign w:val="bottom"/>
          </w:tcPr>
          <w:p>
            <w:pPr>
              <w:pStyle w:val="TableContents"/>
              <w:bidi w:val="0"/>
              <w:spacing w:before="0" w:after="0"/>
              <w:ind w:left="720" w:right="0" w:hanging="360"/>
              <w:jc w:val="left"/>
              <w:rPr/>
            </w:pPr>
            <w:r>
              <w:rPr/>
              <w:t>Proceeds from sales of investments and principal repayments</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3,126,000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1,690,000</w:t>
            </w:r>
          </w:p>
        </w:tc>
        <w:tc>
          <w:tcPr>
            <w:tcW w:w="112" w:type="dxa"/>
            <w:tcBorders/>
            <w:vAlign w:val="bottom"/>
          </w:tcPr>
          <w:p>
            <w:pPr>
              <w:pStyle w:val="TableContents"/>
              <w:bidi w:val="0"/>
              <w:spacing w:before="0" w:after="283"/>
              <w:jc w:val="left"/>
              <w:rPr/>
            </w:pPr>
            <w:r>
              <w:rPr/>
              <w:t> </w:t>
            </w:r>
          </w:p>
        </w:tc>
      </w:tr>
      <w:tr>
        <w:trPr/>
        <w:tc>
          <w:tcPr>
            <w:tcW w:w="7171" w:type="dxa"/>
            <w:tcBorders/>
            <w:shd w:fill="CCEEFF" w:val="clear"/>
            <w:vAlign w:val="bottom"/>
          </w:tcPr>
          <w:p>
            <w:pPr>
              <w:pStyle w:val="TableContents"/>
              <w:bidi w:val="0"/>
              <w:spacing w:before="0" w:after="0"/>
              <w:ind w:left="180" w:right="0" w:hanging="180"/>
              <w:jc w:val="left"/>
              <w:rPr>
                <w:color w:val="000000"/>
              </w:rPr>
            </w:pPr>
            <w:r>
              <w:rPr>
                <w:color w:val="000000"/>
              </w:rPr>
              <w:t>(Increase)/Decrease in operating assets:</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0"/>
              <w:ind w:left="720" w:right="0" w:hanging="180"/>
              <w:jc w:val="left"/>
              <w:rPr>
                <w:color w:val="000000"/>
              </w:rPr>
            </w:pPr>
            <w:r>
              <w:rPr>
                <w:color w:val="000000"/>
              </w:rPr>
              <w:t>Interest receivable</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0"/>
              <w:jc w:val="right"/>
              <w:rPr>
                <w:color w:val="000000"/>
              </w:rPr>
            </w:pPr>
            <w:r>
              <w:rPr>
                <w:color w:val="000000"/>
              </w:rPr>
              <w:t>116,373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967,713</w:t>
            </w:r>
          </w:p>
        </w:tc>
        <w:tc>
          <w:tcPr>
            <w:tcW w:w="112" w:type="dxa"/>
            <w:tcBorders/>
            <w:vAlign w:val="bottom"/>
          </w:tcPr>
          <w:p>
            <w:pPr>
              <w:pStyle w:val="TableContents"/>
              <w:bidi w:val="0"/>
              <w:spacing w:before="0" w:after="283"/>
              <w:jc w:val="left"/>
              <w:rPr/>
            </w:pPr>
            <w:r>
              <w:rPr/>
              <w:t> </w:t>
            </w:r>
          </w:p>
        </w:tc>
      </w:tr>
      <w:tr>
        <w:trPr/>
        <w:tc>
          <w:tcPr>
            <w:tcW w:w="7171" w:type="dxa"/>
            <w:tcBorders/>
            <w:shd w:fill="CCEEFF" w:val="clear"/>
            <w:vAlign w:val="bottom"/>
          </w:tcPr>
          <w:p>
            <w:pPr>
              <w:pStyle w:val="TableContents"/>
              <w:bidi w:val="0"/>
              <w:spacing w:before="0" w:after="0"/>
              <w:ind w:left="540" w:right="0" w:hanging="0"/>
              <w:jc w:val="left"/>
              <w:rPr/>
            </w:pPr>
            <w:r>
              <w:rPr/>
              <w:t>Paydown receivable</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(21,000</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w:t>
            </w:r>
          </w:p>
        </w:tc>
        <w:tc>
          <w:tcPr>
            <w:tcW w:w="112" w:type="dxa"/>
            <w:tcBorders/>
            <w:shd w:fill="CCEEFF" w:val="clear"/>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0"/>
              <w:ind w:left="540" w:right="0" w:hanging="0"/>
              <w:jc w:val="left"/>
              <w:rPr/>
            </w:pPr>
            <w:r>
              <w:rPr/>
              <w:t>Other assets</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(19,913</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w:t>
            </w:r>
          </w:p>
        </w:tc>
        <w:tc>
          <w:tcPr>
            <w:tcW w:w="112" w:type="dxa"/>
            <w:tcBorders/>
            <w:vAlign w:val="bottom"/>
          </w:tcPr>
          <w:p>
            <w:pPr>
              <w:pStyle w:val="TableContents"/>
              <w:bidi w:val="0"/>
              <w:spacing w:before="0" w:after="283"/>
              <w:jc w:val="left"/>
              <w:rPr/>
            </w:pPr>
            <w:r>
              <w:rPr/>
              <w:t> </w:t>
            </w:r>
          </w:p>
        </w:tc>
      </w:tr>
      <w:tr>
        <w:trPr/>
        <w:tc>
          <w:tcPr>
            <w:tcW w:w="7171" w:type="dxa"/>
            <w:tcBorders/>
            <w:shd w:fill="CCEEFF" w:val="clear"/>
            <w:vAlign w:val="bottom"/>
          </w:tcPr>
          <w:p>
            <w:pPr>
              <w:pStyle w:val="TableContents"/>
              <w:bidi w:val="0"/>
              <w:spacing w:before="0" w:after="0"/>
              <w:ind w:left="720" w:right="0" w:hanging="180"/>
              <w:jc w:val="left"/>
              <w:rPr>
                <w:color w:val="000000"/>
              </w:rPr>
            </w:pPr>
            <w:r>
              <w:rPr>
                <w:color w:val="000000"/>
              </w:rPr>
              <w:t>Prepaid expenses</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0"/>
              <w:jc w:val="right"/>
              <w:rPr>
                <w:color w:val="000000"/>
              </w:rPr>
            </w:pPr>
            <w:r>
              <w:rPr>
                <w:color w:val="000000"/>
              </w:rPr>
              <w:t>(143,669</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(147,334</w:t>
            </w:r>
          </w:p>
        </w:tc>
        <w:tc>
          <w:tcPr>
            <w:tcW w:w="112" w:type="dxa"/>
            <w:tcBorders/>
            <w:shd w:fill="CCEEFF" w:val="clear"/>
            <w:vAlign w:val="bottom"/>
          </w:tcPr>
          <w:p>
            <w:pPr>
              <w:pStyle w:val="TableContents"/>
              <w:bidi w:val="0"/>
              <w:spacing w:before="0" w:after="0"/>
              <w:jc w:val="left"/>
              <w:rPr>
                <w:color w:val="000000"/>
              </w:rPr>
            </w:pPr>
            <w:r>
              <w:rPr>
                <w:color w:val="000000"/>
              </w:rPr>
              <w:t>)</w:t>
            </w:r>
          </w:p>
        </w:tc>
      </w:tr>
      <w:tr>
        <w:trPr/>
        <w:tc>
          <w:tcPr>
            <w:tcW w:w="7171" w:type="dxa"/>
            <w:tcBorders/>
            <w:vAlign w:val="bottom"/>
          </w:tcPr>
          <w:p>
            <w:pPr>
              <w:pStyle w:val="TableContents"/>
              <w:bidi w:val="0"/>
              <w:spacing w:before="0" w:after="0"/>
              <w:ind w:left="180" w:right="0" w:hanging="180"/>
              <w:jc w:val="left"/>
              <w:rPr>
                <w:color w:val="000000"/>
              </w:rPr>
            </w:pPr>
            <w:r>
              <w:rPr>
                <w:color w:val="000000"/>
              </w:rPr>
              <w:t>Increase/(Decrease) in operating liabilities:</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r>
      <w:tr>
        <w:trPr/>
        <w:tc>
          <w:tcPr>
            <w:tcW w:w="7171" w:type="dxa"/>
            <w:tcBorders/>
            <w:shd w:fill="CCEEFF" w:val="clear"/>
            <w:vAlign w:val="bottom"/>
          </w:tcPr>
          <w:p>
            <w:pPr>
              <w:pStyle w:val="TableContents"/>
              <w:bidi w:val="0"/>
              <w:spacing w:before="0" w:after="0"/>
              <w:ind w:left="720" w:right="0" w:hanging="180"/>
              <w:jc w:val="left"/>
              <w:rPr>
                <w:color w:val="000000"/>
              </w:rPr>
            </w:pPr>
            <w:r>
              <w:rPr>
                <w:color w:val="000000"/>
              </w:rPr>
              <w:t>Income-based incentive fees payable</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0"/>
              <w:jc w:val="right"/>
              <w:rPr>
                <w:color w:val="000000"/>
              </w:rPr>
            </w:pPr>
            <w:r>
              <w:rPr>
                <w:color w:val="000000"/>
              </w:rPr>
              <w:t>328,503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646,494</w:t>
            </w:r>
          </w:p>
        </w:tc>
        <w:tc>
          <w:tcPr>
            <w:tcW w:w="112" w:type="dxa"/>
            <w:tcBorders/>
            <w:shd w:fill="CCEEFF" w:val="clear"/>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0"/>
              <w:ind w:left="540" w:right="0" w:hanging="0"/>
              <w:jc w:val="left"/>
              <w:rPr/>
            </w:pPr>
            <w:r>
              <w:rPr/>
              <w:t>Management fee payable</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(10,797</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86,524</w:t>
            </w:r>
          </w:p>
        </w:tc>
        <w:tc>
          <w:tcPr>
            <w:tcW w:w="112" w:type="dxa"/>
            <w:tcBorders/>
            <w:vAlign w:val="bottom"/>
          </w:tcPr>
          <w:p>
            <w:pPr>
              <w:pStyle w:val="TableContents"/>
              <w:bidi w:val="0"/>
              <w:spacing w:before="0" w:after="283"/>
              <w:jc w:val="left"/>
              <w:rPr/>
            </w:pPr>
            <w:r>
              <w:rPr/>
              <w:t> </w:t>
            </w:r>
          </w:p>
        </w:tc>
      </w:tr>
      <w:tr>
        <w:trPr/>
        <w:tc>
          <w:tcPr>
            <w:tcW w:w="7171" w:type="dxa"/>
            <w:tcBorders/>
            <w:shd w:fill="CCEEFF" w:val="clear"/>
            <w:vAlign w:val="bottom"/>
          </w:tcPr>
          <w:p>
            <w:pPr>
              <w:pStyle w:val="TableContents"/>
              <w:bidi w:val="0"/>
              <w:spacing w:before="0" w:after="0"/>
              <w:ind w:left="540" w:right="0" w:hanging="0"/>
              <w:jc w:val="left"/>
              <w:rPr/>
            </w:pPr>
            <w:r>
              <w:rPr/>
              <w:t>Capital gains incentive fees payable</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73,370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5,000</w:t>
            </w:r>
          </w:p>
        </w:tc>
        <w:tc>
          <w:tcPr>
            <w:tcW w:w="112" w:type="dxa"/>
            <w:tcBorders/>
            <w:shd w:fill="CCEEFF" w:val="clear"/>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0"/>
              <w:ind w:left="540" w:right="0" w:hanging="0"/>
              <w:jc w:val="left"/>
              <w:rPr/>
            </w:pPr>
            <w:r>
              <w:rPr/>
              <w:t>Legal fees payable</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(28,229</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30,249</w:t>
            </w:r>
          </w:p>
        </w:tc>
        <w:tc>
          <w:tcPr>
            <w:tcW w:w="112" w:type="dxa"/>
            <w:tcBorders/>
            <w:vAlign w:val="bottom"/>
          </w:tcPr>
          <w:p>
            <w:pPr>
              <w:pStyle w:val="TableContents"/>
              <w:bidi w:val="0"/>
              <w:spacing w:before="0" w:after="283"/>
              <w:jc w:val="left"/>
              <w:rPr/>
            </w:pPr>
            <w:r>
              <w:rPr/>
              <w:t> </w:t>
            </w:r>
          </w:p>
        </w:tc>
      </w:tr>
      <w:tr>
        <w:trPr/>
        <w:tc>
          <w:tcPr>
            <w:tcW w:w="7171" w:type="dxa"/>
            <w:tcBorders/>
            <w:shd w:fill="CCEEFF" w:val="clear"/>
            <w:vAlign w:val="bottom"/>
          </w:tcPr>
          <w:p>
            <w:pPr>
              <w:pStyle w:val="TableContents"/>
              <w:bidi w:val="0"/>
              <w:spacing w:before="0" w:after="0"/>
              <w:ind w:left="540" w:right="0" w:hanging="0"/>
              <w:jc w:val="left"/>
              <w:rPr/>
            </w:pPr>
            <w:r>
              <w:rPr/>
              <w:t>Transaction fees payable related to the Loan Portfolio Acquisition</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1,795,520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w:t>
            </w:r>
          </w:p>
        </w:tc>
        <w:tc>
          <w:tcPr>
            <w:tcW w:w="112" w:type="dxa"/>
            <w:tcBorders/>
            <w:shd w:fill="CCEEFF" w:val="clear"/>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0"/>
              <w:ind w:left="720" w:right="0" w:hanging="180"/>
              <w:jc w:val="left"/>
              <w:rPr>
                <w:color w:val="000000"/>
              </w:rPr>
            </w:pPr>
            <w:r>
              <w:rPr>
                <w:color w:val="000000"/>
              </w:rPr>
              <w:t>Valuation fees payable</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0"/>
              <w:jc w:val="right"/>
              <w:rPr>
                <w:color w:val="000000"/>
              </w:rPr>
            </w:pPr>
            <w:r>
              <w:rPr>
                <w:color w:val="000000"/>
              </w:rPr>
              <w:t>9,810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93,185</w:t>
            </w:r>
          </w:p>
        </w:tc>
        <w:tc>
          <w:tcPr>
            <w:tcW w:w="112" w:type="dxa"/>
            <w:tcBorders/>
            <w:vAlign w:val="bottom"/>
          </w:tcPr>
          <w:p>
            <w:pPr>
              <w:pStyle w:val="TableContents"/>
              <w:bidi w:val="0"/>
              <w:spacing w:before="0" w:after="283"/>
              <w:jc w:val="left"/>
              <w:rPr/>
            </w:pPr>
            <w:r>
              <w:rPr/>
              <w:t> </w:t>
            </w:r>
          </w:p>
        </w:tc>
      </w:tr>
      <w:tr>
        <w:trPr/>
        <w:tc>
          <w:tcPr>
            <w:tcW w:w="7171" w:type="dxa"/>
            <w:tcBorders/>
            <w:shd w:fill="CCEEFF" w:val="clear"/>
            <w:vAlign w:val="bottom"/>
          </w:tcPr>
          <w:p>
            <w:pPr>
              <w:pStyle w:val="TableContents"/>
              <w:bidi w:val="0"/>
              <w:spacing w:before="0" w:after="0"/>
              <w:ind w:left="720" w:right="0" w:hanging="180"/>
              <w:jc w:val="left"/>
              <w:rPr>
                <w:color w:val="000000"/>
              </w:rPr>
            </w:pPr>
            <w:r>
              <w:rPr>
                <w:color w:val="000000"/>
              </w:rPr>
              <w:t>Administrator fees payable</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0"/>
              <w:jc w:val="right"/>
              <w:rPr>
                <w:color w:val="000000"/>
              </w:rPr>
            </w:pPr>
            <w:r>
              <w:rPr>
                <w:color w:val="000000"/>
              </w:rPr>
              <w:t>(58,444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32,672</w:t>
            </w:r>
          </w:p>
        </w:tc>
        <w:tc>
          <w:tcPr>
            <w:tcW w:w="112" w:type="dxa"/>
            <w:tcBorders/>
            <w:shd w:fill="CCEEFF" w:val="clear"/>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0"/>
              <w:ind w:left="720" w:right="0" w:hanging="180"/>
              <w:jc w:val="left"/>
              <w:rPr>
                <w:color w:val="000000"/>
              </w:rPr>
            </w:pPr>
            <w:r>
              <w:rPr>
                <w:color w:val="000000"/>
              </w:rPr>
              <w:t>Audit fees payable</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0"/>
              <w:jc w:val="right"/>
              <w:rPr>
                <w:color w:val="000000"/>
              </w:rPr>
            </w:pPr>
            <w:r>
              <w:rPr>
                <w:color w:val="000000"/>
              </w:rPr>
              <w:t>23,850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1,183</w:t>
            </w:r>
          </w:p>
        </w:tc>
        <w:tc>
          <w:tcPr>
            <w:tcW w:w="112" w:type="dxa"/>
            <w:tcBorders/>
            <w:vAlign w:val="bottom"/>
          </w:tcPr>
          <w:p>
            <w:pPr>
              <w:pStyle w:val="TableContents"/>
              <w:bidi w:val="0"/>
              <w:spacing w:before="0" w:after="283"/>
              <w:jc w:val="left"/>
              <w:rPr/>
            </w:pPr>
            <w:r>
              <w:rPr/>
              <w:t> </w:t>
            </w:r>
          </w:p>
        </w:tc>
      </w:tr>
      <w:tr>
        <w:trPr/>
        <w:tc>
          <w:tcPr>
            <w:tcW w:w="7171" w:type="dxa"/>
            <w:tcBorders/>
            <w:shd w:fill="CCEEFF" w:val="clear"/>
            <w:vAlign w:val="bottom"/>
          </w:tcPr>
          <w:p>
            <w:pPr>
              <w:pStyle w:val="TableContents"/>
              <w:bidi w:val="0"/>
              <w:spacing w:before="0" w:after="0"/>
              <w:ind w:left="720" w:right="0" w:hanging="180"/>
              <w:jc w:val="left"/>
              <w:rPr>
                <w:color w:val="000000"/>
              </w:rPr>
            </w:pPr>
            <w:r>
              <w:rPr>
                <w:color w:val="000000"/>
              </w:rPr>
              <w:t>Directors fees payable</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0"/>
              <w:jc w:val="right"/>
              <w:rPr>
                <w:color w:val="000000"/>
              </w:rPr>
            </w:pPr>
            <w:r>
              <w:rPr>
                <w:color w:val="000000"/>
              </w:rPr>
              <w:t>(61,786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(302</w:t>
            </w:r>
          </w:p>
        </w:tc>
        <w:tc>
          <w:tcPr>
            <w:tcW w:w="112" w:type="dxa"/>
            <w:tcBorders/>
            <w:shd w:fill="CCEEFF" w:val="clear"/>
            <w:vAlign w:val="bottom"/>
          </w:tcPr>
          <w:p>
            <w:pPr>
              <w:pStyle w:val="TableContents"/>
              <w:bidi w:val="0"/>
              <w:spacing w:before="0" w:after="0"/>
              <w:jc w:val="left"/>
              <w:rPr>
                <w:color w:val="000000"/>
              </w:rPr>
            </w:pPr>
            <w:r>
              <w:rPr>
                <w:color w:val="000000"/>
              </w:rPr>
              <w:t>)</w:t>
            </w:r>
          </w:p>
        </w:tc>
      </w:tr>
      <w:tr>
        <w:trPr/>
        <w:tc>
          <w:tcPr>
            <w:tcW w:w="7171" w:type="dxa"/>
            <w:tcBorders/>
            <w:vAlign w:val="bottom"/>
          </w:tcPr>
          <w:p>
            <w:pPr>
              <w:pStyle w:val="TableContents"/>
              <w:bidi w:val="0"/>
              <w:spacing w:before="0" w:after="0"/>
              <w:ind w:left="720" w:right="0" w:hanging="180"/>
              <w:jc w:val="left"/>
              <w:rPr>
                <w:color w:val="000000"/>
              </w:rPr>
            </w:pPr>
            <w:r>
              <w:rPr>
                <w:color w:val="000000"/>
              </w:rPr>
              <w:t>Professional fees payable</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0"/>
              <w:jc w:val="right"/>
              <w:rPr>
                <w:color w:val="000000"/>
              </w:rPr>
            </w:pPr>
            <w:r>
              <w:rPr>
                <w:color w:val="000000"/>
              </w:rPr>
              <w:t>(8,418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(2,438</w:t>
            </w:r>
          </w:p>
        </w:tc>
        <w:tc>
          <w:tcPr>
            <w:tcW w:w="112" w:type="dxa"/>
            <w:tcBorders/>
            <w:vAlign w:val="bottom"/>
          </w:tcPr>
          <w:p>
            <w:pPr>
              <w:pStyle w:val="TableContents"/>
              <w:bidi w:val="0"/>
              <w:spacing w:before="0" w:after="0"/>
              <w:jc w:val="left"/>
              <w:rPr>
                <w:color w:val="000000"/>
              </w:rPr>
            </w:pPr>
            <w:r>
              <w:rPr>
                <w:color w:val="000000"/>
              </w:rPr>
              <w:t>)</w:t>
            </w:r>
          </w:p>
        </w:tc>
      </w:tr>
      <w:tr>
        <w:trPr/>
        <w:tc>
          <w:tcPr>
            <w:tcW w:w="7171" w:type="dxa"/>
            <w:tcBorders/>
            <w:shd w:fill="CCEEFF" w:val="clear"/>
            <w:vAlign w:val="bottom"/>
          </w:tcPr>
          <w:p>
            <w:pPr>
              <w:pStyle w:val="TableContents"/>
              <w:bidi w:val="0"/>
              <w:spacing w:before="0" w:after="0"/>
              <w:ind w:left="720" w:right="0" w:hanging="180"/>
              <w:jc w:val="left"/>
              <w:rPr>
                <w:color w:val="000000"/>
              </w:rPr>
            </w:pPr>
            <w:r>
              <w:rPr>
                <w:color w:val="000000"/>
              </w:rPr>
              <w:t>Other payables</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0"/>
              <w:jc w:val="right"/>
              <w:rPr>
                <w:color w:val="000000"/>
              </w:rPr>
            </w:pPr>
            <w:r>
              <w:rPr>
                <w:color w:val="000000"/>
              </w:rPr>
              <w:t>2,806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(18,527</w:t>
            </w:r>
          </w:p>
        </w:tc>
        <w:tc>
          <w:tcPr>
            <w:tcW w:w="112" w:type="dxa"/>
            <w:tcBorders/>
            <w:shd w:fill="CCEEFF" w:val="clear"/>
            <w:vAlign w:val="bottom"/>
          </w:tcPr>
          <w:p>
            <w:pPr>
              <w:pStyle w:val="TableContents"/>
              <w:bidi w:val="0"/>
              <w:spacing w:before="0" w:after="0"/>
              <w:jc w:val="left"/>
              <w:rPr>
                <w:color w:val="000000"/>
              </w:rPr>
            </w:pPr>
            <w:r>
              <w:rPr>
                <w:color w:val="000000"/>
              </w:rPr>
              <w:t>)</w:t>
            </w:r>
          </w:p>
        </w:tc>
      </w:tr>
      <w:tr>
        <w:trPr/>
        <w:tc>
          <w:tcPr>
            <w:tcW w:w="7171" w:type="dxa"/>
            <w:tcBorders/>
            <w:vAlign w:val="bottom"/>
          </w:tcPr>
          <w:p>
            <w:pPr>
              <w:pStyle w:val="TableContents"/>
              <w:bidi w:val="0"/>
              <w:spacing w:before="0" w:after="0"/>
              <w:ind w:left="540" w:right="0" w:hanging="0"/>
              <w:jc w:val="left"/>
              <w:rPr/>
            </w:pPr>
            <w:r>
              <w:rPr/>
              <w:t>Deferred income payable</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62,189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w:t>
            </w:r>
          </w:p>
        </w:tc>
        <w:tc>
          <w:tcPr>
            <w:tcW w:w="112" w:type="dxa"/>
            <w:tcBorders/>
            <w:vAlign w:val="bottom"/>
          </w:tcPr>
          <w:p>
            <w:pPr>
              <w:pStyle w:val="TableContents"/>
              <w:bidi w:val="0"/>
              <w:spacing w:before="0" w:after="283"/>
              <w:jc w:val="left"/>
              <w:rPr/>
            </w:pPr>
            <w:r>
              <w:rPr/>
              <w:t> </w:t>
            </w:r>
          </w:p>
        </w:tc>
      </w:tr>
      <w:tr>
        <w:trPr/>
        <w:tc>
          <w:tcPr>
            <w:tcW w:w="7171" w:type="dxa"/>
            <w:tcBorders/>
            <w:shd w:fill="CCEEFF" w:val="clear"/>
            <w:vAlign w:val="bottom"/>
          </w:tcPr>
          <w:p>
            <w:pPr>
              <w:pStyle w:val="TableContents"/>
              <w:bidi w:val="0"/>
              <w:spacing w:before="0" w:after="0"/>
              <w:ind w:left="540" w:right="0" w:hanging="0"/>
              <w:jc w:val="left"/>
              <w:rPr/>
            </w:pPr>
            <w:r>
              <w:rPr/>
              <w:t>Due to affiliate</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493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2,497</w:t>
            </w:r>
          </w:p>
        </w:tc>
        <w:tc>
          <w:tcPr>
            <w:tcW w:w="112" w:type="dxa"/>
            <w:tcBorders/>
            <w:shd w:fill="CCEEFF" w:val="clear"/>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0"/>
              <w:ind w:left="720" w:right="0" w:hanging="180"/>
              <w:jc w:val="left"/>
              <w:rPr>
                <w:color w:val="000000"/>
              </w:rPr>
            </w:pPr>
            <w:r>
              <w:rPr>
                <w:color w:val="000000"/>
              </w:rPr>
              <w:t>Excise tax payable</w:t>
            </w:r>
          </w:p>
        </w:tc>
        <w:tc>
          <w:tcPr>
            <w:tcW w:w="60" w:type="dxa"/>
            <w:tcBorders/>
            <w:vAlign w:val="bottom"/>
          </w:tcPr>
          <w:p>
            <w:pPr>
              <w:pStyle w:val="TableContents"/>
              <w:bidi w:val="0"/>
              <w:spacing w:before="0" w:after="283"/>
              <w:jc w:val="righ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7" w:type="dxa"/>
            <w:tcBorders>
              <w:bottom w:val="single" w:sz="12" w:space="0" w:color="000000"/>
            </w:tcBorders>
            <w:tcMar>
              <w:bottom w:w="28" w:type="dxa"/>
            </w:tcMar>
            <w:vAlign w:val="bottom"/>
          </w:tcPr>
          <w:p>
            <w:pPr>
              <w:pStyle w:val="TableContents"/>
              <w:bidi w:val="0"/>
              <w:spacing w:before="0" w:after="283"/>
              <w:jc w:val="right"/>
              <w:rPr/>
            </w:pPr>
            <w:r>
              <w:rPr/>
              <w:t>(10,655</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(80,566</w:t>
            </w:r>
          </w:p>
        </w:tc>
        <w:tc>
          <w:tcPr>
            <w:tcW w:w="112" w:type="dxa"/>
            <w:tcBorders/>
            <w:vAlign w:val="bottom"/>
          </w:tcPr>
          <w:p>
            <w:pPr>
              <w:pStyle w:val="TableContents"/>
              <w:bidi w:val="0"/>
              <w:spacing w:before="0" w:after="0"/>
              <w:jc w:val="left"/>
              <w:rPr>
                <w:color w:val="000000"/>
              </w:rPr>
            </w:pPr>
            <w:r>
              <w:rPr>
                <w:color w:val="000000"/>
              </w:rPr>
              <w:t>)</w:t>
            </w:r>
          </w:p>
        </w:tc>
      </w:tr>
      <w:tr>
        <w:trPr/>
        <w:tc>
          <w:tcPr>
            <w:tcW w:w="7171" w:type="dxa"/>
            <w:tcBorders/>
            <w:shd w:fill="CCEEFF" w:val="clear"/>
            <w:vAlign w:val="bottom"/>
          </w:tcPr>
          <w:p>
            <w:pPr>
              <w:pStyle w:val="TableContents"/>
              <w:bidi w:val="0"/>
              <w:spacing w:before="0" w:after="0"/>
              <w:ind w:left="180" w:right="0" w:hanging="180"/>
              <w:jc w:val="left"/>
              <w:rPr>
                <w:b/>
                <w:color w:val="000000"/>
              </w:rPr>
            </w:pPr>
            <w:r>
              <w:rPr>
                <w:b/>
                <w:color w:val="000000"/>
              </w:rPr>
              <w:t>Net cash provided by (used in) operating activities</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4,584,511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(2,229,660</w:t>
            </w:r>
          </w:p>
        </w:tc>
        <w:tc>
          <w:tcPr>
            <w:tcW w:w="112" w:type="dxa"/>
            <w:tcBorders/>
            <w:shd w:fill="CCEEFF" w:val="clear"/>
            <w:vAlign w:val="bottom"/>
          </w:tcPr>
          <w:p>
            <w:pPr>
              <w:pStyle w:val="TableContents"/>
              <w:bidi w:val="0"/>
              <w:spacing w:before="0" w:after="0"/>
              <w:jc w:val="left"/>
              <w:rPr>
                <w:color w:val="000000"/>
              </w:rPr>
            </w:pPr>
            <w:r>
              <w:rPr>
                <w:color w:val="000000"/>
              </w:rPr>
              <w:t>)</w:t>
            </w:r>
          </w:p>
        </w:tc>
      </w:tr>
      <w:tr>
        <w:trPr/>
        <w:tc>
          <w:tcPr>
            <w:tcW w:w="7171"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r>
      <w:tr>
        <w:trPr/>
        <w:tc>
          <w:tcPr>
            <w:tcW w:w="7171" w:type="dxa"/>
            <w:tcBorders/>
            <w:shd w:fill="CCEEFF" w:val="clear"/>
            <w:vAlign w:val="bottom"/>
          </w:tcPr>
          <w:p>
            <w:pPr>
              <w:pStyle w:val="TableContents"/>
              <w:bidi w:val="0"/>
              <w:spacing w:before="0" w:after="0"/>
              <w:ind w:left="180" w:right="0" w:hanging="180"/>
              <w:jc w:val="left"/>
              <w:rPr>
                <w:b/>
                <w:color w:val="000000"/>
              </w:rPr>
            </w:pPr>
            <w:r>
              <w:rPr>
                <w:b/>
                <w:color w:val="000000"/>
              </w:rPr>
              <w:t>Cash flows from financing activities</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0"/>
              <w:ind w:left="360" w:right="0" w:hanging="0"/>
              <w:jc w:val="left"/>
              <w:rPr/>
            </w:pPr>
            <w:r>
              <w:rPr/>
              <w:t>Offering costs paid</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(85,076</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w:t>
            </w:r>
          </w:p>
        </w:tc>
        <w:tc>
          <w:tcPr>
            <w:tcW w:w="112" w:type="dxa"/>
            <w:tcBorders/>
            <w:vAlign w:val="bottom"/>
          </w:tcPr>
          <w:p>
            <w:pPr>
              <w:pStyle w:val="TableContents"/>
              <w:bidi w:val="0"/>
              <w:spacing w:before="0" w:after="283"/>
              <w:jc w:val="left"/>
              <w:rPr/>
            </w:pPr>
            <w:r>
              <w:rPr/>
              <w:t> </w:t>
            </w:r>
          </w:p>
        </w:tc>
      </w:tr>
      <w:tr>
        <w:trPr/>
        <w:tc>
          <w:tcPr>
            <w:tcW w:w="7171" w:type="dxa"/>
            <w:tcBorders/>
            <w:shd w:fill="CCEEFF" w:val="clear"/>
            <w:vAlign w:val="bottom"/>
          </w:tcPr>
          <w:p>
            <w:pPr>
              <w:pStyle w:val="TableContents"/>
              <w:bidi w:val="0"/>
              <w:spacing w:before="0" w:after="0"/>
              <w:ind w:left="360" w:right="0" w:hanging="0"/>
              <w:jc w:val="left"/>
              <w:rPr/>
            </w:pPr>
            <w:r>
              <w:rPr/>
              <w:t>Distributions paid</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bottom"/>
          </w:tcPr>
          <w:p>
            <w:pPr>
              <w:pStyle w:val="TableContents"/>
              <w:bidi w:val="0"/>
              <w:spacing w:before="0" w:after="283"/>
              <w:jc w:val="right"/>
              <w:rPr/>
            </w:pPr>
            <w:r>
              <w:rPr/>
              <w:t>(3,107,219</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112" w:type="dxa"/>
            <w:tcBorders/>
            <w:shd w:fill="CCEEFF" w:val="clear"/>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0"/>
              <w:ind w:left="360" w:right="0" w:hanging="180"/>
              <w:jc w:val="left"/>
              <w:rPr>
                <w:b/>
                <w:color w:val="000000"/>
              </w:rPr>
            </w:pPr>
            <w:r>
              <w:rPr>
                <w:b/>
                <w:color w:val="000000"/>
              </w:rPr>
              <w:t>Net cash provided by (used in) financing activities</w:t>
            </w:r>
          </w:p>
        </w:tc>
        <w:tc>
          <w:tcPr>
            <w:tcW w:w="60" w:type="dxa"/>
            <w:tcBorders/>
            <w:vAlign w:val="bottom"/>
          </w:tcPr>
          <w:p>
            <w:pPr>
              <w:pStyle w:val="TableContents"/>
              <w:bidi w:val="0"/>
              <w:spacing w:before="0" w:after="283"/>
              <w:jc w:val="righ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(3,192,295</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12" w:type="dxa"/>
            <w:tcBorders/>
            <w:vAlign w:val="bottom"/>
          </w:tcPr>
          <w:p>
            <w:pPr>
              <w:pStyle w:val="TableContents"/>
              <w:bidi w:val="0"/>
              <w:spacing w:before="0" w:after="283"/>
              <w:jc w:val="left"/>
              <w:rPr/>
            </w:pPr>
            <w:r>
              <w:rPr/>
              <w:t> </w:t>
            </w:r>
          </w:p>
        </w:tc>
      </w:tr>
      <w:tr>
        <w:trPr/>
        <w:tc>
          <w:tcPr>
            <w:tcW w:w="7171"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0"/>
              <w:ind w:left="180" w:right="0" w:hanging="180"/>
              <w:jc w:val="left"/>
              <w:rPr>
                <w:b/>
                <w:color w:val="000000"/>
              </w:rPr>
            </w:pPr>
            <w:r>
              <w:rPr>
                <w:b/>
                <w:color w:val="000000"/>
              </w:rPr>
              <w:t>Net increase (decrease) in cash and cash equivalents</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0"/>
              <w:jc w:val="right"/>
              <w:rPr>
                <w:color w:val="000000"/>
              </w:rPr>
            </w:pPr>
            <w:r>
              <w:rPr>
                <w:color w:val="000000"/>
              </w:rPr>
              <w:t>1,392,216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(2,229,660</w:t>
            </w:r>
          </w:p>
        </w:tc>
        <w:tc>
          <w:tcPr>
            <w:tcW w:w="112" w:type="dxa"/>
            <w:tcBorders/>
            <w:vAlign w:val="bottom"/>
          </w:tcPr>
          <w:p>
            <w:pPr>
              <w:pStyle w:val="TableContents"/>
              <w:bidi w:val="0"/>
              <w:spacing w:before="0" w:after="0"/>
              <w:jc w:val="left"/>
              <w:rPr>
                <w:color w:val="000000"/>
              </w:rPr>
            </w:pPr>
            <w:r>
              <w:rPr>
                <w:color w:val="000000"/>
              </w:rPr>
              <w:t>)</w:t>
            </w:r>
          </w:p>
        </w:tc>
      </w:tr>
      <w:tr>
        <w:trPr/>
        <w:tc>
          <w:tcPr>
            <w:tcW w:w="7171" w:type="dxa"/>
            <w:tcBorders/>
            <w:shd w:fill="CCEEFF" w:val="clear"/>
            <w:vAlign w:val="bottom"/>
          </w:tcPr>
          <w:p>
            <w:pPr>
              <w:pStyle w:val="TableContents"/>
              <w:bidi w:val="0"/>
              <w:spacing w:before="0" w:after="0"/>
              <w:ind w:left="180" w:right="0" w:hanging="180"/>
              <w:jc w:val="left"/>
              <w:rPr>
                <w:b/>
                <w:color w:val="000000"/>
              </w:rPr>
            </w:pPr>
            <w:r>
              <w:rPr>
                <w:b/>
                <w:color w:val="000000"/>
              </w:rPr>
              <w:t>Cash and cash equivalents, beginning of period</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32,611,635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35,125,320</w:t>
            </w:r>
          </w:p>
        </w:tc>
        <w:tc>
          <w:tcPr>
            <w:tcW w:w="112" w:type="dxa"/>
            <w:tcBorders/>
            <w:shd w:fill="CCEEFF" w:val="clear"/>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0"/>
              <w:ind w:left="180" w:right="0" w:hanging="180"/>
              <w:jc w:val="left"/>
              <w:rPr>
                <w:b/>
                <w:color w:val="000000"/>
              </w:rPr>
            </w:pPr>
            <w:r>
              <w:rPr>
                <w:b/>
                <w:color w:val="000000"/>
              </w:rPr>
              <w:t>Cash and cash equivalents, end of period</w:t>
            </w:r>
          </w:p>
        </w:tc>
        <w:tc>
          <w:tcPr>
            <w:tcW w:w="60" w:type="dxa"/>
            <w:tcBorders/>
            <w:vAlign w:val="bottom"/>
          </w:tcPr>
          <w:p>
            <w:pPr>
              <w:pStyle w:val="TableContents"/>
              <w:bidi w:val="0"/>
              <w:spacing w:before="0" w:after="283"/>
              <w:jc w:val="right"/>
              <w:rPr/>
            </w:pPr>
            <w:r>
              <w:rPr/>
              <w:t> </w:t>
            </w:r>
          </w:p>
        </w:tc>
        <w:tc>
          <w:tcPr>
            <w:tcW w:w="15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2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34,003,851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7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32,895,660</w:t>
            </w:r>
          </w:p>
        </w:tc>
        <w:tc>
          <w:tcPr>
            <w:tcW w:w="112" w:type="dxa"/>
            <w:tcBorders/>
            <w:vAlign w:val="bottom"/>
          </w:tcPr>
          <w:p>
            <w:pPr>
              <w:pStyle w:val="TableContents"/>
              <w:bidi w:val="0"/>
              <w:spacing w:before="0" w:after="283"/>
              <w:jc w:val="left"/>
              <w:rPr/>
            </w:pPr>
            <w:r>
              <w:rPr/>
              <w:t> </w:t>
            </w:r>
          </w:p>
        </w:tc>
      </w:tr>
      <w:tr>
        <w:trPr/>
        <w:tc>
          <w:tcPr>
            <w:tcW w:w="7171"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283"/>
              <w:jc w:val="left"/>
              <w:rPr>
                <w:b/>
              </w:rPr>
            </w:pPr>
            <w:r>
              <w:rPr>
                <w:b/>
              </w:rPr>
              <w:t>Supplemental and non-cash financing activities</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r>
      <w:tr>
        <w:trPr/>
        <w:tc>
          <w:tcPr>
            <w:tcW w:w="7171" w:type="dxa"/>
            <w:tcBorders/>
            <w:shd w:fill="CCEEFF" w:val="clear"/>
            <w:vAlign w:val="bottom"/>
          </w:tcPr>
          <w:p>
            <w:pPr>
              <w:pStyle w:val="TableContents"/>
              <w:bidi w:val="0"/>
              <w:spacing w:before="0" w:after="0"/>
              <w:ind w:left="360" w:right="0" w:hanging="0"/>
              <w:jc w:val="left"/>
              <w:rPr/>
            </w:pPr>
            <w:r>
              <w:rPr/>
              <w:t>Reinvestment of dividend distributions</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257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w:t>
            </w:r>
          </w:p>
        </w:tc>
        <w:tc>
          <w:tcPr>
            <w:tcW w:w="11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notes to financial statements.</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bookmarkStart w:id="8" w:name="ScheduleofInvestments"/>
      <w:bookmarkEnd w:id="8"/>
      <w:r>
        <w:rPr>
          <w:rFonts w:ascii="Times New Roman" w:hAnsi="Times New Roman"/>
          <w:b/>
          <w:color w:val="000000"/>
          <w:sz w:val="20"/>
          <w:shd w:fill="FFFFFF" w:val="clear"/>
        </w:rPr>
        <w:t>Schedule of Investments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June 30, 2024</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13215" w:type="dxa"/>
        <w:jc w:val="left"/>
        <w:tblInd w:w="0" w:type="dxa"/>
        <w:tblLayout w:type="fixed"/>
        <w:tblCellMar>
          <w:top w:w="0" w:type="dxa"/>
          <w:left w:w="0" w:type="dxa"/>
          <w:bottom w:w="28" w:type="dxa"/>
          <w:right w:w="0" w:type="dxa"/>
        </w:tblCellMar>
      </w:tblPr>
      <w:tblGrid>
        <w:gridCol w:w="1310"/>
        <w:gridCol w:w="1165"/>
        <w:gridCol w:w="1165"/>
        <w:gridCol w:w="955"/>
        <w:gridCol w:w="830"/>
        <w:gridCol w:w="60"/>
        <w:gridCol w:w="316"/>
        <w:gridCol w:w="739"/>
        <w:gridCol w:w="60"/>
        <w:gridCol w:w="1205"/>
        <w:gridCol w:w="1085"/>
        <w:gridCol w:w="60"/>
        <w:gridCol w:w="140"/>
        <w:gridCol w:w="845"/>
        <w:gridCol w:w="60"/>
        <w:gridCol w:w="60"/>
        <w:gridCol w:w="187"/>
        <w:gridCol w:w="913"/>
        <w:gridCol w:w="60"/>
        <w:gridCol w:w="60"/>
        <w:gridCol w:w="140"/>
        <w:gridCol w:w="680"/>
        <w:gridCol w:w="60"/>
        <w:gridCol w:w="60"/>
        <w:gridCol w:w="60"/>
        <w:gridCol w:w="680"/>
        <w:gridCol w:w="260"/>
      </w:tblGrid>
      <w:tr>
        <w:trPr/>
        <w:tc>
          <w:tcPr>
            <w:tcW w:w="1310" w:type="dxa"/>
            <w:tcBorders>
              <w:bottom w:val="single" w:sz="12" w:space="0" w:color="000000"/>
            </w:tcBorders>
            <w:vAlign w:val="bottom"/>
          </w:tcPr>
          <w:p>
            <w:pPr>
              <w:pStyle w:val="TableContents"/>
              <w:bidi w:val="0"/>
              <w:spacing w:lineRule="auto" w:line="240" w:before="0" w:after="0"/>
              <w:ind w:left="180" w:right="0" w:hanging="180"/>
              <w:jc w:val="left"/>
              <w:rPr>
                <w:b/>
                <w:color w:val="000000"/>
              </w:rPr>
            </w:pPr>
            <w:r>
              <w:rPr>
                <w:b/>
                <w:color w:val="000000"/>
              </w:rPr>
              <w:t>Portfolio Company (1)(10)(13)</w:t>
            </w:r>
          </w:p>
        </w:tc>
        <w:tc>
          <w:tcPr>
            <w:tcW w:w="1165" w:type="dxa"/>
            <w:tcBorders>
              <w:bottom w:val="single" w:sz="12" w:space="0" w:color="000000"/>
            </w:tcBorders>
            <w:vAlign w:val="bottom"/>
          </w:tcPr>
          <w:p>
            <w:pPr>
              <w:pStyle w:val="TableContents"/>
              <w:bidi w:val="0"/>
              <w:spacing w:lineRule="auto" w:line="240" w:before="0" w:after="0"/>
              <w:ind w:left="20" w:right="20" w:hanging="0"/>
              <w:jc w:val="center"/>
              <w:rPr>
                <w:b/>
                <w:color w:val="000000"/>
              </w:rPr>
            </w:pPr>
            <w:r>
              <w:rPr>
                <w:b/>
                <w:color w:val="000000"/>
              </w:rPr>
              <w:t>Type of Investment (2)</w:t>
            </w:r>
          </w:p>
        </w:tc>
        <w:tc>
          <w:tcPr>
            <w:tcW w:w="1165" w:type="dxa"/>
            <w:tcBorders>
              <w:bottom w:val="single" w:sz="12" w:space="0" w:color="000000"/>
            </w:tcBorders>
            <w:vAlign w:val="bottom"/>
          </w:tcPr>
          <w:p>
            <w:pPr>
              <w:pStyle w:val="TableContents"/>
              <w:bidi w:val="0"/>
              <w:spacing w:before="0" w:after="0"/>
              <w:ind w:left="20" w:right="20" w:hanging="0"/>
              <w:jc w:val="center"/>
              <w:rPr>
                <w:b/>
                <w:color w:val="000000"/>
              </w:rPr>
            </w:pPr>
            <w:r>
              <w:rPr>
                <w:b/>
                <w:color w:val="000000"/>
              </w:rPr>
              <w:t xml:space="preserve">Investment </w:t>
            </w:r>
          </w:p>
          <w:p>
            <w:pPr>
              <w:pStyle w:val="TableContents"/>
              <w:bidi w:val="0"/>
              <w:spacing w:lineRule="auto" w:line="240" w:before="0" w:after="0"/>
              <w:ind w:left="20" w:right="20" w:hanging="0"/>
              <w:jc w:val="center"/>
              <w:rPr>
                <w:b/>
                <w:color w:val="000000"/>
              </w:rPr>
            </w:pPr>
            <w:r>
              <w:rPr>
                <w:b/>
                <w:color w:val="000000"/>
              </w:rPr>
              <w:t>Date (3)</w:t>
            </w:r>
          </w:p>
        </w:tc>
        <w:tc>
          <w:tcPr>
            <w:tcW w:w="955" w:type="dxa"/>
            <w:tcBorders>
              <w:bottom w:val="single" w:sz="12" w:space="0" w:color="000000"/>
            </w:tcBorders>
            <w:vAlign w:val="bottom"/>
          </w:tcPr>
          <w:p>
            <w:pPr>
              <w:pStyle w:val="TableContents"/>
              <w:bidi w:val="0"/>
              <w:spacing w:before="0" w:after="0"/>
              <w:ind w:left="20" w:right="20" w:hanging="0"/>
              <w:jc w:val="center"/>
              <w:rPr>
                <w:b/>
                <w:color w:val="000000"/>
              </w:rPr>
            </w:pPr>
            <w:r>
              <w:rPr>
                <w:b/>
                <w:color w:val="000000"/>
              </w:rPr>
              <w:t>Maturity Date</w:t>
            </w:r>
          </w:p>
        </w:tc>
        <w:tc>
          <w:tcPr>
            <w:tcW w:w="830" w:type="dxa"/>
            <w:tcBorders>
              <w:bottom w:val="single" w:sz="12" w:space="0" w:color="000000"/>
            </w:tcBorders>
            <w:vAlign w:val="bottom"/>
          </w:tcPr>
          <w:p>
            <w:pPr>
              <w:pStyle w:val="TableContents"/>
              <w:bidi w:val="0"/>
              <w:spacing w:lineRule="auto" w:line="240" w:before="0" w:after="0"/>
              <w:ind w:left="20" w:right="20" w:hanging="0"/>
              <w:jc w:val="center"/>
              <w:rPr>
                <w:b/>
                <w:color w:val="000000"/>
              </w:rPr>
            </w:pPr>
            <w:r>
              <w:rPr>
                <w:b/>
                <w:color w:val="000000"/>
              </w:rPr>
              <w:t>Interest Rate (4)</w:t>
            </w:r>
          </w:p>
        </w:tc>
        <w:tc>
          <w:tcPr>
            <w:tcW w:w="60" w:type="dxa"/>
            <w:tcBorders>
              <w:bottom w:val="single" w:sz="12" w:space="0" w:color="000000"/>
            </w:tcBorders>
            <w:vAlign w:val="bottom"/>
          </w:tcPr>
          <w:p>
            <w:pPr>
              <w:pStyle w:val="TableContents"/>
              <w:bidi w:val="0"/>
              <w:spacing w:before="0" w:after="283"/>
              <w:jc w:val="left"/>
              <w:rPr/>
            </w:pPr>
            <w:r>
              <w:rPr/>
              <w:t> </w:t>
            </w:r>
          </w:p>
        </w:tc>
        <w:tc>
          <w:tcPr>
            <w:tcW w:w="1055" w:type="dxa"/>
            <w:gridSpan w:val="2"/>
            <w:tcBorders>
              <w:bottom w:val="single" w:sz="12" w:space="0" w:color="000000"/>
            </w:tcBorders>
            <w:vAlign w:val="bottom"/>
          </w:tcPr>
          <w:p>
            <w:pPr>
              <w:pStyle w:val="TableContents"/>
              <w:bidi w:val="0"/>
              <w:spacing w:before="0" w:after="0"/>
              <w:jc w:val="center"/>
              <w:rPr>
                <w:b/>
                <w:color w:val="000000"/>
              </w:rPr>
            </w:pPr>
            <w:r>
              <w:rPr>
                <w:b/>
                <w:color w:val="000000"/>
              </w:rPr>
              <w:t xml:space="preserve">Fair Value </w:t>
            </w:r>
          </w:p>
          <w:p>
            <w:pPr>
              <w:pStyle w:val="TableContents"/>
              <w:bidi w:val="0"/>
              <w:spacing w:lineRule="auto" w:line="240" w:before="0" w:after="0"/>
              <w:jc w:val="center"/>
              <w:rPr>
                <w:b/>
                <w:color w:val="000000"/>
              </w:rPr>
            </w:pPr>
            <w:r>
              <w:rPr>
                <w:b/>
                <w:color w:val="000000"/>
              </w:rPr>
              <w:t>Hierarchy (5)</w:t>
            </w:r>
          </w:p>
        </w:tc>
        <w:tc>
          <w:tcPr>
            <w:tcW w:w="60" w:type="dxa"/>
            <w:tcBorders>
              <w:bottom w:val="single" w:sz="12" w:space="0" w:color="000000"/>
            </w:tcBorders>
            <w:vAlign w:val="bottom"/>
          </w:tcPr>
          <w:p>
            <w:pPr>
              <w:pStyle w:val="TableContents"/>
              <w:bidi w:val="0"/>
              <w:spacing w:before="0" w:after="283"/>
              <w:jc w:val="left"/>
              <w:rPr/>
            </w:pPr>
            <w:r>
              <w:rPr/>
              <w:t> </w:t>
            </w:r>
          </w:p>
        </w:tc>
        <w:tc>
          <w:tcPr>
            <w:tcW w:w="1205" w:type="dxa"/>
            <w:tcBorders>
              <w:bottom w:val="single" w:sz="12" w:space="0" w:color="000000"/>
            </w:tcBorders>
            <w:vAlign w:val="bottom"/>
          </w:tcPr>
          <w:p>
            <w:pPr>
              <w:pStyle w:val="TableContents"/>
              <w:bidi w:val="0"/>
              <w:spacing w:lineRule="auto" w:line="240" w:before="0" w:after="0"/>
              <w:jc w:val="center"/>
              <w:rPr>
                <w:b/>
                <w:color w:val="000000"/>
              </w:rPr>
            </w:pPr>
            <w:r>
              <w:rPr>
                <w:b/>
                <w:color w:val="000000"/>
              </w:rPr>
              <w:t>Geographic</w:t>
              <w:br/>
              <w:t>Region (6)</w:t>
            </w:r>
          </w:p>
        </w:tc>
        <w:tc>
          <w:tcPr>
            <w:tcW w:w="1085" w:type="dxa"/>
            <w:tcBorders>
              <w:bottom w:val="single" w:sz="12" w:space="0" w:color="000000"/>
            </w:tcBorders>
            <w:vAlign w:val="bottom"/>
          </w:tcPr>
          <w:p>
            <w:pPr>
              <w:pStyle w:val="TableContents"/>
              <w:bidi w:val="0"/>
              <w:spacing w:before="0" w:after="0"/>
              <w:jc w:val="center"/>
              <w:rPr>
                <w:b/>
                <w:color w:val="000000"/>
              </w:rPr>
            </w:pPr>
            <w:r>
              <w:rPr>
                <w:b/>
                <w:color w:val="000000"/>
              </w:rPr>
              <w:t>Non-</w:t>
            </w:r>
          </w:p>
          <w:p>
            <w:pPr>
              <w:pStyle w:val="TableContents"/>
              <w:bidi w:val="0"/>
              <w:spacing w:before="0" w:after="0"/>
              <w:jc w:val="center"/>
              <w:rPr>
                <w:b/>
                <w:color w:val="000000"/>
              </w:rPr>
            </w:pPr>
            <w:r>
              <w:rPr>
                <w:b/>
                <w:color w:val="000000"/>
              </w:rPr>
              <w:t xml:space="preserve">Qualifying </w:t>
            </w:r>
          </w:p>
          <w:p>
            <w:pPr>
              <w:pStyle w:val="TableContents"/>
              <w:bidi w:val="0"/>
              <w:spacing w:lineRule="auto" w:line="240" w:before="0" w:after="0"/>
              <w:jc w:val="center"/>
              <w:rPr>
                <w:b/>
                <w:color w:val="000000"/>
              </w:rPr>
            </w:pPr>
            <w:r>
              <w:rPr>
                <w:b/>
                <w:color w:val="000000"/>
              </w:rPr>
              <w:t>Asset (7)</w:t>
            </w:r>
          </w:p>
        </w:tc>
        <w:tc>
          <w:tcPr>
            <w:tcW w:w="60" w:type="dxa"/>
            <w:tcBorders>
              <w:bottom w:val="single" w:sz="12" w:space="0" w:color="000000"/>
            </w:tcBorders>
            <w:vAlign w:val="bottom"/>
          </w:tcPr>
          <w:p>
            <w:pPr>
              <w:pStyle w:val="TableContents"/>
              <w:bidi w:val="0"/>
              <w:spacing w:before="0" w:after="283"/>
              <w:jc w:val="left"/>
              <w:rPr/>
            </w:pPr>
            <w:r>
              <w:rPr/>
              <w:t> </w:t>
            </w:r>
          </w:p>
        </w:tc>
        <w:tc>
          <w:tcPr>
            <w:tcW w:w="985" w:type="dxa"/>
            <w:gridSpan w:val="2"/>
            <w:tcBorders>
              <w:bottom w:val="single" w:sz="12" w:space="0" w:color="000000"/>
            </w:tcBorders>
            <w:vAlign w:val="bottom"/>
          </w:tcPr>
          <w:p>
            <w:pPr>
              <w:pStyle w:val="TableContents"/>
              <w:bidi w:val="0"/>
              <w:spacing w:before="0" w:after="0"/>
              <w:jc w:val="center"/>
              <w:rPr>
                <w:b/>
                <w:color w:val="000000"/>
              </w:rPr>
            </w:pPr>
            <w:r>
              <w:rPr>
                <w:b/>
                <w:color w:val="000000"/>
              </w:rPr>
              <w:t xml:space="preserve">Principal </w:t>
            </w:r>
          </w:p>
          <w:p>
            <w:pPr>
              <w:pStyle w:val="TableContents"/>
              <w:bidi w:val="0"/>
              <w:spacing w:lineRule="auto" w:line="240" w:before="0" w:after="0"/>
              <w:jc w:val="center"/>
              <w:rPr>
                <w:b/>
                <w:color w:val="000000"/>
              </w:rPr>
            </w:pPr>
            <w:r>
              <w:rPr>
                <w:b/>
                <w:color w:val="000000"/>
              </w:rPr>
              <w:t>Amount (8)</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1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820" w:type="dxa"/>
            <w:gridSpan w:val="2"/>
            <w:tcBorders>
              <w:bottom w:val="single" w:sz="12" w:space="0" w:color="000000"/>
            </w:tcBorders>
            <w:vAlign w:val="bottom"/>
          </w:tcPr>
          <w:p>
            <w:pPr>
              <w:pStyle w:val="TableContents"/>
              <w:bidi w:val="0"/>
              <w:spacing w:lineRule="auto" w:line="240" w:before="0" w:after="0"/>
              <w:jc w:val="center"/>
              <w:rPr>
                <w:b/>
                <w:color w:val="000000"/>
              </w:rPr>
            </w:pPr>
            <w:r>
              <w:rPr>
                <w:b/>
                <w:color w:val="000000"/>
              </w:rPr>
              <w:t>Fair Value (9)</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740" w:type="dxa"/>
            <w:gridSpan w:val="2"/>
            <w:tcBorders>
              <w:bottom w:val="single" w:sz="12" w:space="0" w:color="000000"/>
            </w:tcBorders>
            <w:vAlign w:val="bottom"/>
          </w:tcPr>
          <w:p>
            <w:pPr>
              <w:pStyle w:val="TableContents"/>
              <w:bidi w:val="0"/>
              <w:spacing w:before="0" w:after="0"/>
              <w:jc w:val="center"/>
              <w:rPr>
                <w:b/>
                <w:color w:val="000000"/>
              </w:rPr>
            </w:pPr>
            <w:r>
              <w:rPr>
                <w:b/>
                <w:color w:val="000000"/>
              </w:rPr>
              <w:t xml:space="preserve">% of Net </w:t>
            </w:r>
          </w:p>
          <w:p>
            <w:pPr>
              <w:pStyle w:val="TableContents"/>
              <w:bidi w:val="0"/>
              <w:spacing w:before="0" w:after="0"/>
              <w:jc w:val="center"/>
              <w:rPr>
                <w:b/>
                <w:color w:val="000000"/>
              </w:rPr>
            </w:pPr>
            <w:r>
              <w:rPr>
                <w:b/>
                <w:color w:val="000000"/>
              </w:rPr>
              <w:t>Assets</w:t>
            </w:r>
          </w:p>
        </w:tc>
        <w:tc>
          <w:tcPr>
            <w:tcW w:w="260" w:type="dxa"/>
            <w:tcBorders>
              <w:bottom w:val="single" w:sz="12" w:space="0" w:color="000000"/>
            </w:tcBorders>
            <w:vAlign w:val="bottom"/>
          </w:tcPr>
          <w:p>
            <w:pPr>
              <w:pStyle w:val="TableContents"/>
              <w:bidi w:val="0"/>
              <w:spacing w:before="0" w:after="283"/>
              <w:jc w:val="left"/>
              <w:rPr/>
            </w:pPr>
            <w:r>
              <w:rPr/>
              <w:t> </w:t>
            </w:r>
          </w:p>
        </w:tc>
      </w:tr>
      <w:tr>
        <w:trPr/>
        <w:tc>
          <w:tcPr>
            <w:tcW w:w="1310" w:type="dxa"/>
            <w:tcBorders/>
            <w:tcMar>
              <w:bottom w:w="0" w:type="dxa"/>
            </w:tcMar>
            <w:vAlign w:val="bottom"/>
          </w:tcPr>
          <w:p>
            <w:pPr>
              <w:pStyle w:val="TableContents"/>
              <w:bidi w:val="0"/>
              <w:spacing w:before="0" w:after="0"/>
              <w:ind w:left="180" w:right="0" w:hanging="180"/>
              <w:jc w:val="left"/>
              <w:rPr>
                <w:b/>
                <w:color w:val="000000"/>
              </w:rPr>
            </w:pPr>
            <w:r>
              <w:rPr>
                <w:b/>
                <w:color w:val="000000"/>
              </w:rPr>
              <w:t>Debt Securities - United States</w:t>
            </w:r>
          </w:p>
        </w:tc>
        <w:tc>
          <w:tcPr>
            <w:tcW w:w="1165" w:type="dxa"/>
            <w:tcBorders/>
            <w:tcMar>
              <w:bottom w:w="0" w:type="dxa"/>
            </w:tcMar>
            <w:vAlign w:val="bottom"/>
          </w:tcPr>
          <w:p>
            <w:pPr>
              <w:pStyle w:val="TableContents"/>
              <w:bidi w:val="0"/>
              <w:spacing w:before="0" w:after="283"/>
              <w:jc w:val="left"/>
              <w:rPr/>
            </w:pPr>
            <w:r>
              <w:rPr/>
              <w:t> </w:t>
            </w:r>
          </w:p>
        </w:tc>
        <w:tc>
          <w:tcPr>
            <w:tcW w:w="1165" w:type="dxa"/>
            <w:tcBorders/>
            <w:tcMar>
              <w:bottom w:w="0" w:type="dxa"/>
            </w:tcMar>
            <w:vAlign w:val="bottom"/>
          </w:tcPr>
          <w:p>
            <w:pPr>
              <w:pStyle w:val="TableContents"/>
              <w:bidi w:val="0"/>
              <w:spacing w:before="0" w:after="283"/>
              <w:jc w:val="left"/>
              <w:rPr/>
            </w:pPr>
            <w:r>
              <w:rPr/>
              <w:t> </w:t>
            </w:r>
          </w:p>
        </w:tc>
        <w:tc>
          <w:tcPr>
            <w:tcW w:w="955"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055"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85"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100"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20"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40" w:type="dxa"/>
            <w:gridSpan w:val="2"/>
            <w:tcBorders/>
            <w:tcMar>
              <w:bottom w:w="0" w:type="dxa"/>
            </w:tcMar>
            <w:vAlign w:val="bottom"/>
          </w:tcPr>
          <w:p>
            <w:pPr>
              <w:pStyle w:val="TableContents"/>
              <w:bidi w:val="0"/>
              <w:spacing w:before="0" w:after="283"/>
              <w:jc w:val="left"/>
              <w:rPr/>
            </w:pPr>
            <w:r>
              <w:rPr/>
              <w:t> </w:t>
            </w:r>
          </w:p>
        </w:tc>
        <w:tc>
          <w:tcPr>
            <w:tcW w:w="260" w:type="dxa"/>
            <w:tcBorders/>
            <w:tcMar>
              <w:bottom w:w="0" w:type="dxa"/>
            </w:tcMar>
            <w:vAlign w:val="bottom"/>
          </w:tcPr>
          <w:p>
            <w:pPr>
              <w:pStyle w:val="TableContents"/>
              <w:bidi w:val="0"/>
              <w:spacing w:before="0" w:after="283"/>
              <w:jc w:val="left"/>
              <w:rPr/>
            </w:pPr>
            <w:r>
              <w:rPr/>
              <w:t> </w:t>
            </w:r>
          </w:p>
        </w:tc>
      </w:tr>
      <w:tr>
        <w:trPr/>
        <w:tc>
          <w:tcPr>
            <w:tcW w:w="1310" w:type="dxa"/>
            <w:tcBorders>
              <w:bottom w:val="single" w:sz="12" w:space="0" w:color="000000"/>
            </w:tcBorders>
            <w:vAlign w:val="bottom"/>
          </w:tcPr>
          <w:p>
            <w:pPr>
              <w:pStyle w:val="TableContents"/>
              <w:bidi w:val="0"/>
              <w:spacing w:before="0" w:after="0"/>
              <w:ind w:left="180" w:right="0" w:hanging="18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Real Estate Services</w:t>
            </w:r>
          </w:p>
        </w:tc>
        <w:tc>
          <w:tcPr>
            <w:tcW w:w="1165" w:type="dxa"/>
            <w:tcBorders/>
            <w:tcMar>
              <w:bottom w:w="0" w:type="dxa"/>
            </w:tcMar>
            <w:vAlign w:val="bottom"/>
          </w:tcPr>
          <w:p>
            <w:pPr>
              <w:pStyle w:val="TableContents"/>
              <w:bidi w:val="0"/>
              <w:spacing w:before="0" w:after="283"/>
              <w:jc w:val="left"/>
              <w:rPr/>
            </w:pPr>
            <w:r>
              <w:rPr/>
              <w:t> </w:t>
            </w:r>
          </w:p>
        </w:tc>
        <w:tc>
          <w:tcPr>
            <w:tcW w:w="1165" w:type="dxa"/>
            <w:tcBorders/>
            <w:tcMar>
              <w:bottom w:w="0" w:type="dxa"/>
            </w:tcMar>
            <w:vAlign w:val="bottom"/>
          </w:tcPr>
          <w:p>
            <w:pPr>
              <w:pStyle w:val="TableContents"/>
              <w:bidi w:val="0"/>
              <w:spacing w:before="0" w:after="283"/>
              <w:jc w:val="left"/>
              <w:rPr/>
            </w:pPr>
            <w:r>
              <w:rPr/>
              <w:t> </w:t>
            </w:r>
          </w:p>
        </w:tc>
        <w:tc>
          <w:tcPr>
            <w:tcW w:w="955"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055"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85"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100"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20"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40" w:type="dxa"/>
            <w:gridSpan w:val="2"/>
            <w:tcBorders/>
            <w:tcMar>
              <w:bottom w:w="0" w:type="dxa"/>
            </w:tcMar>
            <w:vAlign w:val="bottom"/>
          </w:tcPr>
          <w:p>
            <w:pPr>
              <w:pStyle w:val="TableContents"/>
              <w:bidi w:val="0"/>
              <w:spacing w:before="0" w:after="283"/>
              <w:jc w:val="left"/>
              <w:rPr/>
            </w:pPr>
            <w:r>
              <w:rPr/>
              <w:t> </w:t>
            </w:r>
          </w:p>
        </w:tc>
        <w:tc>
          <w:tcPr>
            <w:tcW w:w="260" w:type="dxa"/>
            <w:tcBorders/>
            <w:tcMar>
              <w:bottom w:w="0" w:type="dxa"/>
            </w:tcMar>
            <w:vAlign w:val="bottom"/>
          </w:tcPr>
          <w:p>
            <w:pPr>
              <w:pStyle w:val="TableContents"/>
              <w:bidi w:val="0"/>
              <w:spacing w:before="0" w:after="283"/>
              <w:jc w:val="left"/>
              <w:rPr/>
            </w:pPr>
            <w:r>
              <w:rPr/>
              <w:t> </w:t>
            </w:r>
          </w:p>
        </w:tc>
      </w:tr>
      <w:tr>
        <w:trPr/>
        <w:tc>
          <w:tcPr>
            <w:tcW w:w="1310" w:type="dxa"/>
            <w:tcBorders/>
            <w:shd w:fill="CCEEFF" w:val="clear"/>
            <w:tcMar>
              <w:bottom w:w="0" w:type="dxa"/>
            </w:tcMar>
            <w:vAlign w:val="bottom"/>
          </w:tcPr>
          <w:p>
            <w:pPr>
              <w:pStyle w:val="TableContents"/>
              <w:bidi w:val="0"/>
              <w:spacing w:before="0" w:after="0"/>
              <w:ind w:left="360" w:right="0" w:hanging="0"/>
              <w:jc w:val="left"/>
              <w:rPr/>
            </w:pPr>
            <w:r>
              <w:rPr/>
              <w:t>Workbox Holdings, Inc.</w:t>
            </w:r>
          </w:p>
        </w:tc>
        <w:tc>
          <w:tcPr>
            <w:tcW w:w="1165" w:type="dxa"/>
            <w:tcBorders/>
            <w:shd w:fill="CCEEFF" w:val="clear"/>
            <w:tcMar>
              <w:bottom w:w="0" w:type="dxa"/>
            </w:tcMar>
            <w:vAlign w:val="bottom"/>
          </w:tcPr>
          <w:p>
            <w:pPr>
              <w:pStyle w:val="TableContents"/>
              <w:bidi w:val="0"/>
              <w:spacing w:before="0" w:after="283"/>
              <w:jc w:val="left"/>
              <w:rPr/>
            </w:pPr>
            <w:r>
              <w:rPr/>
              <w:t>Senior Secured First Lien Term Loan</w:t>
            </w:r>
          </w:p>
        </w:tc>
        <w:tc>
          <w:tcPr>
            <w:tcW w:w="1165" w:type="dxa"/>
            <w:tcBorders/>
            <w:shd w:fill="CCEEFF" w:val="clear"/>
            <w:tcMar>
              <w:bottom w:w="0" w:type="dxa"/>
            </w:tcMar>
            <w:vAlign w:val="bottom"/>
          </w:tcPr>
          <w:p>
            <w:pPr>
              <w:pStyle w:val="TableContents"/>
              <w:bidi w:val="0"/>
              <w:spacing w:before="0" w:after="283"/>
              <w:jc w:val="center"/>
              <w:rPr/>
            </w:pPr>
            <w:r>
              <w:rPr/>
              <w:t>5/20/2024</w:t>
            </w:r>
          </w:p>
        </w:tc>
        <w:tc>
          <w:tcPr>
            <w:tcW w:w="955" w:type="dxa"/>
            <w:tcBorders/>
            <w:shd w:fill="CCEEFF" w:val="clear"/>
            <w:tcMar>
              <w:bottom w:w="0" w:type="dxa"/>
            </w:tcMar>
            <w:vAlign w:val="bottom"/>
          </w:tcPr>
          <w:p>
            <w:pPr>
              <w:pStyle w:val="TableContents"/>
              <w:bidi w:val="0"/>
              <w:spacing w:before="0" w:after="283"/>
              <w:jc w:val="center"/>
              <w:rPr/>
            </w:pPr>
            <w:r>
              <w:rPr/>
              <w:t>5/31/2029</w:t>
            </w:r>
          </w:p>
        </w:tc>
        <w:tc>
          <w:tcPr>
            <w:tcW w:w="830" w:type="dxa"/>
            <w:tcBorders/>
            <w:shd w:fill="CCEEFF" w:val="clear"/>
            <w:tcMar>
              <w:bottom w:w="0" w:type="dxa"/>
            </w:tcMar>
            <w:vAlign w:val="bottom"/>
          </w:tcPr>
          <w:p>
            <w:pPr>
              <w:pStyle w:val="TableContents"/>
              <w:bidi w:val="0"/>
              <w:spacing w:before="0" w:after="283"/>
              <w:jc w:val="center"/>
              <w:rPr/>
            </w:pPr>
            <w:r>
              <w:rPr/>
              <w:t> </w:t>
            </w:r>
            <w:r>
              <w:rPr/>
              <w:t>Fixed interest rate 6.0% “6.0% PIK”</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283"/>
              <w:jc w:val="right"/>
              <w:rPr/>
            </w:pPr>
            <w:r>
              <w:rPr/>
              <w:t>3</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283"/>
              <w:jc w:val="center"/>
              <w:rPr/>
            </w:pPr>
            <w:r>
              <w:rPr/>
              <w:t>Midwest</w:t>
            </w:r>
          </w:p>
        </w:tc>
        <w:tc>
          <w:tcPr>
            <w:tcW w:w="1085" w:type="dxa"/>
            <w:tcBorders/>
            <w:shd w:fill="CCEEFF" w:val="clear"/>
            <w:tcMar>
              <w:bottom w:w="0" w:type="dxa"/>
            </w:tcMar>
            <w:vAlign w:val="bottom"/>
          </w:tcPr>
          <w:p>
            <w:pPr>
              <w:pStyle w:val="TableContents"/>
              <w:bidi w:val="0"/>
              <w:spacing w:before="0" w:after="283"/>
              <w:jc w:val="center"/>
              <w:rPr/>
            </w:pPr>
            <w:r>
              <w:rPr/>
              <w:t>No</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vAlign w:val="bottom"/>
          </w:tcPr>
          <w:p>
            <w:pPr>
              <w:pStyle w:val="TableContents"/>
              <w:bidi w:val="0"/>
              <w:spacing w:before="0" w:after="283"/>
              <w:jc w:val="left"/>
              <w:rPr/>
            </w:pPr>
            <w:r>
              <w:rPr/>
              <w:t>$</w:t>
            </w:r>
          </w:p>
        </w:tc>
        <w:tc>
          <w:tcPr>
            <w:tcW w:w="845" w:type="dxa"/>
            <w:tcBorders>
              <w:bottom w:val="single" w:sz="12" w:space="0" w:color="000000"/>
            </w:tcBorders>
            <w:shd w:fill="CCEEFF" w:val="clear"/>
            <w:vAlign w:val="bottom"/>
          </w:tcPr>
          <w:p>
            <w:pPr>
              <w:pStyle w:val="TableContents"/>
              <w:bidi w:val="0"/>
              <w:spacing w:before="0" w:after="283"/>
              <w:jc w:val="right"/>
              <w:rPr/>
            </w:pPr>
            <w:r>
              <w:rPr/>
              <w:t>1,083</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shd w:fill="CCEEFF" w:val="clear"/>
            <w:vAlign w:val="bottom"/>
          </w:tcPr>
          <w:p>
            <w:pPr>
              <w:pStyle w:val="TableContents"/>
              <w:bidi w:val="0"/>
              <w:spacing w:before="0" w:after="283"/>
              <w:jc w:val="left"/>
              <w:rPr/>
            </w:pPr>
            <w:r>
              <w:rPr/>
              <w:t>$</w:t>
            </w:r>
          </w:p>
        </w:tc>
        <w:tc>
          <w:tcPr>
            <w:tcW w:w="913" w:type="dxa"/>
            <w:tcBorders>
              <w:bottom w:val="single" w:sz="12" w:space="0" w:color="000000"/>
            </w:tcBorders>
            <w:shd w:fill="CCEEFF" w:val="clear"/>
            <w:vAlign w:val="bottom"/>
          </w:tcPr>
          <w:p>
            <w:pPr>
              <w:pStyle w:val="TableContents"/>
              <w:bidi w:val="0"/>
              <w:spacing w:before="0" w:after="283"/>
              <w:jc w:val="right"/>
              <w:rPr/>
            </w:pPr>
            <w:r>
              <w:rPr/>
              <w:t>840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vAlign w:val="bottom"/>
          </w:tcPr>
          <w:p>
            <w:pPr>
              <w:pStyle w:val="TableContents"/>
              <w:bidi w:val="0"/>
              <w:spacing w:before="0" w:after="283"/>
              <w:jc w:val="left"/>
              <w:rPr/>
            </w:pPr>
            <w:r>
              <w:rPr/>
              <w:t>$</w:t>
            </w:r>
          </w:p>
        </w:tc>
        <w:tc>
          <w:tcPr>
            <w:tcW w:w="680" w:type="dxa"/>
            <w:tcBorders>
              <w:bottom w:val="single" w:sz="12" w:space="0" w:color="000000"/>
            </w:tcBorders>
            <w:shd w:fill="CCEEFF" w:val="clear"/>
            <w:vAlign w:val="bottom"/>
          </w:tcPr>
          <w:p>
            <w:pPr>
              <w:pStyle w:val="TableContents"/>
              <w:bidi w:val="0"/>
              <w:spacing w:before="0" w:after="283"/>
              <w:jc w:val="right"/>
              <w:rPr/>
            </w:pPr>
            <w:r>
              <w:rPr/>
              <w:t>971</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283"/>
              <w:jc w:val="right"/>
              <w:rPr/>
            </w:pPr>
            <w:r>
              <w:rPr/>
              <w:t>1.15</w:t>
            </w:r>
          </w:p>
        </w:tc>
        <w:tc>
          <w:tcPr>
            <w:tcW w:w="260" w:type="dxa"/>
            <w:tcBorders/>
            <w:shd w:fill="CCEEFF" w:val="clear"/>
            <w:tcMar>
              <w:bottom w:w="0" w:type="dxa"/>
            </w:tcMar>
            <w:vAlign w:val="bottom"/>
          </w:tcPr>
          <w:p>
            <w:pPr>
              <w:pStyle w:val="TableContents"/>
              <w:bidi w:val="0"/>
              <w:spacing w:before="0" w:after="283"/>
              <w:jc w:val="left"/>
              <w:rPr/>
            </w:pPr>
            <w:r>
              <w:rPr/>
              <w:t>%</w:t>
            </w:r>
          </w:p>
        </w:tc>
      </w:tr>
      <w:tr>
        <w:trPr/>
        <w:tc>
          <w:tcPr>
            <w:tcW w:w="1310" w:type="dxa"/>
            <w:tcBorders/>
            <w:tcMar>
              <w:bottom w:w="0" w:type="dxa"/>
            </w:tcMar>
            <w:vAlign w:val="bottom"/>
          </w:tcPr>
          <w:p>
            <w:pPr>
              <w:pStyle w:val="TableContents"/>
              <w:bidi w:val="0"/>
              <w:spacing w:before="0" w:after="283"/>
              <w:jc w:val="left"/>
              <w:rPr/>
            </w:pPr>
            <w:r>
              <w:rPr/>
              <w:t> </w:t>
            </w:r>
          </w:p>
        </w:tc>
        <w:tc>
          <w:tcPr>
            <w:tcW w:w="1165" w:type="dxa"/>
            <w:tcBorders/>
            <w:tcMar>
              <w:bottom w:w="0" w:type="dxa"/>
            </w:tcMar>
            <w:vAlign w:val="bottom"/>
          </w:tcPr>
          <w:p>
            <w:pPr>
              <w:pStyle w:val="TableContents"/>
              <w:bidi w:val="0"/>
              <w:spacing w:before="0" w:after="283"/>
              <w:jc w:val="left"/>
              <w:rPr/>
            </w:pPr>
            <w:r>
              <w:rPr/>
              <w:t> </w:t>
            </w:r>
          </w:p>
        </w:tc>
        <w:tc>
          <w:tcPr>
            <w:tcW w:w="1165" w:type="dxa"/>
            <w:tcBorders/>
            <w:tcMar>
              <w:bottom w:w="0" w:type="dxa"/>
            </w:tcMar>
            <w:vAlign w:val="bottom"/>
          </w:tcPr>
          <w:p>
            <w:pPr>
              <w:pStyle w:val="TableContents"/>
              <w:bidi w:val="0"/>
              <w:spacing w:before="0" w:after="283"/>
              <w:jc w:val="center"/>
              <w:rPr/>
            </w:pPr>
            <w:r>
              <w:rPr/>
              <w:t> </w:t>
            </w:r>
          </w:p>
        </w:tc>
        <w:tc>
          <w:tcPr>
            <w:tcW w:w="955" w:type="dxa"/>
            <w:tcBorders/>
            <w:tcMar>
              <w:bottom w:w="0" w:type="dxa"/>
            </w:tcMar>
            <w:vAlign w:val="bottom"/>
          </w:tcPr>
          <w:p>
            <w:pPr>
              <w:pStyle w:val="TableContents"/>
              <w:bidi w:val="0"/>
              <w:spacing w:before="0" w:after="283"/>
              <w:jc w:val="center"/>
              <w:rPr/>
            </w:pPr>
            <w:r>
              <w:rPr/>
              <w:t> </w:t>
            </w:r>
          </w:p>
        </w:tc>
        <w:tc>
          <w:tcPr>
            <w:tcW w:w="830" w:type="dxa"/>
            <w:tcBorders/>
            <w:tcMar>
              <w:bottom w:w="0" w:type="dxa"/>
            </w:tcMar>
            <w:vAlign w:val="bottom"/>
          </w:tcPr>
          <w:p>
            <w:pPr>
              <w:pStyle w:val="TableContents"/>
              <w:bidi w:val="0"/>
              <w:spacing w:before="0" w:after="283"/>
              <w:jc w:val="center"/>
              <w:rPr/>
            </w:pPr>
            <w:r>
              <w:rPr/>
              <w:t> </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right"/>
              <w:rPr/>
            </w:pPr>
            <w:r>
              <w:rPr/>
              <w:t> </w:t>
            </w:r>
          </w:p>
        </w:tc>
        <w:tc>
          <w:tcPr>
            <w:tcW w:w="1085" w:type="dxa"/>
            <w:tcBorders/>
            <w:tcMar>
              <w:bottom w:w="0" w:type="dxa"/>
            </w:tcMar>
            <w:vAlign w:val="bottom"/>
          </w:tcPr>
          <w:p>
            <w:pPr>
              <w:pStyle w:val="TableContents"/>
              <w:bidi w:val="0"/>
              <w:spacing w:before="0" w:after="283"/>
              <w:jc w:val="center"/>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845" w:type="dxa"/>
            <w:tcBorders>
              <w:bottom w:val="single" w:sz="12" w:space="0" w:color="000000"/>
            </w:tcBorders>
            <w:vAlign w:val="bottom"/>
          </w:tcPr>
          <w:p>
            <w:pPr>
              <w:pStyle w:val="TableContents"/>
              <w:bidi w:val="0"/>
              <w:spacing w:before="0" w:after="283"/>
              <w:jc w:val="right"/>
              <w:rPr/>
            </w:pPr>
            <w:r>
              <w:rPr/>
              <w:t>1,083</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vAlign w:val="bottom"/>
          </w:tcPr>
          <w:p>
            <w:pPr>
              <w:pStyle w:val="TableContents"/>
              <w:bidi w:val="0"/>
              <w:spacing w:before="0" w:after="283"/>
              <w:jc w:val="left"/>
              <w:rPr/>
            </w:pPr>
            <w:r>
              <w:rPr/>
              <w:t> </w:t>
            </w:r>
          </w:p>
        </w:tc>
        <w:tc>
          <w:tcPr>
            <w:tcW w:w="913" w:type="dxa"/>
            <w:tcBorders>
              <w:bottom w:val="single" w:sz="12" w:space="0" w:color="000000"/>
            </w:tcBorders>
            <w:vAlign w:val="bottom"/>
          </w:tcPr>
          <w:p>
            <w:pPr>
              <w:pStyle w:val="TableContents"/>
              <w:bidi w:val="0"/>
              <w:spacing w:before="0" w:after="283"/>
              <w:jc w:val="right"/>
              <w:rPr/>
            </w:pPr>
            <w:r>
              <w:rPr/>
              <w:t>840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283"/>
              <w:jc w:val="right"/>
              <w:rPr/>
            </w:pPr>
            <w:r>
              <w:rPr/>
              <w:t>971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283"/>
              <w:jc w:val="right"/>
              <w:rPr/>
            </w:pPr>
            <w:r>
              <w:rPr/>
              <w:t>1.15</w:t>
            </w:r>
          </w:p>
        </w:tc>
        <w:tc>
          <w:tcPr>
            <w:tcW w:w="260" w:type="dxa"/>
            <w:tcBorders/>
            <w:tcMar>
              <w:bottom w:w="0" w:type="dxa"/>
            </w:tcMar>
            <w:vAlign w:val="bottom"/>
          </w:tcPr>
          <w:p>
            <w:pPr>
              <w:pStyle w:val="TableContents"/>
              <w:bidi w:val="0"/>
              <w:spacing w:before="0" w:after="283"/>
              <w:jc w:val="left"/>
              <w:rPr/>
            </w:pPr>
            <w:r>
              <w:rPr/>
              <w:t> </w:t>
            </w:r>
          </w:p>
        </w:tc>
      </w:tr>
      <w:tr>
        <w:trPr/>
        <w:tc>
          <w:tcPr>
            <w:tcW w:w="1310" w:type="dxa"/>
            <w:tcBorders>
              <w:bottom w:val="single" w:sz="12" w:space="0" w:color="000000"/>
            </w:tcBorders>
            <w:shd w:fill="CCEEFF" w:val="clear"/>
            <w:vAlign w:val="bottom"/>
          </w:tcPr>
          <w:p>
            <w:pPr>
              <w:pStyle w:val="TableContents"/>
              <w:bidi w:val="0"/>
              <w:spacing w:lineRule="auto" w:line="240" w:before="0" w:after="283"/>
              <w:jc w:val="left"/>
              <w:rPr/>
            </w:pPr>
            <w:r>
              <w:rPr>
                <w:b/>
              </w:rPr>
              <w:t>Wholesale Trade </w:t>
            </w:r>
            <w:r>
              <w:rPr/>
              <w:t xml:space="preserve"> </w:t>
            </w:r>
          </w:p>
        </w:tc>
        <w:tc>
          <w:tcPr>
            <w:tcW w:w="1165" w:type="dxa"/>
            <w:tcBorders/>
            <w:shd w:fill="CCEEFF" w:val="clear"/>
            <w:tcMar>
              <w:bottom w:w="0" w:type="dxa"/>
            </w:tcMar>
            <w:vAlign w:val="bottom"/>
          </w:tcPr>
          <w:p>
            <w:pPr>
              <w:pStyle w:val="TableContents"/>
              <w:bidi w:val="0"/>
              <w:spacing w:before="0" w:after="283"/>
              <w:jc w:val="left"/>
              <w:rPr/>
            </w:pPr>
            <w:r>
              <w:rPr/>
              <w:t> </w:t>
            </w:r>
          </w:p>
        </w:tc>
        <w:tc>
          <w:tcPr>
            <w:tcW w:w="1165" w:type="dxa"/>
            <w:tcBorders/>
            <w:shd w:fill="CCEEFF" w:val="clear"/>
            <w:tcMar>
              <w:bottom w:w="0" w:type="dxa"/>
            </w:tcMar>
            <w:vAlign w:val="bottom"/>
          </w:tcPr>
          <w:p>
            <w:pPr>
              <w:pStyle w:val="TableContents"/>
              <w:bidi w:val="0"/>
              <w:spacing w:before="0" w:after="283"/>
              <w:jc w:val="left"/>
              <w:rPr/>
            </w:pPr>
            <w:r>
              <w:rPr/>
              <w:t> </w:t>
            </w:r>
          </w:p>
        </w:tc>
        <w:tc>
          <w:tcPr>
            <w:tcW w:w="955"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283"/>
              <w:jc w:val="left"/>
              <w:rPr/>
            </w:pPr>
            <w:r>
              <w:rPr/>
              <w:t> </w:t>
            </w:r>
          </w:p>
        </w:tc>
        <w:tc>
          <w:tcPr>
            <w:tcW w:w="10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845"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shd w:fill="CCEEFF" w:val="clear"/>
            <w:tcMar>
              <w:bottom w:w="0" w:type="dxa"/>
            </w:tcMar>
            <w:vAlign w:val="bottom"/>
          </w:tcPr>
          <w:p>
            <w:pPr>
              <w:pStyle w:val="TableContents"/>
              <w:bidi w:val="0"/>
              <w:spacing w:before="0" w:after="283"/>
              <w:jc w:val="left"/>
              <w:rPr/>
            </w:pPr>
            <w:r>
              <w:rPr/>
              <w:t> </w:t>
            </w:r>
          </w:p>
        </w:tc>
        <w:tc>
          <w:tcPr>
            <w:tcW w:w="913"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r>
      <w:tr>
        <w:trPr/>
        <w:tc>
          <w:tcPr>
            <w:tcW w:w="1310" w:type="dxa"/>
            <w:tcBorders/>
            <w:tcMar>
              <w:bottom w:w="0" w:type="dxa"/>
            </w:tcMar>
            <w:vAlign w:val="bottom"/>
          </w:tcPr>
          <w:p>
            <w:pPr>
              <w:pStyle w:val="TableContents"/>
              <w:bidi w:val="0"/>
              <w:spacing w:before="0" w:after="0"/>
              <w:ind w:left="360" w:right="0" w:hanging="0"/>
              <w:jc w:val="left"/>
              <w:rPr>
                <w:color w:val="000000"/>
              </w:rPr>
            </w:pPr>
            <w:r>
              <w:rPr>
                <w:color w:val="000000"/>
              </w:rPr>
              <w:t>Curaleaf Holdings, Inc.</w:t>
            </w:r>
          </w:p>
        </w:tc>
        <w:tc>
          <w:tcPr>
            <w:tcW w:w="1165" w:type="dxa"/>
            <w:tcBorders/>
            <w:tcMar>
              <w:bottom w:w="0" w:type="dxa"/>
            </w:tcMar>
            <w:vAlign w:val="bottom"/>
          </w:tcPr>
          <w:p>
            <w:pPr>
              <w:pStyle w:val="TableContents"/>
              <w:bidi w:val="0"/>
              <w:spacing w:before="0" w:after="0"/>
              <w:jc w:val="left"/>
              <w:rPr>
                <w:color w:val="000000"/>
              </w:rPr>
            </w:pPr>
            <w:r>
              <w:rPr>
                <w:color w:val="000000"/>
              </w:rPr>
              <w:t>Senior Secured Note</w:t>
            </w:r>
          </w:p>
        </w:tc>
        <w:tc>
          <w:tcPr>
            <w:tcW w:w="1165" w:type="dxa"/>
            <w:tcBorders/>
            <w:tcMar>
              <w:bottom w:w="0" w:type="dxa"/>
            </w:tcMar>
            <w:vAlign w:val="bottom"/>
          </w:tcPr>
          <w:p>
            <w:pPr>
              <w:pStyle w:val="TableContents"/>
              <w:bidi w:val="0"/>
              <w:spacing w:before="0" w:after="0"/>
              <w:jc w:val="center"/>
              <w:rPr>
                <w:color w:val="000000"/>
              </w:rPr>
            </w:pPr>
            <w:r>
              <w:rPr>
                <w:color w:val="000000"/>
              </w:rPr>
              <w:t>10/11/2022</w:t>
            </w:r>
          </w:p>
        </w:tc>
        <w:tc>
          <w:tcPr>
            <w:tcW w:w="955" w:type="dxa"/>
            <w:tcBorders/>
            <w:tcMar>
              <w:bottom w:w="0" w:type="dxa"/>
            </w:tcMar>
            <w:vAlign w:val="bottom"/>
          </w:tcPr>
          <w:p>
            <w:pPr>
              <w:pStyle w:val="TableContents"/>
              <w:bidi w:val="0"/>
              <w:spacing w:before="0" w:after="0"/>
              <w:jc w:val="center"/>
              <w:rPr>
                <w:color w:val="000000"/>
              </w:rPr>
            </w:pPr>
            <w:r>
              <w:rPr>
                <w:color w:val="000000"/>
              </w:rPr>
              <w:t>12/15/2026</w:t>
            </w:r>
          </w:p>
        </w:tc>
        <w:tc>
          <w:tcPr>
            <w:tcW w:w="830" w:type="dxa"/>
            <w:tcBorders/>
            <w:tcMar>
              <w:bottom w:w="0" w:type="dxa"/>
            </w:tcMar>
            <w:vAlign w:val="bottom"/>
          </w:tcPr>
          <w:p>
            <w:pPr>
              <w:pStyle w:val="TableContents"/>
              <w:bidi w:val="0"/>
              <w:spacing w:before="0" w:after="0"/>
              <w:jc w:val="center"/>
              <w:rPr>
                <w:color w:val="000000"/>
              </w:rPr>
            </w:pPr>
            <w:r>
              <w:rPr>
                <w:color w:val="000000"/>
              </w:rPr>
              <w:t>Fixed interest rate 8.0%</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0"/>
              <w:jc w:val="right"/>
              <w:rPr>
                <w:color w:val="000000"/>
              </w:rPr>
            </w:pPr>
            <w:r>
              <w:rPr>
                <w:color w:val="000000"/>
              </w:rPr>
              <w:t>3</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0"/>
              <w:jc w:val="center"/>
              <w:rPr>
                <w:color w:val="000000"/>
              </w:rPr>
            </w:pPr>
            <w:r>
              <w:rPr>
                <w:color w:val="000000"/>
              </w:rPr>
              <w:t>Northeast</w:t>
            </w:r>
          </w:p>
        </w:tc>
        <w:tc>
          <w:tcPr>
            <w:tcW w:w="1085" w:type="dxa"/>
            <w:tcBorders/>
            <w:tcMar>
              <w:bottom w:w="0" w:type="dxa"/>
            </w:tcMar>
            <w:vAlign w:val="bottom"/>
          </w:tcPr>
          <w:p>
            <w:pPr>
              <w:pStyle w:val="TableContents"/>
              <w:bidi w:val="0"/>
              <w:spacing w:before="0" w:after="0"/>
              <w:jc w:val="center"/>
              <w:rPr>
                <w:color w:val="000000"/>
              </w:rPr>
            </w:pPr>
            <w:r>
              <w:rPr>
                <w:color w:val="000000"/>
              </w:rPr>
              <w:t>Yes</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845" w:type="dxa"/>
            <w:tcBorders/>
            <w:tcMar>
              <w:bottom w:w="0" w:type="dxa"/>
            </w:tcMar>
            <w:vAlign w:val="bottom"/>
          </w:tcPr>
          <w:p>
            <w:pPr>
              <w:pStyle w:val="TableContents"/>
              <w:bidi w:val="0"/>
              <w:spacing w:before="0" w:after="0"/>
              <w:jc w:val="right"/>
              <w:rPr>
                <w:color w:val="000000"/>
              </w:rPr>
            </w:pPr>
            <w:r>
              <w:rPr>
                <w:color w:val="000000"/>
              </w:rPr>
              <w:t>4,500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tcMar>
              <w:bottom w:w="0" w:type="dxa"/>
            </w:tcMar>
            <w:vAlign w:val="bottom"/>
          </w:tcPr>
          <w:p>
            <w:pPr>
              <w:pStyle w:val="TableContents"/>
              <w:bidi w:val="0"/>
              <w:spacing w:before="0" w:after="283"/>
              <w:jc w:val="left"/>
              <w:rPr/>
            </w:pPr>
            <w:r>
              <w:rPr/>
              <w:t> </w:t>
            </w:r>
          </w:p>
        </w:tc>
        <w:tc>
          <w:tcPr>
            <w:tcW w:w="913" w:type="dxa"/>
            <w:tcBorders/>
            <w:tcMar>
              <w:bottom w:w="0" w:type="dxa"/>
            </w:tcMar>
            <w:vAlign w:val="bottom"/>
          </w:tcPr>
          <w:p>
            <w:pPr>
              <w:pStyle w:val="TableContents"/>
              <w:bidi w:val="0"/>
              <w:spacing w:before="0" w:after="0"/>
              <w:jc w:val="right"/>
              <w:rPr>
                <w:color w:val="000000"/>
              </w:rPr>
            </w:pPr>
            <w:r>
              <w:rPr>
                <w:color w:val="000000"/>
              </w:rPr>
              <w:t>4,063</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0"/>
              <w:jc w:val="right"/>
              <w:rPr>
                <w:color w:val="000000"/>
              </w:rPr>
            </w:pPr>
            <w:r>
              <w:rPr>
                <w:color w:val="000000"/>
              </w:rPr>
              <w:t>4,208</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0"/>
              <w:jc w:val="right"/>
              <w:rPr>
                <w:color w:val="000000"/>
              </w:rPr>
            </w:pPr>
            <w:r>
              <w:rPr>
                <w:color w:val="000000"/>
              </w:rPr>
              <w:t>4.99</w:t>
            </w:r>
          </w:p>
        </w:tc>
        <w:tc>
          <w:tcPr>
            <w:tcW w:w="260" w:type="dxa"/>
            <w:tcBorders/>
            <w:tcMar>
              <w:bottom w:w="0" w:type="dxa"/>
            </w:tcMar>
            <w:vAlign w:val="bottom"/>
          </w:tcPr>
          <w:p>
            <w:pPr>
              <w:pStyle w:val="TableContents"/>
              <w:bidi w:val="0"/>
              <w:spacing w:before="0" w:after="283"/>
              <w:jc w:val="left"/>
              <w:rPr/>
            </w:pPr>
            <w:r>
              <w:rPr/>
              <w:t> </w:t>
            </w:r>
          </w:p>
        </w:tc>
      </w:tr>
      <w:tr>
        <w:trPr/>
        <w:tc>
          <w:tcPr>
            <w:tcW w:w="1310" w:type="dxa"/>
            <w:tcBorders/>
            <w:shd w:fill="CCEEFF" w:val="clear"/>
            <w:tcMar>
              <w:bottom w:w="0" w:type="dxa"/>
            </w:tcMar>
            <w:vAlign w:val="bottom"/>
          </w:tcPr>
          <w:p>
            <w:pPr>
              <w:pStyle w:val="TableContents"/>
              <w:bidi w:val="0"/>
              <w:spacing w:before="0" w:after="0"/>
              <w:ind w:left="360" w:right="0" w:hanging="0"/>
              <w:jc w:val="left"/>
              <w:rPr/>
            </w:pPr>
            <w:r>
              <w:rPr/>
              <w:t>Dreamfields Brands, Inc. (d/b/a Jeeter)</w:t>
            </w:r>
          </w:p>
        </w:tc>
        <w:tc>
          <w:tcPr>
            <w:tcW w:w="1165" w:type="dxa"/>
            <w:tcBorders/>
            <w:shd w:fill="CCEEFF" w:val="clear"/>
            <w:tcMar>
              <w:bottom w:w="0" w:type="dxa"/>
            </w:tcMar>
            <w:vAlign w:val="bottom"/>
          </w:tcPr>
          <w:p>
            <w:pPr>
              <w:pStyle w:val="TableContents"/>
              <w:bidi w:val="0"/>
              <w:spacing w:before="0" w:after="0"/>
              <w:jc w:val="left"/>
              <w:rPr>
                <w:color w:val="000000"/>
              </w:rPr>
            </w:pPr>
            <w:r>
              <w:rPr>
                <w:color w:val="000000"/>
              </w:rPr>
              <w:t>Senior Secured First Lien Term Loan</w:t>
            </w:r>
          </w:p>
        </w:tc>
        <w:tc>
          <w:tcPr>
            <w:tcW w:w="1165" w:type="dxa"/>
            <w:tcBorders/>
            <w:shd w:fill="CCEEFF" w:val="clear"/>
            <w:tcMar>
              <w:bottom w:w="0" w:type="dxa"/>
            </w:tcMar>
            <w:vAlign w:val="bottom"/>
          </w:tcPr>
          <w:p>
            <w:pPr>
              <w:pStyle w:val="TableContents"/>
              <w:bidi w:val="0"/>
              <w:spacing w:before="0" w:after="0"/>
              <w:jc w:val="center"/>
              <w:rPr/>
            </w:pPr>
            <w:r>
              <w:rPr/>
              <w:t>5/3/2023</w:t>
            </w:r>
          </w:p>
        </w:tc>
        <w:tc>
          <w:tcPr>
            <w:tcW w:w="955" w:type="dxa"/>
            <w:tcBorders/>
            <w:shd w:fill="CCEEFF" w:val="clear"/>
            <w:tcMar>
              <w:bottom w:w="0" w:type="dxa"/>
            </w:tcMar>
            <w:vAlign w:val="bottom"/>
          </w:tcPr>
          <w:p>
            <w:pPr>
              <w:pStyle w:val="TableContents"/>
              <w:bidi w:val="0"/>
              <w:spacing w:before="0" w:after="283"/>
              <w:jc w:val="center"/>
              <w:rPr/>
            </w:pPr>
            <w:r>
              <w:rPr/>
              <w:t> </w:t>
            </w:r>
            <w:r>
              <w:rPr/>
              <w:t>5/3/2026</w:t>
            </w:r>
          </w:p>
        </w:tc>
        <w:tc>
          <w:tcPr>
            <w:tcW w:w="830" w:type="dxa"/>
            <w:tcBorders/>
            <w:shd w:fill="CCEEFF" w:val="clear"/>
            <w:tcMar>
              <w:bottom w:w="0" w:type="dxa"/>
            </w:tcMar>
            <w:vAlign w:val="bottom"/>
          </w:tcPr>
          <w:p>
            <w:pPr>
              <w:pStyle w:val="TableContents"/>
              <w:bidi w:val="0"/>
              <w:spacing w:before="0" w:after="283"/>
              <w:jc w:val="center"/>
              <w:rPr/>
            </w:pPr>
            <w:r>
              <w:rPr/>
              <w:t>Variable interest rate PRIME</w:t>
            </w:r>
            <w:r>
              <w:rPr>
                <w:position w:val="8"/>
                <w:sz w:val="19"/>
              </w:rPr>
              <w:t>(11)</w:t>
            </w:r>
            <w:r>
              <w:rPr/>
              <w:t xml:space="preserve"> </w:t>
            </w:r>
            <w:r>
              <w:rPr>
                <w:sz w:val="20"/>
              </w:rPr>
              <w:t>+ 8.75% (7.5% PRIME Floor)</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283"/>
              <w:jc w:val="right"/>
              <w:rPr/>
            </w:pPr>
            <w:r>
              <w:rPr/>
              <w:t>3</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283"/>
              <w:jc w:val="center"/>
              <w:rPr/>
            </w:pPr>
            <w:r>
              <w:rPr/>
              <w:t>West</w:t>
            </w:r>
          </w:p>
        </w:tc>
        <w:tc>
          <w:tcPr>
            <w:tcW w:w="1085" w:type="dxa"/>
            <w:tcBorders/>
            <w:shd w:fill="CCEEFF" w:val="clear"/>
            <w:tcMar>
              <w:bottom w:w="0" w:type="dxa"/>
            </w:tcMar>
            <w:vAlign w:val="bottom"/>
          </w:tcPr>
          <w:p>
            <w:pPr>
              <w:pStyle w:val="TableContents"/>
              <w:bidi w:val="0"/>
              <w:spacing w:before="0" w:after="283"/>
              <w:jc w:val="center"/>
              <w:rPr/>
            </w:pPr>
            <w:r>
              <w:rPr/>
              <w:t>No</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845" w:type="dxa"/>
            <w:tcBorders/>
            <w:shd w:fill="CCEEFF" w:val="clear"/>
            <w:tcMar>
              <w:bottom w:w="0" w:type="dxa"/>
            </w:tcMar>
            <w:vAlign w:val="bottom"/>
          </w:tcPr>
          <w:p>
            <w:pPr>
              <w:pStyle w:val="TableContents"/>
              <w:bidi w:val="0"/>
              <w:spacing w:before="0" w:after="0"/>
              <w:jc w:val="right"/>
              <w:rPr/>
            </w:pPr>
            <w:r>
              <w:rPr/>
              <w:t>4,320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shd w:fill="CCEEFF" w:val="clear"/>
            <w:tcMar>
              <w:bottom w:w="0" w:type="dxa"/>
            </w:tcMar>
            <w:vAlign w:val="bottom"/>
          </w:tcPr>
          <w:p>
            <w:pPr>
              <w:pStyle w:val="TableContents"/>
              <w:bidi w:val="0"/>
              <w:spacing w:before="0" w:after="283"/>
              <w:jc w:val="left"/>
              <w:rPr/>
            </w:pPr>
            <w:r>
              <w:rPr/>
              <w:t> </w:t>
            </w:r>
          </w:p>
        </w:tc>
        <w:tc>
          <w:tcPr>
            <w:tcW w:w="913" w:type="dxa"/>
            <w:tcBorders/>
            <w:shd w:fill="CCEEFF" w:val="clear"/>
            <w:tcMar>
              <w:bottom w:w="0" w:type="dxa"/>
            </w:tcMar>
            <w:vAlign w:val="bottom"/>
          </w:tcPr>
          <w:p>
            <w:pPr>
              <w:pStyle w:val="TableContents"/>
              <w:bidi w:val="0"/>
              <w:spacing w:before="0" w:after="283"/>
              <w:jc w:val="right"/>
              <w:rPr/>
            </w:pPr>
            <w:r>
              <w:rPr/>
              <w:t>4,246</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4,320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5.13</w:t>
            </w:r>
          </w:p>
        </w:tc>
        <w:tc>
          <w:tcPr>
            <w:tcW w:w="260" w:type="dxa"/>
            <w:tcBorders/>
            <w:shd w:fill="CCEEFF" w:val="clear"/>
            <w:tcMar>
              <w:bottom w:w="0" w:type="dxa"/>
            </w:tcMar>
            <w:vAlign w:val="bottom"/>
          </w:tcPr>
          <w:p>
            <w:pPr>
              <w:pStyle w:val="TableContents"/>
              <w:bidi w:val="0"/>
              <w:spacing w:before="0" w:after="283"/>
              <w:jc w:val="left"/>
              <w:rPr/>
            </w:pPr>
            <w:r>
              <w:rPr/>
              <w:t> </w:t>
            </w:r>
          </w:p>
        </w:tc>
      </w:tr>
      <w:tr>
        <w:trPr/>
        <w:tc>
          <w:tcPr>
            <w:tcW w:w="1310" w:type="dxa"/>
            <w:tcBorders/>
            <w:tcMar>
              <w:bottom w:w="0" w:type="dxa"/>
            </w:tcMar>
            <w:vAlign w:val="bottom"/>
          </w:tcPr>
          <w:p>
            <w:pPr>
              <w:pStyle w:val="TableContents"/>
              <w:bidi w:val="0"/>
              <w:spacing w:before="0" w:after="0"/>
              <w:ind w:left="360" w:right="0" w:hanging="0"/>
              <w:jc w:val="left"/>
              <w:rPr>
                <w:color w:val="000000"/>
              </w:rPr>
            </w:pPr>
            <w:r>
              <w:rPr>
                <w:color w:val="000000"/>
              </w:rPr>
              <w:t>PharmaCann, Inc.</w:t>
            </w:r>
          </w:p>
        </w:tc>
        <w:tc>
          <w:tcPr>
            <w:tcW w:w="1165" w:type="dxa"/>
            <w:tcBorders/>
            <w:tcMar>
              <w:bottom w:w="0" w:type="dxa"/>
            </w:tcMar>
            <w:vAlign w:val="bottom"/>
          </w:tcPr>
          <w:p>
            <w:pPr>
              <w:pStyle w:val="TableContents"/>
              <w:bidi w:val="0"/>
              <w:spacing w:before="0" w:after="0"/>
              <w:jc w:val="left"/>
              <w:rPr>
                <w:color w:val="000000"/>
              </w:rPr>
            </w:pPr>
            <w:r>
              <w:rPr>
                <w:color w:val="000000"/>
              </w:rPr>
              <w:t>Senior Secured Note</w:t>
            </w:r>
          </w:p>
        </w:tc>
        <w:tc>
          <w:tcPr>
            <w:tcW w:w="1165" w:type="dxa"/>
            <w:tcBorders/>
            <w:tcMar>
              <w:bottom w:w="0" w:type="dxa"/>
            </w:tcMar>
            <w:vAlign w:val="bottom"/>
          </w:tcPr>
          <w:p>
            <w:pPr>
              <w:pStyle w:val="TableContents"/>
              <w:bidi w:val="0"/>
              <w:spacing w:before="0" w:after="0"/>
              <w:jc w:val="center"/>
              <w:rPr>
                <w:color w:val="000000"/>
              </w:rPr>
            </w:pPr>
            <w:r>
              <w:rPr>
                <w:color w:val="000000"/>
              </w:rPr>
              <w:t>6/30/2022</w:t>
            </w:r>
          </w:p>
        </w:tc>
        <w:tc>
          <w:tcPr>
            <w:tcW w:w="955" w:type="dxa"/>
            <w:tcBorders/>
            <w:tcMar>
              <w:bottom w:w="0" w:type="dxa"/>
            </w:tcMar>
            <w:vAlign w:val="bottom"/>
          </w:tcPr>
          <w:p>
            <w:pPr>
              <w:pStyle w:val="TableContents"/>
              <w:bidi w:val="0"/>
              <w:spacing w:before="0" w:after="0"/>
              <w:jc w:val="center"/>
              <w:rPr>
                <w:color w:val="000000"/>
              </w:rPr>
            </w:pPr>
            <w:r>
              <w:rPr>
                <w:color w:val="000000"/>
              </w:rPr>
              <w:t>6/30/2025</w:t>
            </w:r>
          </w:p>
        </w:tc>
        <w:tc>
          <w:tcPr>
            <w:tcW w:w="830" w:type="dxa"/>
            <w:tcBorders/>
            <w:tcMar>
              <w:bottom w:w="0" w:type="dxa"/>
            </w:tcMar>
            <w:vAlign w:val="bottom"/>
          </w:tcPr>
          <w:p>
            <w:pPr>
              <w:pStyle w:val="TableContents"/>
              <w:bidi w:val="0"/>
              <w:spacing w:before="0" w:after="0"/>
              <w:jc w:val="center"/>
              <w:rPr>
                <w:color w:val="000000"/>
              </w:rPr>
            </w:pPr>
            <w:r>
              <w:rPr>
                <w:color w:val="000000"/>
              </w:rPr>
              <w:t>Fixed interest rate 12.0%</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0"/>
              <w:jc w:val="right"/>
              <w:rPr>
                <w:color w:val="000000"/>
              </w:rPr>
            </w:pPr>
            <w:r>
              <w:rPr>
                <w:color w:val="000000"/>
              </w:rPr>
              <w:t>3</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0"/>
              <w:jc w:val="center"/>
              <w:rPr>
                <w:color w:val="000000"/>
              </w:rPr>
            </w:pPr>
            <w:r>
              <w:rPr>
                <w:color w:val="000000"/>
              </w:rPr>
              <w:t>Midwest</w:t>
            </w:r>
          </w:p>
        </w:tc>
        <w:tc>
          <w:tcPr>
            <w:tcW w:w="1085" w:type="dxa"/>
            <w:tcBorders/>
            <w:tcMar>
              <w:bottom w:w="0" w:type="dxa"/>
            </w:tcMar>
            <w:vAlign w:val="bottom"/>
          </w:tcPr>
          <w:p>
            <w:pPr>
              <w:pStyle w:val="TableContents"/>
              <w:bidi w:val="0"/>
              <w:spacing w:before="0" w:after="0"/>
              <w:jc w:val="center"/>
              <w:rPr>
                <w:color w:val="000000"/>
              </w:rPr>
            </w:pPr>
            <w:r>
              <w:rPr>
                <w:color w:val="000000"/>
              </w:rPr>
              <w:t>No</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845" w:type="dxa"/>
            <w:tcBorders/>
            <w:tcMar>
              <w:bottom w:w="0" w:type="dxa"/>
            </w:tcMar>
            <w:vAlign w:val="bottom"/>
          </w:tcPr>
          <w:p>
            <w:pPr>
              <w:pStyle w:val="TableContents"/>
              <w:bidi w:val="0"/>
              <w:spacing w:before="0" w:after="0"/>
              <w:jc w:val="right"/>
              <w:rPr>
                <w:color w:val="000000"/>
              </w:rPr>
            </w:pPr>
            <w:r>
              <w:rPr>
                <w:color w:val="000000"/>
              </w:rPr>
              <w:t>4,250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tcMar>
              <w:bottom w:w="0" w:type="dxa"/>
            </w:tcMar>
            <w:vAlign w:val="bottom"/>
          </w:tcPr>
          <w:p>
            <w:pPr>
              <w:pStyle w:val="TableContents"/>
              <w:bidi w:val="0"/>
              <w:spacing w:before="0" w:after="283"/>
              <w:jc w:val="left"/>
              <w:rPr/>
            </w:pPr>
            <w:r>
              <w:rPr/>
              <w:t> </w:t>
            </w:r>
          </w:p>
        </w:tc>
        <w:tc>
          <w:tcPr>
            <w:tcW w:w="913" w:type="dxa"/>
            <w:tcBorders/>
            <w:tcMar>
              <w:bottom w:w="0" w:type="dxa"/>
            </w:tcMar>
            <w:vAlign w:val="bottom"/>
          </w:tcPr>
          <w:p>
            <w:pPr>
              <w:pStyle w:val="TableContents"/>
              <w:bidi w:val="0"/>
              <w:spacing w:before="0" w:after="0"/>
              <w:jc w:val="right"/>
              <w:rPr>
                <w:color w:val="000000"/>
              </w:rPr>
            </w:pPr>
            <w:r>
              <w:rPr>
                <w:color w:val="000000"/>
              </w:rPr>
              <w:t>4,153</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0"/>
              <w:jc w:val="right"/>
              <w:rPr>
                <w:color w:val="000000"/>
              </w:rPr>
            </w:pPr>
            <w:r>
              <w:rPr>
                <w:color w:val="000000"/>
              </w:rPr>
              <w:t>4,059</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0"/>
              <w:jc w:val="right"/>
              <w:rPr>
                <w:color w:val="000000"/>
              </w:rPr>
            </w:pPr>
            <w:r>
              <w:rPr>
                <w:color w:val="000000"/>
              </w:rPr>
              <w:t>4.82</w:t>
            </w:r>
          </w:p>
        </w:tc>
        <w:tc>
          <w:tcPr>
            <w:tcW w:w="260" w:type="dxa"/>
            <w:tcBorders/>
            <w:tcMar>
              <w:bottom w:w="0" w:type="dxa"/>
            </w:tcMar>
            <w:vAlign w:val="bottom"/>
          </w:tcPr>
          <w:p>
            <w:pPr>
              <w:pStyle w:val="TableContents"/>
              <w:bidi w:val="0"/>
              <w:spacing w:before="0" w:after="283"/>
              <w:jc w:val="left"/>
              <w:rPr/>
            </w:pPr>
            <w:r>
              <w:rPr/>
              <w:t> </w:t>
            </w:r>
          </w:p>
        </w:tc>
      </w:tr>
      <w:tr>
        <w:trPr/>
        <w:tc>
          <w:tcPr>
            <w:tcW w:w="1310" w:type="dxa"/>
            <w:tcBorders/>
            <w:shd w:fill="CCEEFF" w:val="clear"/>
            <w:tcMar>
              <w:bottom w:w="0" w:type="dxa"/>
            </w:tcMar>
            <w:vAlign w:val="bottom"/>
          </w:tcPr>
          <w:p>
            <w:pPr>
              <w:pStyle w:val="TableContents"/>
              <w:bidi w:val="0"/>
              <w:spacing w:before="0" w:after="0"/>
              <w:ind w:left="360" w:right="0" w:hanging="0"/>
              <w:jc w:val="left"/>
              <w:rPr>
                <w:color w:val="000000"/>
              </w:rPr>
            </w:pPr>
            <w:r>
              <w:rPr>
                <w:color w:val="000000"/>
              </w:rPr>
              <w:t>STIIIZY, Inc. (f/k/a Shryne Group Inc.)</w:t>
            </w:r>
          </w:p>
        </w:tc>
        <w:tc>
          <w:tcPr>
            <w:tcW w:w="1165" w:type="dxa"/>
            <w:tcBorders/>
            <w:shd w:fill="CCEEFF" w:val="clear"/>
            <w:tcMar>
              <w:bottom w:w="0" w:type="dxa"/>
            </w:tcMar>
            <w:vAlign w:val="bottom"/>
          </w:tcPr>
          <w:p>
            <w:pPr>
              <w:pStyle w:val="TableContents"/>
              <w:bidi w:val="0"/>
              <w:spacing w:before="0" w:after="0"/>
              <w:jc w:val="left"/>
              <w:rPr>
                <w:color w:val="000000"/>
              </w:rPr>
            </w:pPr>
            <w:r>
              <w:rPr>
                <w:color w:val="000000"/>
              </w:rPr>
              <w:t>Senior Secured First Lien Term Loan</w:t>
            </w:r>
          </w:p>
        </w:tc>
        <w:tc>
          <w:tcPr>
            <w:tcW w:w="1165" w:type="dxa"/>
            <w:tcBorders/>
            <w:shd w:fill="CCEEFF" w:val="clear"/>
            <w:tcMar>
              <w:bottom w:w="0" w:type="dxa"/>
            </w:tcMar>
            <w:vAlign w:val="bottom"/>
          </w:tcPr>
          <w:p>
            <w:pPr>
              <w:pStyle w:val="TableContents"/>
              <w:bidi w:val="0"/>
              <w:spacing w:before="0" w:after="0"/>
              <w:jc w:val="center"/>
              <w:rPr>
                <w:color w:val="000000"/>
              </w:rPr>
            </w:pPr>
            <w:r>
              <w:rPr>
                <w:color w:val="000000"/>
              </w:rPr>
              <w:t>5/26/2022</w:t>
            </w:r>
          </w:p>
        </w:tc>
        <w:tc>
          <w:tcPr>
            <w:tcW w:w="955" w:type="dxa"/>
            <w:tcBorders/>
            <w:shd w:fill="CCEEFF" w:val="clear"/>
            <w:tcMar>
              <w:bottom w:w="0" w:type="dxa"/>
            </w:tcMar>
            <w:vAlign w:val="bottom"/>
          </w:tcPr>
          <w:p>
            <w:pPr>
              <w:pStyle w:val="TableContents"/>
              <w:bidi w:val="0"/>
              <w:spacing w:before="0" w:after="0"/>
              <w:jc w:val="center"/>
              <w:rPr>
                <w:color w:val="000000"/>
              </w:rPr>
            </w:pPr>
            <w:r>
              <w:rPr>
                <w:color w:val="000000"/>
              </w:rPr>
              <w:t>5/26/2026</w:t>
            </w:r>
          </w:p>
        </w:tc>
        <w:tc>
          <w:tcPr>
            <w:tcW w:w="830" w:type="dxa"/>
            <w:tcBorders/>
            <w:shd w:fill="CCEEFF" w:val="clear"/>
            <w:tcMar>
              <w:bottom w:w="0" w:type="dxa"/>
            </w:tcMar>
            <w:vAlign w:val="bottom"/>
          </w:tcPr>
          <w:p>
            <w:pPr>
              <w:pStyle w:val="TableContents"/>
              <w:bidi w:val="0"/>
              <w:spacing w:before="0" w:after="0"/>
              <w:jc w:val="center"/>
              <w:rPr>
                <w:color w:val="000000"/>
              </w:rPr>
            </w:pPr>
            <w:r>
              <w:rPr>
                <w:color w:val="000000"/>
              </w:rPr>
              <w:t>Variable interest rate PRIME</w:t>
            </w:r>
            <w:r>
              <w:rPr>
                <w:color w:val="000000"/>
                <w:position w:val="8"/>
                <w:sz w:val="19"/>
              </w:rPr>
              <w:t>(11)</w:t>
            </w:r>
            <w:r>
              <w:rPr>
                <w:color w:val="000000"/>
              </w:rPr>
              <w:t xml:space="preserve"> + 8.5%</w:t>
              <w:br/>
              <w:t>(4.0% PRIME Floor) “1.0% PIK”</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0"/>
              <w:jc w:val="right"/>
              <w:rPr>
                <w:color w:val="000000"/>
              </w:rPr>
            </w:pPr>
            <w:r>
              <w:rPr>
                <w:color w:val="000000"/>
              </w:rPr>
              <w:t>3</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0"/>
              <w:jc w:val="center"/>
              <w:rPr>
                <w:color w:val="000000"/>
              </w:rPr>
            </w:pPr>
            <w:r>
              <w:rPr>
                <w:color w:val="000000"/>
              </w:rPr>
              <w:t>West</w:t>
            </w:r>
          </w:p>
        </w:tc>
        <w:tc>
          <w:tcPr>
            <w:tcW w:w="1085" w:type="dxa"/>
            <w:tcBorders/>
            <w:shd w:fill="CCEEFF" w:val="clear"/>
            <w:tcMar>
              <w:bottom w:w="0" w:type="dxa"/>
            </w:tcMar>
            <w:vAlign w:val="bottom"/>
          </w:tcPr>
          <w:p>
            <w:pPr>
              <w:pStyle w:val="TableContents"/>
              <w:bidi w:val="0"/>
              <w:spacing w:before="0" w:after="0"/>
              <w:jc w:val="center"/>
              <w:rPr>
                <w:color w:val="000000"/>
              </w:rPr>
            </w:pPr>
            <w:r>
              <w:rPr>
                <w:color w:val="000000"/>
              </w:rPr>
              <w:t>No</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845" w:type="dxa"/>
            <w:tcBorders/>
            <w:shd w:fill="CCEEFF" w:val="clear"/>
            <w:tcMar>
              <w:bottom w:w="0" w:type="dxa"/>
            </w:tcMar>
            <w:vAlign w:val="bottom"/>
          </w:tcPr>
          <w:p>
            <w:pPr>
              <w:pStyle w:val="TableContents"/>
              <w:bidi w:val="0"/>
              <w:spacing w:before="0" w:after="0"/>
              <w:jc w:val="right"/>
              <w:rPr>
                <w:color w:val="000000"/>
              </w:rPr>
            </w:pPr>
            <w:r>
              <w:rPr>
                <w:color w:val="000000"/>
              </w:rPr>
              <w:t>21,170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shd w:fill="CCEEFF" w:val="clear"/>
            <w:tcMar>
              <w:bottom w:w="0" w:type="dxa"/>
            </w:tcMar>
            <w:vAlign w:val="bottom"/>
          </w:tcPr>
          <w:p>
            <w:pPr>
              <w:pStyle w:val="TableContents"/>
              <w:bidi w:val="0"/>
              <w:spacing w:before="0" w:after="283"/>
              <w:jc w:val="left"/>
              <w:rPr/>
            </w:pPr>
            <w:r>
              <w:rPr/>
              <w:t> </w:t>
            </w:r>
          </w:p>
        </w:tc>
        <w:tc>
          <w:tcPr>
            <w:tcW w:w="913" w:type="dxa"/>
            <w:tcBorders/>
            <w:shd w:fill="CCEEFF" w:val="clear"/>
            <w:tcMar>
              <w:bottom w:w="0" w:type="dxa"/>
            </w:tcMar>
            <w:vAlign w:val="bottom"/>
          </w:tcPr>
          <w:p>
            <w:pPr>
              <w:pStyle w:val="TableContents"/>
              <w:bidi w:val="0"/>
              <w:spacing w:before="0" w:after="0"/>
              <w:jc w:val="right"/>
              <w:rPr>
                <w:color w:val="000000"/>
              </w:rPr>
            </w:pPr>
            <w:r>
              <w:rPr>
                <w:color w:val="000000"/>
              </w:rPr>
              <w:t>20,872</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0"/>
              <w:jc w:val="right"/>
              <w:rPr>
                <w:color w:val="000000"/>
              </w:rPr>
            </w:pPr>
            <w:r>
              <w:rPr>
                <w:color w:val="000000"/>
              </w:rPr>
              <w:t>21,070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0"/>
              <w:jc w:val="right"/>
              <w:rPr>
                <w:color w:val="000000"/>
              </w:rPr>
            </w:pPr>
            <w:r>
              <w:rPr>
                <w:color w:val="000000"/>
              </w:rPr>
              <w:t>25.01</w:t>
            </w:r>
          </w:p>
        </w:tc>
        <w:tc>
          <w:tcPr>
            <w:tcW w:w="260" w:type="dxa"/>
            <w:tcBorders/>
            <w:shd w:fill="CCEEFF" w:val="clear"/>
            <w:tcMar>
              <w:bottom w:w="0" w:type="dxa"/>
            </w:tcMar>
            <w:vAlign w:val="bottom"/>
          </w:tcPr>
          <w:p>
            <w:pPr>
              <w:pStyle w:val="TableContents"/>
              <w:bidi w:val="0"/>
              <w:spacing w:before="0" w:after="283"/>
              <w:jc w:val="left"/>
              <w:rPr/>
            </w:pPr>
            <w:r>
              <w:rPr/>
              <w:t> </w:t>
            </w:r>
          </w:p>
        </w:tc>
      </w:tr>
      <w:tr>
        <w:trPr/>
        <w:tc>
          <w:tcPr>
            <w:tcW w:w="1310" w:type="dxa"/>
            <w:tcBorders/>
            <w:tcMar>
              <w:bottom w:w="0" w:type="dxa"/>
            </w:tcMar>
            <w:vAlign w:val="bottom"/>
          </w:tcPr>
          <w:p>
            <w:pPr>
              <w:pStyle w:val="TableContents"/>
              <w:bidi w:val="0"/>
              <w:spacing w:before="0" w:after="0"/>
              <w:ind w:left="360" w:right="0" w:hanging="0"/>
              <w:jc w:val="left"/>
              <w:rPr>
                <w:color w:val="000000"/>
              </w:rPr>
            </w:pPr>
            <w:r>
              <w:rPr>
                <w:color w:val="000000"/>
              </w:rPr>
              <w:t>Verano Holdings Corp.</w:t>
            </w:r>
          </w:p>
        </w:tc>
        <w:tc>
          <w:tcPr>
            <w:tcW w:w="1165" w:type="dxa"/>
            <w:tcBorders/>
            <w:tcMar>
              <w:bottom w:w="0" w:type="dxa"/>
            </w:tcMar>
            <w:vAlign w:val="bottom"/>
          </w:tcPr>
          <w:p>
            <w:pPr>
              <w:pStyle w:val="TableContents"/>
              <w:bidi w:val="0"/>
              <w:spacing w:before="0" w:after="0"/>
              <w:jc w:val="left"/>
              <w:rPr>
                <w:color w:val="000000"/>
              </w:rPr>
            </w:pPr>
            <w:r>
              <w:rPr>
                <w:color w:val="000000"/>
              </w:rPr>
              <w:t>Senior Secured First Lien Term Loan</w:t>
            </w:r>
          </w:p>
        </w:tc>
        <w:tc>
          <w:tcPr>
            <w:tcW w:w="1165" w:type="dxa"/>
            <w:tcBorders/>
            <w:tcMar>
              <w:bottom w:w="0" w:type="dxa"/>
            </w:tcMar>
            <w:vAlign w:val="bottom"/>
          </w:tcPr>
          <w:p>
            <w:pPr>
              <w:pStyle w:val="TableContents"/>
              <w:bidi w:val="0"/>
              <w:spacing w:before="0" w:after="0"/>
              <w:jc w:val="center"/>
              <w:rPr>
                <w:color w:val="000000"/>
              </w:rPr>
            </w:pPr>
            <w:r>
              <w:rPr>
                <w:color w:val="000000"/>
              </w:rPr>
              <w:t>10/27/2022</w:t>
            </w:r>
          </w:p>
        </w:tc>
        <w:tc>
          <w:tcPr>
            <w:tcW w:w="955" w:type="dxa"/>
            <w:tcBorders/>
            <w:tcMar>
              <w:bottom w:w="0" w:type="dxa"/>
            </w:tcMar>
            <w:vAlign w:val="bottom"/>
          </w:tcPr>
          <w:p>
            <w:pPr>
              <w:pStyle w:val="TableContents"/>
              <w:bidi w:val="0"/>
              <w:spacing w:before="0" w:after="0"/>
              <w:jc w:val="center"/>
              <w:rPr>
                <w:color w:val="000000"/>
              </w:rPr>
            </w:pPr>
            <w:r>
              <w:rPr>
                <w:color w:val="000000"/>
              </w:rPr>
              <w:t>10/30/2026</w:t>
            </w:r>
          </w:p>
        </w:tc>
        <w:tc>
          <w:tcPr>
            <w:tcW w:w="830" w:type="dxa"/>
            <w:tcBorders/>
            <w:tcMar>
              <w:bottom w:w="0" w:type="dxa"/>
            </w:tcMar>
            <w:vAlign w:val="bottom"/>
          </w:tcPr>
          <w:p>
            <w:pPr>
              <w:pStyle w:val="TableContents"/>
              <w:bidi w:val="0"/>
              <w:spacing w:before="0" w:after="0"/>
              <w:jc w:val="center"/>
              <w:rPr>
                <w:color w:val="000000"/>
              </w:rPr>
            </w:pPr>
            <w:r>
              <w:rPr>
                <w:color w:val="000000"/>
              </w:rPr>
              <w:t>Variable interest rate PRIME</w:t>
            </w:r>
            <w:r>
              <w:rPr>
                <w:color w:val="000000"/>
                <w:position w:val="8"/>
                <w:sz w:val="19"/>
              </w:rPr>
              <w:t>(11)</w:t>
            </w:r>
            <w:r>
              <w:rPr>
                <w:color w:val="000000"/>
              </w:rPr>
              <w:t xml:space="preserve"> + 6.5%</w:t>
              <w:br/>
              <w:t>(6.25% PRIME Floor)</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0"/>
              <w:jc w:val="right"/>
              <w:rPr>
                <w:color w:val="000000"/>
              </w:rPr>
            </w:pPr>
            <w:r>
              <w:rPr>
                <w:color w:val="000000"/>
              </w:rPr>
              <w:t>3</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0"/>
              <w:jc w:val="center"/>
              <w:rPr>
                <w:color w:val="000000"/>
              </w:rPr>
            </w:pPr>
            <w:r>
              <w:rPr>
                <w:color w:val="000000"/>
              </w:rPr>
              <w:t>Midwest</w:t>
            </w:r>
          </w:p>
        </w:tc>
        <w:tc>
          <w:tcPr>
            <w:tcW w:w="1085" w:type="dxa"/>
            <w:tcBorders/>
            <w:tcMar>
              <w:bottom w:w="0" w:type="dxa"/>
            </w:tcMar>
            <w:vAlign w:val="bottom"/>
          </w:tcPr>
          <w:p>
            <w:pPr>
              <w:pStyle w:val="TableContents"/>
              <w:bidi w:val="0"/>
              <w:spacing w:before="0" w:after="0"/>
              <w:jc w:val="center"/>
              <w:rPr>
                <w:color w:val="000000"/>
              </w:rPr>
            </w:pPr>
            <w:r>
              <w:rPr>
                <w:color w:val="000000"/>
              </w:rPr>
              <w:t>Yes</w:t>
            </w:r>
          </w:p>
        </w:tc>
        <w:tc>
          <w:tcPr>
            <w:tcW w:w="60" w:type="dxa"/>
            <w:tcBorders/>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845" w:type="dxa"/>
            <w:tcBorders>
              <w:bottom w:val="single" w:sz="12" w:space="0" w:color="000000"/>
            </w:tcBorders>
            <w:vAlign w:val="bottom"/>
          </w:tcPr>
          <w:p>
            <w:pPr>
              <w:pStyle w:val="TableContents"/>
              <w:bidi w:val="0"/>
              <w:spacing w:before="0" w:after="0"/>
              <w:jc w:val="right"/>
              <w:rPr>
                <w:color w:val="000000"/>
              </w:rPr>
            </w:pPr>
            <w:r>
              <w:rPr>
                <w:color w:val="000000"/>
              </w:rPr>
              <w:t>17,811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vAlign w:val="bottom"/>
          </w:tcPr>
          <w:p>
            <w:pPr>
              <w:pStyle w:val="TableContents"/>
              <w:bidi w:val="0"/>
              <w:spacing w:before="0" w:after="283"/>
              <w:jc w:val="left"/>
              <w:rPr/>
            </w:pPr>
            <w:r>
              <w:rPr/>
              <w:t> </w:t>
            </w:r>
          </w:p>
        </w:tc>
        <w:tc>
          <w:tcPr>
            <w:tcW w:w="913" w:type="dxa"/>
            <w:tcBorders>
              <w:bottom w:val="single" w:sz="12" w:space="0" w:color="000000"/>
            </w:tcBorders>
            <w:vAlign w:val="bottom"/>
          </w:tcPr>
          <w:p>
            <w:pPr>
              <w:pStyle w:val="TableContents"/>
              <w:bidi w:val="0"/>
              <w:spacing w:before="0" w:after="0"/>
              <w:jc w:val="right"/>
              <w:rPr>
                <w:color w:val="000000"/>
              </w:rPr>
            </w:pPr>
            <w:r>
              <w:rPr>
                <w:color w:val="000000"/>
              </w:rPr>
              <w:t>17,466</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0"/>
              <w:jc w:val="right"/>
              <w:rPr>
                <w:color w:val="000000"/>
              </w:rPr>
            </w:pPr>
            <w:r>
              <w:rPr>
                <w:color w:val="000000"/>
              </w:rPr>
              <w:t>17,989</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0"/>
              <w:jc w:val="right"/>
              <w:rPr>
                <w:color w:val="000000"/>
              </w:rPr>
            </w:pPr>
            <w:r>
              <w:rPr>
                <w:color w:val="000000"/>
              </w:rPr>
              <w:t>21.35</w:t>
            </w:r>
          </w:p>
        </w:tc>
        <w:tc>
          <w:tcPr>
            <w:tcW w:w="260" w:type="dxa"/>
            <w:tcBorders/>
            <w:tcMar>
              <w:bottom w:w="0" w:type="dxa"/>
            </w:tcMar>
            <w:vAlign w:val="bottom"/>
          </w:tcPr>
          <w:p>
            <w:pPr>
              <w:pStyle w:val="TableContents"/>
              <w:bidi w:val="0"/>
              <w:spacing w:before="0" w:after="283"/>
              <w:jc w:val="left"/>
              <w:rPr/>
            </w:pPr>
            <w:r>
              <w:rPr/>
              <w:t> </w:t>
            </w:r>
          </w:p>
        </w:tc>
      </w:tr>
      <w:tr>
        <w:trPr/>
        <w:tc>
          <w:tcPr>
            <w:tcW w:w="1310" w:type="dxa"/>
            <w:tcBorders/>
            <w:shd w:fill="CCEEFF" w:val="clear"/>
            <w:tcMar>
              <w:bottom w:w="0" w:type="dxa"/>
            </w:tcMar>
            <w:vAlign w:val="bottom"/>
          </w:tcPr>
          <w:p>
            <w:pPr>
              <w:pStyle w:val="TableContents"/>
              <w:bidi w:val="0"/>
              <w:spacing w:before="0" w:after="0"/>
              <w:ind w:left="180" w:right="0" w:hanging="180"/>
              <w:jc w:val="left"/>
              <w:rPr/>
            </w:pPr>
            <w:r>
              <w:rPr/>
              <w:t> </w:t>
            </w:r>
          </w:p>
        </w:tc>
        <w:tc>
          <w:tcPr>
            <w:tcW w:w="1165" w:type="dxa"/>
            <w:tcBorders/>
            <w:shd w:fill="CCEEFF" w:val="clear"/>
            <w:tcMar>
              <w:bottom w:w="0" w:type="dxa"/>
            </w:tcMar>
            <w:vAlign w:val="bottom"/>
          </w:tcPr>
          <w:p>
            <w:pPr>
              <w:pStyle w:val="TableContents"/>
              <w:bidi w:val="0"/>
              <w:spacing w:before="0" w:after="283"/>
              <w:jc w:val="left"/>
              <w:rPr/>
            </w:pPr>
            <w:r>
              <w:rPr/>
              <w:t> </w:t>
            </w:r>
          </w:p>
        </w:tc>
        <w:tc>
          <w:tcPr>
            <w:tcW w:w="1165" w:type="dxa"/>
            <w:tcBorders/>
            <w:shd w:fill="CCEEFF" w:val="clear"/>
            <w:tcMar>
              <w:bottom w:w="0" w:type="dxa"/>
            </w:tcMar>
            <w:vAlign w:val="bottom"/>
          </w:tcPr>
          <w:p>
            <w:pPr>
              <w:pStyle w:val="TableContents"/>
              <w:bidi w:val="0"/>
              <w:spacing w:before="0" w:after="283"/>
              <w:jc w:val="left"/>
              <w:rPr/>
            </w:pPr>
            <w:r>
              <w:rPr/>
              <w:t> </w:t>
            </w:r>
          </w:p>
        </w:tc>
        <w:tc>
          <w:tcPr>
            <w:tcW w:w="955"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283"/>
              <w:jc w:val="left"/>
              <w:rPr/>
            </w:pPr>
            <w:r>
              <w:rPr/>
              <w:t> </w:t>
            </w:r>
          </w:p>
        </w:tc>
        <w:tc>
          <w:tcPr>
            <w:tcW w:w="10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vAlign w:val="bottom"/>
          </w:tcPr>
          <w:p>
            <w:pPr>
              <w:pStyle w:val="TableContents"/>
              <w:bidi w:val="0"/>
              <w:spacing w:before="0" w:after="283"/>
              <w:jc w:val="left"/>
              <w:rPr/>
            </w:pPr>
            <w:r>
              <w:rPr/>
              <w:t> </w:t>
            </w:r>
          </w:p>
        </w:tc>
        <w:tc>
          <w:tcPr>
            <w:tcW w:w="845"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52,051</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shd w:fill="CCEEFF" w:val="clear"/>
            <w:vAlign w:val="bottom"/>
          </w:tcPr>
          <w:p>
            <w:pPr>
              <w:pStyle w:val="TableContents"/>
              <w:bidi w:val="0"/>
              <w:spacing w:before="0" w:after="283"/>
              <w:jc w:val="left"/>
              <w:rPr/>
            </w:pPr>
            <w:r>
              <w:rPr/>
              <w:t> </w:t>
            </w:r>
          </w:p>
        </w:tc>
        <w:tc>
          <w:tcPr>
            <w:tcW w:w="913"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50,800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51,646</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61.30</w:t>
            </w:r>
          </w:p>
        </w:tc>
        <w:tc>
          <w:tcPr>
            <w:tcW w:w="260" w:type="dxa"/>
            <w:tcBorders/>
            <w:shd w:fill="CCEEFF" w:val="clear"/>
            <w:tcMar>
              <w:bottom w:w="0" w:type="dxa"/>
            </w:tcMar>
            <w:vAlign w:val="bottom"/>
          </w:tcPr>
          <w:p>
            <w:pPr>
              <w:pStyle w:val="TableContents"/>
              <w:bidi w:val="0"/>
              <w:spacing w:before="0" w:after="283"/>
              <w:jc w:val="left"/>
              <w:rPr/>
            </w:pPr>
            <w:r>
              <w:rPr/>
              <w:t> </w:t>
            </w:r>
          </w:p>
        </w:tc>
      </w:tr>
      <w:tr>
        <w:trPr/>
        <w:tc>
          <w:tcPr>
            <w:tcW w:w="1310" w:type="dxa"/>
            <w:tcBorders/>
            <w:tcMar>
              <w:bottom w:w="0" w:type="dxa"/>
            </w:tcMar>
            <w:vAlign w:val="bottom"/>
          </w:tcPr>
          <w:p>
            <w:pPr>
              <w:pStyle w:val="TableContents"/>
              <w:bidi w:val="0"/>
              <w:spacing w:before="0" w:after="0"/>
              <w:ind w:left="180" w:right="0" w:hanging="180"/>
              <w:jc w:val="left"/>
              <w:rPr/>
            </w:pPr>
            <w:r>
              <w:rPr/>
              <w:t> </w:t>
            </w:r>
          </w:p>
        </w:tc>
        <w:tc>
          <w:tcPr>
            <w:tcW w:w="1165" w:type="dxa"/>
            <w:tcBorders/>
            <w:tcMar>
              <w:bottom w:w="0" w:type="dxa"/>
            </w:tcMar>
            <w:vAlign w:val="bottom"/>
          </w:tcPr>
          <w:p>
            <w:pPr>
              <w:pStyle w:val="TableContents"/>
              <w:bidi w:val="0"/>
              <w:spacing w:before="0" w:after="283"/>
              <w:jc w:val="left"/>
              <w:rPr/>
            </w:pPr>
            <w:r>
              <w:rPr/>
              <w:t> </w:t>
            </w:r>
          </w:p>
        </w:tc>
        <w:tc>
          <w:tcPr>
            <w:tcW w:w="1165" w:type="dxa"/>
            <w:tcBorders/>
            <w:tcMar>
              <w:bottom w:w="0" w:type="dxa"/>
            </w:tcMar>
            <w:vAlign w:val="bottom"/>
          </w:tcPr>
          <w:p>
            <w:pPr>
              <w:pStyle w:val="TableContents"/>
              <w:bidi w:val="0"/>
              <w:spacing w:before="0" w:after="283"/>
              <w:jc w:val="left"/>
              <w:rPr/>
            </w:pPr>
            <w:r>
              <w:rPr/>
              <w:t> </w:t>
            </w:r>
          </w:p>
        </w:tc>
        <w:tc>
          <w:tcPr>
            <w:tcW w:w="955"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845"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vAlign w:val="bottom"/>
          </w:tcPr>
          <w:p>
            <w:pPr>
              <w:pStyle w:val="TableContents"/>
              <w:bidi w:val="0"/>
              <w:spacing w:before="0" w:after="283"/>
              <w:jc w:val="left"/>
              <w:rPr/>
            </w:pPr>
            <w:r>
              <w:rPr/>
              <w:t> </w:t>
            </w:r>
          </w:p>
        </w:tc>
        <w:tc>
          <w:tcPr>
            <w:tcW w:w="913" w:type="dxa"/>
            <w:tcBorders>
              <w:bottom w:val="single" w:sz="12" w:space="0" w:color="000000"/>
            </w:tcBorders>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283"/>
              <w:jc w:val="right"/>
              <w:rPr/>
            </w:pPr>
            <w:r>
              <w:rPr/>
              <w:t> </w:t>
            </w:r>
          </w:p>
        </w:tc>
        <w:tc>
          <w:tcPr>
            <w:tcW w:w="260" w:type="dxa"/>
            <w:tcBorders/>
            <w:tcMar>
              <w:bottom w:w="0" w:type="dxa"/>
            </w:tcMar>
            <w:vAlign w:val="bottom"/>
          </w:tcPr>
          <w:p>
            <w:pPr>
              <w:pStyle w:val="TableContents"/>
              <w:bidi w:val="0"/>
              <w:spacing w:before="0" w:after="283"/>
              <w:jc w:val="left"/>
              <w:rPr/>
            </w:pPr>
            <w:r>
              <w:rPr/>
              <w:t> </w:t>
            </w:r>
          </w:p>
        </w:tc>
      </w:tr>
      <w:tr>
        <w:trPr/>
        <w:tc>
          <w:tcPr>
            <w:tcW w:w="4595" w:type="dxa"/>
            <w:gridSpan w:val="4"/>
            <w:tcBorders/>
            <w:shd w:fill="CCEEFF" w:val="clear"/>
            <w:tcMar>
              <w:bottom w:w="0" w:type="dxa"/>
            </w:tcMar>
            <w:vAlign w:val="bottom"/>
          </w:tcPr>
          <w:p>
            <w:pPr>
              <w:pStyle w:val="TableContents"/>
              <w:bidi w:val="0"/>
              <w:spacing w:before="0" w:after="0"/>
              <w:ind w:left="180" w:right="0" w:hanging="0"/>
              <w:jc w:val="left"/>
              <w:rPr>
                <w:b/>
                <w:color w:val="000000"/>
              </w:rPr>
            </w:pPr>
            <w:r>
              <w:rPr>
                <w:b/>
                <w:color w:val="000000"/>
              </w:rPr>
              <w:t>Total: Debt Securities - United States (62.45%):</w:t>
            </w:r>
          </w:p>
        </w:tc>
        <w:tc>
          <w:tcPr>
            <w:tcW w:w="83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283"/>
              <w:jc w:val="left"/>
              <w:rPr/>
            </w:pPr>
            <w:r>
              <w:rPr/>
              <w:t> </w:t>
            </w:r>
          </w:p>
        </w:tc>
        <w:tc>
          <w:tcPr>
            <w:tcW w:w="10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845"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shd w:fill="CCEEFF" w:val="clear"/>
            <w:vAlign w:val="bottom"/>
          </w:tcPr>
          <w:p>
            <w:pPr>
              <w:pStyle w:val="TableContents"/>
              <w:bidi w:val="0"/>
              <w:spacing w:before="0" w:after="283"/>
              <w:jc w:val="left"/>
              <w:rPr/>
            </w:pPr>
            <w:r>
              <w:rPr/>
              <w:t> </w:t>
            </w:r>
          </w:p>
        </w:tc>
        <w:tc>
          <w:tcPr>
            <w:tcW w:w="913" w:type="dxa"/>
            <w:tcBorders>
              <w:bottom w:val="single" w:sz="12" w:space="0" w:color="000000"/>
            </w:tcBorders>
            <w:shd w:fill="CCEEFF" w:val="clear"/>
            <w:vAlign w:val="bottom"/>
          </w:tcPr>
          <w:p>
            <w:pPr>
              <w:pStyle w:val="TableContents"/>
              <w:bidi w:val="0"/>
              <w:spacing w:before="0" w:after="0"/>
              <w:jc w:val="right"/>
              <w:rPr>
                <w:b/>
                <w:color w:val="000000"/>
              </w:rPr>
            </w:pPr>
            <w:r>
              <w:rPr>
                <w:b/>
                <w:color w:val="000000"/>
              </w:rPr>
              <w:t>51,640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0"/>
              <w:jc w:val="right"/>
              <w:rPr>
                <w:b/>
                <w:color w:val="000000"/>
              </w:rPr>
            </w:pPr>
            <w:r>
              <w:rPr>
                <w:b/>
                <w:color w:val="000000"/>
              </w:rPr>
              <w:t>52,617</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0"/>
              <w:jc w:val="right"/>
              <w:rPr>
                <w:b/>
                <w:color w:val="000000"/>
              </w:rPr>
            </w:pPr>
            <w:r>
              <w:rPr>
                <w:b/>
                <w:color w:val="000000"/>
              </w:rPr>
              <w:t>62.45</w:t>
            </w:r>
          </w:p>
        </w:tc>
        <w:tc>
          <w:tcPr>
            <w:tcW w:w="260" w:type="dxa"/>
            <w:tcBorders/>
            <w:shd w:fill="CCEEFF" w:val="clear"/>
            <w:tcMar>
              <w:bottom w:w="0" w:type="dxa"/>
            </w:tcMar>
            <w:vAlign w:val="bottom"/>
          </w:tcPr>
          <w:p>
            <w:pPr>
              <w:pStyle w:val="TableContents"/>
              <w:bidi w:val="0"/>
              <w:spacing w:before="0" w:after="283"/>
              <w:jc w:val="left"/>
              <w:rPr/>
            </w:pPr>
            <w:r>
              <w:rPr/>
              <w:t> </w:t>
            </w:r>
          </w:p>
        </w:tc>
      </w:tr>
      <w:tr>
        <w:trPr/>
        <w:tc>
          <w:tcPr>
            <w:tcW w:w="1310" w:type="dxa"/>
            <w:tcBorders/>
            <w:tcMar>
              <w:bottom w:w="0" w:type="dxa"/>
            </w:tcMar>
            <w:vAlign w:val="bottom"/>
          </w:tcPr>
          <w:p>
            <w:pPr>
              <w:pStyle w:val="TableContents"/>
              <w:bidi w:val="0"/>
              <w:spacing w:before="0" w:after="0"/>
              <w:ind w:left="180" w:right="0" w:hanging="180"/>
              <w:jc w:val="left"/>
              <w:rPr/>
            </w:pPr>
            <w:r>
              <w:rPr/>
              <w:t> </w:t>
            </w:r>
          </w:p>
        </w:tc>
        <w:tc>
          <w:tcPr>
            <w:tcW w:w="1165" w:type="dxa"/>
            <w:tcBorders/>
            <w:tcMar>
              <w:bottom w:w="0" w:type="dxa"/>
            </w:tcMar>
            <w:vAlign w:val="bottom"/>
          </w:tcPr>
          <w:p>
            <w:pPr>
              <w:pStyle w:val="TableContents"/>
              <w:bidi w:val="0"/>
              <w:spacing w:before="0" w:after="283"/>
              <w:jc w:val="left"/>
              <w:rPr/>
            </w:pPr>
            <w:r>
              <w:rPr/>
              <w:t> </w:t>
            </w:r>
          </w:p>
        </w:tc>
        <w:tc>
          <w:tcPr>
            <w:tcW w:w="1165" w:type="dxa"/>
            <w:tcBorders/>
            <w:tcMar>
              <w:bottom w:w="0" w:type="dxa"/>
            </w:tcMar>
            <w:vAlign w:val="bottom"/>
          </w:tcPr>
          <w:p>
            <w:pPr>
              <w:pStyle w:val="TableContents"/>
              <w:bidi w:val="0"/>
              <w:spacing w:before="0" w:after="283"/>
              <w:jc w:val="left"/>
              <w:rPr/>
            </w:pPr>
            <w:r>
              <w:rPr/>
              <w:t> </w:t>
            </w:r>
          </w:p>
        </w:tc>
        <w:tc>
          <w:tcPr>
            <w:tcW w:w="955"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845"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vAlign w:val="bottom"/>
          </w:tcPr>
          <w:p>
            <w:pPr>
              <w:pStyle w:val="TableContents"/>
              <w:bidi w:val="0"/>
              <w:spacing w:before="0" w:after="283"/>
              <w:jc w:val="left"/>
              <w:rPr/>
            </w:pPr>
            <w:r>
              <w:rPr/>
              <w:t> </w:t>
            </w:r>
          </w:p>
        </w:tc>
        <w:tc>
          <w:tcPr>
            <w:tcW w:w="913" w:type="dxa"/>
            <w:tcBorders>
              <w:bottom w:val="single" w:sz="12" w:space="0" w:color="000000"/>
            </w:tcBorders>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283"/>
              <w:jc w:val="right"/>
              <w:rPr/>
            </w:pPr>
            <w:r>
              <w:rPr/>
              <w:t> </w:t>
            </w:r>
          </w:p>
        </w:tc>
        <w:tc>
          <w:tcPr>
            <w:tcW w:w="260" w:type="dxa"/>
            <w:tcBorders/>
            <w:tcMar>
              <w:bottom w:w="0" w:type="dxa"/>
            </w:tcMar>
            <w:vAlign w:val="bottom"/>
          </w:tcPr>
          <w:p>
            <w:pPr>
              <w:pStyle w:val="TableContents"/>
              <w:bidi w:val="0"/>
              <w:spacing w:before="0" w:after="283"/>
              <w:jc w:val="left"/>
              <w:rPr/>
            </w:pPr>
            <w:r>
              <w:rPr/>
              <w:t> </w:t>
            </w:r>
          </w:p>
        </w:tc>
      </w:tr>
      <w:tr>
        <w:trPr/>
        <w:tc>
          <w:tcPr>
            <w:tcW w:w="4595" w:type="dxa"/>
            <w:gridSpan w:val="4"/>
            <w:tcBorders/>
            <w:shd w:fill="CCEEFF" w:val="clear"/>
            <w:tcMar>
              <w:bottom w:w="0" w:type="dxa"/>
            </w:tcMar>
            <w:vAlign w:val="bottom"/>
          </w:tcPr>
          <w:p>
            <w:pPr>
              <w:pStyle w:val="TableContents"/>
              <w:bidi w:val="0"/>
              <w:spacing w:before="0" w:after="0"/>
              <w:ind w:left="180" w:right="0" w:hanging="0"/>
              <w:jc w:val="left"/>
              <w:rPr>
                <w:b/>
                <w:color w:val="000000"/>
              </w:rPr>
            </w:pPr>
            <w:r>
              <w:rPr>
                <w:b/>
                <w:color w:val="000000"/>
              </w:rPr>
              <w:t>Total: Debt Securities (62.45%):</w:t>
            </w:r>
          </w:p>
        </w:tc>
        <w:tc>
          <w:tcPr>
            <w:tcW w:w="83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283"/>
              <w:jc w:val="left"/>
              <w:rPr/>
            </w:pPr>
            <w:r>
              <w:rPr/>
              <w:t> </w:t>
            </w:r>
          </w:p>
        </w:tc>
        <w:tc>
          <w:tcPr>
            <w:tcW w:w="10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845"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shd w:fill="CCEEFF" w:val="clear"/>
            <w:vAlign w:val="bottom"/>
          </w:tcPr>
          <w:p>
            <w:pPr>
              <w:pStyle w:val="TableContents"/>
              <w:bidi w:val="0"/>
              <w:spacing w:before="0" w:after="283"/>
              <w:jc w:val="left"/>
              <w:rPr/>
            </w:pPr>
            <w:r>
              <w:rPr/>
              <w:t> </w:t>
            </w:r>
          </w:p>
        </w:tc>
        <w:tc>
          <w:tcPr>
            <w:tcW w:w="913" w:type="dxa"/>
            <w:tcBorders>
              <w:bottom w:val="single" w:sz="12" w:space="0" w:color="000000"/>
            </w:tcBorders>
            <w:shd w:fill="CCEEFF" w:val="clear"/>
            <w:vAlign w:val="bottom"/>
          </w:tcPr>
          <w:p>
            <w:pPr>
              <w:pStyle w:val="TableContents"/>
              <w:bidi w:val="0"/>
              <w:spacing w:before="0" w:after="0"/>
              <w:jc w:val="right"/>
              <w:rPr>
                <w:b/>
                <w:color w:val="000000"/>
              </w:rPr>
            </w:pPr>
            <w:r>
              <w:rPr>
                <w:b/>
                <w:color w:val="000000"/>
              </w:rPr>
              <w:t>51,640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0"/>
              <w:jc w:val="right"/>
              <w:rPr>
                <w:b/>
                <w:color w:val="000000"/>
              </w:rPr>
            </w:pPr>
            <w:r>
              <w:rPr>
                <w:b/>
                <w:color w:val="000000"/>
              </w:rPr>
              <w:t>52,617</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0"/>
              <w:jc w:val="right"/>
              <w:rPr>
                <w:b/>
                <w:color w:val="000000"/>
              </w:rPr>
            </w:pPr>
            <w:r>
              <w:rPr>
                <w:b/>
                <w:color w:val="000000"/>
              </w:rPr>
              <w:t>62.45</w:t>
            </w:r>
          </w:p>
        </w:tc>
        <w:tc>
          <w:tcPr>
            <w:tcW w:w="260" w:type="dxa"/>
            <w:tcBorders/>
            <w:shd w:fill="CCEEFF" w:val="clear"/>
            <w:tcMar>
              <w:bottom w:w="0" w:type="dxa"/>
            </w:tcMar>
            <w:vAlign w:val="bottom"/>
          </w:tcPr>
          <w:p>
            <w:pPr>
              <w:pStyle w:val="TableContents"/>
              <w:bidi w:val="0"/>
              <w:spacing w:before="0" w:after="283"/>
              <w:jc w:val="left"/>
              <w:rPr/>
            </w:pPr>
            <w:r>
              <w:rPr/>
              <w:t> </w:t>
            </w:r>
          </w:p>
        </w:tc>
      </w:tr>
      <w:tr>
        <w:trPr/>
        <w:tc>
          <w:tcPr>
            <w:tcW w:w="1310" w:type="dxa"/>
            <w:tcBorders/>
            <w:tcMar>
              <w:bottom w:w="0" w:type="dxa"/>
            </w:tcMar>
            <w:vAlign w:val="bottom"/>
          </w:tcPr>
          <w:p>
            <w:pPr>
              <w:pStyle w:val="TableContents"/>
              <w:bidi w:val="0"/>
              <w:spacing w:before="0" w:after="0"/>
              <w:ind w:left="180" w:right="0" w:hanging="180"/>
              <w:jc w:val="left"/>
              <w:rPr/>
            </w:pPr>
            <w:r>
              <w:rPr/>
              <w:t> </w:t>
            </w:r>
          </w:p>
        </w:tc>
        <w:tc>
          <w:tcPr>
            <w:tcW w:w="1165" w:type="dxa"/>
            <w:tcBorders/>
            <w:tcMar>
              <w:bottom w:w="0" w:type="dxa"/>
            </w:tcMar>
            <w:vAlign w:val="bottom"/>
          </w:tcPr>
          <w:p>
            <w:pPr>
              <w:pStyle w:val="TableContents"/>
              <w:bidi w:val="0"/>
              <w:spacing w:before="0" w:after="283"/>
              <w:jc w:val="left"/>
              <w:rPr/>
            </w:pPr>
            <w:r>
              <w:rPr/>
              <w:t> </w:t>
            </w:r>
          </w:p>
        </w:tc>
        <w:tc>
          <w:tcPr>
            <w:tcW w:w="1165" w:type="dxa"/>
            <w:tcBorders/>
            <w:tcMar>
              <w:bottom w:w="0" w:type="dxa"/>
            </w:tcMar>
            <w:vAlign w:val="bottom"/>
          </w:tcPr>
          <w:p>
            <w:pPr>
              <w:pStyle w:val="TableContents"/>
              <w:bidi w:val="0"/>
              <w:spacing w:before="0" w:after="283"/>
              <w:jc w:val="left"/>
              <w:rPr/>
            </w:pPr>
            <w:r>
              <w:rPr/>
              <w:t> </w:t>
            </w:r>
          </w:p>
        </w:tc>
        <w:tc>
          <w:tcPr>
            <w:tcW w:w="955"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845"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tcMar>
              <w:bottom w:w="0" w:type="dxa"/>
            </w:tcMar>
            <w:vAlign w:val="bottom"/>
          </w:tcPr>
          <w:p>
            <w:pPr>
              <w:pStyle w:val="TableContents"/>
              <w:bidi w:val="0"/>
              <w:spacing w:before="0" w:after="283"/>
              <w:jc w:val="left"/>
              <w:rPr/>
            </w:pPr>
            <w:r>
              <w:rPr/>
              <w:t> </w:t>
            </w:r>
          </w:p>
        </w:tc>
        <w:tc>
          <w:tcPr>
            <w:tcW w:w="913"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283"/>
              <w:jc w:val="right"/>
              <w:rPr/>
            </w:pPr>
            <w:r>
              <w:rPr/>
              <w:t> </w:t>
            </w:r>
          </w:p>
        </w:tc>
        <w:tc>
          <w:tcPr>
            <w:tcW w:w="260" w:type="dxa"/>
            <w:tcBorders/>
            <w:tcMar>
              <w:bottom w:w="0" w:type="dxa"/>
            </w:tcMar>
            <w:vAlign w:val="bottom"/>
          </w:tcPr>
          <w:p>
            <w:pPr>
              <w:pStyle w:val="TableContents"/>
              <w:bidi w:val="0"/>
              <w:spacing w:before="0" w:after="283"/>
              <w:jc w:val="left"/>
              <w:rPr/>
            </w:pPr>
            <w:r>
              <w:rPr/>
              <w:t> </w:t>
            </w:r>
          </w:p>
        </w:tc>
      </w:tr>
      <w:tr>
        <w:trPr/>
        <w:tc>
          <w:tcPr>
            <w:tcW w:w="1310" w:type="dxa"/>
            <w:tcBorders/>
            <w:shd w:fill="CCEEFF" w:val="clear"/>
            <w:tcMar>
              <w:bottom w:w="0" w:type="dxa"/>
            </w:tcMar>
            <w:vAlign w:val="bottom"/>
          </w:tcPr>
          <w:p>
            <w:pPr>
              <w:pStyle w:val="TableContents"/>
              <w:bidi w:val="0"/>
              <w:spacing w:before="0" w:after="283"/>
              <w:jc w:val="left"/>
              <w:rPr>
                <w:b/>
              </w:rPr>
            </w:pPr>
            <w:r>
              <w:rPr>
                <w:b/>
              </w:rPr>
              <w:t>Equity Securities - United States</w:t>
            </w:r>
          </w:p>
        </w:tc>
        <w:tc>
          <w:tcPr>
            <w:tcW w:w="1165" w:type="dxa"/>
            <w:tcBorders/>
            <w:shd w:fill="CCEEFF" w:val="clear"/>
            <w:tcMar>
              <w:bottom w:w="0" w:type="dxa"/>
            </w:tcMar>
            <w:vAlign w:val="bottom"/>
          </w:tcPr>
          <w:p>
            <w:pPr>
              <w:pStyle w:val="TableContents"/>
              <w:bidi w:val="0"/>
              <w:spacing w:before="0" w:after="283"/>
              <w:jc w:val="left"/>
              <w:rPr/>
            </w:pPr>
            <w:r>
              <w:rPr/>
              <w:t> </w:t>
            </w:r>
          </w:p>
        </w:tc>
        <w:tc>
          <w:tcPr>
            <w:tcW w:w="1165" w:type="dxa"/>
            <w:tcBorders/>
            <w:shd w:fill="CCEEFF" w:val="clear"/>
            <w:tcMar>
              <w:bottom w:w="0" w:type="dxa"/>
            </w:tcMar>
            <w:vAlign w:val="bottom"/>
          </w:tcPr>
          <w:p>
            <w:pPr>
              <w:pStyle w:val="TableContents"/>
              <w:bidi w:val="0"/>
              <w:spacing w:before="0" w:after="283"/>
              <w:jc w:val="left"/>
              <w:rPr/>
            </w:pPr>
            <w:r>
              <w:rPr/>
              <w:t> </w:t>
            </w:r>
          </w:p>
        </w:tc>
        <w:tc>
          <w:tcPr>
            <w:tcW w:w="955"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283"/>
              <w:jc w:val="left"/>
              <w:rPr/>
            </w:pPr>
            <w:r>
              <w:rPr/>
              <w:t> </w:t>
            </w:r>
          </w:p>
        </w:tc>
        <w:tc>
          <w:tcPr>
            <w:tcW w:w="10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985" w:type="dxa"/>
            <w:gridSpan w:val="2"/>
            <w:tcBorders>
              <w:bottom w:val="single" w:sz="12" w:space="0" w:color="000000"/>
            </w:tcBorders>
            <w:shd w:fill="CCEEFF" w:val="clear"/>
            <w:vAlign w:val="bottom"/>
          </w:tcPr>
          <w:p>
            <w:pPr>
              <w:pStyle w:val="TableContents"/>
              <w:bidi w:val="0"/>
              <w:spacing w:before="0" w:after="0"/>
              <w:jc w:val="center"/>
              <w:rPr>
                <w:b/>
              </w:rPr>
            </w:pPr>
            <w:r>
              <w:rPr>
                <w:b/>
              </w:rPr>
              <w:t xml:space="preserve">Shares/ </w:t>
            </w:r>
          </w:p>
          <w:p>
            <w:pPr>
              <w:pStyle w:val="TableContents"/>
              <w:bidi w:val="0"/>
              <w:spacing w:before="0" w:after="0"/>
              <w:jc w:val="center"/>
              <w:rPr>
                <w:b/>
              </w:rPr>
            </w:pPr>
            <w:r>
              <w:rPr>
                <w:b/>
              </w:rPr>
              <w:t>Units</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shd w:fill="CCEEFF" w:val="clear"/>
            <w:tcMar>
              <w:bottom w:w="0" w:type="dxa"/>
            </w:tcMar>
            <w:vAlign w:val="bottom"/>
          </w:tcPr>
          <w:p>
            <w:pPr>
              <w:pStyle w:val="TableContents"/>
              <w:bidi w:val="0"/>
              <w:spacing w:before="0" w:after="283"/>
              <w:jc w:val="left"/>
              <w:rPr/>
            </w:pPr>
            <w:r>
              <w:rPr/>
              <w:t> </w:t>
            </w:r>
          </w:p>
        </w:tc>
        <w:tc>
          <w:tcPr>
            <w:tcW w:w="913"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r>
      <w:tr>
        <w:trPr/>
        <w:tc>
          <w:tcPr>
            <w:tcW w:w="1310" w:type="dxa"/>
            <w:tcBorders>
              <w:bottom w:val="single" w:sz="12" w:space="0" w:color="000000"/>
            </w:tcBorders>
            <w:vAlign w:val="bottom"/>
          </w:tcPr>
          <w:p>
            <w:pPr>
              <w:pStyle w:val="TableContents"/>
              <w:bidi w:val="0"/>
              <w:spacing w:before="0" w:after="0"/>
              <w:ind w:left="180" w:right="0" w:hanging="180"/>
              <w:jc w:val="left"/>
              <w:rPr>
                <w:b/>
              </w:rPr>
            </w:pPr>
            <w:r>
              <w:rPr>
                <w:b/>
              </w:rPr>
              <w:t>Real Estate Services</w:t>
            </w:r>
          </w:p>
        </w:tc>
        <w:tc>
          <w:tcPr>
            <w:tcW w:w="1165" w:type="dxa"/>
            <w:tcBorders/>
            <w:tcMar>
              <w:bottom w:w="0" w:type="dxa"/>
            </w:tcMar>
            <w:vAlign w:val="bottom"/>
          </w:tcPr>
          <w:p>
            <w:pPr>
              <w:pStyle w:val="TableContents"/>
              <w:bidi w:val="0"/>
              <w:spacing w:before="0" w:after="283"/>
              <w:jc w:val="left"/>
              <w:rPr/>
            </w:pPr>
            <w:r>
              <w:rPr/>
            </w:r>
          </w:p>
        </w:tc>
        <w:tc>
          <w:tcPr>
            <w:tcW w:w="1165" w:type="dxa"/>
            <w:tcBorders/>
            <w:tcMar>
              <w:bottom w:w="0" w:type="dxa"/>
            </w:tcMar>
            <w:vAlign w:val="bottom"/>
          </w:tcPr>
          <w:p>
            <w:pPr>
              <w:pStyle w:val="TableContents"/>
              <w:bidi w:val="0"/>
              <w:spacing w:before="0" w:after="283"/>
              <w:jc w:val="left"/>
              <w:rPr/>
            </w:pPr>
            <w:r>
              <w:rPr/>
              <w:t> </w:t>
            </w:r>
          </w:p>
        </w:tc>
        <w:tc>
          <w:tcPr>
            <w:tcW w:w="955"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845"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tcMar>
              <w:bottom w:w="0" w:type="dxa"/>
            </w:tcMar>
            <w:vAlign w:val="bottom"/>
          </w:tcPr>
          <w:p>
            <w:pPr>
              <w:pStyle w:val="TableContents"/>
              <w:bidi w:val="0"/>
              <w:spacing w:before="0" w:after="283"/>
              <w:jc w:val="left"/>
              <w:rPr/>
            </w:pPr>
            <w:r>
              <w:rPr/>
              <w:t> </w:t>
            </w:r>
          </w:p>
        </w:tc>
        <w:tc>
          <w:tcPr>
            <w:tcW w:w="913"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283"/>
              <w:jc w:val="right"/>
              <w:rPr/>
            </w:pPr>
            <w:r>
              <w:rPr/>
              <w:t> </w:t>
            </w:r>
          </w:p>
        </w:tc>
        <w:tc>
          <w:tcPr>
            <w:tcW w:w="260" w:type="dxa"/>
            <w:tcBorders/>
            <w:tcMar>
              <w:bottom w:w="0" w:type="dxa"/>
            </w:tcMar>
            <w:vAlign w:val="bottom"/>
          </w:tcPr>
          <w:p>
            <w:pPr>
              <w:pStyle w:val="TableContents"/>
              <w:bidi w:val="0"/>
              <w:spacing w:before="0" w:after="283"/>
              <w:jc w:val="left"/>
              <w:rPr/>
            </w:pPr>
            <w:r>
              <w:rPr/>
              <w:t> </w:t>
            </w:r>
          </w:p>
        </w:tc>
      </w:tr>
      <w:tr>
        <w:trPr/>
        <w:tc>
          <w:tcPr>
            <w:tcW w:w="1310" w:type="dxa"/>
            <w:tcBorders/>
            <w:shd w:fill="CCEEFF" w:val="clear"/>
            <w:tcMar>
              <w:bottom w:w="0" w:type="dxa"/>
            </w:tcMar>
            <w:vAlign w:val="bottom"/>
          </w:tcPr>
          <w:p>
            <w:pPr>
              <w:pStyle w:val="TableContents"/>
              <w:bidi w:val="0"/>
              <w:spacing w:before="0" w:after="0"/>
              <w:ind w:left="180" w:right="0" w:hanging="0"/>
              <w:jc w:val="left"/>
              <w:rPr/>
            </w:pPr>
            <w:r>
              <w:rPr/>
              <w:t>Workbox Holdings, Inc.</w:t>
            </w:r>
          </w:p>
        </w:tc>
        <w:tc>
          <w:tcPr>
            <w:tcW w:w="1165" w:type="dxa"/>
            <w:tcBorders/>
            <w:shd w:fill="CCEEFF" w:val="clear"/>
            <w:tcMar>
              <w:bottom w:w="0" w:type="dxa"/>
            </w:tcMar>
            <w:vAlign w:val="bottom"/>
          </w:tcPr>
          <w:p>
            <w:pPr>
              <w:pStyle w:val="TableContents"/>
              <w:bidi w:val="0"/>
              <w:spacing w:before="0" w:after="283"/>
              <w:jc w:val="left"/>
              <w:rPr>
                <w:b w:val="false"/>
              </w:rPr>
            </w:pPr>
            <w:r>
              <w:rPr>
                <w:b w:val="false"/>
              </w:rPr>
              <w:t>Series A-1 Preferred Shares</w:t>
            </w:r>
          </w:p>
        </w:tc>
        <w:tc>
          <w:tcPr>
            <w:tcW w:w="1165" w:type="dxa"/>
            <w:tcBorders/>
            <w:shd w:fill="CCEEFF" w:val="clear"/>
            <w:tcMar>
              <w:bottom w:w="0" w:type="dxa"/>
            </w:tcMar>
            <w:vAlign w:val="bottom"/>
          </w:tcPr>
          <w:p>
            <w:pPr>
              <w:pStyle w:val="TableContents"/>
              <w:bidi w:val="0"/>
              <w:spacing w:before="0" w:after="283"/>
              <w:jc w:val="center"/>
              <w:rPr/>
            </w:pPr>
            <w:r>
              <w:rPr/>
              <w:t>5/20/2024</w:t>
            </w:r>
          </w:p>
        </w:tc>
        <w:tc>
          <w:tcPr>
            <w:tcW w:w="955"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283"/>
              <w:jc w:val="right"/>
              <w:rPr/>
            </w:pPr>
            <w:r>
              <w:rPr/>
              <w:t>3</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283"/>
              <w:jc w:val="center"/>
              <w:rPr/>
            </w:pPr>
            <w:r>
              <w:rPr/>
              <w:t>Midwest</w:t>
            </w:r>
          </w:p>
        </w:tc>
        <w:tc>
          <w:tcPr>
            <w:tcW w:w="10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845" w:type="dxa"/>
            <w:tcBorders/>
            <w:shd w:fill="CCEEFF" w:val="clear"/>
            <w:tcMar>
              <w:bottom w:w="0" w:type="dxa"/>
            </w:tcMar>
            <w:vAlign w:val="bottom"/>
          </w:tcPr>
          <w:p>
            <w:pPr>
              <w:pStyle w:val="TableContents"/>
              <w:bidi w:val="0"/>
              <w:spacing w:before="0" w:after="283"/>
              <w:jc w:val="right"/>
              <w:rPr/>
            </w:pPr>
            <w:r>
              <w:rPr/>
              <w:t>358,950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shd w:fill="CCEEFF" w:val="clear"/>
            <w:tcMar>
              <w:bottom w:w="0" w:type="dxa"/>
            </w:tcMar>
            <w:vAlign w:val="bottom"/>
          </w:tcPr>
          <w:p>
            <w:pPr>
              <w:pStyle w:val="TableContents"/>
              <w:widowControl/>
              <w:bidi w:val="0"/>
              <w:spacing w:before="0" w:after="283"/>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913" w:type="dxa"/>
            <w:tcBorders/>
            <w:shd w:fill="CCEEFF" w:val="clear"/>
            <w:tcMar>
              <w:bottom w:w="0" w:type="dxa"/>
            </w:tcMar>
            <w:vAlign w:val="bottom"/>
          </w:tcPr>
          <w:p>
            <w:pPr>
              <w:pStyle w:val="TableContents"/>
              <w:widowControl/>
              <w:bidi w:val="0"/>
              <w:spacing w:before="0" w:after="283"/>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500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widowControl/>
              <w:bidi w:val="0"/>
              <w:spacing w:before="0" w:after="283"/>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680" w:type="dxa"/>
            <w:tcBorders/>
            <w:shd w:fill="CCEEFF" w:val="clear"/>
            <w:tcMar>
              <w:bottom w:w="0" w:type="dxa"/>
            </w:tcMar>
            <w:vAlign w:val="bottom"/>
          </w:tcPr>
          <w:p>
            <w:pPr>
              <w:pStyle w:val="TableContents"/>
              <w:widowControl/>
              <w:bidi w:val="0"/>
              <w:spacing w:before="0" w:after="283"/>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500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widowControl/>
              <w:bidi w:val="0"/>
              <w:spacing w:before="0" w:after="283"/>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0.59</w:t>
            </w:r>
          </w:p>
        </w:tc>
        <w:tc>
          <w:tcPr>
            <w:tcW w:w="260" w:type="dxa"/>
            <w:tcBorders/>
            <w:shd w:fill="CCEEFF" w:val="clear"/>
            <w:tcMar>
              <w:bottom w:w="0" w:type="dxa"/>
            </w:tcMar>
            <w:vAlign w:val="bottom"/>
          </w:tcPr>
          <w:p>
            <w:pPr>
              <w:pStyle w:val="TableContents"/>
              <w:widowControl/>
              <w:bidi w:val="0"/>
              <w:spacing w:before="0" w:after="283"/>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r>
      <w:tr>
        <w:trPr/>
        <w:tc>
          <w:tcPr>
            <w:tcW w:w="1310" w:type="dxa"/>
            <w:tcBorders/>
            <w:tcMar>
              <w:bottom w:w="0" w:type="dxa"/>
            </w:tcMar>
            <w:vAlign w:val="bottom"/>
          </w:tcPr>
          <w:p>
            <w:pPr>
              <w:pStyle w:val="TableContents"/>
              <w:bidi w:val="0"/>
              <w:spacing w:before="0" w:after="0"/>
              <w:ind w:left="180" w:right="0" w:hanging="0"/>
              <w:jc w:val="left"/>
              <w:rPr/>
            </w:pPr>
            <w:r>
              <w:rPr/>
              <w:t>Workbox Holdings, Inc.</w:t>
            </w:r>
          </w:p>
        </w:tc>
        <w:tc>
          <w:tcPr>
            <w:tcW w:w="1165" w:type="dxa"/>
            <w:tcBorders/>
            <w:tcMar>
              <w:bottom w:w="0" w:type="dxa"/>
            </w:tcMar>
            <w:vAlign w:val="bottom"/>
          </w:tcPr>
          <w:p>
            <w:pPr>
              <w:pStyle w:val="TableContents"/>
              <w:bidi w:val="0"/>
              <w:spacing w:before="0" w:after="283"/>
              <w:jc w:val="left"/>
              <w:rPr>
                <w:b w:val="false"/>
              </w:rPr>
            </w:pPr>
            <w:r>
              <w:rPr>
                <w:b w:val="false"/>
              </w:rPr>
              <w:t>Series A-4 Preferred Stock Warrant</w:t>
            </w:r>
          </w:p>
        </w:tc>
        <w:tc>
          <w:tcPr>
            <w:tcW w:w="1165" w:type="dxa"/>
            <w:tcBorders/>
            <w:tcMar>
              <w:bottom w:w="0" w:type="dxa"/>
            </w:tcMar>
            <w:vAlign w:val="bottom"/>
          </w:tcPr>
          <w:p>
            <w:pPr>
              <w:pStyle w:val="TableContents"/>
              <w:bidi w:val="0"/>
              <w:spacing w:before="0" w:after="283"/>
              <w:jc w:val="center"/>
              <w:rPr/>
            </w:pPr>
            <w:r>
              <w:rPr/>
              <w:t>5/20/2024</w:t>
            </w:r>
          </w:p>
        </w:tc>
        <w:tc>
          <w:tcPr>
            <w:tcW w:w="955"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283"/>
              <w:jc w:val="right"/>
              <w:rPr/>
            </w:pPr>
            <w:r>
              <w:rPr/>
              <w:t>3</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center"/>
              <w:rPr/>
            </w:pPr>
            <w:r>
              <w:rPr/>
              <w:t>Midwest</w:t>
            </w:r>
          </w:p>
        </w:tc>
        <w:tc>
          <w:tcPr>
            <w:tcW w:w="10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845" w:type="dxa"/>
            <w:tcBorders/>
            <w:tcMar>
              <w:bottom w:w="0" w:type="dxa"/>
            </w:tcMar>
            <w:vAlign w:val="bottom"/>
          </w:tcPr>
          <w:p>
            <w:pPr>
              <w:pStyle w:val="TableContents"/>
              <w:widowControl/>
              <w:bidi w:val="0"/>
              <w:spacing w:before="0" w:after="283"/>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1,191,769</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tcMar>
              <w:bottom w:w="0" w:type="dxa"/>
            </w:tcMar>
            <w:vAlign w:val="bottom"/>
          </w:tcPr>
          <w:p>
            <w:pPr>
              <w:pStyle w:val="TableContents"/>
              <w:bidi w:val="0"/>
              <w:spacing w:before="0" w:after="283"/>
              <w:jc w:val="left"/>
              <w:rPr/>
            </w:pPr>
            <w:r>
              <w:rPr/>
              <w:t> </w:t>
            </w:r>
          </w:p>
        </w:tc>
        <w:tc>
          <w:tcPr>
            <w:tcW w:w="913" w:type="dxa"/>
            <w:tcBorders/>
            <w:tcMar>
              <w:bottom w:w="0" w:type="dxa"/>
            </w:tcMar>
            <w:vAlign w:val="bottom"/>
          </w:tcPr>
          <w:p>
            <w:pPr>
              <w:pStyle w:val="TableContents"/>
              <w:widowControl/>
              <w:bidi w:val="0"/>
              <w:spacing w:before="0" w:after="283"/>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146</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widowControl/>
              <w:bidi w:val="0"/>
              <w:spacing w:before="0" w:after="283"/>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169</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widowControl/>
              <w:bidi w:val="0"/>
              <w:spacing w:before="0" w:after="283"/>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0.20</w:t>
            </w:r>
          </w:p>
        </w:tc>
        <w:tc>
          <w:tcPr>
            <w:tcW w:w="260" w:type="dxa"/>
            <w:tcBorders/>
            <w:tcMar>
              <w:bottom w:w="0" w:type="dxa"/>
            </w:tcMar>
            <w:vAlign w:val="bottom"/>
          </w:tcPr>
          <w:p>
            <w:pPr>
              <w:pStyle w:val="TableContents"/>
              <w:bidi w:val="0"/>
              <w:spacing w:before="0" w:after="283"/>
              <w:jc w:val="left"/>
              <w:rPr/>
            </w:pPr>
            <w:r>
              <w:rPr/>
              <w:t> </w:t>
            </w:r>
          </w:p>
        </w:tc>
      </w:tr>
      <w:tr>
        <w:trPr/>
        <w:tc>
          <w:tcPr>
            <w:tcW w:w="1310" w:type="dxa"/>
            <w:tcBorders/>
            <w:shd w:fill="CCEEFF" w:val="clear"/>
            <w:tcMar>
              <w:bottom w:w="0" w:type="dxa"/>
            </w:tcMar>
            <w:vAlign w:val="bottom"/>
          </w:tcPr>
          <w:p>
            <w:pPr>
              <w:pStyle w:val="TableContents"/>
              <w:bidi w:val="0"/>
              <w:spacing w:before="0" w:after="0"/>
              <w:ind w:left="180" w:right="0" w:hanging="0"/>
              <w:jc w:val="left"/>
              <w:rPr/>
            </w:pPr>
            <w:r>
              <w:rPr/>
              <w:t>Workbox Holdings, Inc.</w:t>
            </w:r>
          </w:p>
        </w:tc>
        <w:tc>
          <w:tcPr>
            <w:tcW w:w="1165" w:type="dxa"/>
            <w:tcBorders/>
            <w:shd w:fill="CCEEFF" w:val="clear"/>
            <w:tcMar>
              <w:bottom w:w="0" w:type="dxa"/>
            </w:tcMar>
            <w:vAlign w:val="bottom"/>
          </w:tcPr>
          <w:p>
            <w:pPr>
              <w:pStyle w:val="TableContents"/>
              <w:bidi w:val="0"/>
              <w:spacing w:before="0" w:after="283"/>
              <w:jc w:val="left"/>
              <w:rPr>
                <w:b w:val="false"/>
              </w:rPr>
            </w:pPr>
            <w:r>
              <w:rPr>
                <w:b w:val="false"/>
              </w:rPr>
              <w:t>Series A-3 Preferred Stock Warrant</w:t>
            </w:r>
          </w:p>
        </w:tc>
        <w:tc>
          <w:tcPr>
            <w:tcW w:w="1165" w:type="dxa"/>
            <w:tcBorders/>
            <w:shd w:fill="CCEEFF" w:val="clear"/>
            <w:tcMar>
              <w:bottom w:w="0" w:type="dxa"/>
            </w:tcMar>
            <w:vAlign w:val="bottom"/>
          </w:tcPr>
          <w:p>
            <w:pPr>
              <w:pStyle w:val="TableContents"/>
              <w:bidi w:val="0"/>
              <w:spacing w:before="0" w:after="283"/>
              <w:jc w:val="center"/>
              <w:rPr/>
            </w:pPr>
            <w:r>
              <w:rPr/>
              <w:t>5/20/2024</w:t>
            </w:r>
          </w:p>
        </w:tc>
        <w:tc>
          <w:tcPr>
            <w:tcW w:w="955"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283"/>
              <w:jc w:val="right"/>
              <w:rPr/>
            </w:pPr>
            <w:r>
              <w:rPr/>
              <w:t>3</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283"/>
              <w:jc w:val="center"/>
              <w:rPr/>
            </w:pPr>
            <w:r>
              <w:rPr/>
              <w:t>Midwest</w:t>
            </w:r>
          </w:p>
        </w:tc>
        <w:tc>
          <w:tcPr>
            <w:tcW w:w="10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845" w:type="dxa"/>
            <w:tcBorders/>
            <w:shd w:fill="CCEEFF" w:val="clear"/>
            <w:tcMar>
              <w:bottom w:w="0" w:type="dxa"/>
            </w:tcMar>
            <w:vAlign w:val="bottom"/>
          </w:tcPr>
          <w:p>
            <w:pPr>
              <w:pStyle w:val="TableContents"/>
              <w:widowControl/>
              <w:bidi w:val="0"/>
              <w:spacing w:before="0" w:after="283"/>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791,258</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shd w:fill="CCEEFF" w:val="clear"/>
            <w:vAlign w:val="bottom"/>
          </w:tcPr>
          <w:p>
            <w:pPr>
              <w:pStyle w:val="TableContents"/>
              <w:bidi w:val="0"/>
              <w:spacing w:before="0" w:after="283"/>
              <w:jc w:val="left"/>
              <w:rPr/>
            </w:pPr>
            <w:r>
              <w:rPr/>
              <w:t> </w:t>
            </w:r>
          </w:p>
        </w:tc>
        <w:tc>
          <w:tcPr>
            <w:tcW w:w="913" w:type="dxa"/>
            <w:tcBorders>
              <w:bottom w:val="single" w:sz="12" w:space="0" w:color="000000"/>
            </w:tcBorders>
            <w:shd w:fill="CCEEFF" w:val="clear"/>
            <w:vAlign w:val="bottom"/>
          </w:tcPr>
          <w:p>
            <w:pPr>
              <w:pStyle w:val="TableContents"/>
              <w:widowControl/>
              <w:bidi w:val="0"/>
              <w:spacing w:before="0" w:after="283"/>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97</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widowControl/>
              <w:bidi w:val="0"/>
              <w:spacing w:before="0" w:after="283"/>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112</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widowControl/>
              <w:bidi w:val="0"/>
              <w:spacing w:before="0" w:after="283"/>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0.13</w:t>
            </w:r>
          </w:p>
        </w:tc>
        <w:tc>
          <w:tcPr>
            <w:tcW w:w="260" w:type="dxa"/>
            <w:tcBorders/>
            <w:shd w:fill="CCEEFF" w:val="clear"/>
            <w:tcMar>
              <w:bottom w:w="0" w:type="dxa"/>
            </w:tcMar>
            <w:vAlign w:val="bottom"/>
          </w:tcPr>
          <w:p>
            <w:pPr>
              <w:pStyle w:val="TableContents"/>
              <w:bidi w:val="0"/>
              <w:spacing w:before="0" w:after="283"/>
              <w:jc w:val="left"/>
              <w:rPr/>
            </w:pPr>
            <w:r>
              <w:rPr/>
              <w:t> </w:t>
            </w:r>
          </w:p>
        </w:tc>
      </w:tr>
      <w:tr>
        <w:trPr/>
        <w:tc>
          <w:tcPr>
            <w:tcW w:w="1310" w:type="dxa"/>
            <w:tcBorders/>
            <w:tcMar>
              <w:bottom w:w="0" w:type="dxa"/>
            </w:tcMar>
            <w:vAlign w:val="bottom"/>
          </w:tcPr>
          <w:p>
            <w:pPr>
              <w:pStyle w:val="TableContents"/>
              <w:bidi w:val="0"/>
              <w:spacing w:before="0" w:after="283"/>
              <w:jc w:val="left"/>
              <w:rPr/>
            </w:pPr>
            <w:r>
              <w:rPr/>
              <w:t> </w:t>
            </w:r>
          </w:p>
        </w:tc>
        <w:tc>
          <w:tcPr>
            <w:tcW w:w="1165" w:type="dxa"/>
            <w:tcBorders/>
            <w:tcMar>
              <w:bottom w:w="0" w:type="dxa"/>
            </w:tcMar>
            <w:vAlign w:val="bottom"/>
          </w:tcPr>
          <w:p>
            <w:pPr>
              <w:pStyle w:val="TableContents"/>
              <w:bidi w:val="0"/>
              <w:spacing w:before="0" w:after="283"/>
              <w:jc w:val="left"/>
              <w:rPr/>
            </w:pPr>
            <w:r>
              <w:rPr/>
              <w:t> </w:t>
            </w:r>
          </w:p>
        </w:tc>
        <w:tc>
          <w:tcPr>
            <w:tcW w:w="1165" w:type="dxa"/>
            <w:tcBorders/>
            <w:tcMar>
              <w:bottom w:w="0" w:type="dxa"/>
            </w:tcMar>
            <w:vAlign w:val="bottom"/>
          </w:tcPr>
          <w:p>
            <w:pPr>
              <w:pStyle w:val="TableContents"/>
              <w:bidi w:val="0"/>
              <w:spacing w:before="0" w:after="283"/>
              <w:jc w:val="left"/>
              <w:rPr/>
            </w:pPr>
            <w:r>
              <w:rPr/>
              <w:t> </w:t>
            </w:r>
          </w:p>
        </w:tc>
        <w:tc>
          <w:tcPr>
            <w:tcW w:w="955"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845"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vAlign w:val="bottom"/>
          </w:tcPr>
          <w:p>
            <w:pPr>
              <w:pStyle w:val="TableContents"/>
              <w:bidi w:val="0"/>
              <w:spacing w:before="0" w:after="283"/>
              <w:jc w:val="left"/>
              <w:rPr/>
            </w:pPr>
            <w:r>
              <w:rPr/>
              <w:t> </w:t>
            </w:r>
          </w:p>
        </w:tc>
        <w:tc>
          <w:tcPr>
            <w:tcW w:w="913" w:type="dxa"/>
            <w:tcBorders>
              <w:bottom w:val="single" w:sz="12" w:space="0" w:color="000000"/>
            </w:tcBorders>
            <w:vAlign w:val="bottom"/>
          </w:tcPr>
          <w:p>
            <w:pPr>
              <w:pStyle w:val="TableContents"/>
              <w:widowControl/>
              <w:bidi w:val="0"/>
              <w:spacing w:before="0" w:after="283"/>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743</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widowControl/>
              <w:bidi w:val="0"/>
              <w:spacing w:before="0" w:after="283"/>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781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widowControl/>
              <w:bidi w:val="0"/>
              <w:spacing w:before="0" w:after="283"/>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0.92</w:t>
            </w:r>
          </w:p>
        </w:tc>
        <w:tc>
          <w:tcPr>
            <w:tcW w:w="260" w:type="dxa"/>
            <w:tcBorders/>
            <w:tcMar>
              <w:bottom w:w="0" w:type="dxa"/>
            </w:tcMar>
            <w:vAlign w:val="bottom"/>
          </w:tcPr>
          <w:p>
            <w:pPr>
              <w:pStyle w:val="TableContents"/>
              <w:bidi w:val="0"/>
              <w:spacing w:before="0" w:after="283"/>
              <w:jc w:val="left"/>
              <w:rPr/>
            </w:pPr>
            <w:r>
              <w:rPr/>
              <w:t> </w:t>
            </w:r>
          </w:p>
        </w:tc>
      </w:tr>
      <w:tr>
        <w:trPr/>
        <w:tc>
          <w:tcPr>
            <w:tcW w:w="4595" w:type="dxa"/>
            <w:gridSpan w:val="4"/>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283"/>
              <w:jc w:val="left"/>
              <w:rPr/>
            </w:pPr>
            <w:r>
              <w:rPr/>
              <w:t> </w:t>
            </w:r>
          </w:p>
        </w:tc>
        <w:tc>
          <w:tcPr>
            <w:tcW w:w="10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845"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shd w:fill="CCEEFF" w:val="clear"/>
            <w:vAlign w:val="bottom"/>
          </w:tcPr>
          <w:p>
            <w:pPr>
              <w:pStyle w:val="TableContents"/>
              <w:bidi w:val="0"/>
              <w:spacing w:before="0" w:after="283"/>
              <w:jc w:val="left"/>
              <w:rPr/>
            </w:pPr>
            <w:r>
              <w:rPr/>
              <w:t> </w:t>
            </w:r>
          </w:p>
        </w:tc>
        <w:tc>
          <w:tcPr>
            <w:tcW w:w="913"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283"/>
              <w:jc w:val="righ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r>
      <w:tr>
        <w:trPr/>
        <w:tc>
          <w:tcPr>
            <w:tcW w:w="4595" w:type="dxa"/>
            <w:gridSpan w:val="4"/>
            <w:tcBorders/>
            <w:tcMar>
              <w:bottom w:w="0" w:type="dxa"/>
            </w:tcMar>
            <w:vAlign w:val="bottom"/>
          </w:tcPr>
          <w:p>
            <w:pPr>
              <w:pStyle w:val="TableContents"/>
              <w:bidi w:val="0"/>
              <w:spacing w:before="0" w:after="0"/>
              <w:ind w:left="360" w:right="0" w:hanging="0"/>
              <w:jc w:val="left"/>
              <w:rPr>
                <w:b/>
              </w:rPr>
            </w:pPr>
            <w:r>
              <w:rPr>
                <w:b/>
              </w:rPr>
              <w:t>Total: Equity Securities - United States (0.92%):</w:t>
            </w:r>
          </w:p>
        </w:tc>
        <w:tc>
          <w:tcPr>
            <w:tcW w:w="83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845"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vAlign w:val="bottom"/>
          </w:tcPr>
          <w:p>
            <w:pPr>
              <w:pStyle w:val="TableContents"/>
              <w:bidi w:val="0"/>
              <w:spacing w:before="0" w:after="283"/>
              <w:jc w:val="left"/>
              <w:rPr/>
            </w:pPr>
            <w:r>
              <w:rPr/>
              <w:t> </w:t>
            </w:r>
          </w:p>
        </w:tc>
        <w:tc>
          <w:tcPr>
            <w:tcW w:w="913" w:type="dxa"/>
            <w:tcBorders>
              <w:bottom w:val="single" w:sz="12" w:space="0" w:color="000000"/>
            </w:tcBorders>
            <w:vAlign w:val="bottom"/>
          </w:tcPr>
          <w:p>
            <w:pPr>
              <w:pStyle w:val="TableContents"/>
              <w:widowControl/>
              <w:bidi w:val="0"/>
              <w:spacing w:before="0" w:after="283"/>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743</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widowControl/>
              <w:bidi w:val="0"/>
              <w:spacing w:before="0" w:after="283"/>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781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widowControl/>
              <w:bidi w:val="0"/>
              <w:spacing w:before="0" w:after="283"/>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0.92</w:t>
            </w:r>
          </w:p>
        </w:tc>
        <w:tc>
          <w:tcPr>
            <w:tcW w:w="260" w:type="dxa"/>
            <w:tcBorders/>
            <w:tcMar>
              <w:bottom w:w="0" w:type="dxa"/>
            </w:tcMar>
            <w:vAlign w:val="bottom"/>
          </w:tcPr>
          <w:p>
            <w:pPr>
              <w:pStyle w:val="TableContents"/>
              <w:bidi w:val="0"/>
              <w:spacing w:before="0" w:after="283"/>
              <w:jc w:val="left"/>
              <w:rPr/>
            </w:pPr>
            <w:r>
              <w:rPr/>
              <w:t> </w:t>
            </w:r>
          </w:p>
        </w:tc>
      </w:tr>
      <w:tr>
        <w:trPr/>
        <w:tc>
          <w:tcPr>
            <w:tcW w:w="1310" w:type="dxa"/>
            <w:tcBorders/>
            <w:shd w:fill="CCEEFF" w:val="clear"/>
            <w:tcMar>
              <w:bottom w:w="0" w:type="dxa"/>
            </w:tcMar>
            <w:vAlign w:val="bottom"/>
          </w:tcPr>
          <w:p>
            <w:pPr>
              <w:pStyle w:val="TableContents"/>
              <w:bidi w:val="0"/>
              <w:spacing w:before="0" w:after="283"/>
              <w:jc w:val="left"/>
              <w:rPr/>
            </w:pPr>
            <w:r>
              <w:rPr/>
              <w:t> </w:t>
            </w:r>
          </w:p>
        </w:tc>
        <w:tc>
          <w:tcPr>
            <w:tcW w:w="1165" w:type="dxa"/>
            <w:tcBorders/>
            <w:shd w:fill="CCEEFF" w:val="clear"/>
            <w:tcMar>
              <w:bottom w:w="0" w:type="dxa"/>
            </w:tcMar>
            <w:vAlign w:val="bottom"/>
          </w:tcPr>
          <w:p>
            <w:pPr>
              <w:pStyle w:val="TableContents"/>
              <w:bidi w:val="0"/>
              <w:spacing w:before="0" w:after="283"/>
              <w:jc w:val="left"/>
              <w:rPr/>
            </w:pPr>
            <w:r>
              <w:rPr/>
              <w:t> </w:t>
            </w:r>
          </w:p>
        </w:tc>
        <w:tc>
          <w:tcPr>
            <w:tcW w:w="1165" w:type="dxa"/>
            <w:tcBorders/>
            <w:shd w:fill="CCEEFF" w:val="clear"/>
            <w:tcMar>
              <w:bottom w:w="0" w:type="dxa"/>
            </w:tcMar>
            <w:vAlign w:val="bottom"/>
          </w:tcPr>
          <w:p>
            <w:pPr>
              <w:pStyle w:val="TableContents"/>
              <w:bidi w:val="0"/>
              <w:spacing w:before="0" w:after="283"/>
              <w:jc w:val="left"/>
              <w:rPr/>
            </w:pPr>
            <w:r>
              <w:rPr/>
              <w:t> </w:t>
            </w:r>
          </w:p>
        </w:tc>
        <w:tc>
          <w:tcPr>
            <w:tcW w:w="955"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283"/>
              <w:jc w:val="left"/>
              <w:rPr/>
            </w:pPr>
            <w:r>
              <w:rPr/>
              <w:t> </w:t>
            </w:r>
          </w:p>
        </w:tc>
        <w:tc>
          <w:tcPr>
            <w:tcW w:w="10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845"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shd w:fill="CCEEFF" w:val="clear"/>
            <w:vAlign w:val="bottom"/>
          </w:tcPr>
          <w:p>
            <w:pPr>
              <w:pStyle w:val="TableContents"/>
              <w:bidi w:val="0"/>
              <w:spacing w:before="0" w:after="283"/>
              <w:jc w:val="left"/>
              <w:rPr/>
            </w:pPr>
            <w:r>
              <w:rPr/>
              <w:t> </w:t>
            </w:r>
          </w:p>
        </w:tc>
        <w:tc>
          <w:tcPr>
            <w:tcW w:w="913"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283"/>
              <w:jc w:val="righ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r>
      <w:tr>
        <w:trPr/>
        <w:tc>
          <w:tcPr>
            <w:tcW w:w="4595" w:type="dxa"/>
            <w:gridSpan w:val="4"/>
            <w:tcBorders/>
            <w:tcMar>
              <w:bottom w:w="0" w:type="dxa"/>
            </w:tcMar>
            <w:vAlign w:val="bottom"/>
          </w:tcPr>
          <w:p>
            <w:pPr>
              <w:pStyle w:val="TableContents"/>
              <w:bidi w:val="0"/>
              <w:spacing w:before="0" w:after="0"/>
              <w:ind w:left="180" w:right="0" w:hanging="0"/>
              <w:jc w:val="left"/>
              <w:rPr>
                <w:b/>
              </w:rPr>
            </w:pPr>
            <w:r>
              <w:rPr>
                <w:b/>
              </w:rPr>
              <w:t xml:space="preserve">Total: Equity Securities (0.92%): </w:t>
            </w:r>
          </w:p>
        </w:tc>
        <w:tc>
          <w:tcPr>
            <w:tcW w:w="83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845"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vAlign w:val="bottom"/>
          </w:tcPr>
          <w:p>
            <w:pPr>
              <w:pStyle w:val="TableContents"/>
              <w:bidi w:val="0"/>
              <w:spacing w:before="0" w:after="283"/>
              <w:jc w:val="left"/>
              <w:rPr/>
            </w:pPr>
            <w:r>
              <w:rPr/>
              <w:t> </w:t>
            </w:r>
          </w:p>
        </w:tc>
        <w:tc>
          <w:tcPr>
            <w:tcW w:w="913" w:type="dxa"/>
            <w:tcBorders>
              <w:bottom w:val="single" w:sz="12" w:space="0" w:color="000000"/>
            </w:tcBorders>
            <w:vAlign w:val="bottom"/>
          </w:tcPr>
          <w:p>
            <w:pPr>
              <w:pStyle w:val="TableContents"/>
              <w:widowControl/>
              <w:bidi w:val="0"/>
              <w:spacing w:before="0" w:after="283"/>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743</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widowControl/>
              <w:bidi w:val="0"/>
              <w:spacing w:before="0" w:after="283"/>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781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widowControl/>
              <w:bidi w:val="0"/>
              <w:spacing w:before="0" w:after="283"/>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0.92</w:t>
            </w:r>
          </w:p>
        </w:tc>
        <w:tc>
          <w:tcPr>
            <w:tcW w:w="260" w:type="dxa"/>
            <w:tcBorders/>
            <w:tcMar>
              <w:bottom w:w="0" w:type="dxa"/>
            </w:tcMar>
            <w:vAlign w:val="bottom"/>
          </w:tcPr>
          <w:p>
            <w:pPr>
              <w:pStyle w:val="TableContents"/>
              <w:bidi w:val="0"/>
              <w:spacing w:before="0" w:after="283"/>
              <w:jc w:val="left"/>
              <w:rPr/>
            </w:pPr>
            <w:r>
              <w:rPr/>
              <w:t> </w:t>
            </w:r>
          </w:p>
        </w:tc>
      </w:tr>
      <w:tr>
        <w:trPr/>
        <w:tc>
          <w:tcPr>
            <w:tcW w:w="1310" w:type="dxa"/>
            <w:tcBorders/>
            <w:shd w:fill="CCEEFF" w:val="clear"/>
            <w:tcMar>
              <w:bottom w:w="0" w:type="dxa"/>
            </w:tcMar>
            <w:vAlign w:val="bottom"/>
          </w:tcPr>
          <w:p>
            <w:pPr>
              <w:pStyle w:val="TableContents"/>
              <w:bidi w:val="0"/>
              <w:spacing w:before="0" w:after="283"/>
              <w:jc w:val="left"/>
              <w:rPr/>
            </w:pPr>
            <w:r>
              <w:rPr/>
              <w:t> </w:t>
            </w:r>
          </w:p>
        </w:tc>
        <w:tc>
          <w:tcPr>
            <w:tcW w:w="1165" w:type="dxa"/>
            <w:tcBorders/>
            <w:shd w:fill="CCEEFF" w:val="clear"/>
            <w:tcMar>
              <w:bottom w:w="0" w:type="dxa"/>
            </w:tcMar>
            <w:vAlign w:val="bottom"/>
          </w:tcPr>
          <w:p>
            <w:pPr>
              <w:pStyle w:val="TableContents"/>
              <w:bidi w:val="0"/>
              <w:spacing w:before="0" w:after="283"/>
              <w:jc w:val="left"/>
              <w:rPr/>
            </w:pPr>
            <w:r>
              <w:rPr/>
              <w:t> </w:t>
            </w:r>
          </w:p>
        </w:tc>
        <w:tc>
          <w:tcPr>
            <w:tcW w:w="1165" w:type="dxa"/>
            <w:tcBorders/>
            <w:shd w:fill="CCEEFF" w:val="clear"/>
            <w:tcMar>
              <w:bottom w:w="0" w:type="dxa"/>
            </w:tcMar>
            <w:vAlign w:val="bottom"/>
          </w:tcPr>
          <w:p>
            <w:pPr>
              <w:pStyle w:val="TableContents"/>
              <w:bidi w:val="0"/>
              <w:spacing w:before="0" w:after="283"/>
              <w:jc w:val="left"/>
              <w:rPr/>
            </w:pPr>
            <w:r>
              <w:rPr/>
              <w:t> </w:t>
            </w:r>
          </w:p>
        </w:tc>
        <w:tc>
          <w:tcPr>
            <w:tcW w:w="955"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283"/>
              <w:jc w:val="left"/>
              <w:rPr/>
            </w:pPr>
            <w:r>
              <w:rPr/>
              <w:t> </w:t>
            </w:r>
          </w:p>
        </w:tc>
        <w:tc>
          <w:tcPr>
            <w:tcW w:w="10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845"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shd w:fill="CCEEFF" w:val="clear"/>
            <w:tcMar>
              <w:bottom w:w="0" w:type="dxa"/>
            </w:tcMar>
            <w:vAlign w:val="bottom"/>
          </w:tcPr>
          <w:p>
            <w:pPr>
              <w:pStyle w:val="TableContents"/>
              <w:bidi w:val="0"/>
              <w:spacing w:before="0" w:after="283"/>
              <w:jc w:val="left"/>
              <w:rPr/>
            </w:pPr>
            <w:r>
              <w:rPr/>
              <w:t> </w:t>
            </w:r>
          </w:p>
        </w:tc>
        <w:tc>
          <w:tcPr>
            <w:tcW w:w="913"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r>
      <w:tr>
        <w:trPr/>
        <w:tc>
          <w:tcPr>
            <w:tcW w:w="4595" w:type="dxa"/>
            <w:gridSpan w:val="4"/>
            <w:tcBorders/>
            <w:tcMar>
              <w:bottom w:w="0" w:type="dxa"/>
            </w:tcMar>
            <w:vAlign w:val="bottom"/>
          </w:tcPr>
          <w:p>
            <w:pPr>
              <w:pStyle w:val="TableContents"/>
              <w:bidi w:val="0"/>
              <w:spacing w:before="0" w:after="283"/>
              <w:jc w:val="left"/>
              <w:rPr>
                <w:b/>
              </w:rPr>
            </w:pPr>
            <w:r>
              <w:rPr>
                <w:b/>
              </w:rPr>
              <w:t xml:space="preserve">Total Investment in Securities (63.37%): </w:t>
            </w:r>
          </w:p>
        </w:tc>
        <w:tc>
          <w:tcPr>
            <w:tcW w:w="830" w:type="dxa"/>
            <w:tcBorders/>
            <w:tcMar>
              <w:bottom w:w="0" w:type="dxa"/>
            </w:tcMar>
            <w:vAlign w:val="bottom"/>
          </w:tcPr>
          <w:p>
            <w:pPr>
              <w:pStyle w:val="TableContents"/>
              <w:bidi w:val="0"/>
              <w:spacing w:before="0" w:after="283"/>
              <w:jc w:val="left"/>
              <w:rPr>
                <w:sz w:val="4"/>
                <w:szCs w:val="4"/>
              </w:rPr>
            </w:pPr>
            <w:r>
              <w:rPr>
                <w:sz w:val="4"/>
                <w:szCs w:val="4"/>
              </w:rPr>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845"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bottom w:val="double" w:sz="8" w:space="0" w:color="000000"/>
            </w:tcBorders>
            <w:vAlign w:val="bottom"/>
          </w:tcPr>
          <w:p>
            <w:pPr>
              <w:pStyle w:val="TableContents"/>
              <w:bidi w:val="0"/>
              <w:spacing w:before="0" w:after="0"/>
              <w:jc w:val="left"/>
              <w:rPr>
                <w:b/>
              </w:rPr>
            </w:pPr>
            <w:r>
              <w:rPr>
                <w:b/>
              </w:rPr>
              <w:t>$</w:t>
            </w:r>
          </w:p>
        </w:tc>
        <w:tc>
          <w:tcPr>
            <w:tcW w:w="913" w:type="dxa"/>
            <w:tcBorders>
              <w:bottom w:val="double" w:sz="8" w:space="0" w:color="000000"/>
            </w:tcBorders>
            <w:vAlign w:val="bottom"/>
          </w:tcPr>
          <w:p>
            <w:pPr>
              <w:pStyle w:val="TableContents"/>
              <w:bidi w:val="0"/>
              <w:spacing w:before="0" w:after="0"/>
              <w:jc w:val="right"/>
              <w:rPr>
                <w:b/>
              </w:rPr>
            </w:pPr>
            <w:r>
              <w:rPr>
                <w:b/>
              </w:rPr>
              <w:t>52,383</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bottom w:val="double" w:sz="8" w:space="0" w:color="000000"/>
            </w:tcBorders>
            <w:vAlign w:val="bottom"/>
          </w:tcPr>
          <w:p>
            <w:pPr>
              <w:pStyle w:val="TableContents"/>
              <w:bidi w:val="0"/>
              <w:spacing w:before="0" w:after="0"/>
              <w:jc w:val="left"/>
              <w:rPr>
                <w:b/>
              </w:rPr>
            </w:pPr>
            <w:r>
              <w:rPr>
                <w:b/>
              </w:rPr>
              <w:t>$</w:t>
            </w:r>
          </w:p>
        </w:tc>
        <w:tc>
          <w:tcPr>
            <w:tcW w:w="680" w:type="dxa"/>
            <w:tcBorders>
              <w:bottom w:val="double" w:sz="8" w:space="0" w:color="000000"/>
            </w:tcBorders>
            <w:vAlign w:val="bottom"/>
          </w:tcPr>
          <w:p>
            <w:pPr>
              <w:pStyle w:val="TableContents"/>
              <w:bidi w:val="0"/>
              <w:spacing w:before="0" w:after="0"/>
              <w:jc w:val="right"/>
              <w:rPr>
                <w:b/>
              </w:rPr>
            </w:pPr>
            <w:r>
              <w:rPr>
                <w:b/>
              </w:rPr>
              <w:t>53,398</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bottom w:val="double" w:sz="8" w:space="0" w:color="000000"/>
            </w:tcBorders>
            <w:vAlign w:val="bottom"/>
          </w:tcPr>
          <w:p>
            <w:pPr>
              <w:pStyle w:val="TableContents"/>
              <w:bidi w:val="0"/>
              <w:spacing w:before="0" w:after="283"/>
              <w:jc w:val="left"/>
              <w:rPr/>
            </w:pPr>
            <w:r>
              <w:rPr/>
              <w:t> </w:t>
            </w:r>
          </w:p>
        </w:tc>
        <w:tc>
          <w:tcPr>
            <w:tcW w:w="680" w:type="dxa"/>
            <w:tcBorders>
              <w:bottom w:val="double" w:sz="8" w:space="0" w:color="000000"/>
            </w:tcBorders>
            <w:vAlign w:val="bottom"/>
          </w:tcPr>
          <w:p>
            <w:pPr>
              <w:pStyle w:val="TableContents"/>
              <w:bidi w:val="0"/>
              <w:spacing w:before="0" w:after="0"/>
              <w:jc w:val="right"/>
              <w:rPr>
                <w:b/>
              </w:rPr>
            </w:pPr>
            <w:r>
              <w:rPr>
                <w:b/>
              </w:rPr>
              <w:t>63.37</w:t>
            </w:r>
          </w:p>
        </w:tc>
        <w:tc>
          <w:tcPr>
            <w:tcW w:w="260" w:type="dxa"/>
            <w:tcBorders/>
            <w:tcMar>
              <w:bottom w:w="0" w:type="dxa"/>
            </w:tcMar>
            <w:vAlign w:val="bottom"/>
          </w:tcPr>
          <w:p>
            <w:pPr>
              <w:pStyle w:val="TableContents"/>
              <w:bidi w:val="0"/>
              <w:spacing w:before="0" w:after="283"/>
              <w:jc w:val="left"/>
              <w:rPr/>
            </w:pPr>
            <w:r>
              <w:rPr/>
              <w:t>%</w:t>
            </w:r>
          </w:p>
        </w:tc>
      </w:tr>
      <w:tr>
        <w:trPr/>
        <w:tc>
          <w:tcPr>
            <w:tcW w:w="1310" w:type="dxa"/>
            <w:tcBorders/>
            <w:shd w:fill="CCEEFF" w:val="clear"/>
            <w:tcMar>
              <w:bottom w:w="0" w:type="dxa"/>
            </w:tcMar>
            <w:vAlign w:val="bottom"/>
          </w:tcPr>
          <w:p>
            <w:pPr>
              <w:pStyle w:val="TableContents"/>
              <w:bidi w:val="0"/>
              <w:spacing w:before="0" w:after="283"/>
              <w:jc w:val="left"/>
              <w:rPr/>
            </w:pPr>
            <w:r>
              <w:rPr/>
              <w:t> </w:t>
            </w:r>
          </w:p>
        </w:tc>
        <w:tc>
          <w:tcPr>
            <w:tcW w:w="1165" w:type="dxa"/>
            <w:tcBorders/>
            <w:shd w:fill="CCEEFF" w:val="clear"/>
            <w:tcMar>
              <w:bottom w:w="0" w:type="dxa"/>
            </w:tcMar>
            <w:vAlign w:val="bottom"/>
          </w:tcPr>
          <w:p>
            <w:pPr>
              <w:pStyle w:val="TableContents"/>
              <w:bidi w:val="0"/>
              <w:spacing w:before="0" w:after="283"/>
              <w:jc w:val="left"/>
              <w:rPr/>
            </w:pPr>
            <w:r>
              <w:rPr/>
              <w:t> </w:t>
            </w:r>
          </w:p>
        </w:tc>
        <w:tc>
          <w:tcPr>
            <w:tcW w:w="1165" w:type="dxa"/>
            <w:tcBorders/>
            <w:shd w:fill="CCEEFF" w:val="clear"/>
            <w:tcMar>
              <w:bottom w:w="0" w:type="dxa"/>
            </w:tcMar>
            <w:vAlign w:val="bottom"/>
          </w:tcPr>
          <w:p>
            <w:pPr>
              <w:pStyle w:val="TableContents"/>
              <w:bidi w:val="0"/>
              <w:spacing w:before="0" w:after="283"/>
              <w:jc w:val="left"/>
              <w:rPr/>
            </w:pPr>
            <w:r>
              <w:rPr/>
              <w:t> </w:t>
            </w:r>
          </w:p>
        </w:tc>
        <w:tc>
          <w:tcPr>
            <w:tcW w:w="955"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283"/>
              <w:jc w:val="left"/>
              <w:rPr/>
            </w:pPr>
            <w:r>
              <w:rPr/>
              <w:t> </w:t>
            </w:r>
          </w:p>
        </w:tc>
        <w:tc>
          <w:tcPr>
            <w:tcW w:w="10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845"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shd w:fill="CCEEFF" w:val="clear"/>
            <w:tcMar>
              <w:bottom w:w="0" w:type="dxa"/>
            </w:tcMar>
            <w:vAlign w:val="bottom"/>
          </w:tcPr>
          <w:p>
            <w:pPr>
              <w:pStyle w:val="TableContents"/>
              <w:bidi w:val="0"/>
              <w:spacing w:before="0" w:after="283"/>
              <w:jc w:val="left"/>
              <w:rPr/>
            </w:pPr>
            <w:r>
              <w:rPr/>
              <w:t> </w:t>
            </w:r>
          </w:p>
        </w:tc>
        <w:tc>
          <w:tcPr>
            <w:tcW w:w="913"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r>
      <w:tr>
        <w:trPr/>
        <w:tc>
          <w:tcPr>
            <w:tcW w:w="4595" w:type="dxa"/>
            <w:gridSpan w:val="4"/>
            <w:tcBorders/>
            <w:tcMar>
              <w:bottom w:w="0" w:type="dxa"/>
            </w:tcMar>
            <w:vAlign w:val="bottom"/>
          </w:tcPr>
          <w:p>
            <w:pPr>
              <w:pStyle w:val="TableContents"/>
              <w:bidi w:val="0"/>
              <w:spacing w:before="0" w:after="0"/>
              <w:ind w:left="180" w:right="0" w:hanging="180"/>
              <w:jc w:val="left"/>
              <w:rPr>
                <w:b/>
                <w:color w:val="000000"/>
              </w:rPr>
            </w:pPr>
            <w:r>
              <w:rPr>
                <w:b/>
                <w:color w:val="000000"/>
              </w:rPr>
              <w:t>Cash Equivalents</w:t>
            </w:r>
          </w:p>
        </w:tc>
        <w:tc>
          <w:tcPr>
            <w:tcW w:w="83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845"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tcMar>
              <w:bottom w:w="0" w:type="dxa"/>
            </w:tcMar>
            <w:vAlign w:val="bottom"/>
          </w:tcPr>
          <w:p>
            <w:pPr>
              <w:pStyle w:val="TableContents"/>
              <w:bidi w:val="0"/>
              <w:spacing w:before="0" w:after="283"/>
              <w:jc w:val="left"/>
              <w:rPr/>
            </w:pPr>
            <w:r>
              <w:rPr/>
              <w:t> </w:t>
            </w:r>
          </w:p>
        </w:tc>
        <w:tc>
          <w:tcPr>
            <w:tcW w:w="913"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283"/>
              <w:jc w:val="right"/>
              <w:rPr/>
            </w:pPr>
            <w:r>
              <w:rPr/>
              <w:t> </w:t>
            </w:r>
          </w:p>
        </w:tc>
        <w:tc>
          <w:tcPr>
            <w:tcW w:w="260" w:type="dxa"/>
            <w:tcBorders/>
            <w:tcMar>
              <w:bottom w:w="0" w:type="dxa"/>
            </w:tcMar>
            <w:vAlign w:val="bottom"/>
          </w:tcPr>
          <w:p>
            <w:pPr>
              <w:pStyle w:val="TableContents"/>
              <w:bidi w:val="0"/>
              <w:spacing w:before="0" w:after="283"/>
              <w:jc w:val="left"/>
              <w:rPr/>
            </w:pPr>
            <w:r>
              <w:rPr/>
              <w:t> </w:t>
            </w:r>
          </w:p>
        </w:tc>
      </w:tr>
      <w:tr>
        <w:trPr/>
        <w:tc>
          <w:tcPr>
            <w:tcW w:w="4595" w:type="dxa"/>
            <w:gridSpan w:val="4"/>
            <w:tcBorders/>
            <w:shd w:fill="CCEEFF" w:val="clear"/>
            <w:tcMar>
              <w:bottom w:w="0" w:type="dxa"/>
            </w:tcMar>
            <w:vAlign w:val="bottom"/>
          </w:tcPr>
          <w:p>
            <w:pPr>
              <w:pStyle w:val="TableContents"/>
              <w:bidi w:val="0"/>
              <w:spacing w:lineRule="auto" w:line="240" w:before="0" w:after="0"/>
              <w:ind w:left="360" w:right="0" w:hanging="180"/>
              <w:jc w:val="left"/>
              <w:rPr>
                <w:color w:val="000000"/>
              </w:rPr>
            </w:pPr>
            <w:r>
              <w:rPr>
                <w:color w:val="000000"/>
              </w:rPr>
              <w:t>State Street Institutional U.S. Government Money Market Fund (12)</w:t>
            </w:r>
          </w:p>
        </w:tc>
        <w:tc>
          <w:tcPr>
            <w:tcW w:w="83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283"/>
              <w:jc w:val="right"/>
              <w:rPr/>
            </w:pPr>
            <w:r>
              <w:rPr/>
              <w:t>1</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283"/>
              <w:jc w:val="left"/>
              <w:rPr/>
            </w:pPr>
            <w:r>
              <w:rPr/>
              <w:t> </w:t>
            </w:r>
          </w:p>
        </w:tc>
        <w:tc>
          <w:tcPr>
            <w:tcW w:w="10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845"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shd w:fill="CCEEFF" w:val="clear"/>
            <w:vAlign w:val="bottom"/>
          </w:tcPr>
          <w:p>
            <w:pPr>
              <w:pStyle w:val="TableContents"/>
              <w:bidi w:val="0"/>
              <w:spacing w:before="0" w:after="0"/>
              <w:jc w:val="left"/>
              <w:rPr>
                <w:color w:val="000000"/>
              </w:rPr>
            </w:pPr>
            <w:r>
              <w:rPr>
                <w:color w:val="000000"/>
              </w:rPr>
              <w:t>$</w:t>
            </w:r>
          </w:p>
        </w:tc>
        <w:tc>
          <w:tcPr>
            <w:tcW w:w="913"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34,004</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34,004</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40.36</w:t>
            </w:r>
          </w:p>
        </w:tc>
        <w:tc>
          <w:tcPr>
            <w:tcW w:w="260" w:type="dxa"/>
            <w:tcBorders/>
            <w:shd w:fill="CCEEFF" w:val="clear"/>
            <w:tcMar>
              <w:bottom w:w="0" w:type="dxa"/>
            </w:tcMar>
            <w:vAlign w:val="bottom"/>
          </w:tcPr>
          <w:p>
            <w:pPr>
              <w:pStyle w:val="TableContents"/>
              <w:bidi w:val="0"/>
              <w:spacing w:before="0" w:after="0"/>
              <w:jc w:val="left"/>
              <w:rPr>
                <w:color w:val="000000"/>
              </w:rPr>
            </w:pPr>
            <w:r>
              <w:rPr>
                <w:color w:val="000000"/>
              </w:rPr>
              <w:t>%</w:t>
            </w:r>
          </w:p>
        </w:tc>
      </w:tr>
      <w:tr>
        <w:trPr/>
        <w:tc>
          <w:tcPr>
            <w:tcW w:w="4595" w:type="dxa"/>
            <w:gridSpan w:val="4"/>
            <w:tcBorders/>
            <w:tcMar>
              <w:bottom w:w="0" w:type="dxa"/>
            </w:tcMar>
            <w:vAlign w:val="bottom"/>
          </w:tcPr>
          <w:p>
            <w:pPr>
              <w:pStyle w:val="TableContents"/>
              <w:bidi w:val="0"/>
              <w:spacing w:before="0" w:after="0"/>
              <w:ind w:left="180" w:right="0" w:hanging="0"/>
              <w:jc w:val="left"/>
              <w:rPr>
                <w:b/>
                <w:color w:val="000000"/>
              </w:rPr>
            </w:pPr>
            <w:r>
              <w:rPr>
                <w:b/>
                <w:color w:val="000000"/>
              </w:rPr>
              <w:t>Cash Equivalents (40.36%):</w:t>
            </w:r>
          </w:p>
        </w:tc>
        <w:tc>
          <w:tcPr>
            <w:tcW w:w="83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845"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tcMar>
              <w:bottom w:w="0" w:type="dxa"/>
            </w:tcMar>
            <w:vAlign w:val="bottom"/>
          </w:tcPr>
          <w:p>
            <w:pPr>
              <w:pStyle w:val="TableContents"/>
              <w:bidi w:val="0"/>
              <w:spacing w:before="0" w:after="283"/>
              <w:jc w:val="left"/>
              <w:rPr/>
            </w:pPr>
            <w:r>
              <w:rPr/>
              <w:t> </w:t>
            </w:r>
          </w:p>
        </w:tc>
        <w:tc>
          <w:tcPr>
            <w:tcW w:w="913" w:type="dxa"/>
            <w:tcBorders/>
            <w:tcMar>
              <w:bottom w:w="0" w:type="dxa"/>
            </w:tcMar>
            <w:vAlign w:val="bottom"/>
          </w:tcPr>
          <w:p>
            <w:pPr>
              <w:pStyle w:val="TableContents"/>
              <w:bidi w:val="0"/>
              <w:spacing w:before="0" w:after="0"/>
              <w:jc w:val="right"/>
              <w:rPr>
                <w:color w:val="000000"/>
              </w:rPr>
            </w:pPr>
            <w:r>
              <w:rPr>
                <w:color w:val="000000"/>
              </w:rPr>
              <w:t>34,004</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0"/>
              <w:jc w:val="right"/>
              <w:rPr>
                <w:color w:val="000000"/>
              </w:rPr>
            </w:pPr>
            <w:r>
              <w:rPr>
                <w:color w:val="000000"/>
              </w:rPr>
              <w:t>34,004</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0"/>
              <w:jc w:val="right"/>
              <w:rPr>
                <w:color w:val="000000"/>
              </w:rPr>
            </w:pPr>
            <w:r>
              <w:rPr>
                <w:color w:val="000000"/>
              </w:rPr>
              <w:t>40.36</w:t>
            </w:r>
          </w:p>
        </w:tc>
        <w:tc>
          <w:tcPr>
            <w:tcW w:w="260" w:type="dxa"/>
            <w:tcBorders/>
            <w:tcMar>
              <w:bottom w:w="0" w:type="dxa"/>
            </w:tcMar>
            <w:vAlign w:val="bottom"/>
          </w:tcPr>
          <w:p>
            <w:pPr>
              <w:pStyle w:val="TableContents"/>
              <w:bidi w:val="0"/>
              <w:spacing w:before="0" w:after="283"/>
              <w:jc w:val="left"/>
              <w:rPr/>
            </w:pPr>
            <w:r>
              <w:rPr/>
              <w:t> </w:t>
            </w:r>
          </w:p>
        </w:tc>
      </w:tr>
      <w:tr>
        <w:trPr/>
        <w:tc>
          <w:tcPr>
            <w:tcW w:w="1310" w:type="dxa"/>
            <w:tcBorders/>
            <w:shd w:fill="CCEEFF" w:val="clear"/>
            <w:tcMar>
              <w:bottom w:w="0" w:type="dxa"/>
            </w:tcMar>
            <w:vAlign w:val="bottom"/>
          </w:tcPr>
          <w:p>
            <w:pPr>
              <w:pStyle w:val="TableContents"/>
              <w:bidi w:val="0"/>
              <w:spacing w:before="0" w:after="0"/>
              <w:ind w:left="180" w:right="0" w:hanging="180"/>
              <w:jc w:val="left"/>
              <w:rPr/>
            </w:pPr>
            <w:r>
              <w:rPr/>
              <w:t> </w:t>
            </w:r>
          </w:p>
        </w:tc>
        <w:tc>
          <w:tcPr>
            <w:tcW w:w="1165" w:type="dxa"/>
            <w:tcBorders/>
            <w:shd w:fill="CCEEFF" w:val="clear"/>
            <w:tcMar>
              <w:bottom w:w="0" w:type="dxa"/>
            </w:tcMar>
            <w:vAlign w:val="bottom"/>
          </w:tcPr>
          <w:p>
            <w:pPr>
              <w:pStyle w:val="TableContents"/>
              <w:bidi w:val="0"/>
              <w:spacing w:before="0" w:after="283"/>
              <w:jc w:val="left"/>
              <w:rPr/>
            </w:pPr>
            <w:r>
              <w:rPr/>
              <w:t> </w:t>
            </w:r>
          </w:p>
        </w:tc>
        <w:tc>
          <w:tcPr>
            <w:tcW w:w="1165" w:type="dxa"/>
            <w:tcBorders/>
            <w:shd w:fill="CCEEFF" w:val="clear"/>
            <w:tcMar>
              <w:bottom w:w="0" w:type="dxa"/>
            </w:tcMar>
            <w:vAlign w:val="bottom"/>
          </w:tcPr>
          <w:p>
            <w:pPr>
              <w:pStyle w:val="TableContents"/>
              <w:bidi w:val="0"/>
              <w:spacing w:before="0" w:after="283"/>
              <w:jc w:val="left"/>
              <w:rPr/>
            </w:pPr>
            <w:r>
              <w:rPr/>
              <w:t> </w:t>
            </w:r>
          </w:p>
        </w:tc>
        <w:tc>
          <w:tcPr>
            <w:tcW w:w="955"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283"/>
              <w:jc w:val="left"/>
              <w:rPr/>
            </w:pPr>
            <w:r>
              <w:rPr/>
              <w:t> </w:t>
            </w:r>
          </w:p>
        </w:tc>
        <w:tc>
          <w:tcPr>
            <w:tcW w:w="10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845"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shd w:fill="CCEEFF" w:val="clear"/>
            <w:vAlign w:val="bottom"/>
          </w:tcPr>
          <w:p>
            <w:pPr>
              <w:pStyle w:val="TableContents"/>
              <w:bidi w:val="0"/>
              <w:spacing w:before="0" w:after="283"/>
              <w:jc w:val="left"/>
              <w:rPr/>
            </w:pPr>
            <w:r>
              <w:rPr/>
              <w:t> </w:t>
            </w:r>
          </w:p>
        </w:tc>
        <w:tc>
          <w:tcPr>
            <w:tcW w:w="913"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283"/>
              <w:jc w:val="righ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r>
      <w:tr>
        <w:trPr/>
        <w:tc>
          <w:tcPr>
            <w:tcW w:w="4595" w:type="dxa"/>
            <w:gridSpan w:val="4"/>
            <w:tcBorders/>
            <w:tcMar>
              <w:bottom w:w="0" w:type="dxa"/>
            </w:tcMar>
            <w:vAlign w:val="bottom"/>
          </w:tcPr>
          <w:p>
            <w:pPr>
              <w:pStyle w:val="TableContents"/>
              <w:bidi w:val="0"/>
              <w:spacing w:before="0" w:after="0"/>
              <w:ind w:left="180" w:right="0" w:hanging="0"/>
              <w:jc w:val="left"/>
              <w:rPr>
                <w:b/>
              </w:rPr>
            </w:pPr>
            <w:r>
              <w:rPr>
                <w:b/>
              </w:rPr>
              <w:t>Total Portfolio Investments and Cash Equivalents (103.73%):</w:t>
            </w:r>
          </w:p>
        </w:tc>
        <w:tc>
          <w:tcPr>
            <w:tcW w:w="83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845"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bottom w:val="double" w:sz="8" w:space="0" w:color="000000"/>
            </w:tcBorders>
            <w:vAlign w:val="bottom"/>
          </w:tcPr>
          <w:p>
            <w:pPr>
              <w:pStyle w:val="TableContents"/>
              <w:bidi w:val="0"/>
              <w:spacing w:before="0" w:after="0"/>
              <w:jc w:val="left"/>
              <w:rPr>
                <w:b/>
                <w:color w:val="000000"/>
              </w:rPr>
            </w:pPr>
            <w:r>
              <w:rPr>
                <w:b/>
                <w:color w:val="000000"/>
              </w:rPr>
              <w:t>$</w:t>
            </w:r>
          </w:p>
        </w:tc>
        <w:tc>
          <w:tcPr>
            <w:tcW w:w="913" w:type="dxa"/>
            <w:tcBorders>
              <w:bottom w:val="double" w:sz="8" w:space="0" w:color="000000"/>
            </w:tcBorders>
            <w:vAlign w:val="bottom"/>
          </w:tcPr>
          <w:p>
            <w:pPr>
              <w:pStyle w:val="TableContents"/>
              <w:bidi w:val="0"/>
              <w:spacing w:before="0" w:after="0"/>
              <w:jc w:val="right"/>
              <w:rPr>
                <w:b/>
                <w:color w:val="000000"/>
              </w:rPr>
            </w:pPr>
            <w:r>
              <w:rPr>
                <w:b/>
                <w:color w:val="000000"/>
              </w:rPr>
              <w:t>86,387</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bottom w:val="double" w:sz="8" w:space="0" w:color="000000"/>
            </w:tcBorders>
            <w:vAlign w:val="bottom"/>
          </w:tcPr>
          <w:p>
            <w:pPr>
              <w:pStyle w:val="TableContents"/>
              <w:bidi w:val="0"/>
              <w:spacing w:before="0" w:after="0"/>
              <w:jc w:val="left"/>
              <w:rPr>
                <w:b/>
                <w:color w:val="000000"/>
              </w:rPr>
            </w:pPr>
            <w:r>
              <w:rPr>
                <w:b/>
                <w:color w:val="000000"/>
              </w:rPr>
              <w:t>$</w:t>
            </w:r>
          </w:p>
        </w:tc>
        <w:tc>
          <w:tcPr>
            <w:tcW w:w="680" w:type="dxa"/>
            <w:tcBorders>
              <w:bottom w:val="double" w:sz="8" w:space="0" w:color="000000"/>
            </w:tcBorders>
            <w:vAlign w:val="bottom"/>
          </w:tcPr>
          <w:p>
            <w:pPr>
              <w:pStyle w:val="TableContents"/>
              <w:bidi w:val="0"/>
              <w:spacing w:before="0" w:after="0"/>
              <w:jc w:val="right"/>
              <w:rPr>
                <w:b/>
                <w:color w:val="000000"/>
              </w:rPr>
            </w:pPr>
            <w:r>
              <w:rPr>
                <w:b/>
                <w:color w:val="000000"/>
              </w:rPr>
              <w:t>87,402</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bottom w:val="double" w:sz="8" w:space="0" w:color="000000"/>
            </w:tcBorders>
            <w:vAlign w:val="bottom"/>
          </w:tcPr>
          <w:p>
            <w:pPr>
              <w:pStyle w:val="TableContents"/>
              <w:bidi w:val="0"/>
              <w:spacing w:before="0" w:after="283"/>
              <w:jc w:val="left"/>
              <w:rPr/>
            </w:pPr>
            <w:r>
              <w:rPr/>
              <w:t> </w:t>
            </w:r>
          </w:p>
        </w:tc>
        <w:tc>
          <w:tcPr>
            <w:tcW w:w="680" w:type="dxa"/>
            <w:tcBorders>
              <w:bottom w:val="double" w:sz="8" w:space="0" w:color="000000"/>
            </w:tcBorders>
            <w:vAlign w:val="bottom"/>
          </w:tcPr>
          <w:p>
            <w:pPr>
              <w:pStyle w:val="TableContents"/>
              <w:bidi w:val="0"/>
              <w:spacing w:before="0" w:after="0"/>
              <w:jc w:val="right"/>
              <w:rPr>
                <w:b/>
                <w:color w:val="000000"/>
              </w:rPr>
            </w:pPr>
            <w:r>
              <w:rPr>
                <w:b/>
                <w:color w:val="000000"/>
              </w:rPr>
              <w:t>103.73</w:t>
            </w:r>
          </w:p>
        </w:tc>
        <w:tc>
          <w:tcPr>
            <w:tcW w:w="260" w:type="dxa"/>
            <w:tcBorders/>
            <w:tcMar>
              <w:bottom w:w="0" w:type="dxa"/>
            </w:tcMar>
            <w:vAlign w:val="bottom"/>
          </w:tcPr>
          <w:p>
            <w:pPr>
              <w:pStyle w:val="TableContents"/>
              <w:bidi w:val="0"/>
              <w:spacing w:before="0" w:after="0"/>
              <w:jc w:val="left"/>
              <w:rPr>
                <w:b/>
                <w:color w:val="000000"/>
              </w:rPr>
            </w:pPr>
            <w:r>
              <w:rPr>
                <w:b/>
                <w:color w:val="000000"/>
              </w:rPr>
              <w:t>%</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(1)</w:t>
            </w:r>
          </w:p>
        </w:tc>
        <w:tc>
          <w:tcPr>
            <w:tcW w:w="9892" w:type="dxa"/>
            <w:tcBorders/>
            <w:vAlign w:val="center"/>
          </w:tcPr>
          <w:p>
            <w:pPr>
              <w:pStyle w:val="TableContents"/>
              <w:bidi w:val="0"/>
              <w:spacing w:before="0" w:after="0"/>
              <w:jc w:val="left"/>
              <w:rPr/>
            </w:pPr>
            <w:r>
              <w:rPr/>
              <w:t>All portfolio companies are located in the United States, as determined by the location of the portfolio company’s headquarters.</w:t>
            </w:r>
          </w:p>
        </w:tc>
      </w:tr>
    </w:tbl>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pPr>
            <w:r>
              <w:rPr/>
            </w:r>
          </w:p>
        </w:tc>
        <w:tc>
          <w:tcPr>
            <w:tcW w:w="258" w:type="dxa"/>
            <w:tcBorders/>
            <w:vAlign w:val="center"/>
          </w:tcPr>
          <w:p>
            <w:pPr>
              <w:pStyle w:val="TableContents"/>
              <w:bidi w:val="0"/>
              <w:spacing w:before="0" w:after="283"/>
              <w:jc w:val="left"/>
              <w:rPr/>
            </w:pPr>
            <w:r>
              <w:rPr/>
              <w:t>(2)</w:t>
            </w:r>
          </w:p>
        </w:tc>
        <w:tc>
          <w:tcPr>
            <w:tcW w:w="9909" w:type="dxa"/>
            <w:tcBorders/>
            <w:vAlign w:val="center"/>
          </w:tcPr>
          <w:p>
            <w:pPr>
              <w:pStyle w:val="TableContents"/>
              <w:bidi w:val="0"/>
              <w:spacing w:before="0" w:after="0"/>
              <w:jc w:val="left"/>
              <w:rPr/>
            </w:pPr>
            <w:r>
              <w:rPr/>
              <w:t>No debt investment is non-income producing as of June 30, 2024. All equity and warrant investments are non-income producing as of June 30, 2024 unless otherwise noted.</w:t>
            </w:r>
          </w:p>
        </w:tc>
      </w:tr>
    </w:tbl>
    <w:tbl>
      <w:tblPr>
        <w:tblW w:w="9243" w:type="dxa"/>
        <w:jc w:val="left"/>
        <w:tblInd w:w="0" w:type="dxa"/>
        <w:tblLayout w:type="fixed"/>
        <w:tblCellMar>
          <w:top w:w="0" w:type="dxa"/>
          <w:left w:w="0" w:type="dxa"/>
          <w:bottom w:w="0" w:type="dxa"/>
          <w:right w:w="0" w:type="dxa"/>
        </w:tblCellMar>
      </w:tblPr>
      <w:tblGrid>
        <w:gridCol w:w="38"/>
        <w:gridCol w:w="290"/>
        <w:gridCol w:w="891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(3)</w:t>
            </w:r>
          </w:p>
        </w:tc>
        <w:tc>
          <w:tcPr>
            <w:tcW w:w="8915" w:type="dxa"/>
            <w:tcBorders/>
            <w:vAlign w:val="center"/>
          </w:tcPr>
          <w:p>
            <w:pPr>
              <w:pStyle w:val="TableContents"/>
              <w:bidi w:val="0"/>
              <w:spacing w:before="0" w:after="0"/>
              <w:jc w:val="left"/>
              <w:rPr/>
            </w:pPr>
            <w:r>
              <w:rPr/>
              <w:t>Investment date represents the date of initial investment, at which date interest began accruing.</w:t>
            </w:r>
          </w:p>
        </w:tc>
      </w:tr>
    </w:tbl>
    <w:tbl>
      <w:tblPr>
        <w:tblW w:w="6318" w:type="dxa"/>
        <w:jc w:val="left"/>
        <w:tblInd w:w="0" w:type="dxa"/>
        <w:tblLayout w:type="fixed"/>
        <w:tblCellMar>
          <w:top w:w="0" w:type="dxa"/>
          <w:left w:w="0" w:type="dxa"/>
          <w:bottom w:w="0" w:type="dxa"/>
          <w:right w:w="0" w:type="dxa"/>
        </w:tblCellMar>
      </w:tblPr>
      <w:tblGrid>
        <w:gridCol w:w="38"/>
        <w:gridCol w:w="290"/>
        <w:gridCol w:w="599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(4)</w:t>
            </w:r>
          </w:p>
        </w:tc>
        <w:tc>
          <w:tcPr>
            <w:tcW w:w="5990" w:type="dxa"/>
            <w:tcBorders/>
            <w:vAlign w:val="center"/>
          </w:tcPr>
          <w:p>
            <w:pPr>
              <w:pStyle w:val="TableContents"/>
              <w:bidi w:val="0"/>
              <w:spacing w:before="0" w:after="0"/>
              <w:jc w:val="left"/>
              <w:rPr/>
            </w:pPr>
            <w:r>
              <w:rPr/>
              <w:t>Interest rate is the fixed or variable rate of the debt investments.</w:t>
            </w:r>
          </w:p>
        </w:tc>
      </w:tr>
    </w:tbl>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pPr>
            <w:r>
              <w:rPr/>
            </w:r>
          </w:p>
        </w:tc>
        <w:tc>
          <w:tcPr>
            <w:tcW w:w="264" w:type="dxa"/>
            <w:tcBorders/>
            <w:vAlign w:val="center"/>
          </w:tcPr>
          <w:p>
            <w:pPr>
              <w:pStyle w:val="TableContents"/>
              <w:bidi w:val="0"/>
              <w:spacing w:before="0" w:after="283"/>
              <w:jc w:val="left"/>
              <w:rPr/>
            </w:pPr>
            <w:r>
              <w:rPr/>
              <w:t>(5)</w:t>
            </w:r>
          </w:p>
        </w:tc>
        <w:tc>
          <w:tcPr>
            <w:tcW w:w="9903" w:type="dxa"/>
            <w:tcBorders/>
            <w:vAlign w:val="center"/>
          </w:tcPr>
          <w:p>
            <w:pPr>
              <w:pStyle w:val="TableContents"/>
              <w:bidi w:val="0"/>
              <w:spacing w:before="0" w:after="0"/>
              <w:jc w:val="left"/>
              <w:rPr/>
            </w:pPr>
            <w:r>
              <w:rPr/>
              <w:t>See Note 2 – Significant Accounting Policies and Note 4 — Fair Value of Financial Instruments in the accompanying notes to the financial statements.</w:t>
            </w:r>
          </w:p>
        </w:tc>
      </w:tr>
    </w:tbl>
    <w:tbl>
      <w:tblPr>
        <w:tblW w:w="9498" w:type="dxa"/>
        <w:jc w:val="left"/>
        <w:tblInd w:w="0" w:type="dxa"/>
        <w:tblLayout w:type="fixed"/>
        <w:tblCellMar>
          <w:top w:w="0" w:type="dxa"/>
          <w:left w:w="0" w:type="dxa"/>
          <w:bottom w:w="0" w:type="dxa"/>
          <w:right w:w="0" w:type="dxa"/>
        </w:tblCellMar>
      </w:tblPr>
      <w:tblGrid>
        <w:gridCol w:w="38"/>
        <w:gridCol w:w="290"/>
        <w:gridCol w:w="917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(6)</w:t>
            </w:r>
          </w:p>
        </w:tc>
        <w:tc>
          <w:tcPr>
            <w:tcW w:w="9170" w:type="dxa"/>
            <w:tcBorders/>
            <w:vAlign w:val="center"/>
          </w:tcPr>
          <w:p>
            <w:pPr>
              <w:pStyle w:val="TableContents"/>
              <w:bidi w:val="0"/>
              <w:spacing w:before="0" w:after="0"/>
              <w:jc w:val="left"/>
              <w:rPr/>
            </w:pPr>
            <w:r>
              <w:rPr/>
              <w:t>Geographic regions are determined by the respective portfolio company’s headquarters’ location.</w:t>
            </w:r>
          </w:p>
        </w:tc>
      </w:tr>
    </w:tbl>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(7)</w:t>
            </w:r>
          </w:p>
        </w:tc>
        <w:tc>
          <w:tcPr>
            <w:tcW w:w="9939" w:type="dxa"/>
            <w:tcBorders/>
            <w:vAlign w:val="center"/>
          </w:tcPr>
          <w:p>
            <w:pPr>
              <w:pStyle w:val="TableContents"/>
              <w:bidi w:val="0"/>
              <w:spacing w:before="0" w:after="0"/>
              <w:jc w:val="left"/>
              <w:rPr/>
            </w:pPr>
            <w:r>
              <w:rPr/>
              <w:t>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 As of June 30, 2024 the aggregate fair value of non-qualifying assets is $22,197 or 24.64% of the Company’s total assets.</w:t>
            </w:r>
          </w:p>
        </w:tc>
      </w:tr>
    </w:tbl>
    <w:tbl>
      <w:tblPr>
        <w:tblW w:w="8553" w:type="dxa"/>
        <w:jc w:val="left"/>
        <w:tblInd w:w="0" w:type="dxa"/>
        <w:tblLayout w:type="fixed"/>
        <w:tblCellMar>
          <w:top w:w="0" w:type="dxa"/>
          <w:left w:w="0" w:type="dxa"/>
          <w:bottom w:w="0" w:type="dxa"/>
          <w:right w:w="0" w:type="dxa"/>
        </w:tblCellMar>
      </w:tblPr>
      <w:tblGrid>
        <w:gridCol w:w="38"/>
        <w:gridCol w:w="290"/>
        <w:gridCol w:w="822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(8)</w:t>
            </w:r>
          </w:p>
        </w:tc>
        <w:tc>
          <w:tcPr>
            <w:tcW w:w="8225" w:type="dxa"/>
            <w:tcBorders/>
            <w:vAlign w:val="center"/>
          </w:tcPr>
          <w:p>
            <w:pPr>
              <w:pStyle w:val="TableContents"/>
              <w:bidi w:val="0"/>
              <w:spacing w:before="0" w:after="0"/>
              <w:jc w:val="left"/>
              <w:rPr/>
            </w:pPr>
            <w:r>
              <w:rPr/>
              <w:t>Principal is net of repayments, if any, as per the terms of the debt instrument’s contract.</w:t>
            </w:r>
          </w:p>
        </w:tc>
      </w:tr>
    </w:tbl>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pPr>
            <w:r>
              <w:rPr/>
            </w:r>
          </w:p>
        </w:tc>
        <w:tc>
          <w:tcPr>
            <w:tcW w:w="265" w:type="dxa"/>
            <w:tcBorders/>
            <w:vAlign w:val="center"/>
          </w:tcPr>
          <w:p>
            <w:pPr>
              <w:pStyle w:val="TableContents"/>
              <w:bidi w:val="0"/>
              <w:spacing w:before="0" w:after="283"/>
              <w:jc w:val="left"/>
              <w:rPr/>
            </w:pPr>
            <w:r>
              <w:rPr/>
              <w:t>(9)</w:t>
            </w:r>
          </w:p>
        </w:tc>
        <w:tc>
          <w:tcPr>
            <w:tcW w:w="9902" w:type="dxa"/>
            <w:tcBorders/>
            <w:vAlign w:val="center"/>
          </w:tcPr>
          <w:p>
            <w:pPr>
              <w:pStyle w:val="TableContents"/>
              <w:bidi w:val="0"/>
              <w:spacing w:before="0" w:after="0"/>
              <w:jc w:val="left"/>
              <w:rPr/>
            </w:pPr>
            <w:r>
              <w:rPr/>
              <w:t>All investments were valued at fair value. See Note 4 — Fair Value of Financial Instruments in the accompanying notes to the financial statements.</w:t>
            </w:r>
          </w:p>
        </w:tc>
      </w:tr>
    </w:tbl>
    <w:tbl>
      <w:tblPr>
        <w:tblW w:w="10205" w:type="dxa"/>
        <w:jc w:val="left"/>
        <w:tblInd w:w="0" w:type="dxa"/>
        <w:tblLayout w:type="fixed"/>
        <w:tblCellMar>
          <w:top w:w="0" w:type="dxa"/>
          <w:left w:w="0" w:type="dxa"/>
          <w:bottom w:w="0" w:type="dxa"/>
          <w:right w:w="0" w:type="dxa"/>
        </w:tblCellMar>
      </w:tblPr>
      <w:tblGrid>
        <w:gridCol w:w="38"/>
        <w:gridCol w:w="383"/>
        <w:gridCol w:w="9784"/>
      </w:tblGrid>
      <w:tr>
        <w:trPr/>
        <w:tc>
          <w:tcPr>
            <w:tcW w:w="38" w:type="dxa"/>
            <w:tcBorders/>
            <w:vAlign w:val="center"/>
          </w:tcPr>
          <w:p>
            <w:pPr>
              <w:pStyle w:val="TableContents"/>
              <w:bidi w:val="0"/>
              <w:spacing w:before="0" w:after="283"/>
              <w:jc w:val="left"/>
              <w:rPr/>
            </w:pPr>
            <w:r>
              <w:rPr/>
            </w:r>
          </w:p>
        </w:tc>
        <w:tc>
          <w:tcPr>
            <w:tcW w:w="383" w:type="dxa"/>
            <w:tcBorders/>
            <w:vAlign w:val="center"/>
          </w:tcPr>
          <w:p>
            <w:pPr>
              <w:pStyle w:val="TableContents"/>
              <w:bidi w:val="0"/>
              <w:spacing w:before="0" w:after="283"/>
              <w:jc w:val="left"/>
              <w:rPr/>
            </w:pPr>
            <w:r>
              <w:rPr/>
              <w:t>(10)</w:t>
            </w:r>
          </w:p>
        </w:tc>
        <w:tc>
          <w:tcPr>
            <w:tcW w:w="9784" w:type="dxa"/>
            <w:tcBorders/>
            <w:vAlign w:val="center"/>
          </w:tcPr>
          <w:p>
            <w:pPr>
              <w:pStyle w:val="TableContents"/>
              <w:bidi w:val="0"/>
              <w:spacing w:before="0" w:after="0"/>
              <w:jc w:val="left"/>
              <w:rPr/>
            </w:pPr>
            <w:r>
              <w:rPr/>
              <w:t>The Company uses the North American Industry Classification System (“NAICS”) code for classifying the industry grouping of its portfolio companies.</w:t>
            </w:r>
          </w:p>
        </w:tc>
      </w:tr>
    </w:tbl>
    <w:tbl>
      <w:tblPr>
        <w:tblW w:w="4143" w:type="dxa"/>
        <w:jc w:val="left"/>
        <w:tblInd w:w="0" w:type="dxa"/>
        <w:tblLayout w:type="fixed"/>
        <w:tblCellMar>
          <w:top w:w="0" w:type="dxa"/>
          <w:left w:w="0" w:type="dxa"/>
          <w:bottom w:w="0" w:type="dxa"/>
          <w:right w:w="0" w:type="dxa"/>
        </w:tblCellMar>
      </w:tblPr>
      <w:tblGrid>
        <w:gridCol w:w="38"/>
        <w:gridCol w:w="410"/>
        <w:gridCol w:w="3695"/>
      </w:tblGrid>
      <w:tr>
        <w:trPr/>
        <w:tc>
          <w:tcPr>
            <w:tcW w:w="38" w:type="dxa"/>
            <w:tcBorders/>
            <w:vAlign w:val="center"/>
          </w:tcPr>
          <w:p>
            <w:pPr>
              <w:pStyle w:val="TableContents"/>
              <w:bidi w:val="0"/>
              <w:spacing w:before="0" w:after="283"/>
              <w:jc w:val="left"/>
              <w:rPr/>
            </w:pPr>
            <w:r>
              <w:rPr/>
            </w:r>
          </w:p>
        </w:tc>
        <w:tc>
          <w:tcPr>
            <w:tcW w:w="410" w:type="dxa"/>
            <w:tcBorders/>
            <w:vAlign w:val="center"/>
          </w:tcPr>
          <w:p>
            <w:pPr>
              <w:pStyle w:val="TableContents"/>
              <w:bidi w:val="0"/>
              <w:spacing w:before="0" w:after="283"/>
              <w:jc w:val="left"/>
              <w:rPr/>
            </w:pPr>
            <w:r>
              <w:rPr/>
              <w:t>(11)</w:t>
            </w:r>
          </w:p>
        </w:tc>
        <w:tc>
          <w:tcPr>
            <w:tcW w:w="3695" w:type="dxa"/>
            <w:tcBorders/>
            <w:vAlign w:val="center"/>
          </w:tcPr>
          <w:p>
            <w:pPr>
              <w:pStyle w:val="TableContents"/>
              <w:bidi w:val="0"/>
              <w:spacing w:before="0" w:after="0"/>
              <w:jc w:val="left"/>
              <w:rPr/>
            </w:pPr>
            <w:r>
              <w:rPr/>
              <w:t>As of June 30, 2024 PRIME is 8.50%.</w:t>
            </w:r>
          </w:p>
        </w:tc>
      </w:tr>
    </w:tbl>
    <w:tbl>
      <w:tblPr>
        <w:tblW w:w="6333" w:type="dxa"/>
        <w:jc w:val="left"/>
        <w:tblInd w:w="0" w:type="dxa"/>
        <w:tblLayout w:type="fixed"/>
        <w:tblCellMar>
          <w:top w:w="0" w:type="dxa"/>
          <w:left w:w="0" w:type="dxa"/>
          <w:bottom w:w="0" w:type="dxa"/>
          <w:right w:w="0" w:type="dxa"/>
        </w:tblCellMar>
      </w:tblPr>
      <w:tblGrid>
        <w:gridCol w:w="38"/>
        <w:gridCol w:w="410"/>
        <w:gridCol w:w="5885"/>
      </w:tblGrid>
      <w:tr>
        <w:trPr/>
        <w:tc>
          <w:tcPr>
            <w:tcW w:w="38" w:type="dxa"/>
            <w:tcBorders/>
            <w:vAlign w:val="center"/>
          </w:tcPr>
          <w:p>
            <w:pPr>
              <w:pStyle w:val="TableContents"/>
              <w:bidi w:val="0"/>
              <w:spacing w:before="0" w:after="283"/>
              <w:jc w:val="left"/>
              <w:rPr/>
            </w:pPr>
            <w:r>
              <w:rPr/>
            </w:r>
          </w:p>
        </w:tc>
        <w:tc>
          <w:tcPr>
            <w:tcW w:w="410" w:type="dxa"/>
            <w:tcBorders/>
            <w:vAlign w:val="center"/>
          </w:tcPr>
          <w:p>
            <w:pPr>
              <w:pStyle w:val="TableContents"/>
              <w:bidi w:val="0"/>
              <w:spacing w:before="0" w:after="283"/>
              <w:jc w:val="left"/>
              <w:rPr/>
            </w:pPr>
            <w:r>
              <w:rPr/>
              <w:t>(12)</w:t>
            </w:r>
          </w:p>
        </w:tc>
        <w:tc>
          <w:tcPr>
            <w:tcW w:w="5885" w:type="dxa"/>
            <w:tcBorders/>
            <w:vAlign w:val="center"/>
          </w:tcPr>
          <w:p>
            <w:pPr>
              <w:pStyle w:val="TableContents"/>
              <w:bidi w:val="0"/>
              <w:spacing w:before="0" w:after="0"/>
              <w:jc w:val="left"/>
              <w:rPr/>
            </w:pPr>
            <w:r>
              <w:rPr/>
              <w:t>The annualized seven-day yield as of June 30, 2024 is 5.25%.</w:t>
            </w:r>
          </w:p>
        </w:tc>
      </w:tr>
    </w:tbl>
    <w:tbl>
      <w:tblPr>
        <w:tblW w:w="10205" w:type="dxa"/>
        <w:jc w:val="left"/>
        <w:tblInd w:w="0" w:type="dxa"/>
        <w:tblLayout w:type="fixed"/>
        <w:tblCellMar>
          <w:top w:w="0" w:type="dxa"/>
          <w:left w:w="0" w:type="dxa"/>
          <w:bottom w:w="0" w:type="dxa"/>
          <w:right w:w="0" w:type="dxa"/>
        </w:tblCellMar>
      </w:tblPr>
      <w:tblGrid>
        <w:gridCol w:w="38"/>
        <w:gridCol w:w="313"/>
        <w:gridCol w:w="9854"/>
      </w:tblGrid>
      <w:tr>
        <w:trPr/>
        <w:tc>
          <w:tcPr>
            <w:tcW w:w="38" w:type="dxa"/>
            <w:tcBorders/>
            <w:vAlign w:val="center"/>
          </w:tcPr>
          <w:p>
            <w:pPr>
              <w:pStyle w:val="TableContents"/>
              <w:bidi w:val="0"/>
              <w:spacing w:before="0" w:after="283"/>
              <w:jc w:val="left"/>
              <w:rPr/>
            </w:pPr>
            <w:r>
              <w:rPr/>
            </w:r>
          </w:p>
        </w:tc>
        <w:tc>
          <w:tcPr>
            <w:tcW w:w="313"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p>
        </w:tc>
        <w:tc>
          <w:tcPr>
            <w:tcW w:w="9854"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June 30, 2024, the Company had the following commitment to fund a delayed draw senior secured loan. Such commitment is subject to the satisfaction of certain conditions set forth in the documents governing the loan and there can be no assurance that such conditions will be satisfied.</w:t>
            </w:r>
          </w:p>
        </w:tc>
      </w:tr>
    </w:tbl>
    <w:p>
      <w:pPr>
        <w:pStyle w:val="TextBody"/>
        <w:bidi w:val="0"/>
        <w:spacing w:before="0" w:after="0"/>
        <w:jc w:val="left"/>
        <w:rPr/>
      </w:pPr>
      <w:r>
        <w:rPr/>
      </w:r>
    </w:p>
    <w:tbl>
      <w:tblPr>
        <w:tblW w:w="10205" w:type="dxa"/>
        <w:jc w:val="center"/>
        <w:tblInd w:w="0" w:type="dxa"/>
        <w:tblLayout w:type="fixed"/>
        <w:tblCellMar>
          <w:top w:w="0" w:type="dxa"/>
          <w:left w:w="0" w:type="dxa"/>
          <w:bottom w:w="0" w:type="dxa"/>
          <w:right w:w="0" w:type="dxa"/>
        </w:tblCellMar>
      </w:tblPr>
      <w:tblGrid>
        <w:gridCol w:w="1143"/>
        <w:gridCol w:w="137"/>
        <w:gridCol w:w="320"/>
        <w:gridCol w:w="1011"/>
        <w:gridCol w:w="60"/>
        <w:gridCol w:w="303"/>
        <w:gridCol w:w="708"/>
        <w:gridCol w:w="481"/>
        <w:gridCol w:w="60"/>
        <w:gridCol w:w="129"/>
        <w:gridCol w:w="303"/>
        <w:gridCol w:w="957"/>
        <w:gridCol w:w="60"/>
        <w:gridCol w:w="287"/>
        <w:gridCol w:w="670"/>
        <w:gridCol w:w="456"/>
        <w:gridCol w:w="60"/>
        <w:gridCol w:w="298"/>
        <w:gridCol w:w="698"/>
        <w:gridCol w:w="474"/>
        <w:gridCol w:w="60"/>
        <w:gridCol w:w="136"/>
        <w:gridCol w:w="318"/>
        <w:gridCol w:w="1005"/>
        <w:gridCol w:w="71"/>
      </w:tblGrid>
      <w:tr>
        <w:trPr/>
        <w:tc>
          <w:tcPr>
            <w:tcW w:w="1143" w:type="dxa"/>
            <w:tcBorders/>
            <w:vAlign w:val="bottom"/>
          </w:tcPr>
          <w:p>
            <w:pPr>
              <w:pStyle w:val="TableContents"/>
              <w:bidi w:val="0"/>
              <w:spacing w:before="0" w:after="0"/>
              <w:jc w:val="left"/>
              <w:rPr>
                <w:b/>
                <w:color w:val="000000"/>
              </w:rPr>
            </w:pPr>
            <w:r>
              <w:rPr>
                <w:b/>
                <w:color w:val="000000"/>
              </w:rPr>
              <w:t>(in millions)</w:t>
              <w:br/>
              <w:t>Portfolio Company</w:t>
            </w:r>
          </w:p>
        </w:tc>
        <w:tc>
          <w:tcPr>
            <w:tcW w:w="1468" w:type="dxa"/>
            <w:gridSpan w:val="3"/>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 delayed</w:t>
            </w:r>
          </w:p>
          <w:p>
            <w:pPr>
              <w:pStyle w:val="TableContents"/>
              <w:bidi w:val="0"/>
              <w:spacing w:before="0" w:after="0"/>
              <w:jc w:val="center"/>
              <w:rPr>
                <w:b/>
                <w:color w:val="000000"/>
              </w:rPr>
            </w:pPr>
            <w:r>
              <w:rPr>
                <w:b/>
                <w:color w:val="000000"/>
              </w:rPr>
              <w:t>draw loan commitments</w:t>
            </w:r>
          </w:p>
        </w:tc>
        <w:tc>
          <w:tcPr>
            <w:tcW w:w="60" w:type="dxa"/>
            <w:tcBorders/>
            <w:vAlign w:val="bottom"/>
          </w:tcPr>
          <w:p>
            <w:pPr>
              <w:pStyle w:val="TableContents"/>
              <w:bidi w:val="0"/>
              <w:spacing w:before="0" w:after="283"/>
              <w:jc w:val="left"/>
              <w:rPr/>
            </w:pPr>
            <w:r>
              <w:rPr/>
              <w:t> </w:t>
            </w:r>
          </w:p>
        </w:tc>
        <w:tc>
          <w:tcPr>
            <w:tcW w:w="1492" w:type="dxa"/>
            <w:gridSpan w:val="3"/>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Less: funded commitments</w:t>
            </w:r>
          </w:p>
        </w:tc>
        <w:tc>
          <w:tcPr>
            <w:tcW w:w="60" w:type="dxa"/>
            <w:tcBorders/>
            <w:vAlign w:val="bottom"/>
          </w:tcPr>
          <w:p>
            <w:pPr>
              <w:pStyle w:val="TableContents"/>
              <w:bidi w:val="0"/>
              <w:spacing w:before="0" w:after="283"/>
              <w:jc w:val="left"/>
              <w:rPr/>
            </w:pPr>
            <w:r>
              <w:rPr/>
              <w:t> </w:t>
            </w:r>
          </w:p>
        </w:tc>
        <w:tc>
          <w:tcPr>
            <w:tcW w:w="1389" w:type="dxa"/>
            <w:gridSpan w:val="3"/>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 unfunded</w:t>
            </w:r>
          </w:p>
          <w:p>
            <w:pPr>
              <w:pStyle w:val="TableContents"/>
              <w:bidi w:val="0"/>
              <w:spacing w:before="0" w:after="0"/>
              <w:jc w:val="center"/>
              <w:rPr>
                <w:b/>
                <w:color w:val="000000"/>
              </w:rPr>
            </w:pPr>
            <w:r>
              <w:rPr>
                <w:b/>
                <w:color w:val="000000"/>
              </w:rPr>
              <w:t>commitments</w:t>
            </w:r>
          </w:p>
        </w:tc>
        <w:tc>
          <w:tcPr>
            <w:tcW w:w="60" w:type="dxa"/>
            <w:tcBorders/>
            <w:vAlign w:val="bottom"/>
          </w:tcPr>
          <w:p>
            <w:pPr>
              <w:pStyle w:val="TableContents"/>
              <w:bidi w:val="0"/>
              <w:spacing w:before="0" w:after="283"/>
              <w:jc w:val="left"/>
              <w:rPr/>
            </w:pPr>
            <w:r>
              <w:rPr/>
              <w:t> </w:t>
            </w:r>
          </w:p>
        </w:tc>
        <w:tc>
          <w:tcPr>
            <w:tcW w:w="1413" w:type="dxa"/>
            <w:gridSpan w:val="3"/>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Less: commitments</w:t>
            </w:r>
          </w:p>
          <w:p>
            <w:pPr>
              <w:pStyle w:val="TableContents"/>
              <w:bidi w:val="0"/>
              <w:spacing w:before="0" w:after="0"/>
              <w:jc w:val="center"/>
              <w:rPr>
                <w:b/>
                <w:color w:val="000000"/>
              </w:rPr>
            </w:pPr>
            <w:r>
              <w:rPr>
                <w:b/>
                <w:color w:val="000000"/>
              </w:rPr>
              <w:t>substantially at discretion</w:t>
            </w:r>
          </w:p>
          <w:p>
            <w:pPr>
              <w:pStyle w:val="TableContents"/>
              <w:bidi w:val="0"/>
              <w:spacing w:before="0" w:after="0"/>
              <w:jc w:val="center"/>
              <w:rPr>
                <w:b/>
                <w:color w:val="000000"/>
              </w:rPr>
            </w:pPr>
            <w:r>
              <w:rPr>
                <w:b/>
                <w:color w:val="000000"/>
              </w:rPr>
              <w:t>of the Company</w:t>
            </w:r>
          </w:p>
        </w:tc>
        <w:tc>
          <w:tcPr>
            <w:tcW w:w="60" w:type="dxa"/>
            <w:tcBorders/>
            <w:vAlign w:val="bottom"/>
          </w:tcPr>
          <w:p>
            <w:pPr>
              <w:pStyle w:val="TableContents"/>
              <w:bidi w:val="0"/>
              <w:spacing w:before="0" w:after="283"/>
              <w:jc w:val="left"/>
              <w:rPr/>
            </w:pPr>
            <w:r>
              <w:rPr/>
              <w:t> </w:t>
            </w:r>
          </w:p>
        </w:tc>
        <w:tc>
          <w:tcPr>
            <w:tcW w:w="1470" w:type="dxa"/>
            <w:gridSpan w:val="3"/>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Less: unavailable</w:t>
            </w:r>
          </w:p>
          <w:p>
            <w:pPr>
              <w:pStyle w:val="TableContents"/>
              <w:bidi w:val="0"/>
              <w:spacing w:before="0" w:after="0"/>
              <w:jc w:val="center"/>
              <w:rPr>
                <w:b/>
                <w:color w:val="000000"/>
              </w:rPr>
            </w:pPr>
            <w:r>
              <w:rPr>
                <w:b/>
                <w:color w:val="000000"/>
              </w:rPr>
              <w:t>commitments due to</w:t>
            </w:r>
          </w:p>
          <w:p>
            <w:pPr>
              <w:pStyle w:val="TableContents"/>
              <w:bidi w:val="0"/>
              <w:spacing w:before="0" w:after="0"/>
              <w:jc w:val="center"/>
              <w:rPr>
                <w:b/>
                <w:color w:val="000000"/>
              </w:rPr>
            </w:pPr>
            <w:r>
              <w:rPr>
                <w:b/>
                <w:color w:val="000000"/>
              </w:rPr>
              <w:t>borrowing base or other</w:t>
            </w:r>
          </w:p>
          <w:p>
            <w:pPr>
              <w:pStyle w:val="TableContents"/>
              <w:bidi w:val="0"/>
              <w:spacing w:before="0" w:after="0"/>
              <w:jc w:val="center"/>
              <w:rPr>
                <w:b/>
                <w:color w:val="000000"/>
              </w:rPr>
            </w:pPr>
            <w:r>
              <w:rPr>
                <w:b/>
                <w:color w:val="000000"/>
              </w:rPr>
              <w:t>covenant restrictions</w:t>
            </w:r>
          </w:p>
        </w:tc>
        <w:tc>
          <w:tcPr>
            <w:tcW w:w="60" w:type="dxa"/>
            <w:tcBorders/>
            <w:vAlign w:val="bottom"/>
          </w:tcPr>
          <w:p>
            <w:pPr>
              <w:pStyle w:val="TableContents"/>
              <w:bidi w:val="0"/>
              <w:spacing w:before="0" w:after="283"/>
              <w:jc w:val="left"/>
              <w:rPr/>
            </w:pPr>
            <w:r>
              <w:rPr/>
              <w:t> </w:t>
            </w:r>
          </w:p>
        </w:tc>
        <w:tc>
          <w:tcPr>
            <w:tcW w:w="1459" w:type="dxa"/>
            <w:gridSpan w:val="3"/>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 net delayed draw</w:t>
            </w:r>
          </w:p>
          <w:p>
            <w:pPr>
              <w:pStyle w:val="TableContents"/>
              <w:bidi w:val="0"/>
              <w:spacing w:before="0" w:after="0"/>
              <w:jc w:val="center"/>
              <w:rPr>
                <w:b/>
                <w:color w:val="000000"/>
              </w:rPr>
            </w:pPr>
            <w:r>
              <w:rPr>
                <w:b/>
                <w:color w:val="000000"/>
              </w:rPr>
              <w:t>commitments</w:t>
            </w:r>
          </w:p>
        </w:tc>
        <w:tc>
          <w:tcPr>
            <w:tcW w:w="71" w:type="dxa"/>
            <w:tcBorders/>
            <w:vAlign w:val="bottom"/>
          </w:tcPr>
          <w:p>
            <w:pPr>
              <w:pStyle w:val="TableContents"/>
              <w:bidi w:val="0"/>
              <w:spacing w:before="0" w:after="283"/>
              <w:jc w:val="left"/>
              <w:rPr/>
            </w:pPr>
            <w:r>
              <w:rPr/>
              <w:t> </w:t>
            </w:r>
          </w:p>
        </w:tc>
      </w:tr>
      <w:tr>
        <w:trPr/>
        <w:tc>
          <w:tcPr>
            <w:tcW w:w="1143" w:type="dxa"/>
            <w:tcBorders/>
            <w:shd w:fill="CCEEFF" w:val="clear"/>
            <w:vAlign w:val="bottom"/>
          </w:tcPr>
          <w:p>
            <w:pPr>
              <w:pStyle w:val="TableContents"/>
              <w:bidi w:val="0"/>
              <w:spacing w:before="0" w:after="0"/>
              <w:jc w:val="left"/>
              <w:rPr>
                <w:color w:val="000000"/>
              </w:rPr>
            </w:pPr>
            <w:r>
              <w:rPr>
                <w:color w:val="000000"/>
              </w:rPr>
              <w:t>Workbox Holdings, Inc.</w:t>
            </w:r>
          </w:p>
        </w:tc>
        <w:tc>
          <w:tcPr>
            <w:tcW w:w="137"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0"/>
              <w:jc w:val="left"/>
              <w:rPr>
                <w:color w:val="000000"/>
              </w:rPr>
            </w:pPr>
            <w:r>
              <w:rPr>
                <w:color w:val="000000"/>
              </w:rPr>
              <w:t>$</w:t>
            </w:r>
          </w:p>
        </w:tc>
        <w:tc>
          <w:tcPr>
            <w:tcW w:w="1011" w:type="dxa"/>
            <w:tcBorders/>
            <w:shd w:fill="CCEEFF" w:val="clear"/>
            <w:vAlign w:val="bottom"/>
          </w:tcPr>
          <w:p>
            <w:pPr>
              <w:pStyle w:val="TableContents"/>
              <w:bidi w:val="0"/>
              <w:spacing w:before="0" w:after="0"/>
              <w:jc w:val="right"/>
              <w:rPr>
                <w:color w:val="000000"/>
              </w:rPr>
            </w:pPr>
            <w:r>
              <w:rPr>
                <w:color w:val="000000"/>
              </w:rPr>
              <w:t>1.75</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right"/>
              <w:rPr/>
            </w:pPr>
            <w:r>
              <w:rPr/>
              <w:t> </w:t>
            </w:r>
          </w:p>
        </w:tc>
        <w:tc>
          <w:tcPr>
            <w:tcW w:w="708" w:type="dxa"/>
            <w:tcBorders/>
            <w:shd w:fill="CCEEFF" w:val="clear"/>
            <w:vAlign w:val="bottom"/>
          </w:tcPr>
          <w:p>
            <w:pPr>
              <w:pStyle w:val="TableContents"/>
              <w:bidi w:val="0"/>
              <w:spacing w:before="0" w:after="0"/>
              <w:jc w:val="left"/>
              <w:rPr>
                <w:color w:val="000000"/>
              </w:rPr>
            </w:pPr>
            <w:r>
              <w:rPr>
                <w:color w:val="000000"/>
              </w:rPr>
              <w:t>$</w:t>
            </w:r>
          </w:p>
        </w:tc>
        <w:tc>
          <w:tcPr>
            <w:tcW w:w="48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right"/>
              <w:rPr/>
            </w:pPr>
            <w:r>
              <w:rPr/>
              <w:t> </w:t>
            </w:r>
          </w:p>
        </w:tc>
        <w:tc>
          <w:tcPr>
            <w:tcW w:w="303" w:type="dxa"/>
            <w:tcBorders/>
            <w:shd w:fill="CCEEFF" w:val="clear"/>
            <w:vAlign w:val="bottom"/>
          </w:tcPr>
          <w:p>
            <w:pPr>
              <w:pStyle w:val="TableContents"/>
              <w:bidi w:val="0"/>
              <w:spacing w:before="0" w:after="0"/>
              <w:jc w:val="left"/>
              <w:rPr>
                <w:color w:val="000000"/>
              </w:rPr>
            </w:pPr>
            <w:r>
              <w:rPr>
                <w:color w:val="000000"/>
              </w:rPr>
              <w:t>$</w:t>
            </w:r>
          </w:p>
        </w:tc>
        <w:tc>
          <w:tcPr>
            <w:tcW w:w="957" w:type="dxa"/>
            <w:tcBorders/>
            <w:shd w:fill="CCEEFF" w:val="clear"/>
            <w:vAlign w:val="bottom"/>
          </w:tcPr>
          <w:p>
            <w:pPr>
              <w:pStyle w:val="TableContents"/>
              <w:bidi w:val="0"/>
              <w:spacing w:before="0" w:after="0"/>
              <w:jc w:val="right"/>
              <w:rPr>
                <w:color w:val="000000"/>
              </w:rPr>
            </w:pPr>
            <w:r>
              <w:rPr>
                <w:color w:val="000000"/>
              </w:rPr>
              <w:t>1.75</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right"/>
              <w:rPr/>
            </w:pPr>
            <w:r>
              <w:rPr/>
              <w:t> </w:t>
            </w:r>
          </w:p>
        </w:tc>
        <w:tc>
          <w:tcPr>
            <w:tcW w:w="670" w:type="dxa"/>
            <w:tcBorders/>
            <w:shd w:fill="CCEEFF" w:val="clear"/>
            <w:vAlign w:val="bottom"/>
          </w:tcPr>
          <w:p>
            <w:pPr>
              <w:pStyle w:val="TableContents"/>
              <w:bidi w:val="0"/>
              <w:spacing w:before="0" w:after="0"/>
              <w:jc w:val="left"/>
              <w:rPr>
                <w:color w:val="000000"/>
              </w:rPr>
            </w:pPr>
            <w:r>
              <w:rPr>
                <w:color w:val="000000"/>
              </w:rPr>
              <w:t>$</w:t>
            </w:r>
          </w:p>
        </w:tc>
        <w:tc>
          <w:tcPr>
            <w:tcW w:w="45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right"/>
              <w:rPr/>
            </w:pPr>
            <w:r>
              <w:rPr/>
              <w:t> </w:t>
            </w:r>
          </w:p>
        </w:tc>
        <w:tc>
          <w:tcPr>
            <w:tcW w:w="698" w:type="dxa"/>
            <w:tcBorders/>
            <w:shd w:fill="CCEEFF" w:val="clear"/>
            <w:vAlign w:val="bottom"/>
          </w:tcPr>
          <w:p>
            <w:pPr>
              <w:pStyle w:val="TableContents"/>
              <w:bidi w:val="0"/>
              <w:spacing w:before="0" w:after="0"/>
              <w:jc w:val="left"/>
              <w:rPr>
                <w:color w:val="000000"/>
              </w:rPr>
            </w:pPr>
            <w:r>
              <w:rPr>
                <w:color w:val="000000"/>
              </w:rPr>
              <w:t>$</w:t>
            </w:r>
          </w:p>
        </w:tc>
        <w:tc>
          <w:tcPr>
            <w:tcW w:w="47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right"/>
              <w:rPr/>
            </w:pPr>
            <w:r>
              <w:rPr/>
              <w:t> </w:t>
            </w:r>
          </w:p>
        </w:tc>
        <w:tc>
          <w:tcPr>
            <w:tcW w:w="318" w:type="dxa"/>
            <w:tcBorders/>
            <w:shd w:fill="CCEEFF" w:val="clear"/>
            <w:vAlign w:val="bottom"/>
          </w:tcPr>
          <w:p>
            <w:pPr>
              <w:pStyle w:val="TableContents"/>
              <w:bidi w:val="0"/>
              <w:spacing w:before="0" w:after="0"/>
              <w:jc w:val="left"/>
              <w:rPr>
                <w:color w:val="000000"/>
              </w:rPr>
            </w:pPr>
            <w:r>
              <w:rPr>
                <w:color w:val="000000"/>
              </w:rPr>
              <w:t>$</w:t>
            </w:r>
          </w:p>
        </w:tc>
        <w:tc>
          <w:tcPr>
            <w:tcW w:w="1005" w:type="dxa"/>
            <w:tcBorders/>
            <w:shd w:fill="CCEEFF" w:val="clear"/>
            <w:vAlign w:val="bottom"/>
          </w:tcPr>
          <w:p>
            <w:pPr>
              <w:pStyle w:val="TableContents"/>
              <w:bidi w:val="0"/>
              <w:spacing w:before="0" w:after="0"/>
              <w:jc w:val="right"/>
              <w:rPr>
                <w:color w:val="000000"/>
              </w:rPr>
            </w:pPr>
            <w:r>
              <w:rPr>
                <w:color w:val="000000"/>
              </w:rPr>
              <w:t>1.75</w:t>
            </w:r>
          </w:p>
        </w:tc>
        <w:tc>
          <w:tcPr>
            <w:tcW w:w="71"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notes to financial statements.</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Schedule of Investments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December 31, 2023</w:t>
      </w:r>
    </w:p>
    <w:p>
      <w:pPr>
        <w:pStyle w:val="TextBody"/>
        <w:bidi w:val="0"/>
        <w:spacing w:before="0" w:after="0"/>
        <w:jc w:val="center"/>
        <w:rPr>
          <w:color w:val="000000"/>
          <w:shd w:fill="FFFFFF" w:val="clear"/>
        </w:rPr>
      </w:pPr>
      <w:r>
        <w:rPr>
          <w:color w:val="000000"/>
          <w:shd w:fill="FFFFFF" w:val="clear"/>
        </w:rPr>
        <w:t> </w:t>
      </w:r>
      <w:r>
        <w:rPr>
          <w:rFonts w:ascii="Times New Roman" w:hAnsi="Times New Roman"/>
          <w:b/>
          <w:color w:val="000000"/>
          <w:sz w:val="20"/>
          <w:shd w:fill="FFFFFF" w:val="clear"/>
        </w:rPr>
        <w:t>(in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13180" w:type="dxa"/>
        <w:jc w:val="left"/>
        <w:tblInd w:w="0" w:type="dxa"/>
        <w:tblLayout w:type="fixed"/>
        <w:tblCellMar>
          <w:top w:w="0" w:type="dxa"/>
          <w:left w:w="0" w:type="dxa"/>
          <w:bottom w:w="28" w:type="dxa"/>
          <w:right w:w="0" w:type="dxa"/>
        </w:tblCellMar>
      </w:tblPr>
      <w:tblGrid>
        <w:gridCol w:w="1310"/>
        <w:gridCol w:w="1165"/>
        <w:gridCol w:w="1165"/>
        <w:gridCol w:w="955"/>
        <w:gridCol w:w="830"/>
        <w:gridCol w:w="60"/>
        <w:gridCol w:w="316"/>
        <w:gridCol w:w="739"/>
        <w:gridCol w:w="60"/>
        <w:gridCol w:w="1205"/>
        <w:gridCol w:w="1085"/>
        <w:gridCol w:w="60"/>
        <w:gridCol w:w="162"/>
        <w:gridCol w:w="788"/>
        <w:gridCol w:w="60"/>
        <w:gridCol w:w="60"/>
        <w:gridCol w:w="187"/>
        <w:gridCol w:w="913"/>
        <w:gridCol w:w="60"/>
        <w:gridCol w:w="60"/>
        <w:gridCol w:w="140"/>
        <w:gridCol w:w="680"/>
        <w:gridCol w:w="60"/>
        <w:gridCol w:w="60"/>
        <w:gridCol w:w="60"/>
        <w:gridCol w:w="680"/>
        <w:gridCol w:w="260"/>
      </w:tblGrid>
      <w:tr>
        <w:trPr/>
        <w:tc>
          <w:tcPr>
            <w:tcW w:w="1310" w:type="dxa"/>
            <w:tcBorders>
              <w:bottom w:val="single" w:sz="12" w:space="0" w:color="000000"/>
            </w:tcBorders>
            <w:vAlign w:val="bottom"/>
          </w:tcPr>
          <w:p>
            <w:pPr>
              <w:pStyle w:val="TableContents"/>
              <w:bidi w:val="0"/>
              <w:spacing w:before="0" w:after="0"/>
              <w:jc w:val="left"/>
              <w:rPr>
                <w:b/>
                <w:color w:val="000000"/>
              </w:rPr>
            </w:pPr>
            <w:r>
              <w:rPr>
                <w:b/>
                <w:color w:val="000000"/>
              </w:rPr>
              <w:t xml:space="preserve">Portfolio Company </w:t>
            </w:r>
            <w:r>
              <w:rPr>
                <w:b/>
                <w:color w:val="000000"/>
                <w:position w:val="8"/>
                <w:sz w:val="19"/>
              </w:rPr>
              <w:t>(1)</w:t>
            </w:r>
          </w:p>
        </w:tc>
        <w:tc>
          <w:tcPr>
            <w:tcW w:w="1165" w:type="dxa"/>
            <w:tcBorders>
              <w:bottom w:val="single" w:sz="12" w:space="0" w:color="000000"/>
            </w:tcBorders>
            <w:vAlign w:val="bottom"/>
          </w:tcPr>
          <w:p>
            <w:pPr>
              <w:pStyle w:val="TableContents"/>
              <w:bidi w:val="0"/>
              <w:spacing w:lineRule="auto" w:line="240" w:before="0" w:after="0"/>
              <w:ind w:left="20" w:right="20" w:hanging="0"/>
              <w:jc w:val="center"/>
              <w:rPr>
                <w:b/>
                <w:color w:val="000000"/>
              </w:rPr>
            </w:pPr>
            <w:r>
              <w:rPr>
                <w:b/>
                <w:color w:val="000000"/>
              </w:rPr>
              <w:t>Type of Investment (2)</w:t>
            </w:r>
          </w:p>
        </w:tc>
        <w:tc>
          <w:tcPr>
            <w:tcW w:w="1165" w:type="dxa"/>
            <w:tcBorders>
              <w:bottom w:val="single" w:sz="12" w:space="0" w:color="000000"/>
            </w:tcBorders>
            <w:vAlign w:val="bottom"/>
          </w:tcPr>
          <w:p>
            <w:pPr>
              <w:pStyle w:val="TableContents"/>
              <w:bidi w:val="0"/>
              <w:spacing w:before="0" w:after="0"/>
              <w:ind w:left="20" w:right="20" w:hanging="0"/>
              <w:jc w:val="center"/>
              <w:rPr>
                <w:b/>
                <w:color w:val="000000"/>
              </w:rPr>
            </w:pPr>
            <w:r>
              <w:rPr>
                <w:b/>
                <w:color w:val="000000"/>
              </w:rPr>
              <w:t xml:space="preserve">Investment </w:t>
            </w:r>
          </w:p>
          <w:p>
            <w:pPr>
              <w:pStyle w:val="TableContents"/>
              <w:bidi w:val="0"/>
              <w:spacing w:lineRule="auto" w:line="240" w:before="0" w:after="0"/>
              <w:jc w:val="center"/>
              <w:rPr>
                <w:b/>
                <w:color w:val="000000"/>
              </w:rPr>
            </w:pPr>
            <w:r>
              <w:rPr>
                <w:b/>
                <w:color w:val="000000"/>
              </w:rPr>
              <w:t xml:space="preserve">Date (3) </w:t>
            </w:r>
          </w:p>
        </w:tc>
        <w:tc>
          <w:tcPr>
            <w:tcW w:w="955" w:type="dxa"/>
            <w:tcBorders>
              <w:bottom w:val="single" w:sz="12" w:space="0" w:color="000000"/>
            </w:tcBorders>
            <w:vAlign w:val="bottom"/>
          </w:tcPr>
          <w:p>
            <w:pPr>
              <w:pStyle w:val="TableContents"/>
              <w:bidi w:val="0"/>
              <w:spacing w:before="0" w:after="0"/>
              <w:ind w:left="20" w:right="20" w:hanging="0"/>
              <w:jc w:val="center"/>
              <w:rPr>
                <w:b/>
                <w:color w:val="000000"/>
              </w:rPr>
            </w:pPr>
            <w:r>
              <w:rPr>
                <w:b/>
                <w:color w:val="000000"/>
              </w:rPr>
              <w:t>Maturity Date</w:t>
            </w:r>
          </w:p>
        </w:tc>
        <w:tc>
          <w:tcPr>
            <w:tcW w:w="830" w:type="dxa"/>
            <w:tcBorders>
              <w:bottom w:val="single" w:sz="12" w:space="0" w:color="000000"/>
            </w:tcBorders>
            <w:vAlign w:val="bottom"/>
          </w:tcPr>
          <w:p>
            <w:pPr>
              <w:pStyle w:val="TableContents"/>
              <w:bidi w:val="0"/>
              <w:spacing w:lineRule="auto" w:line="240" w:before="0" w:after="0"/>
              <w:ind w:left="20" w:right="20" w:hanging="0"/>
              <w:jc w:val="center"/>
              <w:rPr>
                <w:b/>
                <w:color w:val="000000"/>
              </w:rPr>
            </w:pPr>
            <w:r>
              <w:rPr>
                <w:b/>
                <w:color w:val="000000"/>
              </w:rPr>
              <w:t>Interest Rate (4)</w:t>
            </w:r>
          </w:p>
        </w:tc>
        <w:tc>
          <w:tcPr>
            <w:tcW w:w="60" w:type="dxa"/>
            <w:tcBorders>
              <w:bottom w:val="single" w:sz="12" w:space="0" w:color="000000"/>
            </w:tcBorders>
            <w:vAlign w:val="bottom"/>
          </w:tcPr>
          <w:p>
            <w:pPr>
              <w:pStyle w:val="TableContents"/>
              <w:bidi w:val="0"/>
              <w:spacing w:before="0" w:after="283"/>
              <w:jc w:val="left"/>
              <w:rPr/>
            </w:pPr>
            <w:r>
              <w:rPr/>
              <w:t> </w:t>
            </w:r>
          </w:p>
        </w:tc>
        <w:tc>
          <w:tcPr>
            <w:tcW w:w="1055" w:type="dxa"/>
            <w:gridSpan w:val="2"/>
            <w:tcBorders>
              <w:bottom w:val="single" w:sz="12" w:space="0" w:color="000000"/>
            </w:tcBorders>
            <w:vAlign w:val="bottom"/>
          </w:tcPr>
          <w:p>
            <w:pPr>
              <w:pStyle w:val="TableContents"/>
              <w:bidi w:val="0"/>
              <w:spacing w:lineRule="auto" w:line="240" w:before="0" w:after="0"/>
              <w:jc w:val="center"/>
              <w:rPr>
                <w:b/>
                <w:color w:val="000000"/>
              </w:rPr>
            </w:pPr>
            <w:r>
              <w:rPr>
                <w:b/>
                <w:color w:val="000000"/>
              </w:rPr>
              <w:t>Fair Value</w:t>
              <w:br/>
              <w:t>Hierarchy (5)</w:t>
            </w:r>
          </w:p>
        </w:tc>
        <w:tc>
          <w:tcPr>
            <w:tcW w:w="60" w:type="dxa"/>
            <w:tcBorders>
              <w:bottom w:val="single" w:sz="12" w:space="0" w:color="000000"/>
            </w:tcBorders>
            <w:vAlign w:val="bottom"/>
          </w:tcPr>
          <w:p>
            <w:pPr>
              <w:pStyle w:val="TableContents"/>
              <w:bidi w:val="0"/>
              <w:spacing w:before="0" w:after="283"/>
              <w:jc w:val="left"/>
              <w:rPr/>
            </w:pPr>
            <w:r>
              <w:rPr/>
              <w:t> </w:t>
            </w:r>
          </w:p>
        </w:tc>
        <w:tc>
          <w:tcPr>
            <w:tcW w:w="1205" w:type="dxa"/>
            <w:tcBorders>
              <w:bottom w:val="single" w:sz="12" w:space="0" w:color="000000"/>
            </w:tcBorders>
            <w:vAlign w:val="bottom"/>
          </w:tcPr>
          <w:p>
            <w:pPr>
              <w:pStyle w:val="TableContents"/>
              <w:bidi w:val="0"/>
              <w:spacing w:lineRule="auto" w:line="240" w:before="0" w:after="0"/>
              <w:jc w:val="center"/>
              <w:rPr>
                <w:b/>
                <w:color w:val="000000"/>
              </w:rPr>
            </w:pPr>
            <w:r>
              <w:rPr>
                <w:b/>
                <w:color w:val="000000"/>
              </w:rPr>
              <w:t>Geographic</w:t>
              <w:br/>
              <w:t>Region (6)</w:t>
            </w:r>
          </w:p>
        </w:tc>
        <w:tc>
          <w:tcPr>
            <w:tcW w:w="1085" w:type="dxa"/>
            <w:tcBorders>
              <w:bottom w:val="single" w:sz="12" w:space="0" w:color="000000"/>
            </w:tcBorders>
            <w:vAlign w:val="bottom"/>
          </w:tcPr>
          <w:p>
            <w:pPr>
              <w:pStyle w:val="TableContents"/>
              <w:bidi w:val="0"/>
              <w:spacing w:before="0" w:after="0"/>
              <w:jc w:val="center"/>
              <w:rPr>
                <w:b/>
                <w:color w:val="000000"/>
              </w:rPr>
            </w:pPr>
            <w:r>
              <w:rPr>
                <w:b/>
                <w:color w:val="000000"/>
              </w:rPr>
              <w:t>Non-</w:t>
            </w:r>
          </w:p>
          <w:p>
            <w:pPr>
              <w:pStyle w:val="TableContents"/>
              <w:bidi w:val="0"/>
              <w:spacing w:before="0" w:after="0"/>
              <w:jc w:val="center"/>
              <w:rPr>
                <w:b/>
                <w:color w:val="000000"/>
              </w:rPr>
            </w:pPr>
            <w:r>
              <w:rPr>
                <w:b/>
                <w:color w:val="000000"/>
              </w:rPr>
              <w:t>Qualifying</w:t>
            </w:r>
          </w:p>
          <w:p>
            <w:pPr>
              <w:pStyle w:val="TableContents"/>
              <w:bidi w:val="0"/>
              <w:spacing w:lineRule="auto" w:line="240" w:before="0" w:after="0"/>
              <w:jc w:val="center"/>
              <w:rPr>
                <w:b/>
                <w:color w:val="000000"/>
              </w:rPr>
            </w:pPr>
            <w:r>
              <w:rPr>
                <w:b/>
                <w:color w:val="000000"/>
              </w:rPr>
              <w:t>Asset (7)</w:t>
            </w:r>
          </w:p>
        </w:tc>
        <w:tc>
          <w:tcPr>
            <w:tcW w:w="60" w:type="dxa"/>
            <w:tcBorders>
              <w:bottom w:val="single" w:sz="12" w:space="0" w:color="000000"/>
            </w:tcBorders>
            <w:vAlign w:val="bottom"/>
          </w:tcPr>
          <w:p>
            <w:pPr>
              <w:pStyle w:val="TableContents"/>
              <w:bidi w:val="0"/>
              <w:spacing w:before="0" w:after="283"/>
              <w:jc w:val="left"/>
              <w:rPr/>
            </w:pPr>
            <w:r>
              <w:rPr/>
              <w:t> </w:t>
            </w:r>
          </w:p>
        </w:tc>
        <w:tc>
          <w:tcPr>
            <w:tcW w:w="950" w:type="dxa"/>
            <w:gridSpan w:val="2"/>
            <w:tcBorders>
              <w:bottom w:val="single" w:sz="12" w:space="0" w:color="000000"/>
            </w:tcBorders>
            <w:vAlign w:val="bottom"/>
          </w:tcPr>
          <w:p>
            <w:pPr>
              <w:pStyle w:val="TableContents"/>
              <w:bidi w:val="0"/>
              <w:spacing w:before="0" w:after="0"/>
              <w:jc w:val="center"/>
              <w:rPr>
                <w:b/>
                <w:color w:val="000000"/>
              </w:rPr>
            </w:pPr>
            <w:r>
              <w:rPr>
                <w:b/>
                <w:color w:val="000000"/>
              </w:rPr>
              <w:t xml:space="preserve">Principal </w:t>
            </w:r>
          </w:p>
          <w:p>
            <w:pPr>
              <w:pStyle w:val="TableContents"/>
              <w:bidi w:val="0"/>
              <w:spacing w:lineRule="auto" w:line="240" w:before="0" w:after="0"/>
              <w:jc w:val="center"/>
              <w:rPr>
                <w:b/>
                <w:color w:val="000000"/>
              </w:rPr>
            </w:pPr>
            <w:r>
              <w:rPr>
                <w:b/>
                <w:color w:val="000000"/>
              </w:rPr>
              <w:t>Amount (8)</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1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 xml:space="preserve">Amortized </w:t>
            </w:r>
          </w:p>
          <w:p>
            <w:pPr>
              <w:pStyle w:val="TableContents"/>
              <w:bidi w:val="0"/>
              <w:spacing w:before="0" w:after="0"/>
              <w:jc w:val="center"/>
              <w:rPr>
                <w:b/>
                <w:color w:val="000000"/>
              </w:rPr>
            </w:pPr>
            <w:r>
              <w:rPr>
                <w:b/>
                <w:color w:val="000000"/>
              </w:rPr>
              <w:t>Cost</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820" w:type="dxa"/>
            <w:gridSpan w:val="2"/>
            <w:tcBorders>
              <w:bottom w:val="single" w:sz="12" w:space="0" w:color="000000"/>
            </w:tcBorders>
            <w:vAlign w:val="bottom"/>
          </w:tcPr>
          <w:p>
            <w:pPr>
              <w:pStyle w:val="TableContents"/>
              <w:bidi w:val="0"/>
              <w:spacing w:lineRule="auto" w:line="240" w:before="0" w:after="0"/>
              <w:jc w:val="center"/>
              <w:rPr>
                <w:b/>
                <w:color w:val="000000"/>
              </w:rPr>
            </w:pPr>
            <w:r>
              <w:rPr>
                <w:b/>
                <w:color w:val="000000"/>
              </w:rPr>
              <w:t>Fair Value (9)</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740" w:type="dxa"/>
            <w:gridSpan w:val="2"/>
            <w:tcBorders>
              <w:bottom w:val="single" w:sz="12" w:space="0" w:color="000000"/>
            </w:tcBorders>
            <w:vAlign w:val="bottom"/>
          </w:tcPr>
          <w:p>
            <w:pPr>
              <w:pStyle w:val="TableContents"/>
              <w:bidi w:val="0"/>
              <w:spacing w:before="0" w:after="0"/>
              <w:jc w:val="center"/>
              <w:rPr>
                <w:b/>
                <w:color w:val="000000"/>
              </w:rPr>
            </w:pPr>
            <w:r>
              <w:rPr>
                <w:b/>
                <w:color w:val="000000"/>
              </w:rPr>
              <w:t>% of</w:t>
            </w:r>
          </w:p>
          <w:p>
            <w:pPr>
              <w:pStyle w:val="TableContents"/>
              <w:bidi w:val="0"/>
              <w:spacing w:before="0" w:after="0"/>
              <w:jc w:val="center"/>
              <w:rPr>
                <w:b/>
                <w:color w:val="000000"/>
              </w:rPr>
            </w:pPr>
            <w:r>
              <w:rPr>
                <w:b/>
                <w:color w:val="000000"/>
              </w:rPr>
              <w:t>Net Assets</w:t>
            </w:r>
          </w:p>
        </w:tc>
        <w:tc>
          <w:tcPr>
            <w:tcW w:w="260" w:type="dxa"/>
            <w:tcBorders>
              <w:bottom w:val="single" w:sz="12" w:space="0" w:color="000000"/>
            </w:tcBorders>
            <w:vAlign w:val="bottom"/>
          </w:tcPr>
          <w:p>
            <w:pPr>
              <w:pStyle w:val="TableContents"/>
              <w:bidi w:val="0"/>
              <w:spacing w:before="0" w:after="283"/>
              <w:jc w:val="left"/>
              <w:rPr/>
            </w:pPr>
            <w:r>
              <w:rPr/>
              <w:t> </w:t>
            </w:r>
          </w:p>
        </w:tc>
      </w:tr>
      <w:tr>
        <w:trPr/>
        <w:tc>
          <w:tcPr>
            <w:tcW w:w="1310" w:type="dxa"/>
            <w:tcBorders/>
            <w:tcMar>
              <w:bottom w:w="0" w:type="dxa"/>
            </w:tcMar>
            <w:vAlign w:val="bottom"/>
          </w:tcPr>
          <w:p>
            <w:pPr>
              <w:pStyle w:val="TableContents"/>
              <w:bidi w:val="0"/>
              <w:spacing w:before="0" w:after="0"/>
              <w:jc w:val="left"/>
              <w:rPr>
                <w:b/>
                <w:color w:val="000000"/>
              </w:rPr>
            </w:pPr>
            <w:r>
              <w:rPr>
                <w:b/>
                <w:color w:val="000000"/>
              </w:rPr>
              <w:t>Debt Securities - United States</w:t>
            </w:r>
          </w:p>
        </w:tc>
        <w:tc>
          <w:tcPr>
            <w:tcW w:w="1165" w:type="dxa"/>
            <w:tcBorders/>
            <w:tcMar>
              <w:bottom w:w="0" w:type="dxa"/>
            </w:tcMar>
            <w:vAlign w:val="bottom"/>
          </w:tcPr>
          <w:p>
            <w:pPr>
              <w:pStyle w:val="TableContents"/>
              <w:bidi w:val="0"/>
              <w:spacing w:before="0" w:after="0"/>
              <w:jc w:val="center"/>
              <w:rPr>
                <w:color w:val="000000"/>
              </w:rPr>
            </w:pPr>
            <w:r>
              <w:rPr>
                <w:color w:val="000000"/>
              </w:rPr>
              <w:t> </w:t>
            </w:r>
          </w:p>
        </w:tc>
        <w:tc>
          <w:tcPr>
            <w:tcW w:w="1165" w:type="dxa"/>
            <w:tcBorders/>
            <w:tcMar>
              <w:bottom w:w="0" w:type="dxa"/>
            </w:tcMar>
            <w:vAlign w:val="bottom"/>
          </w:tcPr>
          <w:p>
            <w:pPr>
              <w:pStyle w:val="TableContents"/>
              <w:bidi w:val="0"/>
              <w:spacing w:before="0" w:after="0"/>
              <w:jc w:val="center"/>
              <w:rPr>
                <w:color w:val="000000"/>
              </w:rPr>
            </w:pPr>
            <w:r>
              <w:rPr>
                <w:color w:val="000000"/>
              </w:rPr>
              <w:t> </w:t>
            </w:r>
          </w:p>
        </w:tc>
        <w:tc>
          <w:tcPr>
            <w:tcW w:w="955" w:type="dxa"/>
            <w:tcBorders/>
            <w:tcMar>
              <w:bottom w:w="0" w:type="dxa"/>
            </w:tcMar>
            <w:vAlign w:val="bottom"/>
          </w:tcPr>
          <w:p>
            <w:pPr>
              <w:pStyle w:val="TableContents"/>
              <w:bidi w:val="0"/>
              <w:spacing w:before="0" w:after="0"/>
              <w:jc w:val="center"/>
              <w:rPr>
                <w:color w:val="000000"/>
              </w:rPr>
            </w:pPr>
            <w:r>
              <w:rPr>
                <w:color w:val="000000"/>
              </w:rPr>
              <w:t> </w:t>
            </w:r>
          </w:p>
        </w:tc>
        <w:tc>
          <w:tcPr>
            <w:tcW w:w="830" w:type="dxa"/>
            <w:tcBorders/>
            <w:tcMar>
              <w:bottom w:w="0" w:type="dxa"/>
            </w:tcMar>
            <w:vAlign w:val="bottom"/>
          </w:tcPr>
          <w:p>
            <w:pPr>
              <w:pStyle w:val="TableContents"/>
              <w:bidi w:val="0"/>
              <w:spacing w:before="0" w:after="0"/>
              <w:jc w:val="center"/>
              <w:rPr>
                <w:color w:val="000000"/>
              </w:rPr>
            </w:pPr>
            <w:r>
              <w:rPr>
                <w:color w:val="000000"/>
              </w:rPr>
              <w:t> </w:t>
            </w:r>
          </w:p>
        </w:tc>
        <w:tc>
          <w:tcPr>
            <w:tcW w:w="60" w:type="dxa"/>
            <w:tcBorders/>
            <w:tcMar>
              <w:bottom w:w="0" w:type="dxa"/>
            </w:tcMar>
            <w:vAlign w:val="bottom"/>
          </w:tcPr>
          <w:p>
            <w:pPr>
              <w:pStyle w:val="TableContents"/>
              <w:bidi w:val="0"/>
              <w:spacing w:before="0" w:after="283"/>
              <w:jc w:val="left"/>
              <w:rPr/>
            </w:pPr>
            <w:r>
              <w:rPr/>
              <w:t> </w:t>
            </w:r>
          </w:p>
        </w:tc>
        <w:tc>
          <w:tcPr>
            <w:tcW w:w="1055"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0"/>
              <w:jc w:val="center"/>
              <w:rPr>
                <w:color w:val="000000"/>
              </w:rPr>
            </w:pPr>
            <w:r>
              <w:rPr>
                <w:color w:val="000000"/>
              </w:rPr>
              <w:t> </w:t>
            </w:r>
          </w:p>
        </w:tc>
        <w:tc>
          <w:tcPr>
            <w:tcW w:w="60" w:type="dxa"/>
            <w:tcBorders/>
            <w:tcMar>
              <w:bottom w:w="0" w:type="dxa"/>
            </w:tcMar>
            <w:vAlign w:val="bottom"/>
          </w:tcPr>
          <w:p>
            <w:pPr>
              <w:pStyle w:val="TableContents"/>
              <w:bidi w:val="0"/>
              <w:spacing w:before="0" w:after="283"/>
              <w:jc w:val="left"/>
              <w:rPr/>
            </w:pPr>
            <w:r>
              <w:rPr/>
              <w:t> </w:t>
            </w:r>
          </w:p>
        </w:tc>
        <w:tc>
          <w:tcPr>
            <w:tcW w:w="950"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100"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20"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40" w:type="dxa"/>
            <w:gridSpan w:val="2"/>
            <w:tcBorders/>
            <w:tcMar>
              <w:bottom w:w="0" w:type="dxa"/>
            </w:tcMar>
            <w:vAlign w:val="bottom"/>
          </w:tcPr>
          <w:p>
            <w:pPr>
              <w:pStyle w:val="TableContents"/>
              <w:bidi w:val="0"/>
              <w:spacing w:before="0" w:after="283"/>
              <w:jc w:val="left"/>
              <w:rPr/>
            </w:pPr>
            <w:r>
              <w:rPr/>
              <w:t> </w:t>
            </w:r>
          </w:p>
        </w:tc>
        <w:tc>
          <w:tcPr>
            <w:tcW w:w="260" w:type="dxa"/>
            <w:tcBorders/>
            <w:tcMar>
              <w:bottom w:w="0" w:type="dxa"/>
            </w:tcMar>
            <w:vAlign w:val="bottom"/>
          </w:tcPr>
          <w:p>
            <w:pPr>
              <w:pStyle w:val="TableContents"/>
              <w:bidi w:val="0"/>
              <w:spacing w:before="0" w:after="283"/>
              <w:jc w:val="left"/>
              <w:rPr/>
            </w:pPr>
            <w:r>
              <w:rPr/>
              <w:t> </w:t>
            </w:r>
          </w:p>
        </w:tc>
      </w:tr>
      <w:tr>
        <w:trPr/>
        <w:tc>
          <w:tcPr>
            <w:tcW w:w="1310" w:type="dxa"/>
            <w:tcBorders>
              <w:bottom w:val="single" w:sz="12" w:space="0" w:color="000000"/>
            </w:tcBorders>
            <w:vAlign w:val="bottom"/>
          </w:tcPr>
          <w:p>
            <w:pPr>
              <w:pStyle w:val="TableContents"/>
              <w:bidi w:val="0"/>
              <w:spacing w:before="0" w:after="0"/>
              <w:jc w:val="left"/>
              <w:rPr>
                <w:b/>
                <w:color w:val="000000"/>
              </w:rPr>
            </w:pPr>
            <w:r>
              <w:rPr>
                <w:b/>
                <w:color w:val="000000"/>
              </w:rPr>
              <w:t xml:space="preserve">Wholesale Trade </w:t>
            </w:r>
            <w:r>
              <w:rPr>
                <w:b/>
                <w:color w:val="000000"/>
                <w:position w:val="8"/>
                <w:sz w:val="19"/>
              </w:rPr>
              <w:t>(10)</w:t>
            </w:r>
          </w:p>
        </w:tc>
        <w:tc>
          <w:tcPr>
            <w:tcW w:w="1165" w:type="dxa"/>
            <w:tcBorders/>
            <w:tcMar>
              <w:bottom w:w="0" w:type="dxa"/>
            </w:tcMar>
            <w:vAlign w:val="bottom"/>
          </w:tcPr>
          <w:p>
            <w:pPr>
              <w:pStyle w:val="TableContents"/>
              <w:bidi w:val="0"/>
              <w:spacing w:before="0" w:after="0"/>
              <w:jc w:val="center"/>
              <w:rPr>
                <w:color w:val="000000"/>
              </w:rPr>
            </w:pPr>
            <w:r>
              <w:rPr>
                <w:color w:val="000000"/>
              </w:rPr>
              <w:t> </w:t>
            </w:r>
          </w:p>
        </w:tc>
        <w:tc>
          <w:tcPr>
            <w:tcW w:w="1165" w:type="dxa"/>
            <w:tcBorders/>
            <w:tcMar>
              <w:bottom w:w="0" w:type="dxa"/>
            </w:tcMar>
            <w:vAlign w:val="bottom"/>
          </w:tcPr>
          <w:p>
            <w:pPr>
              <w:pStyle w:val="TableContents"/>
              <w:bidi w:val="0"/>
              <w:spacing w:before="0" w:after="283"/>
              <w:jc w:val="left"/>
              <w:rPr/>
            </w:pPr>
            <w:r>
              <w:rPr/>
              <w:t> </w:t>
            </w:r>
          </w:p>
        </w:tc>
        <w:tc>
          <w:tcPr>
            <w:tcW w:w="955"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055"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0"/>
              <w:jc w:val="center"/>
              <w:rPr>
                <w:color w:val="000000"/>
              </w:rPr>
            </w:pPr>
            <w:r>
              <w:rPr>
                <w:color w:val="000000"/>
              </w:rPr>
              <w:t> </w:t>
            </w:r>
          </w:p>
        </w:tc>
        <w:tc>
          <w:tcPr>
            <w:tcW w:w="60" w:type="dxa"/>
            <w:tcBorders/>
            <w:tcMar>
              <w:bottom w:w="0" w:type="dxa"/>
            </w:tcMar>
            <w:vAlign w:val="bottom"/>
          </w:tcPr>
          <w:p>
            <w:pPr>
              <w:pStyle w:val="TableContents"/>
              <w:bidi w:val="0"/>
              <w:spacing w:before="0" w:after="283"/>
              <w:jc w:val="left"/>
              <w:rPr/>
            </w:pPr>
            <w:r>
              <w:rPr/>
              <w:t> </w:t>
            </w:r>
          </w:p>
        </w:tc>
        <w:tc>
          <w:tcPr>
            <w:tcW w:w="950"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100"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20"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40" w:type="dxa"/>
            <w:gridSpan w:val="2"/>
            <w:tcBorders/>
            <w:tcMar>
              <w:bottom w:w="0" w:type="dxa"/>
            </w:tcMar>
            <w:vAlign w:val="bottom"/>
          </w:tcPr>
          <w:p>
            <w:pPr>
              <w:pStyle w:val="TableContents"/>
              <w:bidi w:val="0"/>
              <w:spacing w:before="0" w:after="283"/>
              <w:jc w:val="left"/>
              <w:rPr/>
            </w:pPr>
            <w:r>
              <w:rPr/>
              <w:t> </w:t>
            </w:r>
          </w:p>
        </w:tc>
        <w:tc>
          <w:tcPr>
            <w:tcW w:w="260" w:type="dxa"/>
            <w:tcBorders/>
            <w:tcMar>
              <w:bottom w:w="0" w:type="dxa"/>
            </w:tcMar>
            <w:vAlign w:val="bottom"/>
          </w:tcPr>
          <w:p>
            <w:pPr>
              <w:pStyle w:val="TableContents"/>
              <w:bidi w:val="0"/>
              <w:spacing w:before="0" w:after="283"/>
              <w:jc w:val="left"/>
              <w:rPr/>
            </w:pPr>
            <w:r>
              <w:rPr/>
              <w:t> </w:t>
            </w:r>
          </w:p>
        </w:tc>
      </w:tr>
      <w:tr>
        <w:trPr/>
        <w:tc>
          <w:tcPr>
            <w:tcW w:w="1310" w:type="dxa"/>
            <w:tcBorders/>
            <w:shd w:fill="CCEEFF" w:val="clear"/>
            <w:tcMar>
              <w:bottom w:w="0" w:type="dxa"/>
            </w:tcMar>
            <w:vAlign w:val="bottom"/>
          </w:tcPr>
          <w:p>
            <w:pPr>
              <w:pStyle w:val="TableContents"/>
              <w:bidi w:val="0"/>
              <w:spacing w:before="0" w:after="0"/>
              <w:ind w:left="360" w:right="0" w:hanging="0"/>
              <w:jc w:val="left"/>
              <w:rPr>
                <w:color w:val="000000"/>
              </w:rPr>
            </w:pPr>
            <w:r>
              <w:rPr>
                <w:color w:val="000000"/>
              </w:rPr>
              <w:t>Curaleaf Holdings, Inc.</w:t>
            </w:r>
          </w:p>
        </w:tc>
        <w:tc>
          <w:tcPr>
            <w:tcW w:w="1165" w:type="dxa"/>
            <w:tcBorders/>
            <w:shd w:fill="CCEEFF" w:val="clear"/>
            <w:tcMar>
              <w:bottom w:w="0" w:type="dxa"/>
            </w:tcMar>
            <w:vAlign w:val="bottom"/>
          </w:tcPr>
          <w:p>
            <w:pPr>
              <w:pStyle w:val="TableContents"/>
              <w:bidi w:val="0"/>
              <w:spacing w:before="0" w:after="0"/>
              <w:jc w:val="left"/>
              <w:rPr>
                <w:color w:val="000000"/>
              </w:rPr>
            </w:pPr>
            <w:r>
              <w:rPr>
                <w:color w:val="000000"/>
              </w:rPr>
              <w:t>Senior Secured Note</w:t>
            </w:r>
          </w:p>
        </w:tc>
        <w:tc>
          <w:tcPr>
            <w:tcW w:w="1165" w:type="dxa"/>
            <w:tcBorders/>
            <w:shd w:fill="CCEEFF" w:val="clear"/>
            <w:tcMar>
              <w:bottom w:w="0" w:type="dxa"/>
            </w:tcMar>
            <w:vAlign w:val="bottom"/>
          </w:tcPr>
          <w:p>
            <w:pPr>
              <w:pStyle w:val="TableContents"/>
              <w:bidi w:val="0"/>
              <w:spacing w:before="0" w:after="0"/>
              <w:jc w:val="center"/>
              <w:rPr>
                <w:color w:val="000000"/>
              </w:rPr>
            </w:pPr>
            <w:r>
              <w:rPr>
                <w:color w:val="000000"/>
              </w:rPr>
              <w:t>10/11/2022</w:t>
            </w:r>
          </w:p>
        </w:tc>
        <w:tc>
          <w:tcPr>
            <w:tcW w:w="955" w:type="dxa"/>
            <w:tcBorders/>
            <w:shd w:fill="CCEEFF" w:val="clear"/>
            <w:tcMar>
              <w:bottom w:w="0" w:type="dxa"/>
            </w:tcMar>
            <w:vAlign w:val="bottom"/>
          </w:tcPr>
          <w:p>
            <w:pPr>
              <w:pStyle w:val="TableContents"/>
              <w:bidi w:val="0"/>
              <w:spacing w:before="0" w:after="0"/>
              <w:jc w:val="center"/>
              <w:rPr>
                <w:color w:val="000000"/>
              </w:rPr>
            </w:pPr>
            <w:r>
              <w:rPr>
                <w:color w:val="000000"/>
              </w:rPr>
              <w:t>12/15/2026</w:t>
            </w:r>
          </w:p>
        </w:tc>
        <w:tc>
          <w:tcPr>
            <w:tcW w:w="830" w:type="dxa"/>
            <w:tcBorders/>
            <w:shd w:fill="CCEEFF" w:val="clear"/>
            <w:tcMar>
              <w:bottom w:w="0" w:type="dxa"/>
            </w:tcMar>
            <w:vAlign w:val="bottom"/>
          </w:tcPr>
          <w:p>
            <w:pPr>
              <w:pStyle w:val="TableContents"/>
              <w:bidi w:val="0"/>
              <w:spacing w:before="0" w:after="283"/>
              <w:jc w:val="center"/>
              <w:rPr/>
            </w:pPr>
            <w:r>
              <w:rPr/>
              <w:t>Fixed interest rate 8.0%</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0"/>
              <w:jc w:val="right"/>
              <w:rPr>
                <w:color w:val="000000"/>
              </w:rPr>
            </w:pPr>
            <w:r>
              <w:rPr>
                <w:color w:val="000000"/>
              </w:rPr>
              <w:t>3</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0"/>
              <w:jc w:val="center"/>
              <w:rPr>
                <w:color w:val="000000"/>
              </w:rPr>
            </w:pPr>
            <w:r>
              <w:rPr>
                <w:color w:val="000000"/>
              </w:rPr>
              <w:t>Northeast</w:t>
            </w:r>
          </w:p>
        </w:tc>
        <w:tc>
          <w:tcPr>
            <w:tcW w:w="1085" w:type="dxa"/>
            <w:tcBorders/>
            <w:shd w:fill="CCEEFF" w:val="clear"/>
            <w:tcMar>
              <w:bottom w:w="0" w:type="dxa"/>
            </w:tcMar>
            <w:vAlign w:val="bottom"/>
          </w:tcPr>
          <w:p>
            <w:pPr>
              <w:pStyle w:val="TableContents"/>
              <w:bidi w:val="0"/>
              <w:spacing w:before="0" w:after="0"/>
              <w:jc w:val="center"/>
              <w:rPr>
                <w:color w:val="000000"/>
              </w:rPr>
            </w:pPr>
            <w:r>
              <w:rPr>
                <w:color w:val="000000"/>
              </w:rPr>
              <w:t>Yes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2" w:type="dxa"/>
            <w:tcBorders/>
            <w:shd w:fill="CCEEFF" w:val="clear"/>
            <w:tcMar>
              <w:bottom w:w="0" w:type="dxa"/>
            </w:tcMar>
            <w:vAlign w:val="bottom"/>
          </w:tcPr>
          <w:p>
            <w:pPr>
              <w:pStyle w:val="TableContents"/>
              <w:bidi w:val="0"/>
              <w:spacing w:before="0" w:after="283"/>
              <w:jc w:val="left"/>
              <w:rPr/>
            </w:pPr>
            <w:r>
              <w:rPr/>
              <w:t>$</w:t>
            </w:r>
          </w:p>
        </w:tc>
        <w:tc>
          <w:tcPr>
            <w:tcW w:w="788" w:type="dxa"/>
            <w:tcBorders/>
            <w:shd w:fill="CCEEFF" w:val="clear"/>
            <w:tcMar>
              <w:bottom w:w="0" w:type="dxa"/>
            </w:tcMar>
            <w:vAlign w:val="bottom"/>
          </w:tcPr>
          <w:p>
            <w:pPr>
              <w:pStyle w:val="TableContents"/>
              <w:bidi w:val="0"/>
              <w:spacing w:before="0" w:after="0"/>
              <w:jc w:val="right"/>
              <w:rPr>
                <w:color w:val="000000"/>
              </w:rPr>
            </w:pPr>
            <w:r>
              <w:rPr>
                <w:color w:val="000000"/>
              </w:rPr>
              <w:t>4,500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shd w:fill="CCEEFF" w:val="clear"/>
            <w:tcMar>
              <w:bottom w:w="0" w:type="dxa"/>
            </w:tcMar>
            <w:vAlign w:val="bottom"/>
          </w:tcPr>
          <w:p>
            <w:pPr>
              <w:pStyle w:val="TableContents"/>
              <w:bidi w:val="0"/>
              <w:spacing w:before="0" w:after="283"/>
              <w:jc w:val="left"/>
              <w:rPr/>
            </w:pPr>
            <w:r>
              <w:rPr/>
              <w:t>$</w:t>
            </w:r>
          </w:p>
        </w:tc>
        <w:tc>
          <w:tcPr>
            <w:tcW w:w="913" w:type="dxa"/>
            <w:tcBorders/>
            <w:shd w:fill="CCEEFF" w:val="clear"/>
            <w:tcMar>
              <w:bottom w:w="0" w:type="dxa"/>
            </w:tcMar>
            <w:vAlign w:val="bottom"/>
          </w:tcPr>
          <w:p>
            <w:pPr>
              <w:pStyle w:val="TableContents"/>
              <w:bidi w:val="0"/>
              <w:spacing w:before="0" w:after="0"/>
              <w:jc w:val="right"/>
              <w:rPr>
                <w:color w:val="000000"/>
              </w:rPr>
            </w:pPr>
            <w:r>
              <w:rPr>
                <w:color w:val="000000"/>
              </w:rPr>
              <w:t>3,989</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w:t>
            </w:r>
          </w:p>
        </w:tc>
        <w:tc>
          <w:tcPr>
            <w:tcW w:w="680" w:type="dxa"/>
            <w:tcBorders/>
            <w:shd w:fill="CCEEFF" w:val="clear"/>
            <w:tcMar>
              <w:bottom w:w="0" w:type="dxa"/>
            </w:tcMar>
            <w:vAlign w:val="bottom"/>
          </w:tcPr>
          <w:p>
            <w:pPr>
              <w:pStyle w:val="TableContents"/>
              <w:bidi w:val="0"/>
              <w:spacing w:before="0" w:after="0"/>
              <w:jc w:val="right"/>
              <w:rPr>
                <w:color w:val="000000"/>
              </w:rPr>
            </w:pPr>
            <w:r>
              <w:rPr>
                <w:color w:val="000000"/>
              </w:rPr>
              <w:t>4,140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4.84</w:t>
            </w:r>
          </w:p>
        </w:tc>
        <w:tc>
          <w:tcPr>
            <w:tcW w:w="260" w:type="dxa"/>
            <w:tcBorders/>
            <w:shd w:fill="CCEEFF" w:val="clear"/>
            <w:tcMar>
              <w:bottom w:w="0" w:type="dxa"/>
            </w:tcMar>
            <w:vAlign w:val="bottom"/>
          </w:tcPr>
          <w:p>
            <w:pPr>
              <w:pStyle w:val="TableContents"/>
              <w:bidi w:val="0"/>
              <w:spacing w:before="0" w:after="283"/>
              <w:jc w:val="left"/>
              <w:rPr/>
            </w:pPr>
            <w:r>
              <w:rPr/>
              <w:t>%</w:t>
            </w:r>
          </w:p>
        </w:tc>
      </w:tr>
      <w:tr>
        <w:trPr/>
        <w:tc>
          <w:tcPr>
            <w:tcW w:w="1310" w:type="dxa"/>
            <w:tcBorders/>
            <w:tcMar>
              <w:bottom w:w="0" w:type="dxa"/>
            </w:tcMar>
            <w:vAlign w:val="bottom"/>
          </w:tcPr>
          <w:p>
            <w:pPr>
              <w:pStyle w:val="TableContents"/>
              <w:bidi w:val="0"/>
              <w:spacing w:before="0" w:after="0"/>
              <w:ind w:left="360" w:right="0" w:hanging="0"/>
              <w:jc w:val="left"/>
              <w:rPr/>
            </w:pPr>
            <w:r>
              <w:rPr/>
              <w:t>Dreamfields Brands, Inc. (d/b/a Jeeter)</w:t>
            </w:r>
          </w:p>
        </w:tc>
        <w:tc>
          <w:tcPr>
            <w:tcW w:w="1165" w:type="dxa"/>
            <w:tcBorders/>
            <w:tcMar>
              <w:bottom w:w="0" w:type="dxa"/>
            </w:tcMar>
            <w:vAlign w:val="bottom"/>
          </w:tcPr>
          <w:p>
            <w:pPr>
              <w:pStyle w:val="TableContents"/>
              <w:bidi w:val="0"/>
              <w:spacing w:before="0" w:after="283"/>
              <w:jc w:val="left"/>
              <w:rPr/>
            </w:pPr>
            <w:r>
              <w:rPr/>
              <w:t>Senior Secured First Lien Term Loan</w:t>
            </w:r>
          </w:p>
        </w:tc>
        <w:tc>
          <w:tcPr>
            <w:tcW w:w="1165" w:type="dxa"/>
            <w:tcBorders/>
            <w:tcMar>
              <w:bottom w:w="0" w:type="dxa"/>
            </w:tcMar>
            <w:vAlign w:val="bottom"/>
          </w:tcPr>
          <w:p>
            <w:pPr>
              <w:pStyle w:val="TableContents"/>
              <w:bidi w:val="0"/>
              <w:spacing w:before="0" w:after="283"/>
              <w:jc w:val="center"/>
              <w:rPr/>
            </w:pPr>
            <w:r>
              <w:rPr/>
              <w:t>5/3/2023</w:t>
            </w:r>
          </w:p>
        </w:tc>
        <w:tc>
          <w:tcPr>
            <w:tcW w:w="955" w:type="dxa"/>
            <w:tcBorders/>
            <w:tcMar>
              <w:bottom w:w="0" w:type="dxa"/>
            </w:tcMar>
            <w:vAlign w:val="bottom"/>
          </w:tcPr>
          <w:p>
            <w:pPr>
              <w:pStyle w:val="TableContents"/>
              <w:bidi w:val="0"/>
              <w:spacing w:before="0" w:after="283"/>
              <w:jc w:val="center"/>
              <w:rPr/>
            </w:pPr>
            <w:r>
              <w:rPr/>
              <w:t>5/3/2026</w:t>
            </w:r>
          </w:p>
        </w:tc>
        <w:tc>
          <w:tcPr>
            <w:tcW w:w="830" w:type="dxa"/>
            <w:tcBorders/>
            <w:tcMar>
              <w:bottom w:w="0" w:type="dxa"/>
            </w:tcMar>
            <w:vAlign w:val="bottom"/>
          </w:tcPr>
          <w:p>
            <w:pPr>
              <w:pStyle w:val="TableContents"/>
              <w:bidi w:val="0"/>
              <w:spacing w:before="0" w:after="283"/>
              <w:jc w:val="center"/>
              <w:rPr/>
            </w:pPr>
            <w:r>
              <w:rPr/>
              <w:t>Variable interest rate PRIME</w:t>
            </w:r>
            <w:r>
              <w:rPr>
                <w:position w:val="8"/>
                <w:sz w:val="19"/>
              </w:rPr>
              <w:t>(11)</w:t>
            </w:r>
            <w:r>
              <w:rPr/>
              <w:t xml:space="preserve"> + 8.75% (7.5% PRIME Floor)</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283"/>
              <w:jc w:val="right"/>
              <w:rPr/>
            </w:pPr>
            <w:r>
              <w:rPr/>
              <w:t>3</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center"/>
              <w:rPr/>
            </w:pPr>
            <w:r>
              <w:rPr/>
              <w:t>West</w:t>
            </w:r>
          </w:p>
        </w:tc>
        <w:tc>
          <w:tcPr>
            <w:tcW w:w="1085" w:type="dxa"/>
            <w:tcBorders/>
            <w:tcMar>
              <w:bottom w:w="0" w:type="dxa"/>
            </w:tcMar>
            <w:vAlign w:val="bottom"/>
          </w:tcPr>
          <w:p>
            <w:pPr>
              <w:pStyle w:val="TableContents"/>
              <w:bidi w:val="0"/>
              <w:spacing w:before="0" w:after="283"/>
              <w:jc w:val="center"/>
              <w:rPr/>
            </w:pPr>
            <w:r>
              <w:rPr/>
              <w:t>No</w:t>
            </w:r>
          </w:p>
        </w:tc>
        <w:tc>
          <w:tcPr>
            <w:tcW w:w="60" w:type="dxa"/>
            <w:tcBorders/>
            <w:tcMar>
              <w:bottom w:w="0" w:type="dxa"/>
            </w:tcMar>
            <w:vAlign w:val="bottom"/>
          </w:tcPr>
          <w:p>
            <w:pPr>
              <w:pStyle w:val="TableContents"/>
              <w:bidi w:val="0"/>
              <w:spacing w:before="0" w:after="283"/>
              <w:jc w:val="right"/>
              <w:rPr/>
            </w:pPr>
            <w:r>
              <w:rPr/>
              <w:t> </w:t>
            </w:r>
          </w:p>
        </w:tc>
        <w:tc>
          <w:tcPr>
            <w:tcW w:w="162" w:type="dxa"/>
            <w:tcBorders/>
            <w:tcMar>
              <w:bottom w:w="0" w:type="dxa"/>
            </w:tcMar>
            <w:vAlign w:val="bottom"/>
          </w:tcPr>
          <w:p>
            <w:pPr>
              <w:pStyle w:val="TableContents"/>
              <w:bidi w:val="0"/>
              <w:spacing w:before="0" w:after="283"/>
              <w:jc w:val="left"/>
              <w:rPr/>
            </w:pPr>
            <w:r>
              <w:rPr/>
              <w:t> </w:t>
            </w:r>
          </w:p>
        </w:tc>
        <w:tc>
          <w:tcPr>
            <w:tcW w:w="788" w:type="dxa"/>
            <w:tcBorders/>
            <w:tcMar>
              <w:bottom w:w="0" w:type="dxa"/>
            </w:tcMar>
            <w:vAlign w:val="bottom"/>
          </w:tcPr>
          <w:p>
            <w:pPr>
              <w:pStyle w:val="TableContents"/>
              <w:bidi w:val="0"/>
              <w:spacing w:before="0" w:after="283"/>
              <w:jc w:val="right"/>
              <w:rPr/>
            </w:pPr>
            <w:r>
              <w:rPr/>
              <w:t>4,320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tcMar>
              <w:bottom w:w="0" w:type="dxa"/>
            </w:tcMar>
            <w:vAlign w:val="bottom"/>
          </w:tcPr>
          <w:p>
            <w:pPr>
              <w:pStyle w:val="TableContents"/>
              <w:bidi w:val="0"/>
              <w:spacing w:before="0" w:after="283"/>
              <w:jc w:val="left"/>
              <w:rPr/>
            </w:pPr>
            <w:r>
              <w:rPr/>
              <w:t> </w:t>
            </w:r>
          </w:p>
        </w:tc>
        <w:tc>
          <w:tcPr>
            <w:tcW w:w="913" w:type="dxa"/>
            <w:tcBorders/>
            <w:tcMar>
              <w:bottom w:w="0" w:type="dxa"/>
            </w:tcMar>
            <w:vAlign w:val="bottom"/>
          </w:tcPr>
          <w:p>
            <w:pPr>
              <w:pStyle w:val="TableContents"/>
              <w:bidi w:val="0"/>
              <w:spacing w:before="0" w:after="283"/>
              <w:jc w:val="right"/>
              <w:rPr/>
            </w:pPr>
            <w:r>
              <w:rPr/>
              <w:t>4,229</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283"/>
              <w:jc w:val="right"/>
              <w:rPr/>
            </w:pPr>
            <w:r>
              <w:rPr/>
              <w:t>4,320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283"/>
              <w:jc w:val="right"/>
              <w:rPr/>
            </w:pPr>
            <w:r>
              <w:rPr/>
              <w:t>5.05</w:t>
            </w:r>
          </w:p>
        </w:tc>
        <w:tc>
          <w:tcPr>
            <w:tcW w:w="260" w:type="dxa"/>
            <w:tcBorders/>
            <w:tcMar>
              <w:bottom w:w="0" w:type="dxa"/>
            </w:tcMar>
            <w:vAlign w:val="bottom"/>
          </w:tcPr>
          <w:p>
            <w:pPr>
              <w:pStyle w:val="TableContents"/>
              <w:bidi w:val="0"/>
              <w:spacing w:before="0" w:after="283"/>
              <w:jc w:val="left"/>
              <w:rPr/>
            </w:pPr>
            <w:r>
              <w:rPr/>
              <w:t> </w:t>
            </w:r>
          </w:p>
        </w:tc>
      </w:tr>
      <w:tr>
        <w:trPr/>
        <w:tc>
          <w:tcPr>
            <w:tcW w:w="1310" w:type="dxa"/>
            <w:tcBorders/>
            <w:shd w:fill="CCEEFF" w:val="clear"/>
            <w:tcMar>
              <w:bottom w:w="0" w:type="dxa"/>
            </w:tcMar>
            <w:vAlign w:val="bottom"/>
          </w:tcPr>
          <w:p>
            <w:pPr>
              <w:pStyle w:val="TableContents"/>
              <w:bidi w:val="0"/>
              <w:spacing w:before="0" w:after="0"/>
              <w:ind w:left="360" w:right="0" w:hanging="0"/>
              <w:jc w:val="left"/>
              <w:rPr>
                <w:color w:val="000000"/>
              </w:rPr>
            </w:pPr>
            <w:r>
              <w:rPr>
                <w:color w:val="000000"/>
              </w:rPr>
              <w:t>PharmaCann, Inc.</w:t>
            </w:r>
          </w:p>
        </w:tc>
        <w:tc>
          <w:tcPr>
            <w:tcW w:w="1165" w:type="dxa"/>
            <w:tcBorders/>
            <w:shd w:fill="CCEEFF" w:val="clear"/>
            <w:tcMar>
              <w:bottom w:w="0" w:type="dxa"/>
            </w:tcMar>
            <w:vAlign w:val="bottom"/>
          </w:tcPr>
          <w:p>
            <w:pPr>
              <w:pStyle w:val="TableContents"/>
              <w:bidi w:val="0"/>
              <w:spacing w:before="0" w:after="0"/>
              <w:jc w:val="left"/>
              <w:rPr>
                <w:color w:val="000000"/>
              </w:rPr>
            </w:pPr>
            <w:r>
              <w:rPr>
                <w:color w:val="000000"/>
              </w:rPr>
              <w:t>Senior Secured Note</w:t>
            </w:r>
          </w:p>
        </w:tc>
        <w:tc>
          <w:tcPr>
            <w:tcW w:w="1165" w:type="dxa"/>
            <w:tcBorders/>
            <w:shd w:fill="CCEEFF" w:val="clear"/>
            <w:tcMar>
              <w:bottom w:w="0" w:type="dxa"/>
            </w:tcMar>
            <w:vAlign w:val="bottom"/>
          </w:tcPr>
          <w:p>
            <w:pPr>
              <w:pStyle w:val="TableContents"/>
              <w:bidi w:val="0"/>
              <w:spacing w:before="0" w:after="0"/>
              <w:jc w:val="center"/>
              <w:rPr>
                <w:color w:val="000000"/>
              </w:rPr>
            </w:pPr>
            <w:r>
              <w:rPr>
                <w:color w:val="000000"/>
              </w:rPr>
              <w:t>6/30/2022</w:t>
            </w:r>
          </w:p>
        </w:tc>
        <w:tc>
          <w:tcPr>
            <w:tcW w:w="955" w:type="dxa"/>
            <w:tcBorders/>
            <w:shd w:fill="CCEEFF" w:val="clear"/>
            <w:tcMar>
              <w:bottom w:w="0" w:type="dxa"/>
            </w:tcMar>
            <w:vAlign w:val="bottom"/>
          </w:tcPr>
          <w:p>
            <w:pPr>
              <w:pStyle w:val="TableContents"/>
              <w:bidi w:val="0"/>
              <w:spacing w:before="0" w:after="0"/>
              <w:jc w:val="center"/>
              <w:rPr>
                <w:color w:val="000000"/>
              </w:rPr>
            </w:pPr>
            <w:r>
              <w:rPr>
                <w:color w:val="000000"/>
              </w:rPr>
              <w:t>6/30/2025</w:t>
            </w:r>
          </w:p>
        </w:tc>
        <w:tc>
          <w:tcPr>
            <w:tcW w:w="830" w:type="dxa"/>
            <w:tcBorders/>
            <w:shd w:fill="CCEEFF" w:val="clear"/>
            <w:tcMar>
              <w:bottom w:w="0" w:type="dxa"/>
            </w:tcMar>
            <w:vAlign w:val="bottom"/>
          </w:tcPr>
          <w:p>
            <w:pPr>
              <w:pStyle w:val="TableContents"/>
              <w:bidi w:val="0"/>
              <w:spacing w:before="0" w:after="0"/>
              <w:jc w:val="center"/>
              <w:rPr>
                <w:color w:val="000000"/>
              </w:rPr>
            </w:pPr>
            <w:r>
              <w:rPr>
                <w:color w:val="000000"/>
              </w:rPr>
              <w:t>Fixed interest rate 12.0%</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0"/>
              <w:jc w:val="right"/>
              <w:rPr>
                <w:color w:val="000000"/>
              </w:rPr>
            </w:pPr>
            <w:r>
              <w:rPr>
                <w:color w:val="000000"/>
              </w:rPr>
              <w:t>3</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0"/>
              <w:jc w:val="center"/>
              <w:rPr>
                <w:color w:val="000000"/>
              </w:rPr>
            </w:pPr>
            <w:r>
              <w:rPr>
                <w:color w:val="000000"/>
              </w:rPr>
              <w:t>Midwest</w:t>
            </w:r>
          </w:p>
        </w:tc>
        <w:tc>
          <w:tcPr>
            <w:tcW w:w="1085" w:type="dxa"/>
            <w:tcBorders/>
            <w:shd w:fill="CCEEFF" w:val="clear"/>
            <w:tcMar>
              <w:bottom w:w="0" w:type="dxa"/>
            </w:tcMar>
            <w:vAlign w:val="bottom"/>
          </w:tcPr>
          <w:p>
            <w:pPr>
              <w:pStyle w:val="TableContents"/>
              <w:bidi w:val="0"/>
              <w:spacing w:before="0" w:after="0"/>
              <w:jc w:val="center"/>
              <w:rPr>
                <w:color w:val="000000"/>
              </w:rPr>
            </w:pPr>
            <w:r>
              <w:rPr>
                <w:color w:val="000000"/>
              </w:rPr>
              <w:t>No</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2" w:type="dxa"/>
            <w:tcBorders/>
            <w:shd w:fill="CCEEFF" w:val="clear"/>
            <w:tcMar>
              <w:bottom w:w="0" w:type="dxa"/>
            </w:tcMar>
            <w:vAlign w:val="bottom"/>
          </w:tcPr>
          <w:p>
            <w:pPr>
              <w:pStyle w:val="TableContents"/>
              <w:bidi w:val="0"/>
              <w:spacing w:before="0" w:after="283"/>
              <w:jc w:val="left"/>
              <w:rPr/>
            </w:pPr>
            <w:r>
              <w:rPr/>
              <w:t> </w:t>
            </w:r>
          </w:p>
        </w:tc>
        <w:tc>
          <w:tcPr>
            <w:tcW w:w="788" w:type="dxa"/>
            <w:tcBorders/>
            <w:shd w:fill="CCEEFF" w:val="clear"/>
            <w:tcMar>
              <w:bottom w:w="0" w:type="dxa"/>
            </w:tcMar>
            <w:vAlign w:val="bottom"/>
          </w:tcPr>
          <w:p>
            <w:pPr>
              <w:pStyle w:val="TableContents"/>
              <w:bidi w:val="0"/>
              <w:spacing w:before="0" w:after="0"/>
              <w:jc w:val="right"/>
              <w:rPr>
                <w:color w:val="000000"/>
              </w:rPr>
            </w:pPr>
            <w:r>
              <w:rPr>
                <w:color w:val="000000"/>
              </w:rPr>
              <w:t>4,250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shd w:fill="CCEEFF" w:val="clear"/>
            <w:tcMar>
              <w:bottom w:w="0" w:type="dxa"/>
            </w:tcMar>
            <w:vAlign w:val="bottom"/>
          </w:tcPr>
          <w:p>
            <w:pPr>
              <w:pStyle w:val="TableContents"/>
              <w:bidi w:val="0"/>
              <w:spacing w:before="0" w:after="283"/>
              <w:jc w:val="left"/>
              <w:rPr/>
            </w:pPr>
            <w:r>
              <w:rPr/>
              <w:t> </w:t>
            </w:r>
          </w:p>
        </w:tc>
        <w:tc>
          <w:tcPr>
            <w:tcW w:w="913" w:type="dxa"/>
            <w:tcBorders/>
            <w:shd w:fill="CCEEFF" w:val="clear"/>
            <w:tcMar>
              <w:bottom w:w="0" w:type="dxa"/>
            </w:tcMar>
            <w:vAlign w:val="bottom"/>
          </w:tcPr>
          <w:p>
            <w:pPr>
              <w:pStyle w:val="TableContents"/>
              <w:bidi w:val="0"/>
              <w:spacing w:before="0" w:after="0"/>
              <w:jc w:val="right"/>
              <w:rPr>
                <w:color w:val="000000"/>
              </w:rPr>
            </w:pPr>
            <w:r>
              <w:rPr>
                <w:color w:val="000000"/>
              </w:rPr>
              <w:t>4,109</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0"/>
              <w:jc w:val="right"/>
              <w:rPr>
                <w:color w:val="000000"/>
              </w:rPr>
            </w:pPr>
            <w:r>
              <w:rPr>
                <w:color w:val="000000"/>
              </w:rPr>
              <w:t>3,974</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0"/>
              <w:jc w:val="right"/>
              <w:rPr>
                <w:color w:val="000000"/>
              </w:rPr>
            </w:pPr>
            <w:r>
              <w:rPr>
                <w:color w:val="000000"/>
              </w:rPr>
              <w:t>4.65</w:t>
            </w:r>
          </w:p>
        </w:tc>
        <w:tc>
          <w:tcPr>
            <w:tcW w:w="260" w:type="dxa"/>
            <w:tcBorders/>
            <w:shd w:fill="CCEEFF" w:val="clear"/>
            <w:tcMar>
              <w:bottom w:w="0" w:type="dxa"/>
            </w:tcMar>
            <w:vAlign w:val="bottom"/>
          </w:tcPr>
          <w:p>
            <w:pPr>
              <w:pStyle w:val="TableContents"/>
              <w:bidi w:val="0"/>
              <w:spacing w:before="0" w:after="283"/>
              <w:jc w:val="left"/>
              <w:rPr>
                <w:sz w:val="4"/>
                <w:szCs w:val="4"/>
              </w:rPr>
            </w:pPr>
            <w:r>
              <w:rPr>
                <w:sz w:val="4"/>
                <w:szCs w:val="4"/>
              </w:rPr>
            </w:r>
          </w:p>
        </w:tc>
      </w:tr>
      <w:tr>
        <w:trPr/>
        <w:tc>
          <w:tcPr>
            <w:tcW w:w="1310" w:type="dxa"/>
            <w:tcBorders/>
            <w:tcMar>
              <w:bottom w:w="0" w:type="dxa"/>
            </w:tcMar>
            <w:vAlign w:val="bottom"/>
          </w:tcPr>
          <w:p>
            <w:pPr>
              <w:pStyle w:val="TableContents"/>
              <w:bidi w:val="0"/>
              <w:spacing w:before="0" w:after="0"/>
              <w:ind w:left="360" w:right="0" w:hanging="0"/>
              <w:jc w:val="left"/>
              <w:rPr>
                <w:color w:val="000000"/>
              </w:rPr>
            </w:pPr>
            <w:r>
              <w:rPr>
                <w:color w:val="000000"/>
              </w:rPr>
              <w:t>STIIIZY, Inc. (f/k/a Shryne Group Inc.)</w:t>
            </w:r>
          </w:p>
        </w:tc>
        <w:tc>
          <w:tcPr>
            <w:tcW w:w="1165" w:type="dxa"/>
            <w:tcBorders/>
            <w:tcMar>
              <w:bottom w:w="0" w:type="dxa"/>
            </w:tcMar>
            <w:vAlign w:val="bottom"/>
          </w:tcPr>
          <w:p>
            <w:pPr>
              <w:pStyle w:val="TableContents"/>
              <w:bidi w:val="0"/>
              <w:spacing w:before="0" w:after="0"/>
              <w:jc w:val="left"/>
              <w:rPr>
                <w:color w:val="000000"/>
              </w:rPr>
            </w:pPr>
            <w:r>
              <w:rPr>
                <w:color w:val="000000"/>
              </w:rPr>
              <w:t>Senior Secured First Lien Term Loan</w:t>
            </w:r>
          </w:p>
        </w:tc>
        <w:tc>
          <w:tcPr>
            <w:tcW w:w="1165" w:type="dxa"/>
            <w:tcBorders/>
            <w:tcMar>
              <w:bottom w:w="0" w:type="dxa"/>
            </w:tcMar>
            <w:vAlign w:val="bottom"/>
          </w:tcPr>
          <w:p>
            <w:pPr>
              <w:pStyle w:val="TableContents"/>
              <w:bidi w:val="0"/>
              <w:spacing w:before="0" w:after="0"/>
              <w:jc w:val="center"/>
              <w:rPr>
                <w:color w:val="000000"/>
              </w:rPr>
            </w:pPr>
            <w:r>
              <w:rPr>
                <w:color w:val="000000"/>
              </w:rPr>
              <w:t>5/26/2022</w:t>
            </w:r>
          </w:p>
        </w:tc>
        <w:tc>
          <w:tcPr>
            <w:tcW w:w="955" w:type="dxa"/>
            <w:tcBorders/>
            <w:tcMar>
              <w:bottom w:w="0" w:type="dxa"/>
            </w:tcMar>
            <w:vAlign w:val="bottom"/>
          </w:tcPr>
          <w:p>
            <w:pPr>
              <w:pStyle w:val="TableContents"/>
              <w:bidi w:val="0"/>
              <w:spacing w:before="0" w:after="0"/>
              <w:jc w:val="center"/>
              <w:rPr>
                <w:color w:val="000000"/>
              </w:rPr>
            </w:pPr>
            <w:r>
              <w:rPr>
                <w:color w:val="000000"/>
              </w:rPr>
              <w:t>5/26/2026</w:t>
            </w:r>
          </w:p>
        </w:tc>
        <w:tc>
          <w:tcPr>
            <w:tcW w:w="830" w:type="dxa"/>
            <w:tcBorders/>
            <w:tcMar>
              <w:bottom w:w="0" w:type="dxa"/>
            </w:tcMar>
            <w:vAlign w:val="bottom"/>
          </w:tcPr>
          <w:p>
            <w:pPr>
              <w:pStyle w:val="TableContents"/>
              <w:bidi w:val="0"/>
              <w:spacing w:before="0" w:after="0"/>
              <w:jc w:val="center"/>
              <w:rPr>
                <w:color w:val="000000"/>
              </w:rPr>
            </w:pPr>
            <w:r>
              <w:rPr>
                <w:color w:val="000000"/>
              </w:rPr>
              <w:t>Variable interest rate PRIME</w:t>
            </w:r>
            <w:r>
              <w:rPr>
                <w:color w:val="000000"/>
                <w:position w:val="8"/>
                <w:sz w:val="19"/>
              </w:rPr>
              <w:t>(11)</w:t>
            </w:r>
            <w:r>
              <w:rPr>
                <w:color w:val="000000"/>
              </w:rPr>
              <w:t xml:space="preserve"> + 8.5%</w:t>
              <w:br/>
              <w:t>(4.0% PRIME Floor) “1.0% PIK”</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0"/>
              <w:jc w:val="right"/>
              <w:rPr>
                <w:color w:val="000000"/>
              </w:rPr>
            </w:pPr>
            <w:r>
              <w:rPr>
                <w:color w:val="000000"/>
              </w:rPr>
              <w:t>3</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0"/>
              <w:jc w:val="center"/>
              <w:rPr>
                <w:color w:val="000000"/>
              </w:rPr>
            </w:pPr>
            <w:r>
              <w:rPr>
                <w:color w:val="000000"/>
              </w:rPr>
              <w:t>West</w:t>
            </w:r>
          </w:p>
        </w:tc>
        <w:tc>
          <w:tcPr>
            <w:tcW w:w="1085" w:type="dxa"/>
            <w:tcBorders/>
            <w:tcMar>
              <w:bottom w:w="0" w:type="dxa"/>
            </w:tcMar>
            <w:vAlign w:val="bottom"/>
          </w:tcPr>
          <w:p>
            <w:pPr>
              <w:pStyle w:val="TableContents"/>
              <w:bidi w:val="0"/>
              <w:spacing w:before="0" w:after="0"/>
              <w:jc w:val="center"/>
              <w:rPr>
                <w:color w:val="000000"/>
              </w:rPr>
            </w:pPr>
            <w:r>
              <w:rPr>
                <w:color w:val="000000"/>
              </w:rPr>
              <w:t>No</w:t>
            </w:r>
          </w:p>
        </w:tc>
        <w:tc>
          <w:tcPr>
            <w:tcW w:w="60" w:type="dxa"/>
            <w:tcBorders/>
            <w:tcMar>
              <w:bottom w:w="0" w:type="dxa"/>
            </w:tcMar>
            <w:vAlign w:val="bottom"/>
          </w:tcPr>
          <w:p>
            <w:pPr>
              <w:pStyle w:val="TableContents"/>
              <w:bidi w:val="0"/>
              <w:spacing w:before="0" w:after="283"/>
              <w:jc w:val="right"/>
              <w:rPr/>
            </w:pPr>
            <w:r>
              <w:rPr/>
              <w:t> </w:t>
            </w:r>
          </w:p>
        </w:tc>
        <w:tc>
          <w:tcPr>
            <w:tcW w:w="162" w:type="dxa"/>
            <w:tcBorders/>
            <w:tcMar>
              <w:bottom w:w="0" w:type="dxa"/>
            </w:tcMar>
            <w:vAlign w:val="bottom"/>
          </w:tcPr>
          <w:p>
            <w:pPr>
              <w:pStyle w:val="TableContents"/>
              <w:bidi w:val="0"/>
              <w:spacing w:before="0" w:after="283"/>
              <w:jc w:val="left"/>
              <w:rPr/>
            </w:pPr>
            <w:r>
              <w:rPr/>
              <w:t> </w:t>
            </w:r>
          </w:p>
        </w:tc>
        <w:tc>
          <w:tcPr>
            <w:tcW w:w="788" w:type="dxa"/>
            <w:tcBorders/>
            <w:tcMar>
              <w:bottom w:w="0" w:type="dxa"/>
            </w:tcMar>
            <w:vAlign w:val="bottom"/>
          </w:tcPr>
          <w:p>
            <w:pPr>
              <w:pStyle w:val="TableContents"/>
              <w:bidi w:val="0"/>
              <w:spacing w:before="0" w:after="0"/>
              <w:jc w:val="right"/>
              <w:rPr>
                <w:color w:val="000000"/>
              </w:rPr>
            </w:pPr>
            <w:r>
              <w:rPr>
                <w:color w:val="000000"/>
              </w:rPr>
              <w:t>21,065</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tcMar>
              <w:bottom w:w="0" w:type="dxa"/>
            </w:tcMar>
            <w:vAlign w:val="bottom"/>
          </w:tcPr>
          <w:p>
            <w:pPr>
              <w:pStyle w:val="TableContents"/>
              <w:bidi w:val="0"/>
              <w:spacing w:before="0" w:after="283"/>
              <w:jc w:val="left"/>
              <w:rPr/>
            </w:pPr>
            <w:r>
              <w:rPr/>
              <w:t> </w:t>
            </w:r>
          </w:p>
        </w:tc>
        <w:tc>
          <w:tcPr>
            <w:tcW w:w="913" w:type="dxa"/>
            <w:tcBorders/>
            <w:tcMar>
              <w:bottom w:w="0" w:type="dxa"/>
            </w:tcMar>
            <w:vAlign w:val="bottom"/>
          </w:tcPr>
          <w:p>
            <w:pPr>
              <w:pStyle w:val="TableContents"/>
              <w:bidi w:val="0"/>
              <w:spacing w:before="0" w:after="0"/>
              <w:jc w:val="right"/>
              <w:rPr>
                <w:color w:val="000000"/>
              </w:rPr>
            </w:pPr>
            <w:r>
              <w:rPr>
                <w:color w:val="000000"/>
              </w:rPr>
              <w:t>20,682</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0"/>
              <w:jc w:val="right"/>
              <w:rPr>
                <w:color w:val="000000"/>
              </w:rPr>
            </w:pPr>
            <w:r>
              <w:rPr>
                <w:color w:val="000000"/>
              </w:rPr>
              <w:t>20,749</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0"/>
              <w:jc w:val="right"/>
              <w:rPr>
                <w:color w:val="000000"/>
              </w:rPr>
            </w:pPr>
            <w:r>
              <w:rPr>
                <w:color w:val="000000"/>
              </w:rPr>
              <w:t>24.25</w:t>
            </w:r>
          </w:p>
        </w:tc>
        <w:tc>
          <w:tcPr>
            <w:tcW w:w="260" w:type="dxa"/>
            <w:tcBorders/>
            <w:tcMar>
              <w:bottom w:w="0" w:type="dxa"/>
            </w:tcMar>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Mar>
              <w:bottom w:w="0" w:type="dxa"/>
            </w:tcMar>
            <w:vAlign w:val="bottom"/>
          </w:tcPr>
          <w:p>
            <w:pPr>
              <w:pStyle w:val="TableContents"/>
              <w:bidi w:val="0"/>
              <w:spacing w:before="0" w:after="0"/>
              <w:ind w:left="360" w:right="0" w:hanging="0"/>
              <w:jc w:val="left"/>
              <w:rPr>
                <w:color w:val="000000"/>
              </w:rPr>
            </w:pPr>
            <w:r>
              <w:rPr>
                <w:color w:val="000000"/>
              </w:rPr>
              <w:t>Verano Holdings Corp.</w:t>
            </w:r>
          </w:p>
        </w:tc>
        <w:tc>
          <w:tcPr>
            <w:tcW w:w="1165" w:type="dxa"/>
            <w:tcBorders/>
            <w:shd w:fill="CCEEFF" w:val="clear"/>
            <w:tcMar>
              <w:bottom w:w="0" w:type="dxa"/>
            </w:tcMar>
            <w:vAlign w:val="bottom"/>
          </w:tcPr>
          <w:p>
            <w:pPr>
              <w:pStyle w:val="TableContents"/>
              <w:bidi w:val="0"/>
              <w:spacing w:before="0" w:after="0"/>
              <w:jc w:val="left"/>
              <w:rPr>
                <w:color w:val="000000"/>
              </w:rPr>
            </w:pPr>
            <w:r>
              <w:rPr>
                <w:color w:val="000000"/>
              </w:rPr>
              <w:t>Senior Secured First Lien Term Loan</w:t>
            </w:r>
          </w:p>
        </w:tc>
        <w:tc>
          <w:tcPr>
            <w:tcW w:w="1165" w:type="dxa"/>
            <w:tcBorders/>
            <w:shd w:fill="CCEEFF" w:val="clear"/>
            <w:tcMar>
              <w:bottom w:w="0" w:type="dxa"/>
            </w:tcMar>
            <w:vAlign w:val="bottom"/>
          </w:tcPr>
          <w:p>
            <w:pPr>
              <w:pStyle w:val="TableContents"/>
              <w:bidi w:val="0"/>
              <w:spacing w:before="0" w:after="0"/>
              <w:jc w:val="center"/>
              <w:rPr>
                <w:color w:val="000000"/>
              </w:rPr>
            </w:pPr>
            <w:r>
              <w:rPr>
                <w:color w:val="000000"/>
              </w:rPr>
              <w:t>10/27/2022</w:t>
            </w:r>
          </w:p>
        </w:tc>
        <w:tc>
          <w:tcPr>
            <w:tcW w:w="955" w:type="dxa"/>
            <w:tcBorders/>
            <w:shd w:fill="CCEEFF" w:val="clear"/>
            <w:tcMar>
              <w:bottom w:w="0" w:type="dxa"/>
            </w:tcMar>
            <w:vAlign w:val="bottom"/>
          </w:tcPr>
          <w:p>
            <w:pPr>
              <w:pStyle w:val="TableContents"/>
              <w:bidi w:val="0"/>
              <w:spacing w:before="0" w:after="0"/>
              <w:jc w:val="center"/>
              <w:rPr>
                <w:color w:val="000000"/>
              </w:rPr>
            </w:pPr>
            <w:r>
              <w:rPr>
                <w:color w:val="000000"/>
              </w:rPr>
              <w:t>10/30/2026</w:t>
            </w:r>
          </w:p>
        </w:tc>
        <w:tc>
          <w:tcPr>
            <w:tcW w:w="830" w:type="dxa"/>
            <w:tcBorders/>
            <w:shd w:fill="CCEEFF" w:val="clear"/>
            <w:tcMar>
              <w:bottom w:w="0" w:type="dxa"/>
            </w:tcMar>
            <w:vAlign w:val="bottom"/>
          </w:tcPr>
          <w:p>
            <w:pPr>
              <w:pStyle w:val="TableContents"/>
              <w:bidi w:val="0"/>
              <w:spacing w:before="0" w:after="0"/>
              <w:jc w:val="center"/>
              <w:rPr>
                <w:color w:val="000000"/>
              </w:rPr>
            </w:pPr>
            <w:r>
              <w:rPr>
                <w:color w:val="000000"/>
              </w:rPr>
              <w:t>Variable interest rate PRIME</w:t>
            </w:r>
            <w:r>
              <w:rPr>
                <w:color w:val="000000"/>
                <w:position w:val="8"/>
                <w:sz w:val="19"/>
              </w:rPr>
              <w:t>(11)</w:t>
            </w:r>
            <w:r>
              <w:rPr>
                <w:color w:val="000000"/>
              </w:rPr>
              <w:t xml:space="preserve"> + 6.5%</w:t>
              <w:br/>
              <w:t>(6.25% PRIME Floor)</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0"/>
              <w:jc w:val="right"/>
              <w:rPr>
                <w:color w:val="000000"/>
              </w:rPr>
            </w:pPr>
            <w:r>
              <w:rPr>
                <w:color w:val="000000"/>
              </w:rPr>
              <w:t>3</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0"/>
              <w:jc w:val="center"/>
              <w:rPr>
                <w:color w:val="000000"/>
              </w:rPr>
            </w:pPr>
            <w:r>
              <w:rPr>
                <w:color w:val="000000"/>
              </w:rPr>
              <w:t>Midwest</w:t>
            </w:r>
          </w:p>
        </w:tc>
        <w:tc>
          <w:tcPr>
            <w:tcW w:w="1085" w:type="dxa"/>
            <w:tcBorders/>
            <w:shd w:fill="CCEEFF" w:val="clear"/>
            <w:tcMar>
              <w:bottom w:w="0" w:type="dxa"/>
            </w:tcMar>
            <w:vAlign w:val="bottom"/>
          </w:tcPr>
          <w:p>
            <w:pPr>
              <w:pStyle w:val="TableContents"/>
              <w:bidi w:val="0"/>
              <w:spacing w:before="0" w:after="0"/>
              <w:jc w:val="center"/>
              <w:rPr>
                <w:color w:val="000000"/>
              </w:rPr>
            </w:pPr>
            <w:r>
              <w:rPr>
                <w:color w:val="000000"/>
              </w:rPr>
              <w:t>Yes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2" w:type="dxa"/>
            <w:tcBorders>
              <w:bottom w:val="single" w:sz="12" w:space="0" w:color="000000"/>
            </w:tcBorders>
            <w:shd w:fill="CCEEFF" w:val="clear"/>
            <w:vAlign w:val="bottom"/>
          </w:tcPr>
          <w:p>
            <w:pPr>
              <w:pStyle w:val="TableContents"/>
              <w:bidi w:val="0"/>
              <w:spacing w:before="0" w:after="283"/>
              <w:jc w:val="left"/>
              <w:rPr/>
            </w:pPr>
            <w:r>
              <w:rPr/>
              <w:t> </w:t>
            </w:r>
          </w:p>
        </w:tc>
        <w:tc>
          <w:tcPr>
            <w:tcW w:w="788"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20,937</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shd w:fill="CCEEFF" w:val="clear"/>
            <w:vAlign w:val="bottom"/>
          </w:tcPr>
          <w:p>
            <w:pPr>
              <w:pStyle w:val="TableContents"/>
              <w:bidi w:val="0"/>
              <w:spacing w:before="0" w:after="283"/>
              <w:jc w:val="left"/>
              <w:rPr/>
            </w:pPr>
            <w:r>
              <w:rPr/>
              <w:t> </w:t>
            </w:r>
          </w:p>
        </w:tc>
        <w:tc>
          <w:tcPr>
            <w:tcW w:w="913"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20,462</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20,937</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24.47</w:t>
            </w:r>
          </w:p>
        </w:tc>
        <w:tc>
          <w:tcPr>
            <w:tcW w:w="260" w:type="dxa"/>
            <w:tcBorders/>
            <w:shd w:fill="CCEEFF" w:val="clear"/>
            <w:tcMar>
              <w:bottom w:w="0" w:type="dxa"/>
            </w:tcMar>
            <w:vAlign w:val="bottom"/>
          </w:tcPr>
          <w:p>
            <w:pPr>
              <w:pStyle w:val="TableContents"/>
              <w:bidi w:val="0"/>
              <w:spacing w:before="0" w:after="283"/>
              <w:jc w:val="left"/>
              <w:rPr>
                <w:sz w:val="4"/>
                <w:szCs w:val="4"/>
              </w:rPr>
            </w:pPr>
            <w:r>
              <w:rPr>
                <w:sz w:val="4"/>
                <w:szCs w:val="4"/>
              </w:rPr>
            </w:r>
          </w:p>
        </w:tc>
      </w:tr>
      <w:tr>
        <w:trPr/>
        <w:tc>
          <w:tcPr>
            <w:tcW w:w="1310" w:type="dxa"/>
            <w:tcBorders/>
            <w:tcMar>
              <w:bottom w:w="0" w:type="dxa"/>
            </w:tcMar>
            <w:vAlign w:val="bottom"/>
          </w:tcPr>
          <w:p>
            <w:pPr>
              <w:pStyle w:val="TableContents"/>
              <w:bidi w:val="0"/>
              <w:spacing w:before="0" w:after="0"/>
              <w:ind w:left="180" w:right="0" w:hanging="180"/>
              <w:jc w:val="left"/>
              <w:rPr>
                <w:color w:val="000000"/>
              </w:rPr>
            </w:pPr>
            <w:r>
              <w:rPr>
                <w:color w:val="000000"/>
              </w:rPr>
              <w:t> </w:t>
            </w:r>
          </w:p>
        </w:tc>
        <w:tc>
          <w:tcPr>
            <w:tcW w:w="1165" w:type="dxa"/>
            <w:tcBorders/>
            <w:tcMar>
              <w:bottom w:w="0" w:type="dxa"/>
            </w:tcMar>
            <w:vAlign w:val="bottom"/>
          </w:tcPr>
          <w:p>
            <w:pPr>
              <w:pStyle w:val="TableContents"/>
              <w:bidi w:val="0"/>
              <w:spacing w:before="0" w:after="0"/>
              <w:jc w:val="center"/>
              <w:rPr>
                <w:color w:val="000000"/>
              </w:rPr>
            </w:pPr>
            <w:r>
              <w:rPr>
                <w:color w:val="000000"/>
              </w:rPr>
              <w:t> </w:t>
            </w:r>
          </w:p>
        </w:tc>
        <w:tc>
          <w:tcPr>
            <w:tcW w:w="1165" w:type="dxa"/>
            <w:tcBorders/>
            <w:tcMar>
              <w:bottom w:w="0" w:type="dxa"/>
            </w:tcMar>
            <w:vAlign w:val="bottom"/>
          </w:tcPr>
          <w:p>
            <w:pPr>
              <w:pStyle w:val="TableContents"/>
              <w:bidi w:val="0"/>
              <w:spacing w:before="0" w:after="0"/>
              <w:jc w:val="center"/>
              <w:rPr>
                <w:color w:val="000000"/>
              </w:rPr>
            </w:pPr>
            <w:r>
              <w:rPr>
                <w:color w:val="000000"/>
              </w:rPr>
              <w:t> </w:t>
            </w:r>
          </w:p>
        </w:tc>
        <w:tc>
          <w:tcPr>
            <w:tcW w:w="955" w:type="dxa"/>
            <w:tcBorders/>
            <w:tcMar>
              <w:bottom w:w="0" w:type="dxa"/>
            </w:tcMar>
            <w:vAlign w:val="bottom"/>
          </w:tcPr>
          <w:p>
            <w:pPr>
              <w:pStyle w:val="TableContents"/>
              <w:bidi w:val="0"/>
              <w:spacing w:before="0" w:after="0"/>
              <w:jc w:val="center"/>
              <w:rPr>
                <w:color w:val="000000"/>
              </w:rPr>
            </w:pPr>
            <w:r>
              <w:rPr>
                <w:color w:val="000000"/>
              </w:rPr>
              <w:t> </w:t>
            </w:r>
          </w:p>
        </w:tc>
        <w:tc>
          <w:tcPr>
            <w:tcW w:w="830" w:type="dxa"/>
            <w:tcBorders/>
            <w:tcMar>
              <w:bottom w:w="0" w:type="dxa"/>
            </w:tcMar>
            <w:vAlign w:val="bottom"/>
          </w:tcPr>
          <w:p>
            <w:pPr>
              <w:pStyle w:val="TableContents"/>
              <w:bidi w:val="0"/>
              <w:spacing w:before="0" w:after="0"/>
              <w:jc w:val="center"/>
              <w:rPr>
                <w:color w:val="000000"/>
              </w:rPr>
            </w:pPr>
            <w:r>
              <w:rPr>
                <w:color w:val="000000"/>
              </w:rPr>
              <w:t> </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0"/>
              <w:jc w:val="center"/>
              <w:rPr>
                <w:color w:val="000000"/>
              </w:rPr>
            </w:pPr>
            <w:r>
              <w:rPr>
                <w:color w:val="000000"/>
              </w:rPr>
              <w:t> </w:t>
            </w:r>
          </w:p>
        </w:tc>
        <w:tc>
          <w:tcPr>
            <w:tcW w:w="60" w:type="dxa"/>
            <w:tcBorders/>
            <w:tcMar>
              <w:bottom w:w="0" w:type="dxa"/>
            </w:tcMar>
            <w:vAlign w:val="bottom"/>
          </w:tcPr>
          <w:p>
            <w:pPr>
              <w:pStyle w:val="TableContents"/>
              <w:bidi w:val="0"/>
              <w:spacing w:before="0" w:after="283"/>
              <w:jc w:val="right"/>
              <w:rPr/>
            </w:pPr>
            <w:r>
              <w:rPr/>
              <w:t> </w:t>
            </w:r>
          </w:p>
        </w:tc>
        <w:tc>
          <w:tcPr>
            <w:tcW w:w="162" w:type="dxa"/>
            <w:tcBorders>
              <w:bottom w:val="single" w:sz="12" w:space="0" w:color="000000"/>
            </w:tcBorders>
            <w:vAlign w:val="bottom"/>
          </w:tcPr>
          <w:p>
            <w:pPr>
              <w:pStyle w:val="TableContents"/>
              <w:bidi w:val="0"/>
              <w:spacing w:before="0" w:after="0"/>
              <w:jc w:val="left"/>
              <w:rPr>
                <w:color w:val="000000"/>
              </w:rPr>
            </w:pPr>
            <w:r>
              <w:rPr>
                <w:color w:val="000000"/>
              </w:rPr>
              <w:t>$</w:t>
            </w:r>
          </w:p>
        </w:tc>
        <w:tc>
          <w:tcPr>
            <w:tcW w:w="788" w:type="dxa"/>
            <w:tcBorders>
              <w:bottom w:val="single" w:sz="12" w:space="0" w:color="000000"/>
            </w:tcBorders>
            <w:vAlign w:val="bottom"/>
          </w:tcPr>
          <w:p>
            <w:pPr>
              <w:pStyle w:val="TableContents"/>
              <w:bidi w:val="0"/>
              <w:spacing w:before="0" w:after="0"/>
              <w:jc w:val="right"/>
              <w:rPr>
                <w:color w:val="000000"/>
              </w:rPr>
            </w:pPr>
            <w:r>
              <w:rPr>
                <w:color w:val="000000"/>
              </w:rPr>
              <w:t>55,072</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vAlign w:val="bottom"/>
          </w:tcPr>
          <w:p>
            <w:pPr>
              <w:pStyle w:val="TableContents"/>
              <w:bidi w:val="0"/>
              <w:spacing w:before="0" w:after="283"/>
              <w:jc w:val="left"/>
              <w:rPr/>
            </w:pPr>
            <w:r>
              <w:rPr/>
              <w:t> </w:t>
            </w:r>
          </w:p>
        </w:tc>
        <w:tc>
          <w:tcPr>
            <w:tcW w:w="913" w:type="dxa"/>
            <w:tcBorders>
              <w:bottom w:val="single" w:sz="12" w:space="0" w:color="000000"/>
            </w:tcBorders>
            <w:vAlign w:val="bottom"/>
          </w:tcPr>
          <w:p>
            <w:pPr>
              <w:pStyle w:val="TableContents"/>
              <w:bidi w:val="0"/>
              <w:spacing w:before="0" w:after="0"/>
              <w:jc w:val="right"/>
              <w:rPr>
                <w:color w:val="000000"/>
              </w:rPr>
            </w:pPr>
            <w:r>
              <w:rPr>
                <w:color w:val="000000"/>
              </w:rPr>
              <w:t>53,471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0"/>
              <w:jc w:val="right"/>
              <w:rPr>
                <w:color w:val="000000"/>
              </w:rPr>
            </w:pPr>
            <w:r>
              <w:rPr>
                <w:color w:val="000000"/>
              </w:rPr>
              <w:t>54,120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0"/>
              <w:jc w:val="right"/>
              <w:rPr>
                <w:color w:val="000000"/>
              </w:rPr>
            </w:pPr>
            <w:r>
              <w:rPr>
                <w:color w:val="000000"/>
              </w:rPr>
              <w:t>63.26</w:t>
            </w:r>
          </w:p>
        </w:tc>
        <w:tc>
          <w:tcPr>
            <w:tcW w:w="260" w:type="dxa"/>
            <w:tcBorders/>
            <w:tcMar>
              <w:bottom w:w="0" w:type="dxa"/>
            </w:tcMar>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Mar>
              <w:bottom w:w="0" w:type="dxa"/>
            </w:tcMar>
            <w:vAlign w:val="bottom"/>
          </w:tcPr>
          <w:p>
            <w:pPr>
              <w:pStyle w:val="TableContents"/>
              <w:bidi w:val="0"/>
              <w:spacing w:before="0" w:after="0"/>
              <w:ind w:left="180" w:right="0" w:hanging="180"/>
              <w:jc w:val="left"/>
              <w:rPr>
                <w:color w:val="000000"/>
              </w:rPr>
            </w:pPr>
            <w:r>
              <w:rPr>
                <w:color w:val="000000"/>
              </w:rPr>
              <w:t> </w:t>
            </w:r>
          </w:p>
        </w:tc>
        <w:tc>
          <w:tcPr>
            <w:tcW w:w="116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116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95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830"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283"/>
              <w:jc w:val="left"/>
              <w:rPr/>
            </w:pPr>
            <w:r>
              <w:rPr/>
              <w:t> </w:t>
            </w:r>
          </w:p>
        </w:tc>
        <w:tc>
          <w:tcPr>
            <w:tcW w:w="108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2" w:type="dxa"/>
            <w:tcBorders/>
            <w:shd w:fill="CCEEFF" w:val="clear"/>
            <w:tcMar>
              <w:bottom w:w="0" w:type="dxa"/>
            </w:tcMar>
            <w:vAlign w:val="bottom"/>
          </w:tcPr>
          <w:p>
            <w:pPr>
              <w:pStyle w:val="TableContents"/>
              <w:bidi w:val="0"/>
              <w:spacing w:before="0" w:after="283"/>
              <w:jc w:val="left"/>
              <w:rPr/>
            </w:pPr>
            <w:r>
              <w:rPr/>
              <w:t> </w:t>
            </w:r>
          </w:p>
        </w:tc>
        <w:tc>
          <w:tcPr>
            <w:tcW w:w="788"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shd w:fill="CCEEFF" w:val="clear"/>
            <w:vAlign w:val="bottom"/>
          </w:tcPr>
          <w:p>
            <w:pPr>
              <w:pStyle w:val="TableContents"/>
              <w:bidi w:val="0"/>
              <w:spacing w:before="0" w:after="283"/>
              <w:jc w:val="left"/>
              <w:rPr/>
            </w:pPr>
            <w:r>
              <w:rPr/>
              <w:t> </w:t>
            </w:r>
          </w:p>
        </w:tc>
        <w:tc>
          <w:tcPr>
            <w:tcW w:w="913"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283"/>
              <w:jc w:val="righ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r>
      <w:tr>
        <w:trPr/>
        <w:tc>
          <w:tcPr>
            <w:tcW w:w="4595" w:type="dxa"/>
            <w:gridSpan w:val="4"/>
            <w:tcBorders/>
            <w:tcMar>
              <w:bottom w:w="0" w:type="dxa"/>
            </w:tcMar>
            <w:vAlign w:val="bottom"/>
          </w:tcPr>
          <w:p>
            <w:pPr>
              <w:pStyle w:val="TableContents"/>
              <w:bidi w:val="0"/>
              <w:spacing w:before="0" w:after="0"/>
              <w:ind w:left="180" w:right="0" w:hanging="0"/>
              <w:jc w:val="left"/>
              <w:rPr>
                <w:b/>
                <w:color w:val="000000"/>
              </w:rPr>
            </w:pPr>
            <w:r>
              <w:rPr>
                <w:b/>
                <w:color w:val="000000"/>
              </w:rPr>
              <w:t xml:space="preserve">Total: Debt Securities - United States (63.26%): </w:t>
            </w:r>
          </w:p>
        </w:tc>
        <w:tc>
          <w:tcPr>
            <w:tcW w:w="830" w:type="dxa"/>
            <w:tcBorders/>
            <w:tcMar>
              <w:bottom w:w="0" w:type="dxa"/>
            </w:tcMar>
            <w:vAlign w:val="bottom"/>
          </w:tcPr>
          <w:p>
            <w:pPr>
              <w:pStyle w:val="TableContents"/>
              <w:bidi w:val="0"/>
              <w:spacing w:before="0" w:after="0"/>
              <w:jc w:val="center"/>
              <w:rPr>
                <w:color w:val="000000"/>
              </w:rPr>
            </w:pPr>
            <w:r>
              <w:rPr>
                <w:color w:val="000000"/>
              </w:rPr>
              <w:t> </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0"/>
              <w:jc w:val="center"/>
              <w:rPr>
                <w:color w:val="000000"/>
              </w:rPr>
            </w:pPr>
            <w:r>
              <w:rPr>
                <w:color w:val="000000"/>
              </w:rPr>
              <w:t> </w:t>
            </w:r>
          </w:p>
        </w:tc>
        <w:tc>
          <w:tcPr>
            <w:tcW w:w="60" w:type="dxa"/>
            <w:tcBorders/>
            <w:tcMar>
              <w:bottom w:w="0" w:type="dxa"/>
            </w:tcMar>
            <w:vAlign w:val="bottom"/>
          </w:tcPr>
          <w:p>
            <w:pPr>
              <w:pStyle w:val="TableContents"/>
              <w:bidi w:val="0"/>
              <w:spacing w:before="0" w:after="283"/>
              <w:jc w:val="right"/>
              <w:rPr/>
            </w:pPr>
            <w:r>
              <w:rPr/>
              <w:t> </w:t>
            </w:r>
          </w:p>
        </w:tc>
        <w:tc>
          <w:tcPr>
            <w:tcW w:w="162" w:type="dxa"/>
            <w:tcBorders/>
            <w:tcMar>
              <w:bottom w:w="0" w:type="dxa"/>
            </w:tcMar>
            <w:vAlign w:val="bottom"/>
          </w:tcPr>
          <w:p>
            <w:pPr>
              <w:pStyle w:val="TableContents"/>
              <w:bidi w:val="0"/>
              <w:spacing w:before="0" w:after="283"/>
              <w:jc w:val="left"/>
              <w:rPr/>
            </w:pPr>
            <w:r>
              <w:rPr/>
              <w:t> </w:t>
            </w:r>
          </w:p>
        </w:tc>
        <w:tc>
          <w:tcPr>
            <w:tcW w:w="788"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vAlign w:val="bottom"/>
          </w:tcPr>
          <w:p>
            <w:pPr>
              <w:pStyle w:val="TableContents"/>
              <w:bidi w:val="0"/>
              <w:spacing w:before="0" w:after="283"/>
              <w:jc w:val="left"/>
              <w:rPr/>
            </w:pPr>
            <w:r>
              <w:rPr/>
              <w:t> </w:t>
            </w:r>
          </w:p>
        </w:tc>
        <w:tc>
          <w:tcPr>
            <w:tcW w:w="913" w:type="dxa"/>
            <w:tcBorders>
              <w:bottom w:val="single" w:sz="12" w:space="0" w:color="000000"/>
            </w:tcBorders>
            <w:vAlign w:val="bottom"/>
          </w:tcPr>
          <w:p>
            <w:pPr>
              <w:pStyle w:val="TableContents"/>
              <w:bidi w:val="0"/>
              <w:spacing w:before="0" w:after="0"/>
              <w:jc w:val="right"/>
              <w:rPr>
                <w:b/>
                <w:color w:val="000000"/>
              </w:rPr>
            </w:pPr>
            <w:r>
              <w:rPr>
                <w:b/>
                <w:color w:val="000000"/>
              </w:rPr>
              <w:t>53,471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0"/>
              <w:jc w:val="right"/>
              <w:rPr>
                <w:b/>
                <w:color w:val="000000"/>
              </w:rPr>
            </w:pPr>
            <w:r>
              <w:rPr>
                <w:b/>
                <w:color w:val="000000"/>
              </w:rPr>
              <w:t>54,120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0"/>
              <w:jc w:val="right"/>
              <w:rPr>
                <w:b/>
                <w:color w:val="000000"/>
              </w:rPr>
            </w:pPr>
            <w:r>
              <w:rPr>
                <w:b/>
                <w:color w:val="000000"/>
              </w:rPr>
              <w:t>63.26</w:t>
            </w:r>
          </w:p>
        </w:tc>
        <w:tc>
          <w:tcPr>
            <w:tcW w:w="260" w:type="dxa"/>
            <w:tcBorders/>
            <w:tcMar>
              <w:bottom w:w="0" w:type="dxa"/>
            </w:tcMar>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Mar>
              <w:bottom w:w="0" w:type="dxa"/>
            </w:tcMar>
            <w:vAlign w:val="bottom"/>
          </w:tcPr>
          <w:p>
            <w:pPr>
              <w:pStyle w:val="TableContents"/>
              <w:bidi w:val="0"/>
              <w:spacing w:before="0" w:after="0"/>
              <w:ind w:left="180" w:right="0" w:hanging="180"/>
              <w:jc w:val="left"/>
              <w:rPr>
                <w:color w:val="000000"/>
              </w:rPr>
            </w:pPr>
            <w:r>
              <w:rPr>
                <w:color w:val="000000"/>
              </w:rPr>
              <w:t> </w:t>
            </w:r>
          </w:p>
        </w:tc>
        <w:tc>
          <w:tcPr>
            <w:tcW w:w="116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116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95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830"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283"/>
              <w:jc w:val="left"/>
              <w:rPr/>
            </w:pPr>
            <w:r>
              <w:rPr/>
              <w:t> </w:t>
            </w:r>
          </w:p>
        </w:tc>
        <w:tc>
          <w:tcPr>
            <w:tcW w:w="108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2" w:type="dxa"/>
            <w:tcBorders/>
            <w:shd w:fill="CCEEFF" w:val="clear"/>
            <w:tcMar>
              <w:bottom w:w="0" w:type="dxa"/>
            </w:tcMar>
            <w:vAlign w:val="bottom"/>
          </w:tcPr>
          <w:p>
            <w:pPr>
              <w:pStyle w:val="TableContents"/>
              <w:bidi w:val="0"/>
              <w:spacing w:before="0" w:after="283"/>
              <w:jc w:val="left"/>
              <w:rPr/>
            </w:pPr>
            <w:r>
              <w:rPr/>
              <w:t> </w:t>
            </w:r>
          </w:p>
        </w:tc>
        <w:tc>
          <w:tcPr>
            <w:tcW w:w="788"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shd w:fill="CCEEFF" w:val="clear"/>
            <w:vAlign w:val="bottom"/>
          </w:tcPr>
          <w:p>
            <w:pPr>
              <w:pStyle w:val="TableContents"/>
              <w:bidi w:val="0"/>
              <w:spacing w:before="0" w:after="283"/>
              <w:jc w:val="left"/>
              <w:rPr/>
            </w:pPr>
            <w:r>
              <w:rPr/>
              <w:t> </w:t>
            </w:r>
          </w:p>
        </w:tc>
        <w:tc>
          <w:tcPr>
            <w:tcW w:w="913"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283"/>
              <w:jc w:val="righ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r>
      <w:tr>
        <w:trPr/>
        <w:tc>
          <w:tcPr>
            <w:tcW w:w="4595" w:type="dxa"/>
            <w:gridSpan w:val="4"/>
            <w:tcBorders/>
            <w:tcMar>
              <w:bottom w:w="0" w:type="dxa"/>
            </w:tcMar>
            <w:vAlign w:val="bottom"/>
          </w:tcPr>
          <w:p>
            <w:pPr>
              <w:pStyle w:val="TableContents"/>
              <w:bidi w:val="0"/>
              <w:spacing w:before="0" w:after="0"/>
              <w:ind w:left="180" w:right="0" w:hanging="0"/>
              <w:jc w:val="left"/>
              <w:rPr>
                <w:b/>
                <w:color w:val="000000"/>
              </w:rPr>
            </w:pPr>
            <w:r>
              <w:rPr>
                <w:b/>
                <w:color w:val="000000"/>
              </w:rPr>
              <w:t>Total: Debt Securities (63.26%):</w:t>
            </w:r>
          </w:p>
        </w:tc>
        <w:tc>
          <w:tcPr>
            <w:tcW w:w="830" w:type="dxa"/>
            <w:tcBorders/>
            <w:tcMar>
              <w:bottom w:w="0" w:type="dxa"/>
            </w:tcMar>
            <w:vAlign w:val="bottom"/>
          </w:tcPr>
          <w:p>
            <w:pPr>
              <w:pStyle w:val="TableContents"/>
              <w:bidi w:val="0"/>
              <w:spacing w:before="0" w:after="0"/>
              <w:jc w:val="center"/>
              <w:rPr>
                <w:color w:val="000000"/>
              </w:rPr>
            </w:pPr>
            <w:r>
              <w:rPr>
                <w:color w:val="000000"/>
              </w:rPr>
              <w:t> </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0"/>
              <w:jc w:val="center"/>
              <w:rPr>
                <w:color w:val="000000"/>
              </w:rPr>
            </w:pPr>
            <w:r>
              <w:rPr>
                <w:color w:val="000000"/>
              </w:rPr>
              <w:t> </w:t>
            </w:r>
          </w:p>
        </w:tc>
        <w:tc>
          <w:tcPr>
            <w:tcW w:w="60" w:type="dxa"/>
            <w:tcBorders/>
            <w:tcMar>
              <w:bottom w:w="0" w:type="dxa"/>
            </w:tcMar>
            <w:vAlign w:val="bottom"/>
          </w:tcPr>
          <w:p>
            <w:pPr>
              <w:pStyle w:val="TableContents"/>
              <w:bidi w:val="0"/>
              <w:spacing w:before="0" w:after="283"/>
              <w:jc w:val="right"/>
              <w:rPr/>
            </w:pPr>
            <w:r>
              <w:rPr/>
              <w:t> </w:t>
            </w:r>
          </w:p>
        </w:tc>
        <w:tc>
          <w:tcPr>
            <w:tcW w:w="162" w:type="dxa"/>
            <w:tcBorders/>
            <w:tcMar>
              <w:bottom w:w="0" w:type="dxa"/>
            </w:tcMar>
            <w:vAlign w:val="bottom"/>
          </w:tcPr>
          <w:p>
            <w:pPr>
              <w:pStyle w:val="TableContents"/>
              <w:bidi w:val="0"/>
              <w:spacing w:before="0" w:after="283"/>
              <w:jc w:val="left"/>
              <w:rPr/>
            </w:pPr>
            <w:r>
              <w:rPr/>
              <w:t> </w:t>
            </w:r>
          </w:p>
        </w:tc>
        <w:tc>
          <w:tcPr>
            <w:tcW w:w="788"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vAlign w:val="bottom"/>
          </w:tcPr>
          <w:p>
            <w:pPr>
              <w:pStyle w:val="TableContents"/>
              <w:bidi w:val="0"/>
              <w:spacing w:before="0" w:after="283"/>
              <w:jc w:val="left"/>
              <w:rPr/>
            </w:pPr>
            <w:r>
              <w:rPr/>
              <w:t> </w:t>
            </w:r>
          </w:p>
        </w:tc>
        <w:tc>
          <w:tcPr>
            <w:tcW w:w="913" w:type="dxa"/>
            <w:tcBorders>
              <w:bottom w:val="single" w:sz="12" w:space="0" w:color="000000"/>
            </w:tcBorders>
            <w:vAlign w:val="bottom"/>
          </w:tcPr>
          <w:p>
            <w:pPr>
              <w:pStyle w:val="TableContents"/>
              <w:bidi w:val="0"/>
              <w:spacing w:before="0" w:after="0"/>
              <w:jc w:val="right"/>
              <w:rPr>
                <w:b/>
                <w:color w:val="000000"/>
              </w:rPr>
            </w:pPr>
            <w:r>
              <w:rPr>
                <w:b/>
                <w:color w:val="000000"/>
              </w:rPr>
              <w:t>53,471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0"/>
              <w:jc w:val="right"/>
              <w:rPr>
                <w:b/>
                <w:color w:val="000000"/>
              </w:rPr>
            </w:pPr>
            <w:r>
              <w:rPr>
                <w:b/>
                <w:color w:val="000000"/>
              </w:rPr>
              <w:t>54,120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0"/>
              <w:jc w:val="right"/>
              <w:rPr>
                <w:b/>
                <w:color w:val="000000"/>
              </w:rPr>
            </w:pPr>
            <w:r>
              <w:rPr>
                <w:b/>
                <w:color w:val="000000"/>
              </w:rPr>
              <w:t>63.26</w:t>
            </w:r>
          </w:p>
        </w:tc>
        <w:tc>
          <w:tcPr>
            <w:tcW w:w="260" w:type="dxa"/>
            <w:tcBorders/>
            <w:tcMar>
              <w:bottom w:w="0" w:type="dxa"/>
            </w:tcMar>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Mar>
              <w:bottom w:w="0" w:type="dxa"/>
            </w:tcMar>
            <w:vAlign w:val="bottom"/>
          </w:tcPr>
          <w:p>
            <w:pPr>
              <w:pStyle w:val="TableContents"/>
              <w:bidi w:val="0"/>
              <w:spacing w:before="0" w:after="0"/>
              <w:ind w:left="180" w:right="0" w:hanging="180"/>
              <w:jc w:val="left"/>
              <w:rPr>
                <w:color w:val="000000"/>
              </w:rPr>
            </w:pPr>
            <w:r>
              <w:rPr>
                <w:color w:val="000000"/>
              </w:rPr>
              <w:t> </w:t>
            </w:r>
          </w:p>
        </w:tc>
        <w:tc>
          <w:tcPr>
            <w:tcW w:w="116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116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95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830"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283"/>
              <w:jc w:val="left"/>
              <w:rPr/>
            </w:pPr>
            <w:r>
              <w:rPr/>
              <w:t> </w:t>
            </w:r>
          </w:p>
        </w:tc>
        <w:tc>
          <w:tcPr>
            <w:tcW w:w="108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2" w:type="dxa"/>
            <w:tcBorders/>
            <w:shd w:fill="CCEEFF" w:val="clear"/>
            <w:tcMar>
              <w:bottom w:w="0" w:type="dxa"/>
            </w:tcMar>
            <w:vAlign w:val="bottom"/>
          </w:tcPr>
          <w:p>
            <w:pPr>
              <w:pStyle w:val="TableContents"/>
              <w:bidi w:val="0"/>
              <w:spacing w:before="0" w:after="283"/>
              <w:jc w:val="left"/>
              <w:rPr/>
            </w:pPr>
            <w:r>
              <w:rPr/>
              <w:t> </w:t>
            </w:r>
          </w:p>
        </w:tc>
        <w:tc>
          <w:tcPr>
            <w:tcW w:w="788"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shd w:fill="CCEEFF" w:val="clear"/>
            <w:tcMar>
              <w:bottom w:w="0" w:type="dxa"/>
            </w:tcMar>
            <w:vAlign w:val="bottom"/>
          </w:tcPr>
          <w:p>
            <w:pPr>
              <w:pStyle w:val="TableContents"/>
              <w:bidi w:val="0"/>
              <w:spacing w:before="0" w:after="283"/>
              <w:jc w:val="left"/>
              <w:rPr/>
            </w:pPr>
            <w:r>
              <w:rPr/>
              <w:t> </w:t>
            </w:r>
          </w:p>
        </w:tc>
        <w:tc>
          <w:tcPr>
            <w:tcW w:w="913"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r>
      <w:tr>
        <w:trPr/>
        <w:tc>
          <w:tcPr>
            <w:tcW w:w="4595" w:type="dxa"/>
            <w:gridSpan w:val="4"/>
            <w:tcBorders/>
            <w:tcMar>
              <w:bottom w:w="0" w:type="dxa"/>
            </w:tcMar>
            <w:vAlign w:val="bottom"/>
          </w:tcPr>
          <w:p>
            <w:pPr>
              <w:pStyle w:val="TableContents"/>
              <w:bidi w:val="0"/>
              <w:spacing w:before="0" w:after="0"/>
              <w:ind w:left="180" w:right="0" w:hanging="0"/>
              <w:jc w:val="left"/>
              <w:rPr>
                <w:b/>
              </w:rPr>
            </w:pPr>
            <w:r>
              <w:rPr>
                <w:b/>
              </w:rPr>
              <w:t xml:space="preserve">Total Investment in Securities (63.26%): </w:t>
            </w:r>
          </w:p>
        </w:tc>
        <w:tc>
          <w:tcPr>
            <w:tcW w:w="830" w:type="dxa"/>
            <w:tcBorders/>
            <w:tcMar>
              <w:bottom w:w="0" w:type="dxa"/>
            </w:tcMar>
            <w:vAlign w:val="bottom"/>
          </w:tcPr>
          <w:p>
            <w:pPr>
              <w:pStyle w:val="TableContents"/>
              <w:bidi w:val="0"/>
              <w:spacing w:before="0" w:after="0"/>
              <w:jc w:val="center"/>
              <w:rPr/>
            </w:pPr>
            <w:r>
              <w:rPr/>
              <w:t> </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0"/>
              <w:jc w:val="center"/>
              <w:rPr/>
            </w:pPr>
            <w:r>
              <w:rPr/>
              <w:t> </w:t>
            </w:r>
          </w:p>
        </w:tc>
        <w:tc>
          <w:tcPr>
            <w:tcW w:w="60" w:type="dxa"/>
            <w:tcBorders/>
            <w:tcMar>
              <w:bottom w:w="0" w:type="dxa"/>
            </w:tcMar>
            <w:vAlign w:val="bottom"/>
          </w:tcPr>
          <w:p>
            <w:pPr>
              <w:pStyle w:val="TableContents"/>
              <w:bidi w:val="0"/>
              <w:spacing w:before="0" w:after="283"/>
              <w:jc w:val="right"/>
              <w:rPr/>
            </w:pPr>
            <w:r>
              <w:rPr/>
              <w:t> </w:t>
            </w:r>
          </w:p>
        </w:tc>
        <w:tc>
          <w:tcPr>
            <w:tcW w:w="162" w:type="dxa"/>
            <w:tcBorders/>
            <w:tcMar>
              <w:bottom w:w="0" w:type="dxa"/>
            </w:tcMar>
            <w:vAlign w:val="bottom"/>
          </w:tcPr>
          <w:p>
            <w:pPr>
              <w:pStyle w:val="TableContents"/>
              <w:bidi w:val="0"/>
              <w:spacing w:before="0" w:after="283"/>
              <w:jc w:val="left"/>
              <w:rPr/>
            </w:pPr>
            <w:r>
              <w:rPr/>
              <w:t> </w:t>
            </w:r>
          </w:p>
        </w:tc>
        <w:tc>
          <w:tcPr>
            <w:tcW w:w="788"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bottom w:val="double" w:sz="8" w:space="0" w:color="000000"/>
            </w:tcBorders>
            <w:vAlign w:val="bottom"/>
          </w:tcPr>
          <w:p>
            <w:pPr>
              <w:pStyle w:val="TableContents"/>
              <w:bidi w:val="0"/>
              <w:spacing w:before="0" w:after="0"/>
              <w:jc w:val="left"/>
              <w:rPr>
                <w:b/>
              </w:rPr>
            </w:pPr>
            <w:r>
              <w:rPr>
                <w:b/>
              </w:rPr>
              <w:t>$</w:t>
            </w:r>
          </w:p>
        </w:tc>
        <w:tc>
          <w:tcPr>
            <w:tcW w:w="913" w:type="dxa"/>
            <w:tcBorders>
              <w:bottom w:val="double" w:sz="8" w:space="0" w:color="000000"/>
            </w:tcBorders>
            <w:vAlign w:val="bottom"/>
          </w:tcPr>
          <w:p>
            <w:pPr>
              <w:pStyle w:val="TableContents"/>
              <w:bidi w:val="0"/>
              <w:spacing w:before="0" w:after="0"/>
              <w:jc w:val="right"/>
              <w:rPr>
                <w:b/>
              </w:rPr>
            </w:pPr>
            <w:r>
              <w:rPr>
                <w:b/>
              </w:rPr>
              <w:t>53,471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bottom w:val="double" w:sz="8" w:space="0" w:color="000000"/>
            </w:tcBorders>
            <w:vAlign w:val="bottom"/>
          </w:tcPr>
          <w:p>
            <w:pPr>
              <w:pStyle w:val="TableContents"/>
              <w:bidi w:val="0"/>
              <w:spacing w:before="0" w:after="0"/>
              <w:jc w:val="left"/>
              <w:rPr>
                <w:b/>
              </w:rPr>
            </w:pPr>
            <w:r>
              <w:rPr>
                <w:b/>
              </w:rPr>
              <w:t>$</w:t>
            </w:r>
          </w:p>
        </w:tc>
        <w:tc>
          <w:tcPr>
            <w:tcW w:w="680" w:type="dxa"/>
            <w:tcBorders>
              <w:bottom w:val="double" w:sz="8" w:space="0" w:color="000000"/>
            </w:tcBorders>
            <w:vAlign w:val="bottom"/>
          </w:tcPr>
          <w:p>
            <w:pPr>
              <w:pStyle w:val="TableContents"/>
              <w:bidi w:val="0"/>
              <w:spacing w:before="0" w:after="0"/>
              <w:jc w:val="right"/>
              <w:rPr>
                <w:b/>
              </w:rPr>
            </w:pPr>
            <w:r>
              <w:rPr>
                <w:b/>
              </w:rPr>
              <w:t>54,120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bottom w:val="double" w:sz="8" w:space="0" w:color="000000"/>
            </w:tcBorders>
            <w:vAlign w:val="bottom"/>
          </w:tcPr>
          <w:p>
            <w:pPr>
              <w:pStyle w:val="TableContents"/>
              <w:bidi w:val="0"/>
              <w:spacing w:before="0" w:after="283"/>
              <w:jc w:val="left"/>
              <w:rPr/>
            </w:pPr>
            <w:r>
              <w:rPr/>
              <w:t> </w:t>
            </w:r>
          </w:p>
        </w:tc>
        <w:tc>
          <w:tcPr>
            <w:tcW w:w="680" w:type="dxa"/>
            <w:tcBorders>
              <w:bottom w:val="double" w:sz="8" w:space="0" w:color="000000"/>
            </w:tcBorders>
            <w:vAlign w:val="bottom"/>
          </w:tcPr>
          <w:p>
            <w:pPr>
              <w:pStyle w:val="TableContents"/>
              <w:bidi w:val="0"/>
              <w:spacing w:before="0" w:after="0"/>
              <w:jc w:val="right"/>
              <w:rPr>
                <w:b/>
              </w:rPr>
            </w:pPr>
            <w:r>
              <w:rPr>
                <w:b/>
              </w:rPr>
              <w:t>63.26</w:t>
            </w:r>
          </w:p>
        </w:tc>
        <w:tc>
          <w:tcPr>
            <w:tcW w:w="260" w:type="dxa"/>
            <w:tcBorders/>
            <w:tcMar>
              <w:bottom w:w="0" w:type="dxa"/>
            </w:tcMar>
            <w:vAlign w:val="bottom"/>
          </w:tcPr>
          <w:p>
            <w:pPr>
              <w:pStyle w:val="TableContents"/>
              <w:bidi w:val="0"/>
              <w:spacing w:before="0" w:after="0"/>
              <w:jc w:val="left"/>
              <w:rPr>
                <w:b/>
              </w:rPr>
            </w:pPr>
            <w:r>
              <w:rPr>
                <w:b/>
              </w:rPr>
              <w:t>%</w:t>
            </w:r>
          </w:p>
        </w:tc>
      </w:tr>
      <w:tr>
        <w:trPr/>
        <w:tc>
          <w:tcPr>
            <w:tcW w:w="1310" w:type="dxa"/>
            <w:tcBorders/>
            <w:shd w:fill="CCEEFF" w:val="clear"/>
            <w:tcMar>
              <w:bottom w:w="0" w:type="dxa"/>
            </w:tcMar>
            <w:vAlign w:val="bottom"/>
          </w:tcPr>
          <w:p>
            <w:pPr>
              <w:pStyle w:val="TableContents"/>
              <w:bidi w:val="0"/>
              <w:spacing w:before="0" w:after="0"/>
              <w:ind w:left="180" w:right="0" w:hanging="180"/>
              <w:jc w:val="left"/>
              <w:rPr>
                <w:color w:val="000000"/>
              </w:rPr>
            </w:pPr>
            <w:r>
              <w:rPr>
                <w:color w:val="000000"/>
              </w:rPr>
              <w:t> </w:t>
            </w:r>
          </w:p>
        </w:tc>
        <w:tc>
          <w:tcPr>
            <w:tcW w:w="116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116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95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830"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283"/>
              <w:jc w:val="left"/>
              <w:rPr/>
            </w:pPr>
            <w:r>
              <w:rPr/>
              <w:t> </w:t>
            </w:r>
          </w:p>
        </w:tc>
        <w:tc>
          <w:tcPr>
            <w:tcW w:w="108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2" w:type="dxa"/>
            <w:tcBorders/>
            <w:shd w:fill="CCEEFF" w:val="clear"/>
            <w:tcMar>
              <w:bottom w:w="0" w:type="dxa"/>
            </w:tcMar>
            <w:vAlign w:val="bottom"/>
          </w:tcPr>
          <w:p>
            <w:pPr>
              <w:pStyle w:val="TableContents"/>
              <w:bidi w:val="0"/>
              <w:spacing w:before="0" w:after="283"/>
              <w:jc w:val="left"/>
              <w:rPr/>
            </w:pPr>
            <w:r>
              <w:rPr/>
              <w:t> </w:t>
            </w:r>
          </w:p>
        </w:tc>
        <w:tc>
          <w:tcPr>
            <w:tcW w:w="788"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shd w:fill="CCEEFF" w:val="clear"/>
            <w:tcMar>
              <w:bottom w:w="0" w:type="dxa"/>
            </w:tcMar>
            <w:vAlign w:val="bottom"/>
          </w:tcPr>
          <w:p>
            <w:pPr>
              <w:pStyle w:val="TableContents"/>
              <w:bidi w:val="0"/>
              <w:spacing w:before="0" w:after="283"/>
              <w:jc w:val="left"/>
              <w:rPr/>
            </w:pPr>
            <w:r>
              <w:rPr/>
              <w:t> </w:t>
            </w:r>
          </w:p>
        </w:tc>
        <w:tc>
          <w:tcPr>
            <w:tcW w:w="913"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r>
      <w:tr>
        <w:trPr/>
        <w:tc>
          <w:tcPr>
            <w:tcW w:w="4595" w:type="dxa"/>
            <w:gridSpan w:val="4"/>
            <w:tcBorders/>
            <w:tcMar>
              <w:bottom w:w="0" w:type="dxa"/>
            </w:tcMar>
            <w:vAlign w:val="bottom"/>
          </w:tcPr>
          <w:p>
            <w:pPr>
              <w:pStyle w:val="TableContents"/>
              <w:bidi w:val="0"/>
              <w:spacing w:before="0" w:after="0"/>
              <w:ind w:left="180" w:right="0" w:hanging="180"/>
              <w:jc w:val="left"/>
              <w:rPr>
                <w:b/>
                <w:color w:val="000000"/>
              </w:rPr>
            </w:pPr>
            <w:r>
              <w:rPr>
                <w:b/>
                <w:color w:val="000000"/>
              </w:rPr>
              <w:t>Cash Equivalents</w:t>
            </w:r>
          </w:p>
        </w:tc>
        <w:tc>
          <w:tcPr>
            <w:tcW w:w="830" w:type="dxa"/>
            <w:tcBorders/>
            <w:tcMar>
              <w:bottom w:w="0" w:type="dxa"/>
            </w:tcMar>
            <w:vAlign w:val="bottom"/>
          </w:tcPr>
          <w:p>
            <w:pPr>
              <w:pStyle w:val="TableContents"/>
              <w:bidi w:val="0"/>
              <w:spacing w:before="0" w:after="0"/>
              <w:jc w:val="left"/>
              <w:rPr>
                <w:color w:val="000000"/>
              </w:rPr>
            </w:pPr>
            <w:r>
              <w:rPr>
                <w:color w:val="000000"/>
              </w:rPr>
              <w:t> </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0"/>
              <w:jc w:val="center"/>
              <w:rPr>
                <w:color w:val="000000"/>
              </w:rPr>
            </w:pPr>
            <w:r>
              <w:rPr>
                <w:color w:val="000000"/>
              </w:rPr>
              <w:t> </w:t>
            </w:r>
          </w:p>
        </w:tc>
        <w:tc>
          <w:tcPr>
            <w:tcW w:w="60" w:type="dxa"/>
            <w:tcBorders/>
            <w:tcMar>
              <w:bottom w:w="0" w:type="dxa"/>
            </w:tcMar>
            <w:vAlign w:val="bottom"/>
          </w:tcPr>
          <w:p>
            <w:pPr>
              <w:pStyle w:val="TableContents"/>
              <w:bidi w:val="0"/>
              <w:spacing w:before="0" w:after="283"/>
              <w:jc w:val="right"/>
              <w:rPr/>
            </w:pPr>
            <w:r>
              <w:rPr/>
              <w:t> </w:t>
            </w:r>
          </w:p>
        </w:tc>
        <w:tc>
          <w:tcPr>
            <w:tcW w:w="162" w:type="dxa"/>
            <w:tcBorders/>
            <w:tcMar>
              <w:bottom w:w="0" w:type="dxa"/>
            </w:tcMar>
            <w:vAlign w:val="bottom"/>
          </w:tcPr>
          <w:p>
            <w:pPr>
              <w:pStyle w:val="TableContents"/>
              <w:bidi w:val="0"/>
              <w:spacing w:before="0" w:after="283"/>
              <w:jc w:val="left"/>
              <w:rPr/>
            </w:pPr>
            <w:r>
              <w:rPr/>
              <w:t> </w:t>
            </w:r>
          </w:p>
        </w:tc>
        <w:tc>
          <w:tcPr>
            <w:tcW w:w="788"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tcMar>
              <w:bottom w:w="0" w:type="dxa"/>
            </w:tcMar>
            <w:vAlign w:val="bottom"/>
          </w:tcPr>
          <w:p>
            <w:pPr>
              <w:pStyle w:val="TableContents"/>
              <w:bidi w:val="0"/>
              <w:spacing w:before="0" w:after="283"/>
              <w:jc w:val="left"/>
              <w:rPr/>
            </w:pPr>
            <w:r>
              <w:rPr/>
              <w:t> </w:t>
            </w:r>
          </w:p>
        </w:tc>
        <w:tc>
          <w:tcPr>
            <w:tcW w:w="913"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283"/>
              <w:jc w:val="right"/>
              <w:rPr/>
            </w:pPr>
            <w:r>
              <w:rPr/>
              <w:t> </w:t>
            </w:r>
          </w:p>
        </w:tc>
        <w:tc>
          <w:tcPr>
            <w:tcW w:w="260" w:type="dxa"/>
            <w:tcBorders/>
            <w:tcMar>
              <w:bottom w:w="0" w:type="dxa"/>
            </w:tcMar>
            <w:vAlign w:val="bottom"/>
          </w:tcPr>
          <w:p>
            <w:pPr>
              <w:pStyle w:val="TableContents"/>
              <w:bidi w:val="0"/>
              <w:spacing w:before="0" w:after="283"/>
              <w:jc w:val="left"/>
              <w:rPr/>
            </w:pPr>
            <w:r>
              <w:rPr/>
              <w:t> </w:t>
            </w:r>
          </w:p>
        </w:tc>
      </w:tr>
      <w:tr>
        <w:trPr/>
        <w:tc>
          <w:tcPr>
            <w:tcW w:w="4595" w:type="dxa"/>
            <w:gridSpan w:val="4"/>
            <w:tcBorders/>
            <w:shd w:fill="CCEEFF" w:val="clear"/>
            <w:tcMar>
              <w:bottom w:w="0" w:type="dxa"/>
            </w:tcMar>
            <w:vAlign w:val="bottom"/>
          </w:tcPr>
          <w:p>
            <w:pPr>
              <w:pStyle w:val="TableContents"/>
              <w:bidi w:val="0"/>
              <w:spacing w:before="0" w:after="0"/>
              <w:ind w:left="360" w:right="0" w:hanging="180"/>
              <w:jc w:val="left"/>
              <w:rPr>
                <w:color w:val="000000"/>
              </w:rPr>
            </w:pPr>
            <w:r>
              <w:rPr>
                <w:color w:val="000000"/>
              </w:rPr>
              <w:t xml:space="preserve">State Street Institutional U.S. Government Money Market Fund </w:t>
            </w:r>
            <w:r>
              <w:rPr>
                <w:color w:val="000000"/>
                <w:position w:val="8"/>
                <w:sz w:val="19"/>
              </w:rPr>
              <w:t>(12)</w:t>
            </w:r>
          </w:p>
        </w:tc>
        <w:tc>
          <w:tcPr>
            <w:tcW w:w="830" w:type="dxa"/>
            <w:tcBorders/>
            <w:shd w:fill="CCEEFF" w:val="clear"/>
            <w:tcMar>
              <w:bottom w:w="0" w:type="dxa"/>
            </w:tcMar>
            <w:vAlign w:val="bottom"/>
          </w:tcPr>
          <w:p>
            <w:pPr>
              <w:pStyle w:val="TableContents"/>
              <w:bidi w:val="0"/>
              <w:spacing w:before="0" w:after="0"/>
              <w:jc w:val="left"/>
              <w:rPr>
                <w:color w:val="000000"/>
              </w:rPr>
            </w:pPr>
            <w:r>
              <w:rPr>
                <w:color w:val="000000"/>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283"/>
              <w:jc w:val="right"/>
              <w:rPr/>
            </w:pPr>
            <w:r>
              <w:rPr/>
              <w:t>1</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108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2" w:type="dxa"/>
            <w:tcBorders/>
            <w:shd w:fill="CCEEFF" w:val="clear"/>
            <w:tcMar>
              <w:bottom w:w="0" w:type="dxa"/>
            </w:tcMar>
            <w:vAlign w:val="bottom"/>
          </w:tcPr>
          <w:p>
            <w:pPr>
              <w:pStyle w:val="TableContents"/>
              <w:bidi w:val="0"/>
              <w:spacing w:before="0" w:after="283"/>
              <w:jc w:val="left"/>
              <w:rPr/>
            </w:pPr>
            <w:r>
              <w:rPr/>
              <w:t> </w:t>
            </w:r>
          </w:p>
        </w:tc>
        <w:tc>
          <w:tcPr>
            <w:tcW w:w="788"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shd w:fill="CCEEFF" w:val="clear"/>
            <w:vAlign w:val="bottom"/>
          </w:tcPr>
          <w:p>
            <w:pPr>
              <w:pStyle w:val="TableContents"/>
              <w:bidi w:val="0"/>
              <w:spacing w:before="0" w:after="0"/>
              <w:jc w:val="left"/>
              <w:rPr>
                <w:color w:val="000000"/>
              </w:rPr>
            </w:pPr>
            <w:r>
              <w:rPr>
                <w:color w:val="000000"/>
              </w:rPr>
              <w:t>$</w:t>
            </w:r>
          </w:p>
        </w:tc>
        <w:tc>
          <w:tcPr>
            <w:tcW w:w="913"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32,612</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32,612</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38.12</w:t>
            </w:r>
          </w:p>
        </w:tc>
        <w:tc>
          <w:tcPr>
            <w:tcW w:w="260" w:type="dxa"/>
            <w:tcBorders/>
            <w:shd w:fill="CCEEFF" w:val="clear"/>
            <w:tcMar>
              <w:bottom w:w="0" w:type="dxa"/>
            </w:tcMar>
            <w:vAlign w:val="bottom"/>
          </w:tcPr>
          <w:p>
            <w:pPr>
              <w:pStyle w:val="TableContents"/>
              <w:bidi w:val="0"/>
              <w:spacing w:before="0" w:after="0"/>
              <w:jc w:val="left"/>
              <w:rPr>
                <w:color w:val="000000"/>
              </w:rPr>
            </w:pPr>
            <w:r>
              <w:rPr>
                <w:color w:val="000000"/>
              </w:rPr>
              <w:t>%</w:t>
            </w:r>
          </w:p>
        </w:tc>
      </w:tr>
      <w:tr>
        <w:trPr/>
        <w:tc>
          <w:tcPr>
            <w:tcW w:w="4595" w:type="dxa"/>
            <w:gridSpan w:val="4"/>
            <w:tcBorders/>
            <w:tcMar>
              <w:bottom w:w="0" w:type="dxa"/>
            </w:tcMar>
            <w:vAlign w:val="bottom"/>
          </w:tcPr>
          <w:p>
            <w:pPr>
              <w:pStyle w:val="TableContents"/>
              <w:bidi w:val="0"/>
              <w:spacing w:before="0" w:after="0"/>
              <w:ind w:left="180" w:right="0" w:hanging="0"/>
              <w:jc w:val="left"/>
              <w:rPr>
                <w:b/>
                <w:color w:val="000000"/>
              </w:rPr>
            </w:pPr>
            <w:r>
              <w:rPr>
                <w:b/>
                <w:color w:val="000000"/>
              </w:rPr>
              <w:t>Cash Equivalents (38.12%):</w:t>
            </w:r>
          </w:p>
        </w:tc>
        <w:tc>
          <w:tcPr>
            <w:tcW w:w="830" w:type="dxa"/>
            <w:tcBorders/>
            <w:tcMar>
              <w:bottom w:w="0" w:type="dxa"/>
            </w:tcMar>
            <w:vAlign w:val="bottom"/>
          </w:tcPr>
          <w:p>
            <w:pPr>
              <w:pStyle w:val="TableContents"/>
              <w:bidi w:val="0"/>
              <w:spacing w:before="0" w:after="0"/>
              <w:jc w:val="left"/>
              <w:rPr>
                <w:color w:val="000000"/>
              </w:rPr>
            </w:pPr>
            <w:r>
              <w:rPr>
                <w:color w:val="000000"/>
              </w:rPr>
              <w:t> </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0"/>
              <w:jc w:val="center"/>
              <w:rPr>
                <w:color w:val="000000"/>
              </w:rPr>
            </w:pPr>
            <w:r>
              <w:rPr>
                <w:color w:val="000000"/>
              </w:rPr>
              <w:t> </w:t>
            </w:r>
          </w:p>
        </w:tc>
        <w:tc>
          <w:tcPr>
            <w:tcW w:w="60" w:type="dxa"/>
            <w:tcBorders/>
            <w:tcMar>
              <w:bottom w:w="0" w:type="dxa"/>
            </w:tcMar>
            <w:vAlign w:val="bottom"/>
          </w:tcPr>
          <w:p>
            <w:pPr>
              <w:pStyle w:val="TableContents"/>
              <w:bidi w:val="0"/>
              <w:spacing w:before="0" w:after="283"/>
              <w:jc w:val="right"/>
              <w:rPr/>
            </w:pPr>
            <w:r>
              <w:rPr/>
              <w:t> </w:t>
            </w:r>
          </w:p>
        </w:tc>
        <w:tc>
          <w:tcPr>
            <w:tcW w:w="162" w:type="dxa"/>
            <w:tcBorders/>
            <w:tcMar>
              <w:bottom w:w="0" w:type="dxa"/>
            </w:tcMar>
            <w:vAlign w:val="bottom"/>
          </w:tcPr>
          <w:p>
            <w:pPr>
              <w:pStyle w:val="TableContents"/>
              <w:bidi w:val="0"/>
              <w:spacing w:before="0" w:after="283"/>
              <w:jc w:val="left"/>
              <w:rPr/>
            </w:pPr>
            <w:r>
              <w:rPr/>
              <w:t> </w:t>
            </w:r>
          </w:p>
        </w:tc>
        <w:tc>
          <w:tcPr>
            <w:tcW w:w="788"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vAlign w:val="bottom"/>
          </w:tcPr>
          <w:p>
            <w:pPr>
              <w:pStyle w:val="TableContents"/>
              <w:bidi w:val="0"/>
              <w:spacing w:before="0" w:after="283"/>
              <w:jc w:val="left"/>
              <w:rPr/>
            </w:pPr>
            <w:r>
              <w:rPr/>
              <w:t> </w:t>
            </w:r>
          </w:p>
        </w:tc>
        <w:tc>
          <w:tcPr>
            <w:tcW w:w="913" w:type="dxa"/>
            <w:tcBorders>
              <w:bottom w:val="single" w:sz="12" w:space="0" w:color="000000"/>
            </w:tcBorders>
            <w:vAlign w:val="bottom"/>
          </w:tcPr>
          <w:p>
            <w:pPr>
              <w:pStyle w:val="TableContents"/>
              <w:bidi w:val="0"/>
              <w:spacing w:before="0" w:after="0"/>
              <w:jc w:val="right"/>
              <w:rPr>
                <w:color w:val="000000"/>
              </w:rPr>
            </w:pPr>
            <w:r>
              <w:rPr>
                <w:color w:val="000000"/>
              </w:rPr>
              <w:t>32,612</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0"/>
              <w:jc w:val="right"/>
              <w:rPr>
                <w:color w:val="000000"/>
              </w:rPr>
            </w:pPr>
            <w:r>
              <w:rPr>
                <w:color w:val="000000"/>
              </w:rPr>
              <w:t>32,612</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0"/>
              <w:jc w:val="right"/>
              <w:rPr>
                <w:color w:val="000000"/>
              </w:rPr>
            </w:pPr>
            <w:r>
              <w:rPr>
                <w:color w:val="000000"/>
              </w:rPr>
              <w:t>38.12</w:t>
            </w:r>
          </w:p>
        </w:tc>
        <w:tc>
          <w:tcPr>
            <w:tcW w:w="260" w:type="dxa"/>
            <w:tcBorders/>
            <w:tcMar>
              <w:bottom w:w="0" w:type="dxa"/>
            </w:tcMar>
            <w:vAlign w:val="bottom"/>
          </w:tcPr>
          <w:p>
            <w:pPr>
              <w:pStyle w:val="TableContents"/>
              <w:bidi w:val="0"/>
              <w:spacing w:before="0" w:after="283"/>
              <w:jc w:val="left"/>
              <w:rPr/>
            </w:pPr>
            <w:r>
              <w:rPr/>
              <w:t> </w:t>
            </w:r>
          </w:p>
        </w:tc>
      </w:tr>
      <w:tr>
        <w:trPr/>
        <w:tc>
          <w:tcPr>
            <w:tcW w:w="1310" w:type="dxa"/>
            <w:tcBorders/>
            <w:shd w:fill="CCEEFF" w:val="clear"/>
            <w:tcMar>
              <w:bottom w:w="0" w:type="dxa"/>
            </w:tcMar>
            <w:vAlign w:val="bottom"/>
          </w:tcPr>
          <w:p>
            <w:pPr>
              <w:pStyle w:val="TableContents"/>
              <w:bidi w:val="0"/>
              <w:spacing w:before="0" w:after="0"/>
              <w:ind w:left="180" w:right="0" w:hanging="180"/>
              <w:jc w:val="left"/>
              <w:rPr>
                <w:color w:val="000000"/>
              </w:rPr>
            </w:pPr>
            <w:r>
              <w:rPr>
                <w:color w:val="000000"/>
              </w:rPr>
              <w:t> </w:t>
            </w:r>
          </w:p>
        </w:tc>
        <w:tc>
          <w:tcPr>
            <w:tcW w:w="116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1165" w:type="dxa"/>
            <w:tcBorders/>
            <w:shd w:fill="CCEEFF" w:val="clear"/>
            <w:tcMar>
              <w:bottom w:w="0" w:type="dxa"/>
            </w:tcMar>
            <w:vAlign w:val="bottom"/>
          </w:tcPr>
          <w:p>
            <w:pPr>
              <w:pStyle w:val="TableContents"/>
              <w:bidi w:val="0"/>
              <w:spacing w:before="0" w:after="0"/>
              <w:jc w:val="left"/>
              <w:rPr>
                <w:color w:val="000000"/>
              </w:rPr>
            </w:pPr>
            <w:r>
              <w:rPr>
                <w:color w:val="000000"/>
              </w:rPr>
              <w:t> </w:t>
            </w:r>
          </w:p>
        </w:tc>
        <w:tc>
          <w:tcPr>
            <w:tcW w:w="955" w:type="dxa"/>
            <w:tcBorders/>
            <w:shd w:fill="CCEEFF" w:val="clear"/>
            <w:tcMar>
              <w:bottom w:w="0" w:type="dxa"/>
            </w:tcMar>
            <w:vAlign w:val="bottom"/>
          </w:tcPr>
          <w:p>
            <w:pPr>
              <w:pStyle w:val="TableContents"/>
              <w:bidi w:val="0"/>
              <w:spacing w:before="0" w:after="0"/>
              <w:jc w:val="left"/>
              <w:rPr>
                <w:color w:val="000000"/>
              </w:rPr>
            </w:pPr>
            <w:r>
              <w:rPr>
                <w:color w:val="000000"/>
              </w:rPr>
              <w:t> </w:t>
            </w:r>
          </w:p>
        </w:tc>
        <w:tc>
          <w:tcPr>
            <w:tcW w:w="830" w:type="dxa"/>
            <w:tcBorders/>
            <w:shd w:fill="CCEEFF" w:val="clear"/>
            <w:tcMar>
              <w:bottom w:w="0" w:type="dxa"/>
            </w:tcMar>
            <w:vAlign w:val="bottom"/>
          </w:tcPr>
          <w:p>
            <w:pPr>
              <w:pStyle w:val="TableContents"/>
              <w:bidi w:val="0"/>
              <w:spacing w:before="0" w:after="0"/>
              <w:jc w:val="left"/>
              <w:rPr>
                <w:color w:val="000000"/>
              </w:rPr>
            </w:pPr>
            <w:r>
              <w:rPr>
                <w:color w:val="000000"/>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283"/>
              <w:jc w:val="left"/>
              <w:rPr/>
            </w:pPr>
            <w:r>
              <w:rPr/>
              <w:t> </w:t>
            </w:r>
          </w:p>
        </w:tc>
        <w:tc>
          <w:tcPr>
            <w:tcW w:w="739"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05" w:type="dxa"/>
            <w:tcBorders/>
            <w:shd w:fill="CCEEFF" w:val="clear"/>
            <w:tcMar>
              <w:bottom w:w="0" w:type="dxa"/>
            </w:tcMar>
            <w:vAlign w:val="bottom"/>
          </w:tcPr>
          <w:p>
            <w:pPr>
              <w:pStyle w:val="TableContents"/>
              <w:bidi w:val="0"/>
              <w:spacing w:before="0" w:after="283"/>
              <w:jc w:val="left"/>
              <w:rPr/>
            </w:pPr>
            <w:r>
              <w:rPr/>
              <w:t> </w:t>
            </w:r>
          </w:p>
        </w:tc>
        <w:tc>
          <w:tcPr>
            <w:tcW w:w="108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2" w:type="dxa"/>
            <w:tcBorders/>
            <w:shd w:fill="CCEEFF" w:val="clear"/>
            <w:tcMar>
              <w:bottom w:w="0" w:type="dxa"/>
            </w:tcMar>
            <w:vAlign w:val="bottom"/>
          </w:tcPr>
          <w:p>
            <w:pPr>
              <w:pStyle w:val="TableContents"/>
              <w:bidi w:val="0"/>
              <w:spacing w:before="0" w:after="283"/>
              <w:jc w:val="left"/>
              <w:rPr/>
            </w:pPr>
            <w:r>
              <w:rPr/>
              <w:t> </w:t>
            </w:r>
          </w:p>
        </w:tc>
        <w:tc>
          <w:tcPr>
            <w:tcW w:w="788"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shd w:fill="CCEEFF" w:val="clear"/>
            <w:tcMar>
              <w:bottom w:w="0" w:type="dxa"/>
            </w:tcMar>
            <w:vAlign w:val="bottom"/>
          </w:tcPr>
          <w:p>
            <w:pPr>
              <w:pStyle w:val="TableContents"/>
              <w:bidi w:val="0"/>
              <w:spacing w:before="0" w:after="283"/>
              <w:jc w:val="left"/>
              <w:rPr/>
            </w:pPr>
            <w:r>
              <w:rPr/>
              <w:t> </w:t>
            </w:r>
          </w:p>
        </w:tc>
        <w:tc>
          <w:tcPr>
            <w:tcW w:w="913"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r>
      <w:tr>
        <w:trPr/>
        <w:tc>
          <w:tcPr>
            <w:tcW w:w="4595" w:type="dxa"/>
            <w:gridSpan w:val="4"/>
            <w:tcBorders/>
            <w:tcMar>
              <w:bottom w:w="0" w:type="dxa"/>
            </w:tcMar>
            <w:vAlign w:val="bottom"/>
          </w:tcPr>
          <w:p>
            <w:pPr>
              <w:pStyle w:val="TableContents"/>
              <w:bidi w:val="0"/>
              <w:spacing w:before="0" w:after="0"/>
              <w:ind w:left="180" w:right="0" w:hanging="0"/>
              <w:jc w:val="left"/>
              <w:rPr>
                <w:b/>
              </w:rPr>
            </w:pPr>
            <w:r>
              <w:rPr>
                <w:b/>
              </w:rPr>
              <w:t>Total Portfolio Investments and Cash Equivalents (101.38%):</w:t>
            </w:r>
          </w:p>
        </w:tc>
        <w:tc>
          <w:tcPr>
            <w:tcW w:w="830" w:type="dxa"/>
            <w:tcBorders/>
            <w:tcMar>
              <w:bottom w:w="0" w:type="dxa"/>
            </w:tcMar>
            <w:vAlign w:val="bottom"/>
          </w:tcPr>
          <w:p>
            <w:pPr>
              <w:pStyle w:val="TableContents"/>
              <w:bidi w:val="0"/>
              <w:spacing w:before="0" w:after="0"/>
              <w:jc w:val="left"/>
              <w:rPr>
                <w:color w:val="000000"/>
              </w:rPr>
            </w:pPr>
            <w:r>
              <w:rPr>
                <w:color w:val="000000"/>
              </w:rPr>
              <w:t> </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283"/>
              <w:jc w:val="left"/>
              <w:rPr/>
            </w:pPr>
            <w:r>
              <w:rPr/>
              <w:t> </w:t>
            </w:r>
          </w:p>
        </w:tc>
        <w:tc>
          <w:tcPr>
            <w:tcW w:w="739"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tcBorders/>
            <w:tcMar>
              <w:bottom w:w="0" w:type="dxa"/>
            </w:tcMar>
            <w:vAlign w:val="bottom"/>
          </w:tcPr>
          <w:p>
            <w:pPr>
              <w:pStyle w:val="TableContents"/>
              <w:bidi w:val="0"/>
              <w:spacing w:before="0" w:after="283"/>
              <w:jc w:val="left"/>
              <w:rPr/>
            </w:pPr>
            <w:r>
              <w:rPr/>
              <w:t> </w:t>
            </w:r>
          </w:p>
        </w:tc>
        <w:tc>
          <w:tcPr>
            <w:tcW w:w="1085" w:type="dxa"/>
            <w:tcBorders/>
            <w:tcMar>
              <w:bottom w:w="0" w:type="dxa"/>
            </w:tcMar>
            <w:vAlign w:val="bottom"/>
          </w:tcPr>
          <w:p>
            <w:pPr>
              <w:pStyle w:val="TableContents"/>
              <w:bidi w:val="0"/>
              <w:spacing w:before="0" w:after="0"/>
              <w:jc w:val="center"/>
              <w:rPr>
                <w:color w:val="000000"/>
              </w:rPr>
            </w:pPr>
            <w:r>
              <w:rPr>
                <w:color w:val="000000"/>
              </w:rPr>
              <w:t> </w:t>
            </w:r>
          </w:p>
        </w:tc>
        <w:tc>
          <w:tcPr>
            <w:tcW w:w="60" w:type="dxa"/>
            <w:tcBorders/>
            <w:tcMar>
              <w:bottom w:w="0" w:type="dxa"/>
            </w:tcMar>
            <w:vAlign w:val="bottom"/>
          </w:tcPr>
          <w:p>
            <w:pPr>
              <w:pStyle w:val="TableContents"/>
              <w:bidi w:val="0"/>
              <w:spacing w:before="0" w:after="283"/>
              <w:jc w:val="right"/>
              <w:rPr/>
            </w:pPr>
            <w:r>
              <w:rPr/>
              <w:t> </w:t>
            </w:r>
          </w:p>
        </w:tc>
        <w:tc>
          <w:tcPr>
            <w:tcW w:w="162" w:type="dxa"/>
            <w:tcBorders/>
            <w:tcMar>
              <w:bottom w:w="0" w:type="dxa"/>
            </w:tcMar>
            <w:vAlign w:val="bottom"/>
          </w:tcPr>
          <w:p>
            <w:pPr>
              <w:pStyle w:val="TableContents"/>
              <w:bidi w:val="0"/>
              <w:spacing w:before="0" w:after="283"/>
              <w:jc w:val="left"/>
              <w:rPr/>
            </w:pPr>
            <w:r>
              <w:rPr/>
              <w:t> </w:t>
            </w:r>
          </w:p>
        </w:tc>
        <w:tc>
          <w:tcPr>
            <w:tcW w:w="788"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7" w:type="dxa"/>
            <w:tcBorders>
              <w:bottom w:val="double" w:sz="8" w:space="0" w:color="000000"/>
            </w:tcBorders>
            <w:vAlign w:val="bottom"/>
          </w:tcPr>
          <w:p>
            <w:pPr>
              <w:pStyle w:val="TableContents"/>
              <w:bidi w:val="0"/>
              <w:spacing w:before="0" w:after="0"/>
              <w:jc w:val="left"/>
              <w:rPr>
                <w:b/>
                <w:color w:val="000000"/>
              </w:rPr>
            </w:pPr>
            <w:r>
              <w:rPr>
                <w:b/>
                <w:color w:val="000000"/>
              </w:rPr>
              <w:t>$</w:t>
            </w:r>
          </w:p>
        </w:tc>
        <w:tc>
          <w:tcPr>
            <w:tcW w:w="913" w:type="dxa"/>
            <w:tcBorders>
              <w:bottom w:val="double" w:sz="8" w:space="0" w:color="000000"/>
            </w:tcBorders>
            <w:vAlign w:val="bottom"/>
          </w:tcPr>
          <w:p>
            <w:pPr>
              <w:pStyle w:val="TableContents"/>
              <w:bidi w:val="0"/>
              <w:spacing w:before="0" w:after="0"/>
              <w:jc w:val="right"/>
              <w:rPr>
                <w:b/>
                <w:color w:val="000000"/>
              </w:rPr>
            </w:pPr>
            <w:r>
              <w:rPr>
                <w:b/>
                <w:color w:val="000000"/>
              </w:rPr>
              <w:t>86,083</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bottom w:val="double" w:sz="8" w:space="0" w:color="000000"/>
            </w:tcBorders>
            <w:vAlign w:val="bottom"/>
          </w:tcPr>
          <w:p>
            <w:pPr>
              <w:pStyle w:val="TableContents"/>
              <w:bidi w:val="0"/>
              <w:spacing w:before="0" w:after="0"/>
              <w:jc w:val="left"/>
              <w:rPr>
                <w:b/>
                <w:color w:val="000000"/>
              </w:rPr>
            </w:pPr>
            <w:r>
              <w:rPr>
                <w:b/>
                <w:color w:val="000000"/>
              </w:rPr>
              <w:t>$</w:t>
            </w:r>
          </w:p>
        </w:tc>
        <w:tc>
          <w:tcPr>
            <w:tcW w:w="680" w:type="dxa"/>
            <w:tcBorders>
              <w:bottom w:val="double" w:sz="8" w:space="0" w:color="000000"/>
            </w:tcBorders>
            <w:vAlign w:val="bottom"/>
          </w:tcPr>
          <w:p>
            <w:pPr>
              <w:pStyle w:val="TableContents"/>
              <w:bidi w:val="0"/>
              <w:spacing w:before="0" w:after="0"/>
              <w:jc w:val="right"/>
              <w:rPr>
                <w:b/>
                <w:color w:val="000000"/>
              </w:rPr>
            </w:pPr>
            <w:r>
              <w:rPr>
                <w:b/>
                <w:color w:val="000000"/>
              </w:rPr>
              <w:t>86,732</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bottom w:val="double" w:sz="8" w:space="0" w:color="000000"/>
            </w:tcBorders>
            <w:vAlign w:val="bottom"/>
          </w:tcPr>
          <w:p>
            <w:pPr>
              <w:pStyle w:val="TableContents"/>
              <w:bidi w:val="0"/>
              <w:spacing w:before="0" w:after="283"/>
              <w:jc w:val="left"/>
              <w:rPr/>
            </w:pPr>
            <w:r>
              <w:rPr/>
              <w:t> </w:t>
            </w:r>
          </w:p>
        </w:tc>
        <w:tc>
          <w:tcPr>
            <w:tcW w:w="680" w:type="dxa"/>
            <w:tcBorders>
              <w:bottom w:val="double" w:sz="8" w:space="0" w:color="000000"/>
            </w:tcBorders>
            <w:vAlign w:val="bottom"/>
          </w:tcPr>
          <w:p>
            <w:pPr>
              <w:pStyle w:val="TableContents"/>
              <w:bidi w:val="0"/>
              <w:spacing w:before="0" w:after="0"/>
              <w:jc w:val="right"/>
              <w:rPr>
                <w:b/>
                <w:color w:val="000000"/>
              </w:rPr>
            </w:pPr>
            <w:r>
              <w:rPr>
                <w:b/>
                <w:color w:val="000000"/>
              </w:rPr>
              <w:t>101.38</w:t>
            </w:r>
          </w:p>
        </w:tc>
        <w:tc>
          <w:tcPr>
            <w:tcW w:w="260" w:type="dxa"/>
            <w:tcBorders/>
            <w:tcMar>
              <w:bottom w:w="0" w:type="dxa"/>
            </w:tcMar>
            <w:vAlign w:val="bottom"/>
          </w:tcPr>
          <w:p>
            <w:pPr>
              <w:pStyle w:val="TableContents"/>
              <w:bidi w:val="0"/>
              <w:spacing w:before="0" w:after="0"/>
              <w:jc w:val="left"/>
              <w:rPr>
                <w:b/>
                <w:color w:val="000000"/>
              </w:rPr>
            </w:pPr>
            <w:r>
              <w:rPr>
                <w:b/>
                <w:color w:val="000000"/>
              </w:rPr>
              <w:t>%</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(1)</w:t>
            </w:r>
          </w:p>
        </w:tc>
        <w:tc>
          <w:tcPr>
            <w:tcW w:w="9892" w:type="dxa"/>
            <w:tcBorders/>
            <w:vAlign w:val="center"/>
          </w:tcPr>
          <w:p>
            <w:pPr>
              <w:pStyle w:val="TableContents"/>
              <w:bidi w:val="0"/>
              <w:spacing w:before="0" w:after="0"/>
              <w:jc w:val="left"/>
              <w:rPr/>
            </w:pPr>
            <w:r>
              <w:rPr/>
              <w:t>All portfolio companies are located in the United States, as determined by the location of the portfolio company’s headquarters.</w:t>
            </w:r>
          </w:p>
        </w:tc>
      </w:tr>
    </w:tbl>
    <w:tbl>
      <w:tblPr>
        <w:tblW w:w="7128" w:type="dxa"/>
        <w:jc w:val="left"/>
        <w:tblInd w:w="0" w:type="dxa"/>
        <w:tblLayout w:type="fixed"/>
        <w:tblCellMar>
          <w:top w:w="0" w:type="dxa"/>
          <w:left w:w="0" w:type="dxa"/>
          <w:bottom w:w="0" w:type="dxa"/>
          <w:right w:w="0" w:type="dxa"/>
        </w:tblCellMar>
      </w:tblPr>
      <w:tblGrid>
        <w:gridCol w:w="38"/>
        <w:gridCol w:w="290"/>
        <w:gridCol w:w="680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(2)</w:t>
            </w:r>
          </w:p>
        </w:tc>
        <w:tc>
          <w:tcPr>
            <w:tcW w:w="6800" w:type="dxa"/>
            <w:tcBorders/>
            <w:vAlign w:val="center"/>
          </w:tcPr>
          <w:p>
            <w:pPr>
              <w:pStyle w:val="TableContents"/>
              <w:bidi w:val="0"/>
              <w:spacing w:before="0" w:after="0"/>
              <w:jc w:val="left"/>
              <w:rPr/>
            </w:pPr>
            <w:r>
              <w:rPr/>
              <w:t>No debt investment is non-income producing as of December 31, 2023.</w:t>
            </w:r>
          </w:p>
        </w:tc>
      </w:tr>
    </w:tbl>
    <w:tbl>
      <w:tblPr>
        <w:tblW w:w="9243" w:type="dxa"/>
        <w:jc w:val="left"/>
        <w:tblInd w:w="0" w:type="dxa"/>
        <w:tblLayout w:type="fixed"/>
        <w:tblCellMar>
          <w:top w:w="0" w:type="dxa"/>
          <w:left w:w="0" w:type="dxa"/>
          <w:bottom w:w="0" w:type="dxa"/>
          <w:right w:w="0" w:type="dxa"/>
        </w:tblCellMar>
      </w:tblPr>
      <w:tblGrid>
        <w:gridCol w:w="38"/>
        <w:gridCol w:w="290"/>
        <w:gridCol w:w="891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(3)</w:t>
            </w:r>
          </w:p>
        </w:tc>
        <w:tc>
          <w:tcPr>
            <w:tcW w:w="8915" w:type="dxa"/>
            <w:tcBorders/>
            <w:vAlign w:val="center"/>
          </w:tcPr>
          <w:p>
            <w:pPr>
              <w:pStyle w:val="TableContents"/>
              <w:bidi w:val="0"/>
              <w:spacing w:before="0" w:after="0"/>
              <w:jc w:val="left"/>
              <w:rPr/>
            </w:pPr>
            <w:r>
              <w:rPr/>
              <w:t>Investment date represents the date of initial investment, at which date interest began accruing.</w:t>
            </w:r>
          </w:p>
        </w:tc>
      </w:tr>
    </w:tbl>
    <w:tbl>
      <w:tblPr>
        <w:tblW w:w="6318" w:type="dxa"/>
        <w:jc w:val="left"/>
        <w:tblInd w:w="0" w:type="dxa"/>
        <w:tblLayout w:type="fixed"/>
        <w:tblCellMar>
          <w:top w:w="0" w:type="dxa"/>
          <w:left w:w="0" w:type="dxa"/>
          <w:bottom w:w="0" w:type="dxa"/>
          <w:right w:w="0" w:type="dxa"/>
        </w:tblCellMar>
      </w:tblPr>
      <w:tblGrid>
        <w:gridCol w:w="38"/>
        <w:gridCol w:w="290"/>
        <w:gridCol w:w="599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(4)</w:t>
            </w:r>
          </w:p>
        </w:tc>
        <w:tc>
          <w:tcPr>
            <w:tcW w:w="5990" w:type="dxa"/>
            <w:tcBorders/>
            <w:vAlign w:val="center"/>
          </w:tcPr>
          <w:p>
            <w:pPr>
              <w:pStyle w:val="TableContents"/>
              <w:bidi w:val="0"/>
              <w:spacing w:before="0" w:after="0"/>
              <w:jc w:val="left"/>
              <w:rPr/>
            </w:pPr>
            <w:r>
              <w:rPr/>
              <w:t>Interest rate is the fixed or variable rate of the debt investments.</w:t>
            </w:r>
          </w:p>
        </w:tc>
      </w:tr>
    </w:tbl>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pPr>
            <w:r>
              <w:rPr/>
            </w:r>
          </w:p>
        </w:tc>
        <w:tc>
          <w:tcPr>
            <w:tcW w:w="264" w:type="dxa"/>
            <w:tcBorders/>
            <w:vAlign w:val="center"/>
          </w:tcPr>
          <w:p>
            <w:pPr>
              <w:pStyle w:val="TableContents"/>
              <w:bidi w:val="0"/>
              <w:spacing w:before="0" w:after="283"/>
              <w:jc w:val="left"/>
              <w:rPr/>
            </w:pPr>
            <w:r>
              <w:rPr/>
              <w:t>(5)</w:t>
            </w:r>
          </w:p>
        </w:tc>
        <w:tc>
          <w:tcPr>
            <w:tcW w:w="9903" w:type="dxa"/>
            <w:tcBorders/>
            <w:vAlign w:val="center"/>
          </w:tcPr>
          <w:p>
            <w:pPr>
              <w:pStyle w:val="TableContents"/>
              <w:bidi w:val="0"/>
              <w:spacing w:before="0" w:after="0"/>
              <w:jc w:val="left"/>
              <w:rPr/>
            </w:pPr>
            <w:r>
              <w:rPr/>
              <w:t>See Note 2 – Significant Accounting Policies and Note 4 — Fair Value of Financial Instruments in the accompanying notes to the financial statements.</w:t>
            </w:r>
          </w:p>
        </w:tc>
      </w:tr>
    </w:tbl>
    <w:tbl>
      <w:tblPr>
        <w:tblW w:w="9498" w:type="dxa"/>
        <w:jc w:val="left"/>
        <w:tblInd w:w="0" w:type="dxa"/>
        <w:tblLayout w:type="fixed"/>
        <w:tblCellMar>
          <w:top w:w="0" w:type="dxa"/>
          <w:left w:w="0" w:type="dxa"/>
          <w:bottom w:w="0" w:type="dxa"/>
          <w:right w:w="0" w:type="dxa"/>
        </w:tblCellMar>
      </w:tblPr>
      <w:tblGrid>
        <w:gridCol w:w="38"/>
        <w:gridCol w:w="290"/>
        <w:gridCol w:w="917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(6)</w:t>
            </w:r>
          </w:p>
        </w:tc>
        <w:tc>
          <w:tcPr>
            <w:tcW w:w="9170" w:type="dxa"/>
            <w:tcBorders/>
            <w:vAlign w:val="center"/>
          </w:tcPr>
          <w:p>
            <w:pPr>
              <w:pStyle w:val="TableContents"/>
              <w:bidi w:val="0"/>
              <w:spacing w:before="0" w:after="0"/>
              <w:jc w:val="left"/>
              <w:rPr/>
            </w:pPr>
            <w:r>
              <w:rPr/>
              <w:t>Geographic regions are determined by the respective portfolio company’s headquarters’ location.</w:t>
            </w:r>
          </w:p>
        </w:tc>
      </w:tr>
    </w:tbl>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(7)</w:t>
            </w:r>
          </w:p>
        </w:tc>
        <w:tc>
          <w:tcPr>
            <w:tcW w:w="9939" w:type="dxa"/>
            <w:tcBorders/>
            <w:vAlign w:val="center"/>
          </w:tcPr>
          <w:p>
            <w:pPr>
              <w:pStyle w:val="TableContents"/>
              <w:bidi w:val="0"/>
              <w:spacing w:before="0" w:after="0"/>
              <w:jc w:val="left"/>
              <w:rPr/>
            </w:pPr>
            <w:r>
              <w:rPr/>
              <w:t>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 As of December 31, 2023 the aggregate fair value of non-qualifying assets is $25,077 or 29.3% of the Company’s total assets.</w:t>
            </w:r>
          </w:p>
        </w:tc>
      </w:tr>
    </w:tbl>
    <w:tbl>
      <w:tblPr>
        <w:tblW w:w="8553" w:type="dxa"/>
        <w:jc w:val="left"/>
        <w:tblInd w:w="0" w:type="dxa"/>
        <w:tblLayout w:type="fixed"/>
        <w:tblCellMar>
          <w:top w:w="0" w:type="dxa"/>
          <w:left w:w="0" w:type="dxa"/>
          <w:bottom w:w="0" w:type="dxa"/>
          <w:right w:w="0" w:type="dxa"/>
        </w:tblCellMar>
      </w:tblPr>
      <w:tblGrid>
        <w:gridCol w:w="38"/>
        <w:gridCol w:w="290"/>
        <w:gridCol w:w="822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(8)</w:t>
            </w:r>
          </w:p>
        </w:tc>
        <w:tc>
          <w:tcPr>
            <w:tcW w:w="8225" w:type="dxa"/>
            <w:tcBorders/>
            <w:vAlign w:val="center"/>
          </w:tcPr>
          <w:p>
            <w:pPr>
              <w:pStyle w:val="TableContents"/>
              <w:bidi w:val="0"/>
              <w:spacing w:before="0" w:after="0"/>
              <w:jc w:val="left"/>
              <w:rPr/>
            </w:pPr>
            <w:r>
              <w:rPr/>
              <w:t>Principal is net of repayments, if any, as per the terms of the debt instrument’s contract.</w:t>
            </w:r>
          </w:p>
        </w:tc>
      </w:tr>
    </w:tbl>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pPr>
            <w:r>
              <w:rPr/>
            </w:r>
          </w:p>
        </w:tc>
        <w:tc>
          <w:tcPr>
            <w:tcW w:w="265" w:type="dxa"/>
            <w:tcBorders/>
            <w:vAlign w:val="center"/>
          </w:tcPr>
          <w:p>
            <w:pPr>
              <w:pStyle w:val="TableContents"/>
              <w:bidi w:val="0"/>
              <w:spacing w:before="0" w:after="283"/>
              <w:jc w:val="left"/>
              <w:rPr/>
            </w:pPr>
            <w:r>
              <w:rPr/>
              <w:t>(9)</w:t>
            </w:r>
          </w:p>
        </w:tc>
        <w:tc>
          <w:tcPr>
            <w:tcW w:w="9902" w:type="dxa"/>
            <w:tcBorders/>
            <w:vAlign w:val="center"/>
          </w:tcPr>
          <w:p>
            <w:pPr>
              <w:pStyle w:val="TableContents"/>
              <w:bidi w:val="0"/>
              <w:spacing w:before="0" w:after="0"/>
              <w:jc w:val="left"/>
              <w:rPr/>
            </w:pPr>
            <w:r>
              <w:rPr/>
              <w:t>All investments were valued at fair value. See Note 4 — Fair Value of Financial Instruments in the accompanying notes to the financial statements.</w:t>
            </w:r>
          </w:p>
        </w:tc>
      </w:tr>
    </w:tbl>
    <w:tbl>
      <w:tblPr>
        <w:tblW w:w="10205" w:type="dxa"/>
        <w:jc w:val="left"/>
        <w:tblInd w:w="0" w:type="dxa"/>
        <w:tblLayout w:type="fixed"/>
        <w:tblCellMar>
          <w:top w:w="0" w:type="dxa"/>
          <w:left w:w="0" w:type="dxa"/>
          <w:bottom w:w="0" w:type="dxa"/>
          <w:right w:w="0" w:type="dxa"/>
        </w:tblCellMar>
      </w:tblPr>
      <w:tblGrid>
        <w:gridCol w:w="38"/>
        <w:gridCol w:w="383"/>
        <w:gridCol w:w="9784"/>
      </w:tblGrid>
      <w:tr>
        <w:trPr/>
        <w:tc>
          <w:tcPr>
            <w:tcW w:w="38" w:type="dxa"/>
            <w:tcBorders/>
            <w:vAlign w:val="center"/>
          </w:tcPr>
          <w:p>
            <w:pPr>
              <w:pStyle w:val="TableContents"/>
              <w:bidi w:val="0"/>
              <w:spacing w:before="0" w:after="283"/>
              <w:jc w:val="left"/>
              <w:rPr/>
            </w:pPr>
            <w:r>
              <w:rPr/>
            </w:r>
          </w:p>
        </w:tc>
        <w:tc>
          <w:tcPr>
            <w:tcW w:w="383" w:type="dxa"/>
            <w:tcBorders/>
            <w:vAlign w:val="center"/>
          </w:tcPr>
          <w:p>
            <w:pPr>
              <w:pStyle w:val="TableContents"/>
              <w:bidi w:val="0"/>
              <w:spacing w:before="0" w:after="283"/>
              <w:jc w:val="left"/>
              <w:rPr/>
            </w:pPr>
            <w:r>
              <w:rPr/>
              <w:t>(10)</w:t>
            </w:r>
          </w:p>
        </w:tc>
        <w:tc>
          <w:tcPr>
            <w:tcW w:w="9784" w:type="dxa"/>
            <w:tcBorders/>
            <w:vAlign w:val="center"/>
          </w:tcPr>
          <w:p>
            <w:pPr>
              <w:pStyle w:val="TableContents"/>
              <w:bidi w:val="0"/>
              <w:spacing w:before="0" w:after="0"/>
              <w:jc w:val="left"/>
              <w:rPr/>
            </w:pPr>
            <w:r>
              <w:rPr/>
              <w:t>The Company uses the North American Industry Classification System (“NAICS”) code for classifying the industry grouping of its portfolio companies.</w:t>
            </w:r>
          </w:p>
        </w:tc>
      </w:tr>
    </w:tbl>
    <w:tbl>
      <w:tblPr>
        <w:tblW w:w="4683" w:type="dxa"/>
        <w:jc w:val="left"/>
        <w:tblInd w:w="0" w:type="dxa"/>
        <w:tblLayout w:type="fixed"/>
        <w:tblCellMar>
          <w:top w:w="0" w:type="dxa"/>
          <w:left w:w="0" w:type="dxa"/>
          <w:bottom w:w="0" w:type="dxa"/>
          <w:right w:w="0" w:type="dxa"/>
        </w:tblCellMar>
      </w:tblPr>
      <w:tblGrid>
        <w:gridCol w:w="38"/>
        <w:gridCol w:w="410"/>
        <w:gridCol w:w="4235"/>
      </w:tblGrid>
      <w:tr>
        <w:trPr/>
        <w:tc>
          <w:tcPr>
            <w:tcW w:w="38" w:type="dxa"/>
            <w:tcBorders/>
            <w:vAlign w:val="center"/>
          </w:tcPr>
          <w:p>
            <w:pPr>
              <w:pStyle w:val="TableContents"/>
              <w:bidi w:val="0"/>
              <w:spacing w:before="0" w:after="283"/>
              <w:jc w:val="left"/>
              <w:rPr/>
            </w:pPr>
            <w:r>
              <w:rPr/>
            </w:r>
          </w:p>
        </w:tc>
        <w:tc>
          <w:tcPr>
            <w:tcW w:w="410" w:type="dxa"/>
            <w:tcBorders/>
            <w:vAlign w:val="center"/>
          </w:tcPr>
          <w:p>
            <w:pPr>
              <w:pStyle w:val="TableContents"/>
              <w:bidi w:val="0"/>
              <w:spacing w:before="0" w:after="283"/>
              <w:jc w:val="left"/>
              <w:rPr/>
            </w:pPr>
            <w:r>
              <w:rPr/>
              <w:t>(11)</w:t>
            </w:r>
          </w:p>
        </w:tc>
        <w:tc>
          <w:tcPr>
            <w:tcW w:w="4235" w:type="dxa"/>
            <w:tcBorders/>
            <w:vAlign w:val="center"/>
          </w:tcPr>
          <w:p>
            <w:pPr>
              <w:pStyle w:val="TableContents"/>
              <w:bidi w:val="0"/>
              <w:spacing w:before="0" w:after="0"/>
              <w:jc w:val="left"/>
              <w:rPr/>
            </w:pPr>
            <w:r>
              <w:rPr/>
              <w:t>As of December 31, 2023 PRIME is 8.50%.</w:t>
            </w:r>
          </w:p>
        </w:tc>
      </w:tr>
    </w:tbl>
    <w:tbl>
      <w:tblPr>
        <w:tblW w:w="6873" w:type="dxa"/>
        <w:jc w:val="left"/>
        <w:tblInd w:w="0" w:type="dxa"/>
        <w:tblLayout w:type="fixed"/>
        <w:tblCellMar>
          <w:top w:w="0" w:type="dxa"/>
          <w:left w:w="0" w:type="dxa"/>
          <w:bottom w:w="0" w:type="dxa"/>
          <w:right w:w="0" w:type="dxa"/>
        </w:tblCellMar>
      </w:tblPr>
      <w:tblGrid>
        <w:gridCol w:w="38"/>
        <w:gridCol w:w="410"/>
        <w:gridCol w:w="6425"/>
      </w:tblGrid>
      <w:tr>
        <w:trPr/>
        <w:tc>
          <w:tcPr>
            <w:tcW w:w="38" w:type="dxa"/>
            <w:tcBorders/>
            <w:vAlign w:val="center"/>
          </w:tcPr>
          <w:p>
            <w:pPr>
              <w:pStyle w:val="TableContents"/>
              <w:bidi w:val="0"/>
              <w:spacing w:before="0" w:after="283"/>
              <w:jc w:val="left"/>
              <w:rPr/>
            </w:pPr>
            <w:r>
              <w:rPr/>
            </w:r>
          </w:p>
        </w:tc>
        <w:tc>
          <w:tcPr>
            <w:tcW w:w="410" w:type="dxa"/>
            <w:tcBorders/>
            <w:vAlign w:val="center"/>
          </w:tcPr>
          <w:p>
            <w:pPr>
              <w:pStyle w:val="TableContents"/>
              <w:bidi w:val="0"/>
              <w:spacing w:before="0" w:after="283"/>
              <w:jc w:val="left"/>
              <w:rPr/>
            </w:pPr>
            <w:r>
              <w:rPr/>
              <w:t>(12)</w:t>
            </w:r>
          </w:p>
        </w:tc>
        <w:tc>
          <w:tcPr>
            <w:tcW w:w="6425" w:type="dxa"/>
            <w:tcBorders/>
            <w:vAlign w:val="center"/>
          </w:tcPr>
          <w:p>
            <w:pPr>
              <w:pStyle w:val="TableContents"/>
              <w:bidi w:val="0"/>
              <w:spacing w:before="0" w:after="0"/>
              <w:jc w:val="left"/>
              <w:rPr/>
            </w:pPr>
            <w:r>
              <w:rPr/>
              <w:t>The annualized seven-day yield as of December 31, 2023 is 5.32%.</w:t>
            </w:r>
          </w:p>
        </w:tc>
      </w:tr>
    </w:tbl>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notes to financial statements.</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bookmarkStart w:id="9" w:name="NotestoFinancialStatement"/>
      <w:bookmarkEnd w:id="9"/>
      <w:r>
        <w:rPr>
          <w:rFonts w:ascii="Times New Roman" w:hAnsi="Times New Roman"/>
          <w:b/>
          <w:color w:val="000000"/>
          <w:sz w:val="20"/>
          <w:shd w:fill="FFFFFF" w:val="clear"/>
        </w:rPr>
        <w:t>Notes to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1 — ORGANIZATION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Silver Spike Investment Corp. (an emerging growth company) (the “Company”, “we” or “our”) was formed on January 25, 2021 as a Maryland corporation structured as an externally managed, closed-end, non-diversified management investment company. The Company has elected to be treated as a business development company (“BDC”), under the Investment Company Act of 1940, as amended (“1940 Act”). In addition, for U.S. federal income tax purposes the Company adopted an initial tax year end of December 31, 2021, and was taxed as a corporation for the tax period ended December 31, 2021. The Company adopted the tax year end of March 31 and elected to be treated for U.S. federal income tax purposes as a regulated investment company (“RIC”) under Subchapter M of the Internal Revenue Code of 1986, as amended (the “Code”) for the tax period January 1, 2022 through March 31, 2022, as well as maintain such election in future taxable years. However, there is no guarantee that the Company will qualify to make such an election for any taxable year.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February 4, 2022, the Company’s common stock began trading on the Nasdaq Global Market under the ticker symbol “SSIC,” and we completed our initial public offering of 6,214,286 shares of our common stock, par value $0.01, inclusive of an over-allotment option that was exercised on March 1, 2022 (“IPO”), for approximately $87 million.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managed by Silver Spike Capital, LLC (“SSC” or “Adviser”), a registered investment advisor under the Investment Advisers Act of 1940 with the Securities and Exchange Commission. SSC has engaged SS&amp;C Technologies, Inc. and ALPS Fund Services, Inc. (“SS&amp;C”), as sub-administrator, to perform administrative services necessary for the Company to operate.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investment objective is to maximize risk-adjusted returns on equity for its shareholders. The Company seeks to drive return on equity by generating current income from debt investments and capital appreciation from equity and equity-related investments. The Company intends to achieve its investment objective by investing primarily in secured debt, unsecured debt, equity warrants and direct equity investments in private leveraged middle-market cannabis companies and other companies in the health and wellness sector. The debt investments are often secured by either a first or second priority lien on the assets of the portfolio company, can include either fixed or floating rate terms and will generally have a term of between two and six years from the original investment date.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November 8, 2022, the Board of Directors (“Board”) of the Company approved a change in its fiscal year end from March 31 to December 31. Certain prior period information has been reclassified to conform to the current period presentation.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February 18, 2024, the Company entered into a definitive Purchase Agreement (the “Loan Portfolio Acquisition Agreement”) with Chicago Atlantic Loan Portfolio, LLC (“CALP”), pursuant to which the Company would purchase all or substantially all of the portfolio investments held by CALP (the “Loan Portfolio”) in exchange for newly issued shares of the Company’s common stock with a net asset value equal to the value of the Loan Portfolio, each determined shortly before closing (the “Loan Portfolio Consideration”), subject to certain customary closing conditions (the “Loan Portfolio Acquisition”). The Board, including all the independent directors, upon the recommendation of a special committee composed solely of the independent directors (the “Special Committee”), has approved the Loan Portfolio Acquisition Agreement and the transactions contemplated thereby. The Company’s current officers would continue to be a part of the Company’s management team following the Loan Portfolio Acquisition. Assuming satisfaction of the conditions to the transaction, the Loan Portfolio Acquisition is expected to close in mid-2024. See “Note 12 – Proposed Loan Portfolio Acquisition” for further information regarding the Loan Portfolio Acquisition Agreement and the Loan Portfolio Acquisition.</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February 20, 2024, SSC announced that it entered into a definitive agreement with Chicago Atlantic BDC Holdings, LLC (together with its affiliates, “Chicago Atlantic”), the investment adviser of CALP, pursuant to which a joint venture between Chicago Atlantic and SSC would be created to combine and jointly operate SSC’s, and a portion of Chicago Atlantic’s, investment management businesses, subject to certain customary closing conditions (the “Joint Venture”). The Joint Venture would cause the automatic termination of the Company’s existing investment advisory agreement with SSC. As a result, the Board unanimously approved, upon the recommendation of the Special Committee, a new investment advisory agreement with SSC to take effect upon closing of the Joint Venture, subject to Company stockholder approval. The new investment advisory agreement is identical, in all material respects, to the current investment advisory agreement. Upon the effectiveness of the new investment advisory agreement, the Company would be renamed Chicago Atlantic BDC, Inc. and SSC would be renamed Chicago Atlantic BDC Advisers, LLC.</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February 20, 2024, the Company announced that the Board unanimously approved an expansion of the Company’s investment strategy to permit investments in companies outside of the cannabis and health and wellness sectors that otherwise meet the Company’s investment criteria. The investment strategy change became effective on April 22, 2024.</w:t>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200" w:after="200"/>
        <w:jc w:val="left"/>
        <w:rPr/>
      </w:pPr>
      <w:hyperlink w:anchor="TABLEOFCONTENTS">
        <w:r>
          <w:rPr/>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200" w:after="200"/>
        <w:jc w:val="left"/>
        <w:rPr/>
      </w:pPr>
      <w:r>
        <w:rPr/>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Financial Statements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2 — SIGNIFICANT ACCOUNTING POLICIES</w:t>
      </w:r>
    </w:p>
    <w:p>
      <w:pPr>
        <w:pStyle w:val="TextBody"/>
        <w:bidi w:val="0"/>
        <w:spacing w:before="0" w:after="0"/>
        <w:jc w:val="both"/>
        <w:rPr>
          <w:rFonts w:ascii="Times New Roman" w:hAnsi="Times New Roman"/>
          <w:b/>
          <w:sz w:val="20"/>
        </w:rPr>
      </w:pPr>
      <w:r>
        <w:rPr>
          <w:rFonts w:ascii="Times New Roman" w:hAnsi="Times New Roman"/>
          <w:b/>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Basis of Presentation</w:t>
      </w:r>
    </w:p>
    <w:p>
      <w:pPr>
        <w:pStyle w:val="TextBody"/>
        <w:widowControl/>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Company’s financial statements have been prepared in accordance with accounting principles generally accepted in the United States of America (“U.S. GAAP”), including the requirements under ASC 946, Financial Services—Investment Companies and Articles 6 and 12 of Regulation S-X. </w:t>
      </w:r>
      <w:r>
        <w:rPr>
          <w:rFonts w:ascii="Times New Roman" w:hAnsi="Times New Roman"/>
          <w:b w:val="false"/>
          <w:i w:val="false"/>
          <w:caps w:val="false"/>
          <w:smallCaps w:val="false"/>
          <w:color w:val="000000"/>
          <w:spacing w:val="0"/>
          <w:sz w:val="20"/>
          <w:shd w:fill="FFFFFF" w:val="clear"/>
        </w:rPr>
        <w:t>In the opinion of management, all adjustments of a normal recurring nature considered necessary for the fair presentation of the financial statements for the interim period presented have been made, and such adjustments are normal and recurring in nature. The current period’s results of operations are not necessarily indicative of results that may be achieved for the year</w:t>
      </w:r>
      <w:r>
        <w:rPr>
          <w:rFonts w:ascii="Times New Roman" w:hAnsi="Times New Roman"/>
          <w:b w:val="false"/>
          <w:i w:val="false"/>
          <w:caps w:val="false"/>
          <w:smallCaps w:val="false"/>
          <w:color w:val="000000"/>
          <w:spacing w:val="0"/>
          <w:sz w:val="20"/>
          <w:shd w:fill="FFFFFF" w:val="clear"/>
        </w:rPr>
        <w: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Use of Estimates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preparation of the financial statements in conformity with U.S. GAAP requires management to make certain estimates and assumptions affecting reported amounts of assets and liabilities at the date of the financial statements (i.e. fair value of investments) and the reported amounts of income, expenses, and gains and losses during the reported period. These estimates are based on the information that is currently available to the Company and on various other assumptions that the Company believes to be reasonable under the circumstances. Actual results could differ materially from those estimates under different assumptions and conditions.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Investment Valuation</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investments are recorded at their estimated fair value on the Statement of Assets and Liabilities. Investments for which market quotations are readily available will typically be valued at the bid price of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Generally, the valuation approach used for debt investments is the income approach. The approach derives a value based on either determining the present value of a projected level of cash flow, including a terminal value, or by the capitalization of a normalized measure of future cash flow. The discounted cash flow (“DCF”) method, one of the methodologies under the income approach, involves estimating future cash flows under various scenarios and discounting them to the measurement date. The discount rate represents a return required by a market participant in order to make an investment in the subject company.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Alternatively, the market approach or asset approach may be used. The market approach is a way of determining a value indication by using one or more methods that compare the portfolio company to similar businesses. Value indicators are applied to relevant financial information of the entity being valued to estimate its fair value. There are two methodologies to consider under the market approach: the guideline company method (“GCM”) and the controlling transaction method (“CTM”). The GCM is based on the premise that the pricing multiples of comparable publicly traded companies can be used as a tool to value privately held companies. The publicly traded companies’ ratios and business enterprise value provide guidance in the valuation process. Considerations of factors such as size, growth, profitability and return on investment are also analyzed and compared to the subject business. The CTM is based on the same premise as the GCM. Guideline transactions include change-of-control transactions involving public or private businesses for companies engaged in similar lines of business or with similar economic characteristics. The valuation considers the price at which the merger or acquisition took place to other factors in order to create a pricing multiple that can be used to determine an estimate of value for the subject company.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asset approach provides an indication of the portfolio company’s value by developing a valuation-based balance sheet. This approach requires adjusting the historical assets and liabilities listed on the U.S. GAAP-based balance sheet to estimated fair values. The excess of assets over liabilities represents the tangible value of the business enterprise. The asset approach does not consider the relevant earnings capacity of a going concern business.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Effective September 8, 2022, pursuant to Rule 2a-5 under the 1940 Act, the Board designated the Adviser as the Valuation Designee to perform the fair value determinations for the Company, subject to the oversight of the Board and certain Board reporting and other requirements.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When an external event such as a purchase transaction, public offering or subsequent equity sale occurs, the Adviser considers whether the pricing indicated by the external event corroborates its valuation.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Adviser undertakes a multi-step valuation process, which includes, among other procedures,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pPr>
            <w:r>
              <w:rPr/>
              <w:t>With respect to investments for which market quotations are readily available, those investments will typically be valued at the bid price of those market quotations;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200" w:after="200"/>
        <w:jc w:val="left"/>
        <w:rPr/>
      </w:pPr>
      <w:hyperlink w:anchor="TABLEOFCONTENTS">
        <w:r>
          <w:rPr/>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200" w:after="200"/>
        <w:jc w:val="left"/>
        <w:rPr/>
      </w:pPr>
      <w:r>
        <w:rPr/>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Financial Statements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pPr>
            <w:r>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pPr>
            <w:r>
              <w:rPr/>
              <w:t>Preliminary valuations are documented and discussed by the Adviser’s valuation committee and, where appropriate, the independent valuation firm(s); and</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5605" w:type="dxa"/>
        <w:jc w:val="left"/>
        <w:tblInd w:w="0" w:type="dxa"/>
        <w:tblLayout w:type="fixed"/>
        <w:tblCellMar>
          <w:top w:w="0" w:type="dxa"/>
          <w:left w:w="0" w:type="dxa"/>
          <w:bottom w:w="0" w:type="dxa"/>
          <w:right w:w="0" w:type="dxa"/>
        </w:tblCellMar>
      </w:tblPr>
      <w:tblGrid>
        <w:gridCol w:w="125"/>
        <w:gridCol w:w="5480"/>
      </w:tblGrid>
      <w:tr>
        <w:trPr/>
        <w:tc>
          <w:tcPr>
            <w:tcW w:w="125"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0"/>
              <w:jc w:val="both"/>
              <w:rPr/>
            </w:pPr>
            <w:r>
              <w:rPr/>
              <w:t>The Adviser determines the fair value of each investment.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conduct this valuation process on a quarterly basis.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We apply Financial Accounting Standards Board Accounting Standards Codification 820, </w:t>
      </w:r>
      <w:r>
        <w:rPr>
          <w:rFonts w:ascii="Times New Roman" w:hAnsi="Times New Roman"/>
          <w:i/>
          <w:color w:val="000000"/>
          <w:sz w:val="20"/>
          <w:shd w:fill="FFFFFF" w:val="clear"/>
        </w:rPr>
        <w:t>Fair Value Measurement</w:t>
      </w:r>
      <w:r>
        <w:rPr>
          <w:rFonts w:ascii="Times New Roman" w:hAnsi="Times New Roman"/>
          <w:color w:val="000000"/>
          <w:sz w:val="20"/>
          <w:shd w:fill="FFFFFF" w:val="clear"/>
        </w:rPr>
        <w:t xml:space="preserve">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pPr>
            <w:r>
              <w:rPr/>
              <w:t>Level 1 – Valuations based on quoted prices in active markets for identical assets or liabilities that we have the ability to access at the measurement date;</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pPr>
            <w:r>
              <w:rPr/>
              <w:t xml:space="preserve">Level 2 – Valuations based on quoted prices </w:t>
            </w:r>
            <w:r>
              <w:rPr>
                <w:color w:val="000000"/>
              </w:rPr>
              <w:t xml:space="preserve">for similar assets or liabilities in active markets, or quoted prices for identical or similar assets or liabilities </w:t>
            </w:r>
            <w:r>
              <w:rPr/>
              <w:t>in markets that are not active, or for which all significant inputs are observable, either directly or indirectly; and</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pPr>
            <w:r>
              <w:rPr/>
              <w:t>Level 3 – Valuations based on inputs that are unobservable and significant to the overall fair value measurement.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pStyle w:val="TextBody"/>
        <w:bidi w:val="0"/>
        <w:spacing w:before="0" w:after="0"/>
        <w:jc w:val="both"/>
        <w:rPr>
          <w:rFonts w:ascii="Times New Roman" w:hAnsi="Times New Roman"/>
          <w:b/>
          <w:i/>
          <w:sz w:val="20"/>
        </w:rPr>
      </w:pPr>
      <w:r>
        <w:rPr>
          <w:rFonts w:ascii="Times New Roman" w:hAnsi="Times New Roman"/>
          <w:b/>
          <w:i/>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Equity Securities and Warrants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may be issued warrants by issuers as yield enhancements. These warrants are recorded as assets at estimated fair value on the grant date. The Company determines the cost basis of the warrants or other equity securities received based upon their respective fair values on the date of receipt in proportion to the total fair value of the debt and warrants or other equity securities received. Depending on the facts and circumstances, the Company generally utilizes a combination of one or several forms of the market approach and contingent claim analyses (a form of option analysis) to estimate the fair value of the securities as of the measurement date and determines the cost basis using a relative fair value methodology. As part of its application of the market approach, the Company estimates the enterprise value of a portfolio company utilizing customary pricing multiples, based on the development stage of the underlying issuers, or other appropriate valuation methods, such as considering recent transactions in the equity securities of the portfolio company or third-party valuations that are assessed to be indicative of fair value of the respective portfolio company. If appropriate, based on the facts and circumstances, the Company performs an allocation of the enterprise value to the equity securities utilizing a contingent claim analysis and/or other waterfall calculation by which it allocates the enterprise value across the portfolio company’s warrants and other equity securities in order of their preference relative to one another.</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Cash and Cash Equivalents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Cash and cash equivalents consists of funds deposited with financial institutions and short-term (maturity of 90 days or less) liquid investments and money market funds. Funds held in money market funds are considered Level 1 in the fair value hierarchy in accordance with ASC 820. Cash held in demand deposit accounts may exceed the Federal Deposit Insurance Corporation (“FDIC”) insured limit. The Company has not incurred any losses on these accounts, and the credit risk exposure is mitigated by the financial strength of the banking institution where the accounts are held. As of June 30, 2024 and December 31, 2023, cash and cash equivalents consisted of $34.00 million and $32.61 million, respectively, of which $34.00 million and $32.61 million, respectively, was held in the State Street Institutional U.S. Government Money Market Fund.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Earnings per share</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Basic earnings per share is computed by dividing net increase (decrease) in net assets resulting from operations by the weighted-average number of common shares outstanding for the period. Other potentially dilutive common shares, and the related impact to earnings are considered when calculating earnings per share on a diluted basis using the treasury stock method.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Investment Transactions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Investment transactions are recorded on trade date. Realized gains or losses are recognized as the difference between the net proceeds received (excluding prepayment fees, if any) and the amortized cost basis of the investment using the specific identification method without regard to unrealized gains or losses previously recognized, and include investments written off during the period, net of recoveries. Current-period changes in fair value of investments are reflected as a component of the net change in unrealized appreciation (depreciation) on investments on the Statements of Operations. The net change in unrealized appreciation (depreciation) primarily reflects the change in investment fair values as of the last business day of the reporting period, including the reversal of previously recorded unrealized gains or losses with respect to investments realized during the period.</w:t>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200" w:after="200"/>
        <w:jc w:val="left"/>
        <w:rPr/>
      </w:pPr>
      <w:hyperlink w:anchor="TABLEOFCONTENTS">
        <w:r>
          <w:rPr/>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200" w:after="200"/>
        <w:jc w:val="left"/>
        <w:rPr/>
      </w:pPr>
      <w:r>
        <w:rPr/>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Financial Statements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Investments traded but not yet settled, if any, are reported in payable for investments purchased and receivable for investments sold on the Statement of Assets and Liabilities.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Interest and Dividend Income</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Interest income is recorded on the accrual basis and includes accretion and amortization of discounts or premiums, respectively. Discounts and premiums to par value on securities purchased are accreted and amortized, respectively, into interest income over the contractual life of the respective security using the effective yield method. The amortized cost of investments includes the original cost adjusted for the accretion and amortization of discounts and premiums, respectively. Upon prepayment of a loan or debt security, any prepayment premiums and unamortized discounts or premiums are recorded as interest income in the current period.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When a debt security becomes 90 days or more past due, or if management otherwise does not expect that principal, interest, and other obligations due will be collected in full, the Company will generally place the debt security on non-accrual status and cease recognizing interest income on that debt security until all principal and interest due has been paid or the Company believes the borrower has demonstrated the ability to repay its current and future contractual obligations. Any uncollected interest is reversed from income in the period that collection of the interest receivable is determined to be doubtful. However, the Company may make exceptions to this policy if the investment has sufficient collateral value and is in the process of collection. As of June 30, 2024 and December 31, 2023, there were no loan investments in the portfolio placed on non-accrual status.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Interest income earned, excluding accretion of discounts and amortization of premiums, was $2,582,583 and $5,167,651 for the three and six months ended June 30, 2024, respectively. Interest income earned, excluding accretion of discounts and amortization of premiums, was $2,601,710 and $4,918,730 for the three and six months ended June 30, 2023, respectively. As of June 30, 2024 and December 31, 2023, $1,638,987 and $1,755,360, respectively, were recorded as interest receivable.</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During the three and six months ended June 30, 2024, the Company had $62,189 of unearned interest income, which represents interest received in advance but not yet earned. This amount is recorded as a liability on the Statement of Assets and Liabilities and will be recognized as income over the remaining term of the respective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Dividend income on preferred equity securities is recorded on the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Certain investments may have contractual PIK interest or dividends. PIK interest or dividends represents accrued interest or dividends that is added to the principal amount of the investment on the respective interest or dividend payment dates rather than being paid in cash and generally becomes due at maturity. If PIK interest or dividends are not expected to be realized by the Company, the investment generating PIK interest or dividends will be placed on non-accrual status. When an investment with PIK is placed on non-accrual status, the accrued, uncapitalized interest or dividends are generally reversed through interest or dividend income, respectively.</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Fee Income</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All transaction fees earned in connection with our investments are recognized as fee income and are generally non-recurring. Such fees typically include fees for services, including administrative, structuring and advisory services, provided to portfolio companies. We recognize income from fees for providing such structuring and advisory services when the services are rendered or the transactions are completed, and payment is received (generally immediately). </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For the three and six months ended June 30, 2024, the Company earned $291,000 and $324,750, respectively, in fee income. For the three and six months ended June 30, 2023, the Company earned $131,250 and $131,250, respectively, in fee income.</w:t>
      </w:r>
    </w:p>
    <w:p>
      <w:pPr>
        <w:pStyle w:val="TextBody"/>
        <w:bidi w:val="0"/>
        <w:spacing w:before="0" w:after="0"/>
        <w:jc w:val="both"/>
        <w:rPr>
          <w:color w:val="000000"/>
          <w:shd w:fill="FFFFFF" w:val="clear"/>
        </w:rPr>
      </w:pPr>
      <w:r>
        <w:rPr>
          <w:color w:val="000000"/>
          <w:shd w:fill="FFFFFF" w:val="clear"/>
        </w:rPr>
        <w:t xml:space="preserve">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Income Taxes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adopted an initial tax year end of December 31, 2021 and was taxed as a corporation for U.S. federal income tax purposes for the tax period ended December 31, 2021. The Company adopted the tax year end of March 31, 2022 and elected to be treated for U.S. federal income tax purposes as a RIC under Subchapter M of the Code for the tax period January 1, 2022 through March 31, 2022, and intends to maintain such election in the current and future taxable years. To maintain its tax treatment as a RIC, the Company must meet specified source-of-income and asset diversification requirements and timely distribute to its stockholders for each taxable year at least 90% of its investment company taxable income.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 (iii) any net ordinary income and capital gains in excess of capital losses for preceding years that were not distributed during such years. The Company, at its discretion (subject to the requirement to distribute 90% of its investment company taxable income as described above), may carry forward taxable income in excess of calendar year dividends and pay a 4% nondeductible U.S. federal excise tax on this income. If the Company chooses to do so, this generally would increase expenses and reduce the amount available to be distributed to stockholders. For the three and six months ended June 30, 2024, the Company did not accrue any excise tax. For the three and six months ended June 30, 2023, the Company did not accrue any excise tax. As of June 30, 2024 and December 31, 2023, $19,913 and $0, respectively, of overpaid excise taxes are included as Other assets in the Statement of Assets and Liabilities. As of June 30, 2024 and December 31, 2023, $0 and $10,655, respectively, of accrued excise taxes remained payable.</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200" w:after="200"/>
        <w:jc w:val="both"/>
        <w:rPr/>
      </w:pPr>
      <w:hyperlink w:anchor="TABLEOFCONTENTS">
        <w:r>
          <w:rPr/>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200" w:after="200"/>
        <w:jc w:val="both"/>
        <w:rPr/>
      </w:pPr>
      <w:r>
        <w:rPr/>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Financial Statements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Times New Roman" w:hAnsi="Times New Roman"/>
          <w:i/>
          <w:color w:val="000000"/>
          <w:sz w:val="20"/>
          <w:shd w:fill="FFFFFF" w:val="clear"/>
        </w:rPr>
        <w:t>Income</w:t>
      </w:r>
      <w:r>
        <w:rPr>
          <w:rFonts w:ascii="Times New Roman" w:hAnsi="Times New Roman"/>
          <w:color w:val="000000"/>
          <w:sz w:val="20"/>
          <w:shd w:fill="FFFFFF" w:val="clear"/>
        </w:rPr>
        <w:t> </w:t>
      </w:r>
      <w:r>
        <w:rPr>
          <w:rFonts w:ascii="Times New Roman" w:hAnsi="Times New Roman"/>
          <w:i/>
          <w:color w:val="000000"/>
          <w:sz w:val="20"/>
          <w:shd w:fill="FFFFFF" w:val="clear"/>
        </w:rPr>
        <w:t>Taxes</w:t>
      </w:r>
      <w:r>
        <w:rPr>
          <w:rFonts w:ascii="Times New Roman" w:hAnsi="Times New Roman"/>
          <w:color w:val="000000"/>
          <w:sz w:val="20"/>
          <w:shd w:fill="FFFFFF" w:val="clear"/>
        </w:rPr>
        <w:t xml:space="preserve"> (“ASC 740”). Tax benefits of positions not deemed to meet the more-likely-than-not threshold, or uncertain tax positions, would be recorded as tax expense in the current year. It is the Company’s policy to recognize accrued interest and penalties related to uncertain tax benefits in income tax expense.</w:t>
      </w:r>
    </w:p>
    <w:p>
      <w:pPr>
        <w:pStyle w:val="TextBody"/>
        <w:bidi w:val="0"/>
        <w:spacing w:before="0" w:after="0"/>
        <w:ind w:left="720" w:right="500" w:hanging="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Based on the analysis of the Company’s tax position, the Company has no uncertain tax positions that met the recognition or measurement criteria as of June 30, 2024 and December 31, 2023. The Company does not anticipate any significant increase or decrease in unrecognized tax benefits for the next twelve months. All of the Company’s tax returns remain subject to examination by U.S. federal and state tax authorities.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Distributions</w:t>
      </w:r>
      <w:r>
        <w:rPr>
          <w:rFonts w:ascii="Times New Roman" w:hAnsi="Times New Roman"/>
          <w:color w:val="000000"/>
          <w:sz w:val="20"/>
          <w:shd w:fill="FFFFFF" w:val="clear"/>
        </w:rPr>
        <w:br/>
        <w:t>Distributions to common stockholders are recorded on the record date. The amount of taxable income to be paid out as a distribution is determined by our Board each quarter and is generally based upon the future taxable income estimated by management. Capital gains, if any, are distributed at least annually, although the Company may decide to retain all or some of those capital gains for investment and pay U.S. federal income tax at corporate rates on those retained amounts. If the Company chooses to do so, this generally will increase expenses and reduce the amount available to be distributed to stockholders. Our distributions may exceed our earnings, and therefore, portions of the distributions that we make may be a return of the money originally invested and represent a return of capital distribution to shareholders for tax purposes.</w:t>
      </w:r>
    </w:p>
    <w:p>
      <w:pPr>
        <w:pStyle w:val="TextBody"/>
        <w:bidi w:val="0"/>
        <w:spacing w:before="0" w:after="0"/>
        <w:jc w:val="both"/>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Offering Costs</w:t>
      </w:r>
    </w:p>
    <w:p>
      <w:pPr>
        <w:pStyle w:val="TextBody"/>
        <w:bidi w:val="0"/>
        <w:spacing w:before="0" w:after="0"/>
        <w:jc w:val="both"/>
        <w:rPr>
          <w:rFonts w:ascii="Times New Roman" w:hAnsi="Times New Roman"/>
          <w:i/>
          <w:color w:val="000000"/>
          <w:sz w:val="20"/>
          <w:shd w:fill="FFFFFF" w:val="clear"/>
        </w:rPr>
      </w:pPr>
      <w:r>
        <w:rPr>
          <w:rFonts w:ascii="Times New Roman" w:hAnsi="Times New Roman"/>
          <w:i w:val="false"/>
          <w:caps w:val="false"/>
          <w:smallCaps w:val="false"/>
          <w:color w:val="000000"/>
          <w:sz w:val="20"/>
          <w:shd w:fill="FFFFFF" w:val="clear"/>
        </w:rPr>
        <w:t>These costs consist primarily of legal fees and other costs incurred in connection with the Company’s share offerings, the preparation of the Company’s registration statement, and registration fees.</w:t>
      </w:r>
      <w:r>
        <w:rPr>
          <w:rFonts w:ascii="Times New Roman" w:hAnsi="Times New Roman"/>
          <w:i/>
          <w:color w:val="000000"/>
          <w:sz w:val="20"/>
          <w:shd w:fill="FFFFFF" w:val="clear"/>
        </w:rPr>
        <w:t xml:space="preserve"> </w:t>
      </w:r>
    </w:p>
    <w:p>
      <w:pPr>
        <w:pStyle w:val="TextBody"/>
        <w:bidi w:val="0"/>
        <w:spacing w:before="0" w:after="0"/>
        <w:ind w:left="720" w:right="500" w:hanging="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Costs associated with the offering of common shares of the Company are capitalized as deferred offering and, if any, are included in deferred offering costs on the Statements of Assets and Liabilities. As of June 30, 2024 and December 31, 2023, deferred offering costs were $761,867 and $0, respectively. The deferred offering costs will be charged to capital upon the issuance of shares subsequent to the completion of the Loan Portfolio Acquisition. For the three and six months ended June 30, 2024 and 2023, no offering costs were charged to capital. As of June 30, 2024 and December 31, 2023, there were $676,791 and $0, respectively, of offering costs payable by the Company.</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Transaction expenses related to the Loan Portfolio Acquisition</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Cumulative transaction expenses related to the Loan Portfolio Acquisition at June 30, 2024 and December 31, 2023 were $3,350,333 and $711,264, respectively, and consisted primarily of legal fees incurred related to the Loan Portfolio Acquisition. See “Note 12 – Proposed Loan Portfolio Acquisition” for further information regarding the Loan Portfolio Acquisition Agreement and the Loan Portfolio Acquisition.</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three and six months ended June 30, 2024, the Company incurred transaction expenses related to the Loan Portfolio Acquisition of $533,019 and $2,639,069, respectively. For the three and six months ended June 30, 2023, the Company did not incur any transaction expenses related to the Loan Portfolio Acquisition. As of June 30, 2024 and December 31, 2023, there were $2,506,784 and $711,264, respectively, of transaction expenses related to the Loan Portfolio Acquisition payable by the Company.</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New Accounting Standards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November 2023, the FASB issued Accounting Standard Update (“ASU”) No. 2023-07, Segment Reporting (Topic 280), which improves reportable segment disclosure requirements, primarily through enhanced disclosures about significant segment expenses. The amendment is effective for fiscal years beginning after December 15, 2023 and interim periods within fiscal years beginning after December 15, 2024. We do not believe that the Company will be materially impacted by the adoption of ASU 2023-07.</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3 — INVESTMENTS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Company’s investments in portfolio companies are primarily in the form of debt investments (secured and unsecured), but may include equity warrants, direct equity investments and derivative investments. </w:t>
      </w:r>
    </w:p>
    <w:p>
      <w:pPr>
        <w:pStyle w:val="TextBody"/>
        <w:bidi w:val="0"/>
        <w:spacing w:before="0" w:after="0"/>
        <w:jc w:val="left"/>
        <w:rPr/>
      </w:pPr>
      <w:r>
        <w:rPr/>
      </w:r>
    </w:p>
    <w:p>
      <w:pPr>
        <w:pStyle w:val="TextBody"/>
        <w:bidi w:val="0"/>
        <w:spacing w:before="0" w:after="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Debt Investments</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Company’s debt investments typically pay interest with some amortization of principal. As of June 30, 2024, 82.5% of the debt investments (based on amortized cost) pay interest on a floating rate basis with a PRIME floor, and 17.5% of the debt investments (based on amortized cost) pay fixed interest. As of December 31, 2023, 84.9% of the debt investments (based on amortized cost) pay interest on a floating rate basis with a PRIME floor, and 15.1% of the debt investments (based on amortized cost) pay fixed interest. We will generally seek to obtain security interests in the assets of our portfolio companies that serve as collateral in support of the repayment of these debt investments. This collateral may take the form of first or second priority liens on the assets of a portfolio company.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expect that our debt investments will typically have final maturities of three to six years. However, we expect that our portfolio companies often may repay these debt investments early, generally within three years from the date of initial investment.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0" w:after="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Warrant Investments</w:t>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connection with the Company’s debt investments, the Company may receive warrants in the portfolio company. Warrants received in connection with a debt investment typically include a potentially discounted contract price to exercise, and thus, as a portfolio company appreciates in value, the Company may achieve additional investment return from this equity interest. The warrants typically contain provisions that protect the Company as a minority-interest holder, as well as secured or unsecured put rights, or rights to sell such securities back to the portfolio company, upon the occurrence of specified events. In certain cases, the Company may also obtain follow-up rights in connection with these equity interests, which allow the Company to participate in future financing rounds.</w:t>
      </w:r>
    </w:p>
    <w:p>
      <w:pPr>
        <w:pStyle w:val="TextBody"/>
        <w:bidi w:val="0"/>
        <w:spacing w:before="0" w:after="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r>
    </w:p>
    <w:p>
      <w:pPr>
        <w:pStyle w:val="TextBody"/>
        <w:bidi w:val="0"/>
        <w:spacing w:before="0" w:after="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Equity Investments</w:t>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specific circumstances, the Company may seek to make direct equity investments in situations where it is appropriate to align the interests of the Company with key management and stockholders of the portfolio company, and to allow for participation in the appreciation in the equity values of the portfolio company. These equity investments are generally made in connection with debt investments.</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Derivative Investments</w:t>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 portion of our portfolio may be comprised of derivatives, including total return swaps. No such derivative instruments were held as of June 30, 2024 or December 31, 2023.</w:t>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200" w:after="200"/>
        <w:jc w:val="left"/>
        <w:rPr/>
      </w:pPr>
      <w:hyperlink w:anchor="TABLEOFCONTENTS">
        <w:r>
          <w:rPr/>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200" w:after="200"/>
        <w:jc w:val="left"/>
        <w:rPr/>
      </w:pPr>
      <w:r>
        <w:rPr/>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Financial Statements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Portfolio Composition</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portfolio investments are primarily in companies conducting business in or supporting the cannabis industries. The following tables summarize the composition of the Company’s portfolio investments by industry at amortized cost and fair value and as a percentage of the total portfolio as of June 30, 2024 and December 31, 2023.</w:t>
      </w:r>
    </w:p>
    <w:p>
      <w:pPr>
        <w:pStyle w:val="TextBody"/>
        <w:bidi w:val="0"/>
        <w:spacing w:before="0" w:after="0"/>
        <w:jc w:val="left"/>
        <w:rPr>
          <w:color w:val="000000"/>
          <w:shd w:fill="FFFFFF" w:val="clear"/>
        </w:rPr>
      </w:pPr>
      <w:r>
        <w:rPr>
          <w:color w:val="000000"/>
          <w:shd w:fill="FFFFFF" w:val="clear"/>
        </w:rPr>
        <w:t> </w:t>
      </w:r>
    </w:p>
    <w:tbl>
      <w:tblPr>
        <w:tblW w:w="6450" w:type="dxa"/>
        <w:jc w:val="left"/>
        <w:tblInd w:w="0" w:type="dxa"/>
        <w:tblLayout w:type="fixed"/>
        <w:tblCellMar>
          <w:top w:w="0" w:type="dxa"/>
          <w:left w:w="0" w:type="dxa"/>
          <w:bottom w:w="0" w:type="dxa"/>
          <w:right w:w="0" w:type="dxa"/>
        </w:tblCellMar>
      </w:tblPr>
      <w:tblGrid>
        <w:gridCol w:w="1940"/>
        <w:gridCol w:w="60"/>
        <w:gridCol w:w="140"/>
        <w:gridCol w:w="1100"/>
        <w:gridCol w:w="60"/>
        <w:gridCol w:w="60"/>
        <w:gridCol w:w="60"/>
        <w:gridCol w:w="560"/>
        <w:gridCol w:w="215"/>
        <w:gridCol w:w="60"/>
        <w:gridCol w:w="140"/>
        <w:gridCol w:w="1100"/>
        <w:gridCol w:w="60"/>
        <w:gridCol w:w="60"/>
        <w:gridCol w:w="60"/>
        <w:gridCol w:w="560"/>
        <w:gridCol w:w="215"/>
      </w:tblGrid>
      <w:tr>
        <w:trPr/>
        <w:tc>
          <w:tcPr>
            <w:tcW w:w="19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5"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2024</w:t>
            </w:r>
          </w:p>
        </w:tc>
        <w:tc>
          <w:tcPr>
            <w:tcW w:w="215" w:type="dxa"/>
            <w:tcBorders/>
            <w:vAlign w:val="bottom"/>
          </w:tcPr>
          <w:p>
            <w:pPr>
              <w:pStyle w:val="TableContents"/>
              <w:bidi w:val="0"/>
              <w:spacing w:before="0" w:after="283"/>
              <w:jc w:val="left"/>
              <w:rPr/>
            </w:pPr>
            <w:r>
              <w:rPr/>
              <w:t> </w:t>
            </w:r>
          </w:p>
        </w:tc>
      </w:tr>
      <w:tr>
        <w:trPr/>
        <w:tc>
          <w:tcPr>
            <w:tcW w:w="19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215" w:type="dxa"/>
            <w:tcBorders/>
            <w:vAlign w:val="bottom"/>
          </w:tcPr>
          <w:p>
            <w:pPr>
              <w:pStyle w:val="TableContents"/>
              <w:bidi w:val="0"/>
              <w:spacing w:before="0" w:after="283"/>
              <w:jc w:val="left"/>
              <w:rPr/>
            </w:pPr>
            <w:r>
              <w:rPr/>
              <w:t> </w:t>
            </w:r>
          </w:p>
        </w:tc>
      </w:tr>
      <w:tr>
        <w:trPr/>
        <w:tc>
          <w:tcPr>
            <w:tcW w:w="194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Industry</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215" w:type="dxa"/>
            <w:tcBorders/>
            <w:vAlign w:val="bottom"/>
          </w:tcPr>
          <w:p>
            <w:pPr>
              <w:pStyle w:val="TableContents"/>
              <w:bidi w:val="0"/>
              <w:spacing w:before="0" w:after="283"/>
              <w:jc w:val="left"/>
              <w:rPr/>
            </w:pPr>
            <w:r>
              <w:rPr/>
              <w:t> </w:t>
            </w:r>
          </w:p>
        </w:tc>
      </w:tr>
      <w:tr>
        <w:trPr/>
        <w:tc>
          <w:tcPr>
            <w:tcW w:w="1940" w:type="dxa"/>
            <w:tcBorders/>
            <w:shd w:fill="CCEEFF" w:val="clear"/>
            <w:vAlign w:val="bottom"/>
          </w:tcPr>
          <w:p>
            <w:pPr>
              <w:pStyle w:val="TableContents"/>
              <w:bidi w:val="0"/>
              <w:spacing w:before="0" w:after="0"/>
              <w:ind w:left="180" w:right="0" w:hanging="180"/>
              <w:jc w:val="left"/>
              <w:rPr>
                <w:color w:val="000000"/>
              </w:rPr>
            </w:pPr>
            <w:r>
              <w:rPr>
                <w:color w:val="000000"/>
              </w:rPr>
              <w:t>Wholesale Trade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50,799,469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97.0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51,646,000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96.7</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1940" w:type="dxa"/>
            <w:tcBorders/>
            <w:vAlign w:val="bottom"/>
          </w:tcPr>
          <w:p>
            <w:pPr>
              <w:pStyle w:val="TableContents"/>
              <w:bidi w:val="0"/>
              <w:spacing w:before="0" w:after="283"/>
              <w:jc w:val="left"/>
              <w:rPr/>
            </w:pPr>
            <w:r>
              <w:rPr/>
              <w:t>Real Estate Services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1,583,164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283"/>
              <w:jc w:val="right"/>
              <w:rPr/>
            </w:pPr>
            <w:r>
              <w:rPr/>
              <w:t>3.0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1,752,164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283"/>
              <w:jc w:val="right"/>
              <w:rPr/>
            </w:pPr>
            <w:r>
              <w:rPr/>
              <w:t>3.3</w:t>
            </w:r>
          </w:p>
        </w:tc>
        <w:tc>
          <w:tcPr>
            <w:tcW w:w="215" w:type="dxa"/>
            <w:tcBorders/>
            <w:vAlign w:val="bottom"/>
          </w:tcPr>
          <w:p>
            <w:pPr>
              <w:pStyle w:val="TableContents"/>
              <w:bidi w:val="0"/>
              <w:spacing w:before="0" w:after="283"/>
              <w:jc w:val="left"/>
              <w:rPr/>
            </w:pPr>
            <w:r>
              <w:rPr/>
              <w:t> </w:t>
            </w:r>
          </w:p>
        </w:tc>
      </w:tr>
      <w:tr>
        <w:trPr/>
        <w:tc>
          <w:tcPr>
            <w:tcW w:w="1940" w:type="dxa"/>
            <w:tcBorders/>
            <w:shd w:fill="CCEEFF" w:val="clear"/>
            <w:vAlign w:val="bottom"/>
          </w:tcPr>
          <w:p>
            <w:pPr>
              <w:pStyle w:val="TableContents"/>
              <w:bidi w:val="0"/>
              <w:spacing w:before="0" w:after="0"/>
              <w:ind w:left="360" w:right="0" w:hanging="180"/>
              <w:jc w:val="left"/>
              <w:rPr>
                <w:color w:val="000000"/>
              </w:rPr>
            </w:pPr>
            <w:r>
              <w:rPr>
                <w:color w:val="000000"/>
              </w:rPr>
              <w:t>Total</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52,382,633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53,398,164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1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color w:val="000000"/>
          <w:shd w:fill="FFFFFF" w:val="clear"/>
        </w:rPr>
      </w:pPr>
      <w:r>
        <w:rPr>
          <w:color w:val="000000"/>
          <w:shd w:fill="FFFFFF" w:val="clear"/>
        </w:rPr>
        <w:t> </w:t>
      </w:r>
    </w:p>
    <w:tbl>
      <w:tblPr>
        <w:tblW w:w="6165" w:type="dxa"/>
        <w:jc w:val="center"/>
        <w:tblInd w:w="0" w:type="dxa"/>
        <w:tblLayout w:type="fixed"/>
        <w:tblCellMar>
          <w:top w:w="0" w:type="dxa"/>
          <w:left w:w="0" w:type="dxa"/>
          <w:bottom w:w="0" w:type="dxa"/>
          <w:right w:w="0" w:type="dxa"/>
        </w:tblCellMar>
      </w:tblPr>
      <w:tblGrid>
        <w:gridCol w:w="1640"/>
        <w:gridCol w:w="60"/>
        <w:gridCol w:w="140"/>
        <w:gridCol w:w="1100"/>
        <w:gridCol w:w="60"/>
        <w:gridCol w:w="60"/>
        <w:gridCol w:w="60"/>
        <w:gridCol w:w="560"/>
        <w:gridCol w:w="215"/>
        <w:gridCol w:w="60"/>
        <w:gridCol w:w="140"/>
        <w:gridCol w:w="1100"/>
        <w:gridCol w:w="60"/>
        <w:gridCol w:w="60"/>
        <w:gridCol w:w="60"/>
        <w:gridCol w:w="560"/>
        <w:gridCol w:w="230"/>
      </w:tblGrid>
      <w:tr>
        <w:trPr/>
        <w:tc>
          <w:tcPr>
            <w:tcW w:w="16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5"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2023</w:t>
            </w:r>
          </w:p>
        </w:tc>
        <w:tc>
          <w:tcPr>
            <w:tcW w:w="230" w:type="dxa"/>
            <w:tcBorders/>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230" w:type="dxa"/>
            <w:tcBorders/>
            <w:vAlign w:val="bottom"/>
          </w:tcPr>
          <w:p>
            <w:pPr>
              <w:pStyle w:val="TableContents"/>
              <w:bidi w:val="0"/>
              <w:spacing w:before="0" w:after="283"/>
              <w:jc w:val="left"/>
              <w:rPr/>
            </w:pPr>
            <w:r>
              <w:rPr/>
              <w:t> </w:t>
            </w:r>
          </w:p>
        </w:tc>
      </w:tr>
      <w:tr>
        <w:trPr/>
        <w:tc>
          <w:tcPr>
            <w:tcW w:w="1640" w:type="dxa"/>
            <w:tcBorders>
              <w:bottom w:val="single" w:sz="12" w:space="0" w:color="000000"/>
            </w:tcBorders>
            <w:tcMar>
              <w:bottom w:w="28" w:type="dxa"/>
            </w:tcMar>
            <w:vAlign w:val="bottom"/>
          </w:tcPr>
          <w:p>
            <w:pPr>
              <w:pStyle w:val="TableContents"/>
              <w:bidi w:val="0"/>
              <w:spacing w:before="0" w:after="0"/>
              <w:ind w:left="144" w:right="0" w:hanging="144"/>
              <w:jc w:val="center"/>
              <w:rPr>
                <w:b/>
                <w:color w:val="000000"/>
              </w:rPr>
            </w:pPr>
            <w:r>
              <w:rPr>
                <w:b/>
                <w:color w:val="000000"/>
              </w:rPr>
              <w:t>Industry</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230" w:type="dxa"/>
            <w:tcBorders/>
            <w:vAlign w:val="bottom"/>
          </w:tcPr>
          <w:p>
            <w:pPr>
              <w:pStyle w:val="TableContents"/>
              <w:bidi w:val="0"/>
              <w:spacing w:before="0" w:after="283"/>
              <w:jc w:val="left"/>
              <w:rPr/>
            </w:pPr>
            <w:r>
              <w:rPr/>
              <w:t> </w:t>
            </w:r>
          </w:p>
        </w:tc>
      </w:tr>
      <w:tr>
        <w:trPr/>
        <w:tc>
          <w:tcPr>
            <w:tcW w:w="1640" w:type="dxa"/>
            <w:tcBorders/>
            <w:shd w:fill="CCEEFF" w:val="clear"/>
            <w:vAlign w:val="bottom"/>
          </w:tcPr>
          <w:p>
            <w:pPr>
              <w:pStyle w:val="TableContents"/>
              <w:bidi w:val="0"/>
              <w:spacing w:before="0" w:after="0"/>
              <w:ind w:left="144" w:right="0" w:hanging="144"/>
              <w:jc w:val="left"/>
              <w:rPr>
                <w:color w:val="000000"/>
              </w:rPr>
            </w:pPr>
            <w:r>
              <w:rPr>
                <w:color w:val="000000"/>
              </w:rPr>
              <w:t>Wholesale Trade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53,471,317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54,120,000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30" w:type="dxa"/>
            <w:tcBorders/>
            <w:shd w:fill="CCEEFF" w:val="clear"/>
            <w:vAlign w:val="bottom"/>
          </w:tcPr>
          <w:p>
            <w:pPr>
              <w:pStyle w:val="TableContents"/>
              <w:bidi w:val="0"/>
              <w:spacing w:before="0" w:after="0"/>
              <w:jc w:val="left"/>
              <w:rPr>
                <w:color w:val="000000"/>
              </w:rPr>
            </w:pPr>
            <w:r>
              <w:rPr>
                <w:color w:val="000000"/>
              </w:rPr>
              <w:t>%</w:t>
            </w:r>
          </w:p>
        </w:tc>
      </w:tr>
      <w:tr>
        <w:trPr/>
        <w:tc>
          <w:tcPr>
            <w:tcW w:w="1640" w:type="dxa"/>
            <w:tcBorders/>
            <w:vAlign w:val="bottom"/>
          </w:tcPr>
          <w:p>
            <w:pPr>
              <w:pStyle w:val="TableContents"/>
              <w:bidi w:val="0"/>
              <w:spacing w:before="0" w:after="0"/>
              <w:ind w:left="324" w:right="0" w:hanging="144"/>
              <w:jc w:val="left"/>
              <w:rPr>
                <w:color w:val="000000"/>
              </w:rPr>
            </w:pPr>
            <w:r>
              <w:rPr>
                <w:color w:val="000000"/>
              </w:rPr>
              <w:t>Total</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53,471,317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54,120,000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3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geographic composition is determined by the location of headquarters of the portfolio company. The following tables summarize the composition of the Company’s portfolio investments by geographic region of the United States at amortized cost and fair value and as a percentage of the total portfolio as of June 30, 2024 and December 31, 2023. Geographic regions are defined as:  West, for the states of WA, OR, ID, MT, WY, CO, AK, HI, UT, NV and CA; Midwest, for the states ND, SD, NE, KS, MO, IA, MN, WI, MI, IL, IN and OH; Northeast, for the states PA, NJ, NY, CT, RI, MA, VT, NH and ME; Southeast, for the states of AR, LA, MS, TN, KY, AL, FL, GA, SC, NC, VA, DE, WV and MD; and Southwest, for the states of AZ, NM, TX and OK.</w:t>
      </w:r>
    </w:p>
    <w:p>
      <w:pPr>
        <w:pStyle w:val="TextBody"/>
        <w:bidi w:val="0"/>
        <w:spacing w:before="0" w:after="0"/>
        <w:jc w:val="left"/>
        <w:rPr>
          <w:rFonts w:ascii="Times New Roman" w:hAnsi="Times New Roman"/>
          <w:sz w:val="20"/>
        </w:rPr>
      </w:pPr>
      <w:r>
        <w:rPr>
          <w:rFonts w:ascii="Times New Roman" w:hAnsi="Times New Roman"/>
          <w:sz w:val="20"/>
        </w:rPr>
      </w:r>
    </w:p>
    <w:tbl>
      <w:tblPr>
        <w:tblW w:w="6705" w:type="dxa"/>
        <w:jc w:val="left"/>
        <w:tblInd w:w="0" w:type="dxa"/>
        <w:tblLayout w:type="fixed"/>
        <w:tblCellMar>
          <w:top w:w="0" w:type="dxa"/>
          <w:left w:w="0" w:type="dxa"/>
          <w:bottom w:w="0" w:type="dxa"/>
          <w:right w:w="0" w:type="dxa"/>
        </w:tblCellMar>
      </w:tblPr>
      <w:tblGrid>
        <w:gridCol w:w="2180"/>
        <w:gridCol w:w="60"/>
        <w:gridCol w:w="140"/>
        <w:gridCol w:w="1100"/>
        <w:gridCol w:w="60"/>
        <w:gridCol w:w="60"/>
        <w:gridCol w:w="60"/>
        <w:gridCol w:w="560"/>
        <w:gridCol w:w="215"/>
        <w:gridCol w:w="60"/>
        <w:gridCol w:w="140"/>
        <w:gridCol w:w="1100"/>
        <w:gridCol w:w="60"/>
        <w:gridCol w:w="60"/>
        <w:gridCol w:w="60"/>
        <w:gridCol w:w="560"/>
        <w:gridCol w:w="230"/>
      </w:tblGrid>
      <w:tr>
        <w:trPr/>
        <w:tc>
          <w:tcPr>
            <w:tcW w:w="2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5"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2024</w:t>
            </w:r>
          </w:p>
        </w:tc>
        <w:tc>
          <w:tcPr>
            <w:tcW w:w="230" w:type="dxa"/>
            <w:tcBorders/>
            <w:vAlign w:val="bottom"/>
          </w:tcPr>
          <w:p>
            <w:pPr>
              <w:pStyle w:val="TableContents"/>
              <w:bidi w:val="0"/>
              <w:spacing w:before="0" w:after="283"/>
              <w:jc w:val="left"/>
              <w:rPr/>
            </w:pPr>
            <w:r>
              <w:rPr/>
              <w:t> </w:t>
            </w:r>
          </w:p>
        </w:tc>
      </w:tr>
      <w:tr>
        <w:trPr/>
        <w:tc>
          <w:tcPr>
            <w:tcW w:w="2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230" w:type="dxa"/>
            <w:tcBorders/>
            <w:vAlign w:val="bottom"/>
          </w:tcPr>
          <w:p>
            <w:pPr>
              <w:pStyle w:val="TableContents"/>
              <w:bidi w:val="0"/>
              <w:spacing w:before="0" w:after="283"/>
              <w:jc w:val="left"/>
              <w:rPr/>
            </w:pPr>
            <w:r>
              <w:rPr/>
              <w:t> </w:t>
            </w:r>
          </w:p>
        </w:tc>
      </w:tr>
      <w:tr>
        <w:trPr/>
        <w:tc>
          <w:tcPr>
            <w:tcW w:w="218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Geographic Location</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230" w:type="dxa"/>
            <w:tcBorders/>
            <w:vAlign w:val="bottom"/>
          </w:tcPr>
          <w:p>
            <w:pPr>
              <w:pStyle w:val="TableContents"/>
              <w:bidi w:val="0"/>
              <w:spacing w:before="0" w:after="283"/>
              <w:jc w:val="left"/>
              <w:rPr/>
            </w:pPr>
            <w:r>
              <w:rPr/>
              <w:t> </w:t>
            </w:r>
          </w:p>
        </w:tc>
      </w:tr>
      <w:tr>
        <w:trPr/>
        <w:tc>
          <w:tcPr>
            <w:tcW w:w="2180" w:type="dxa"/>
            <w:tcBorders/>
            <w:shd w:fill="CCEEFF" w:val="clear"/>
            <w:vAlign w:val="bottom"/>
          </w:tcPr>
          <w:p>
            <w:pPr>
              <w:pStyle w:val="TableContents"/>
              <w:bidi w:val="0"/>
              <w:spacing w:before="0" w:after="0"/>
              <w:ind w:left="180" w:right="0" w:hanging="180"/>
              <w:jc w:val="left"/>
              <w:rPr>
                <w:color w:val="000000"/>
              </w:rPr>
            </w:pPr>
            <w:r>
              <w:rPr>
                <w:color w:val="000000"/>
              </w:rPr>
              <w:t>West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25,117,324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47.9</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25,390,000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47.5</w:t>
            </w:r>
          </w:p>
        </w:tc>
        <w:tc>
          <w:tcPr>
            <w:tcW w:w="230" w:type="dxa"/>
            <w:tcBorders/>
            <w:shd w:fill="CCEEFF" w:val="clear"/>
            <w:vAlign w:val="bottom"/>
          </w:tcPr>
          <w:p>
            <w:pPr>
              <w:pStyle w:val="TableContents"/>
              <w:bidi w:val="0"/>
              <w:spacing w:before="0" w:after="0"/>
              <w:jc w:val="left"/>
              <w:rPr>
                <w:color w:val="000000"/>
              </w:rPr>
            </w:pPr>
            <w:r>
              <w:rPr>
                <w:color w:val="000000"/>
              </w:rPr>
              <w:t>%</w:t>
            </w:r>
          </w:p>
        </w:tc>
      </w:tr>
      <w:tr>
        <w:trPr/>
        <w:tc>
          <w:tcPr>
            <w:tcW w:w="2180" w:type="dxa"/>
            <w:tcBorders/>
            <w:vAlign w:val="bottom"/>
          </w:tcPr>
          <w:p>
            <w:pPr>
              <w:pStyle w:val="TableContents"/>
              <w:bidi w:val="0"/>
              <w:spacing w:before="0" w:after="0"/>
              <w:ind w:left="180" w:right="0" w:hanging="180"/>
              <w:jc w:val="left"/>
              <w:rPr>
                <w:color w:val="000000"/>
              </w:rPr>
            </w:pPr>
            <w:r>
              <w:rPr>
                <w:color w:val="000000"/>
              </w:rPr>
              <w:t>Midwest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23,202,468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44.3</w:t>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23,800,164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44.6</w:t>
            </w:r>
          </w:p>
        </w:tc>
        <w:tc>
          <w:tcPr>
            <w:tcW w:w="230" w:type="dxa"/>
            <w:tcBorders/>
            <w:vAlign w:val="bottom"/>
          </w:tcPr>
          <w:p>
            <w:pPr>
              <w:pStyle w:val="TableContents"/>
              <w:bidi w:val="0"/>
              <w:spacing w:before="0" w:after="283"/>
              <w:jc w:val="left"/>
              <w:rPr/>
            </w:pPr>
            <w:r>
              <w:rPr/>
              <w:t> </w:t>
            </w:r>
          </w:p>
        </w:tc>
      </w:tr>
      <w:tr>
        <w:trPr/>
        <w:tc>
          <w:tcPr>
            <w:tcW w:w="2180" w:type="dxa"/>
            <w:tcBorders/>
            <w:shd w:fill="CCEEFF" w:val="clear"/>
            <w:vAlign w:val="bottom"/>
          </w:tcPr>
          <w:p>
            <w:pPr>
              <w:pStyle w:val="TableContents"/>
              <w:bidi w:val="0"/>
              <w:spacing w:before="0" w:after="0"/>
              <w:ind w:left="180" w:right="0" w:hanging="180"/>
              <w:jc w:val="left"/>
              <w:rPr>
                <w:color w:val="000000"/>
              </w:rPr>
            </w:pPr>
            <w:r>
              <w:rPr>
                <w:color w:val="000000"/>
              </w:rPr>
              <w:t>Northeast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4,062,841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4,208,000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7.9</w:t>
            </w:r>
          </w:p>
        </w:tc>
        <w:tc>
          <w:tcPr>
            <w:tcW w:w="230" w:type="dxa"/>
            <w:tcBorders/>
            <w:shd w:fill="CCEEFF" w:val="clear"/>
            <w:vAlign w:val="bottom"/>
          </w:tcPr>
          <w:p>
            <w:pPr>
              <w:pStyle w:val="TableContents"/>
              <w:bidi w:val="0"/>
              <w:spacing w:before="0" w:after="283"/>
              <w:jc w:val="left"/>
              <w:rPr/>
            </w:pPr>
            <w:r>
              <w:rPr/>
              <w:t> </w:t>
            </w:r>
          </w:p>
        </w:tc>
      </w:tr>
      <w:tr>
        <w:trPr/>
        <w:tc>
          <w:tcPr>
            <w:tcW w:w="2180" w:type="dxa"/>
            <w:tcBorders/>
            <w:vAlign w:val="bottom"/>
          </w:tcPr>
          <w:p>
            <w:pPr>
              <w:pStyle w:val="TableContents"/>
              <w:bidi w:val="0"/>
              <w:spacing w:before="0" w:after="0"/>
              <w:ind w:left="360" w:right="0" w:hanging="180"/>
              <w:jc w:val="left"/>
              <w:rPr>
                <w:color w:val="000000"/>
              </w:rPr>
            </w:pPr>
            <w:r>
              <w:rPr>
                <w:color w:val="000000"/>
              </w:rPr>
              <w:t>Total</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52,382,633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53,398,164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3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6705" w:type="dxa"/>
        <w:jc w:val="center"/>
        <w:tblInd w:w="0" w:type="dxa"/>
        <w:tblLayout w:type="fixed"/>
        <w:tblCellMar>
          <w:top w:w="0" w:type="dxa"/>
          <w:left w:w="0" w:type="dxa"/>
          <w:bottom w:w="0" w:type="dxa"/>
          <w:right w:w="0" w:type="dxa"/>
        </w:tblCellMar>
      </w:tblPr>
      <w:tblGrid>
        <w:gridCol w:w="2180"/>
        <w:gridCol w:w="60"/>
        <w:gridCol w:w="140"/>
        <w:gridCol w:w="1100"/>
        <w:gridCol w:w="60"/>
        <w:gridCol w:w="60"/>
        <w:gridCol w:w="60"/>
        <w:gridCol w:w="560"/>
        <w:gridCol w:w="215"/>
        <w:gridCol w:w="60"/>
        <w:gridCol w:w="140"/>
        <w:gridCol w:w="1100"/>
        <w:gridCol w:w="60"/>
        <w:gridCol w:w="60"/>
        <w:gridCol w:w="60"/>
        <w:gridCol w:w="560"/>
        <w:gridCol w:w="230"/>
      </w:tblGrid>
      <w:tr>
        <w:trPr/>
        <w:tc>
          <w:tcPr>
            <w:tcW w:w="2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5"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2023</w:t>
            </w:r>
          </w:p>
        </w:tc>
        <w:tc>
          <w:tcPr>
            <w:tcW w:w="230" w:type="dxa"/>
            <w:tcBorders/>
            <w:vAlign w:val="bottom"/>
          </w:tcPr>
          <w:p>
            <w:pPr>
              <w:pStyle w:val="TableContents"/>
              <w:bidi w:val="0"/>
              <w:spacing w:before="0" w:after="283"/>
              <w:jc w:val="left"/>
              <w:rPr/>
            </w:pPr>
            <w:r>
              <w:rPr/>
              <w:t> </w:t>
            </w:r>
          </w:p>
        </w:tc>
      </w:tr>
      <w:tr>
        <w:trPr/>
        <w:tc>
          <w:tcPr>
            <w:tcW w:w="2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230" w:type="dxa"/>
            <w:tcBorders/>
            <w:vAlign w:val="bottom"/>
          </w:tcPr>
          <w:p>
            <w:pPr>
              <w:pStyle w:val="TableContents"/>
              <w:bidi w:val="0"/>
              <w:spacing w:before="0" w:after="283"/>
              <w:jc w:val="left"/>
              <w:rPr/>
            </w:pPr>
            <w:r>
              <w:rPr/>
              <w:t> </w:t>
            </w:r>
          </w:p>
        </w:tc>
      </w:tr>
      <w:tr>
        <w:trPr/>
        <w:tc>
          <w:tcPr>
            <w:tcW w:w="218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Geographic Location</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230" w:type="dxa"/>
            <w:tcBorders/>
            <w:vAlign w:val="bottom"/>
          </w:tcPr>
          <w:p>
            <w:pPr>
              <w:pStyle w:val="TableContents"/>
              <w:bidi w:val="0"/>
              <w:spacing w:before="0" w:after="283"/>
              <w:jc w:val="left"/>
              <w:rPr/>
            </w:pPr>
            <w:r>
              <w:rPr/>
              <w:t> </w:t>
            </w:r>
          </w:p>
        </w:tc>
      </w:tr>
      <w:tr>
        <w:trPr/>
        <w:tc>
          <w:tcPr>
            <w:tcW w:w="2180" w:type="dxa"/>
            <w:tcBorders/>
            <w:shd w:fill="CCEEFF" w:val="clear"/>
            <w:vAlign w:val="bottom"/>
          </w:tcPr>
          <w:p>
            <w:pPr>
              <w:pStyle w:val="TableContents"/>
              <w:bidi w:val="0"/>
              <w:spacing w:before="0" w:after="0"/>
              <w:jc w:val="left"/>
              <w:rPr>
                <w:color w:val="000000"/>
              </w:rPr>
            </w:pPr>
            <w:r>
              <w:rPr>
                <w:color w:val="000000"/>
              </w:rPr>
              <w:t>West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24,910,798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46.5</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25,069,000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46.4</w:t>
            </w:r>
          </w:p>
        </w:tc>
        <w:tc>
          <w:tcPr>
            <w:tcW w:w="230" w:type="dxa"/>
            <w:tcBorders/>
            <w:shd w:fill="CCEEFF" w:val="clear"/>
            <w:vAlign w:val="bottom"/>
          </w:tcPr>
          <w:p>
            <w:pPr>
              <w:pStyle w:val="TableContents"/>
              <w:bidi w:val="0"/>
              <w:spacing w:before="0" w:after="0"/>
              <w:jc w:val="left"/>
              <w:rPr>
                <w:color w:val="000000"/>
              </w:rPr>
            </w:pPr>
            <w:r>
              <w:rPr>
                <w:color w:val="000000"/>
              </w:rPr>
              <w:t>%</w:t>
            </w:r>
          </w:p>
        </w:tc>
      </w:tr>
      <w:tr>
        <w:trPr/>
        <w:tc>
          <w:tcPr>
            <w:tcW w:w="2180" w:type="dxa"/>
            <w:tcBorders/>
            <w:vAlign w:val="bottom"/>
          </w:tcPr>
          <w:p>
            <w:pPr>
              <w:pStyle w:val="TableContents"/>
              <w:bidi w:val="0"/>
              <w:spacing w:before="0" w:after="0"/>
              <w:jc w:val="left"/>
              <w:rPr>
                <w:color w:val="000000"/>
              </w:rPr>
            </w:pPr>
            <w:r>
              <w:rPr>
                <w:color w:val="000000"/>
              </w:rPr>
              <w:t>Midwest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24,571,197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46.0</w:t>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24,911,000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46.0</w:t>
            </w:r>
          </w:p>
        </w:tc>
        <w:tc>
          <w:tcPr>
            <w:tcW w:w="230" w:type="dxa"/>
            <w:tcBorders/>
            <w:vAlign w:val="bottom"/>
          </w:tcPr>
          <w:p>
            <w:pPr>
              <w:pStyle w:val="TableContents"/>
              <w:bidi w:val="0"/>
              <w:spacing w:before="0" w:after="283"/>
              <w:jc w:val="left"/>
              <w:rPr>
                <w:sz w:val="4"/>
                <w:szCs w:val="4"/>
              </w:rPr>
            </w:pPr>
            <w:r>
              <w:rPr>
                <w:sz w:val="4"/>
                <w:szCs w:val="4"/>
              </w:rPr>
            </w:r>
          </w:p>
        </w:tc>
      </w:tr>
      <w:tr>
        <w:trPr/>
        <w:tc>
          <w:tcPr>
            <w:tcW w:w="2180" w:type="dxa"/>
            <w:tcBorders/>
            <w:shd w:fill="CCEEFF" w:val="clear"/>
            <w:vAlign w:val="bottom"/>
          </w:tcPr>
          <w:p>
            <w:pPr>
              <w:pStyle w:val="TableContents"/>
              <w:bidi w:val="0"/>
              <w:spacing w:before="0" w:after="0"/>
              <w:jc w:val="left"/>
              <w:rPr>
                <w:color w:val="000000"/>
              </w:rPr>
            </w:pPr>
            <w:r>
              <w:rPr>
                <w:color w:val="000000"/>
              </w:rPr>
              <w:t>Northeast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3,989,322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7.5</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7.6</w:t>
            </w:r>
          </w:p>
        </w:tc>
        <w:tc>
          <w:tcPr>
            <w:tcW w:w="230" w:type="dxa"/>
            <w:tcBorders/>
            <w:shd w:fill="CCEEFF" w:val="clear"/>
            <w:vAlign w:val="bottom"/>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0"/>
              <w:ind w:left="0" w:right="0" w:firstLine="180"/>
              <w:jc w:val="left"/>
              <w:rPr>
                <w:color w:val="000000"/>
              </w:rPr>
            </w:pPr>
            <w:r>
              <w:rPr>
                <w:color w:val="000000"/>
              </w:rPr>
              <w:t>Total</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53,471,317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54,120,000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3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summarize the composition of the Company’s portfolio investments by investment type at amortized cost and fair value and as a percentage of the total portfolio as of June 30, 2024 and December 31, 2023.</w:t>
      </w:r>
    </w:p>
    <w:p>
      <w:pPr>
        <w:pStyle w:val="TextBody"/>
        <w:bidi w:val="0"/>
        <w:spacing w:before="0" w:after="0"/>
        <w:jc w:val="left"/>
        <w:rPr>
          <w:color w:val="000000"/>
          <w:shd w:fill="FFFFFF" w:val="clear"/>
        </w:rPr>
      </w:pPr>
      <w:r>
        <w:rPr>
          <w:color w:val="000000"/>
          <w:shd w:fill="FFFFFF" w:val="clear"/>
        </w:rPr>
        <w:t> </w:t>
      </w:r>
    </w:p>
    <w:tbl>
      <w:tblPr>
        <w:tblW w:w="8190" w:type="dxa"/>
        <w:jc w:val="left"/>
        <w:tblInd w:w="0" w:type="dxa"/>
        <w:tblLayout w:type="fixed"/>
        <w:tblCellMar>
          <w:top w:w="0" w:type="dxa"/>
          <w:left w:w="0" w:type="dxa"/>
          <w:bottom w:w="0" w:type="dxa"/>
          <w:right w:w="0" w:type="dxa"/>
        </w:tblCellMar>
      </w:tblPr>
      <w:tblGrid>
        <w:gridCol w:w="3665"/>
        <w:gridCol w:w="60"/>
        <w:gridCol w:w="140"/>
        <w:gridCol w:w="1100"/>
        <w:gridCol w:w="60"/>
        <w:gridCol w:w="60"/>
        <w:gridCol w:w="60"/>
        <w:gridCol w:w="560"/>
        <w:gridCol w:w="215"/>
        <w:gridCol w:w="60"/>
        <w:gridCol w:w="140"/>
        <w:gridCol w:w="1100"/>
        <w:gridCol w:w="60"/>
        <w:gridCol w:w="60"/>
        <w:gridCol w:w="60"/>
        <w:gridCol w:w="560"/>
        <w:gridCol w:w="230"/>
      </w:tblGrid>
      <w:tr>
        <w:trPr/>
        <w:tc>
          <w:tcPr>
            <w:tcW w:w="36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5"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2024</w:t>
            </w:r>
          </w:p>
        </w:tc>
        <w:tc>
          <w:tcPr>
            <w:tcW w:w="230" w:type="dxa"/>
            <w:tcBorders/>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230" w:type="dxa"/>
            <w:tcBorders/>
            <w:vAlign w:val="bottom"/>
          </w:tcPr>
          <w:p>
            <w:pPr>
              <w:pStyle w:val="TableContents"/>
              <w:bidi w:val="0"/>
              <w:spacing w:before="0" w:after="283"/>
              <w:jc w:val="left"/>
              <w:rPr/>
            </w:pPr>
            <w:r>
              <w:rPr/>
              <w:t> </w:t>
            </w:r>
          </w:p>
        </w:tc>
      </w:tr>
      <w:tr>
        <w:trPr/>
        <w:tc>
          <w:tcPr>
            <w:tcW w:w="3665"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Investment</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230"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before="0" w:after="0"/>
              <w:ind w:left="180" w:right="0" w:hanging="180"/>
              <w:jc w:val="left"/>
              <w:rPr>
                <w:color w:val="000000"/>
              </w:rPr>
            </w:pPr>
            <w:r>
              <w:rPr>
                <w:color w:val="000000"/>
              </w:rPr>
              <w:t>Senior Secured First Lien Term Loans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43,423,880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82.9</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44,350,164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83.0</w:t>
            </w:r>
          </w:p>
        </w:tc>
        <w:tc>
          <w:tcPr>
            <w:tcW w:w="230" w:type="dxa"/>
            <w:tcBorders/>
            <w:shd w:fill="CCEEFF" w:val="clear"/>
            <w:vAlign w:val="bottom"/>
          </w:tcPr>
          <w:p>
            <w:pPr>
              <w:pStyle w:val="TableContents"/>
              <w:bidi w:val="0"/>
              <w:spacing w:before="0" w:after="0"/>
              <w:jc w:val="left"/>
              <w:rPr>
                <w:color w:val="000000"/>
              </w:rPr>
            </w:pPr>
            <w:r>
              <w:rPr>
                <w:color w:val="000000"/>
              </w:rPr>
              <w:t>%</w:t>
            </w:r>
          </w:p>
        </w:tc>
      </w:tr>
      <w:tr>
        <w:trPr/>
        <w:tc>
          <w:tcPr>
            <w:tcW w:w="3665" w:type="dxa"/>
            <w:tcBorders/>
            <w:vAlign w:val="bottom"/>
          </w:tcPr>
          <w:p>
            <w:pPr>
              <w:pStyle w:val="TableContents"/>
              <w:bidi w:val="0"/>
              <w:spacing w:before="0" w:after="0"/>
              <w:ind w:left="180" w:right="0" w:hanging="180"/>
              <w:jc w:val="left"/>
              <w:rPr>
                <w:color w:val="000000"/>
              </w:rPr>
            </w:pPr>
            <w:r>
              <w:rPr>
                <w:color w:val="000000"/>
              </w:rPr>
              <w:t>Senior Secured Notes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8,215,927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15.7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8,267,000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15.5</w:t>
            </w:r>
          </w:p>
        </w:tc>
        <w:tc>
          <w:tcPr>
            <w:tcW w:w="230"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before="0" w:after="283"/>
              <w:jc w:val="left"/>
              <w:rPr/>
            </w:pPr>
            <w:r>
              <w:rPr/>
              <w:t>Equity</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283"/>
              <w:jc w:val="right"/>
              <w:rPr/>
            </w:pPr>
            <w:r>
              <w:rPr/>
              <w:t>742,826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283"/>
              <w:jc w:val="right"/>
              <w:rPr/>
            </w:pPr>
            <w:r>
              <w:rPr/>
              <w:t>1.4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283"/>
              <w:jc w:val="right"/>
              <w:rPr/>
            </w:pPr>
            <w:r>
              <w:rPr/>
              <w:t>781,000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283"/>
              <w:jc w:val="right"/>
              <w:rPr/>
            </w:pPr>
            <w:r>
              <w:rPr/>
              <w:t>1.5</w:t>
            </w:r>
          </w:p>
        </w:tc>
        <w:tc>
          <w:tcPr>
            <w:tcW w:w="230" w:type="dxa"/>
            <w:tcBorders/>
            <w:shd w:fill="CCEEFF" w:val="clear"/>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before="0" w:after="0"/>
              <w:ind w:left="360" w:right="0" w:hanging="180"/>
              <w:jc w:val="left"/>
              <w:rPr>
                <w:color w:val="000000"/>
              </w:rPr>
            </w:pPr>
            <w:r>
              <w:rPr>
                <w:color w:val="000000"/>
              </w:rPr>
              <w:t>Total</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52,382,633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53,398,164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3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200" w:after="200"/>
        <w:jc w:val="left"/>
        <w:rPr/>
      </w:pPr>
      <w:hyperlink w:anchor="TABLEOFCONTENTS">
        <w:r>
          <w:rPr/>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200" w:after="200"/>
        <w:jc w:val="left"/>
        <w:rPr/>
      </w:pPr>
      <w:r>
        <w:rPr/>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Financial Statements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tbl>
      <w:tblPr>
        <w:tblW w:w="8190" w:type="dxa"/>
        <w:jc w:val="center"/>
        <w:tblInd w:w="0" w:type="dxa"/>
        <w:tblLayout w:type="fixed"/>
        <w:tblCellMar>
          <w:top w:w="0" w:type="dxa"/>
          <w:left w:w="0" w:type="dxa"/>
          <w:bottom w:w="0" w:type="dxa"/>
          <w:right w:w="0" w:type="dxa"/>
        </w:tblCellMar>
      </w:tblPr>
      <w:tblGrid>
        <w:gridCol w:w="3665"/>
        <w:gridCol w:w="60"/>
        <w:gridCol w:w="140"/>
        <w:gridCol w:w="1100"/>
        <w:gridCol w:w="60"/>
        <w:gridCol w:w="60"/>
        <w:gridCol w:w="60"/>
        <w:gridCol w:w="560"/>
        <w:gridCol w:w="215"/>
        <w:gridCol w:w="60"/>
        <w:gridCol w:w="140"/>
        <w:gridCol w:w="1100"/>
        <w:gridCol w:w="60"/>
        <w:gridCol w:w="60"/>
        <w:gridCol w:w="60"/>
        <w:gridCol w:w="560"/>
        <w:gridCol w:w="230"/>
      </w:tblGrid>
      <w:tr>
        <w:trPr/>
        <w:tc>
          <w:tcPr>
            <w:tcW w:w="36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5"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2023</w:t>
            </w:r>
          </w:p>
        </w:tc>
        <w:tc>
          <w:tcPr>
            <w:tcW w:w="230" w:type="dxa"/>
            <w:tcBorders/>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230" w:type="dxa"/>
            <w:tcBorders/>
            <w:vAlign w:val="bottom"/>
          </w:tcPr>
          <w:p>
            <w:pPr>
              <w:pStyle w:val="TableContents"/>
              <w:bidi w:val="0"/>
              <w:spacing w:before="0" w:after="283"/>
              <w:jc w:val="left"/>
              <w:rPr/>
            </w:pPr>
            <w:r>
              <w:rPr/>
              <w:t> </w:t>
            </w:r>
          </w:p>
        </w:tc>
      </w:tr>
      <w:tr>
        <w:trPr/>
        <w:tc>
          <w:tcPr>
            <w:tcW w:w="3665" w:type="dxa"/>
            <w:tcBorders>
              <w:bottom w:val="single" w:sz="12" w:space="0" w:color="000000"/>
            </w:tcBorders>
            <w:tcMar>
              <w:bottom w:w="28" w:type="dxa"/>
            </w:tcMar>
            <w:vAlign w:val="bottom"/>
          </w:tcPr>
          <w:p>
            <w:pPr>
              <w:pStyle w:val="TableContents"/>
              <w:bidi w:val="0"/>
              <w:spacing w:before="0" w:after="0"/>
              <w:ind w:left="144" w:right="0" w:hanging="144"/>
              <w:jc w:val="center"/>
              <w:rPr>
                <w:b/>
                <w:color w:val="000000"/>
              </w:rPr>
            </w:pPr>
            <w:r>
              <w:rPr>
                <w:b/>
                <w:color w:val="000000"/>
              </w:rPr>
              <w:t>Investment</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230"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before="0" w:after="0"/>
              <w:ind w:left="144" w:right="0" w:hanging="144"/>
              <w:jc w:val="left"/>
              <w:rPr>
                <w:color w:val="000000"/>
              </w:rPr>
            </w:pPr>
            <w:r>
              <w:rPr>
                <w:color w:val="000000"/>
              </w:rPr>
              <w:t>Senior Secured First Lien Term Loans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45,372,626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84.9</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46,006,000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85.0</w:t>
            </w:r>
          </w:p>
        </w:tc>
        <w:tc>
          <w:tcPr>
            <w:tcW w:w="230" w:type="dxa"/>
            <w:tcBorders/>
            <w:shd w:fill="CCEEFF" w:val="clear"/>
            <w:vAlign w:val="bottom"/>
          </w:tcPr>
          <w:p>
            <w:pPr>
              <w:pStyle w:val="TableContents"/>
              <w:bidi w:val="0"/>
              <w:spacing w:before="0" w:after="0"/>
              <w:jc w:val="left"/>
              <w:rPr>
                <w:color w:val="000000"/>
              </w:rPr>
            </w:pPr>
            <w:r>
              <w:rPr>
                <w:color w:val="000000"/>
              </w:rPr>
              <w:t>%</w:t>
            </w:r>
          </w:p>
        </w:tc>
      </w:tr>
      <w:tr>
        <w:trPr/>
        <w:tc>
          <w:tcPr>
            <w:tcW w:w="3665" w:type="dxa"/>
            <w:tcBorders/>
            <w:vAlign w:val="bottom"/>
          </w:tcPr>
          <w:p>
            <w:pPr>
              <w:pStyle w:val="TableContents"/>
              <w:bidi w:val="0"/>
              <w:spacing w:before="0" w:after="0"/>
              <w:ind w:left="144" w:right="0" w:hanging="144"/>
              <w:jc w:val="left"/>
              <w:rPr>
                <w:color w:val="000000"/>
              </w:rPr>
            </w:pPr>
            <w:r>
              <w:rPr>
                <w:color w:val="000000"/>
              </w:rPr>
              <w:t>Senior Secured Notes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8,098,691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8,114,000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15.0</w:t>
            </w:r>
          </w:p>
        </w:tc>
        <w:tc>
          <w:tcPr>
            <w:tcW w:w="230"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before="0" w:after="0"/>
              <w:ind w:left="324" w:right="0" w:hanging="144"/>
              <w:jc w:val="left"/>
              <w:rPr>
                <w:color w:val="000000"/>
              </w:rPr>
            </w:pPr>
            <w:r>
              <w:rPr>
                <w:color w:val="000000"/>
              </w:rPr>
              <w:t>Total</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53,471,317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54,120,000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3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both"/>
        <w:rPr>
          <w:rFonts w:ascii="Times New Roman" w:hAnsi="Times New Roman"/>
          <w:b/>
          <w:i/>
          <w:sz w:val="20"/>
        </w:rPr>
      </w:pPr>
      <w:r>
        <w:rPr>
          <w:rFonts w:ascii="Times New Roman" w:hAnsi="Times New Roman"/>
          <w:b/>
          <w:i/>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Certain Risk Factors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ordinary course of business, the Company manages a variety of risks including market risk, credit risk, liquidity risk, interest rate risk, prepayment risk, risks associated with financial, economic and other global market developments and disruptions, including those arising from war, terrorism, market manipulation, government interventions, defaults and shutdowns, political changes or diplomatic developments, public health emergencies (such as the spread of infectious diseases, pandemics and epidemics) and natural/environmental disasters, which can all negatively impact the securities markets generally. These events can also impair the technology and other operational systems upon which the Company’s service providers rely and could otherwise disrupt the Company’s service providers’ ability to fulfill their obligations to the Company. The Company identifies, measures and monitors risk through various control mechanisms, including trading limits and diversifying exposures and activities across a variety of instruments, markets and counterparties.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Market risk is the risk of potential adverse changes to the value of financial instruments because of changes in market conditions, including as a result of changes in the credit quality of a particular issuer, credit spreads, interest rates, and other movements and volatility in security prices or commodities. In particular, the Company may invest in issuers that are experiencing or have experienced financial or business difficulties (including difficulties resulting from the initiation or prospect of significant litigation or bankruptcy proceedings), which involves significant risks. The Company manages its exposure to market risk through the use of risk management strategies and various analytical monitoring techniques.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Concentration risk is the risk that the Company’s focus on investments in cannabis companies may subject the Company to greater price volatility and risk of loss as a result of adverse economic, business or other developments affecting cannabis companies than funds investing in a broader range of industries or sectors. At times, the performance of investments in cannabis companies will lag the performance of other industries or sectors or the broader market as a whole.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Credit risk is the risk that a decline in the credit quality of an investment could cause the Company to lose money. The Company could lose money if the issuer or guarantor of a portfolio security fails to make timely payment or otherwise honor its obligations. Fixed income securities rated below investment grade (high-yield bonds) involve greater risks of default or downgrade and are generally more volatile than investment grade securities. Below investment grade securities involve greater risk of price declines than investment grade securities due to actual or perceived changes in an issuer’s creditworthiness. In addition, issuers of below investment grade securities may be more susceptible than other issuers to economic downturns. Such securities are subject to the risk that the issuer may not be able to pay interest or dividends and ultimately to repay principal upon maturity. Discontinuation of these payments could substantially adversely affect the market value of the security.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investments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Interest rate risk refers to the change in earnings that may result from changes in the level of interest rates. To the extent that the Company borrows money to make investments, including under any credit facility, net investment income (loss) will be affected by the difference between the rate at which the Company borrows funds and the rate at which the Company invests these funds. In periods of rising interest rates, the Company’s cost of borrowing funds would increase, which may reduce net investment income (loss). As a result, there can be no assurance that a significant change in market interest rates will not have a material adverse effect on net investment income (loss).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Prepayment risk is the risk that a loan in the Company’s portfolio will prepay due to the existence of favorable financing market conditions that allow the portfolio company the ability to replace existing financing with less expensive capital. As market conditions change, prepayment may be possible for each portfolio company. In some cases, the prepayment of a loan may reduce the Company’s achievable yield if the capital returned cannot be invested in transactions with equal or greater expected yields, which could have a material adverse effect on our business, financial condition and results of operations.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200" w:after="200"/>
        <w:jc w:val="left"/>
        <w:rPr/>
      </w:pPr>
      <w:hyperlink w:anchor="TABLEOFCONTENTS">
        <w:r>
          <w:rPr/>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200" w:after="200"/>
        <w:jc w:val="left"/>
        <w:rPr/>
      </w:pPr>
      <w:r>
        <w:rPr/>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Financial Statements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4 — FAIR VALUE OF FINANCIAL INSTRUMENTS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ASC 820 defines fair value, establishes a framework for measuring fair value, and establishes a fair value hierarchy based on the quality of inputs used to measure fair value and enhances disclosure requirements for fair value measurements. The Company accounts for its investments at fair value. As of June 30, 2024 and December 31, 2023, the Company’s portfolio investments consisted primarily of investments in secured loans and secured notes. 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fair value determination of each portfolio investment categorized as Level 3 required one or more unobservable inputs.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use of significant unobservable inputs creates uncertainty in the measurement of fair value as of the reporting date. The significant unobservable inputs used in the fair value measurement of the Company’s debt investments may vary and may include debt investments’ yield (i.e. discount rate) and volatility assumptions. The significant unobservable inputs used in the fair value measurement of the Company’s equity and warrant investments may vary and may include EBITDA multiples, revenue multiples and asset multiples.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investments measured at fair value by investment type on a recurring basis as of June 30, 2024 and December 31, 2023 were as follows: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049"/>
        <w:gridCol w:w="60"/>
        <w:gridCol w:w="864"/>
        <w:gridCol w:w="587"/>
        <w:gridCol w:w="83"/>
        <w:gridCol w:w="83"/>
        <w:gridCol w:w="913"/>
        <w:gridCol w:w="618"/>
        <w:gridCol w:w="83"/>
        <w:gridCol w:w="83"/>
        <w:gridCol w:w="212"/>
        <w:gridCol w:w="1574"/>
        <w:gridCol w:w="83"/>
        <w:gridCol w:w="83"/>
        <w:gridCol w:w="197"/>
        <w:gridCol w:w="1549"/>
        <w:gridCol w:w="84"/>
      </w:tblGrid>
      <w:tr>
        <w:trPr/>
        <w:tc>
          <w:tcPr>
            <w:tcW w:w="30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12"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 Measurements at June 30, 2024 Using</w:t>
            </w:r>
          </w:p>
        </w:tc>
        <w:tc>
          <w:tcPr>
            <w:tcW w:w="84" w:type="dxa"/>
            <w:tcBorders/>
            <w:vAlign w:val="bottom"/>
          </w:tcPr>
          <w:p>
            <w:pPr>
              <w:pStyle w:val="TableContents"/>
              <w:bidi w:val="0"/>
              <w:spacing w:before="0" w:after="283"/>
              <w:jc w:val="left"/>
              <w:rPr/>
            </w:pPr>
            <w:r>
              <w:rPr/>
              <w:t> </w:t>
            </w:r>
          </w:p>
        </w:tc>
      </w:tr>
      <w:tr>
        <w:trPr/>
        <w:tc>
          <w:tcPr>
            <w:tcW w:w="3049"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Assets</w:t>
            </w:r>
          </w:p>
        </w:tc>
        <w:tc>
          <w:tcPr>
            <w:tcW w:w="60" w:type="dxa"/>
            <w:tcBorders/>
            <w:vAlign w:val="bottom"/>
          </w:tcPr>
          <w:p>
            <w:pPr>
              <w:pStyle w:val="TableContents"/>
              <w:bidi w:val="0"/>
              <w:spacing w:before="0" w:after="283"/>
              <w:jc w:val="left"/>
              <w:rPr/>
            </w:pPr>
            <w:r>
              <w:rPr/>
              <w:t> </w:t>
            </w:r>
          </w:p>
        </w:tc>
        <w:tc>
          <w:tcPr>
            <w:tcW w:w="145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Quoted Prices</w:t>
            </w:r>
          </w:p>
          <w:p>
            <w:pPr>
              <w:pStyle w:val="TableContents"/>
              <w:bidi w:val="0"/>
              <w:spacing w:before="0" w:after="0"/>
              <w:jc w:val="center"/>
              <w:rPr>
                <w:b/>
                <w:color w:val="000000"/>
              </w:rPr>
            </w:pPr>
            <w:r>
              <w:rPr>
                <w:b/>
                <w:color w:val="000000"/>
              </w:rPr>
              <w:t xml:space="preserve">in Active </w:t>
            </w:r>
          </w:p>
          <w:p>
            <w:pPr>
              <w:pStyle w:val="TableContents"/>
              <w:bidi w:val="0"/>
              <w:spacing w:before="0" w:after="0"/>
              <w:jc w:val="center"/>
              <w:rPr>
                <w:b/>
                <w:color w:val="000000"/>
              </w:rPr>
            </w:pPr>
            <w:r>
              <w:rPr>
                <w:b/>
                <w:color w:val="000000"/>
              </w:rPr>
              <w:t>Markets for</w:t>
            </w:r>
          </w:p>
          <w:p>
            <w:pPr>
              <w:pStyle w:val="TableContents"/>
              <w:bidi w:val="0"/>
              <w:spacing w:before="0" w:after="0"/>
              <w:jc w:val="center"/>
              <w:rPr>
                <w:b/>
                <w:color w:val="000000"/>
              </w:rPr>
            </w:pPr>
            <w:r>
              <w:rPr>
                <w:b/>
                <w:color w:val="000000"/>
              </w:rPr>
              <w:t>Identical Assets</w:t>
            </w:r>
          </w:p>
          <w:p>
            <w:pPr>
              <w:pStyle w:val="TableContents"/>
              <w:bidi w:val="0"/>
              <w:spacing w:before="0" w:after="0"/>
              <w:jc w:val="center"/>
              <w:rPr>
                <w:b/>
                <w:color w:val="000000"/>
              </w:rPr>
            </w:pPr>
            <w:r>
              <w:rPr>
                <w:b/>
                <w:color w:val="000000"/>
              </w:rPr>
              <w:t>(Level 1)</w:t>
            </w:r>
          </w:p>
        </w:tc>
        <w:tc>
          <w:tcPr>
            <w:tcW w:w="8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3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Significant</w:t>
            </w:r>
          </w:p>
          <w:p>
            <w:pPr>
              <w:pStyle w:val="TableContents"/>
              <w:bidi w:val="0"/>
              <w:spacing w:before="0" w:after="0"/>
              <w:jc w:val="center"/>
              <w:rPr>
                <w:b/>
                <w:color w:val="000000"/>
              </w:rPr>
            </w:pPr>
            <w:r>
              <w:rPr>
                <w:b/>
                <w:color w:val="000000"/>
              </w:rPr>
              <w:t>Other</w:t>
            </w:r>
          </w:p>
          <w:p>
            <w:pPr>
              <w:pStyle w:val="TableContents"/>
              <w:bidi w:val="0"/>
              <w:spacing w:before="0" w:after="0"/>
              <w:jc w:val="center"/>
              <w:rPr>
                <w:b/>
                <w:color w:val="000000"/>
              </w:rPr>
            </w:pPr>
            <w:r>
              <w:rPr>
                <w:b/>
                <w:color w:val="000000"/>
              </w:rPr>
              <w:t xml:space="preserve">Observable </w:t>
            </w:r>
          </w:p>
          <w:p>
            <w:pPr>
              <w:pStyle w:val="TableContents"/>
              <w:bidi w:val="0"/>
              <w:spacing w:before="0" w:after="0"/>
              <w:jc w:val="center"/>
              <w:rPr>
                <w:b/>
                <w:color w:val="000000"/>
              </w:rPr>
            </w:pPr>
            <w:r>
              <w:rPr>
                <w:b/>
                <w:color w:val="000000"/>
              </w:rPr>
              <w:t>Inputs (Level 2)</w:t>
            </w:r>
          </w:p>
        </w:tc>
        <w:tc>
          <w:tcPr>
            <w:tcW w:w="8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8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Significant </w:t>
            </w:r>
          </w:p>
          <w:p>
            <w:pPr>
              <w:pStyle w:val="TableContents"/>
              <w:bidi w:val="0"/>
              <w:spacing w:before="0" w:after="0"/>
              <w:jc w:val="center"/>
              <w:rPr>
                <w:b/>
                <w:color w:val="000000"/>
              </w:rPr>
            </w:pPr>
            <w:r>
              <w:rPr>
                <w:b/>
                <w:color w:val="000000"/>
              </w:rPr>
              <w:t xml:space="preserve">Unobservable </w:t>
            </w:r>
          </w:p>
          <w:p>
            <w:pPr>
              <w:pStyle w:val="TableContents"/>
              <w:bidi w:val="0"/>
              <w:spacing w:before="0" w:after="0"/>
              <w:jc w:val="center"/>
              <w:rPr>
                <w:b/>
                <w:color w:val="000000"/>
              </w:rPr>
            </w:pPr>
            <w:r>
              <w:rPr>
                <w:b/>
                <w:color w:val="000000"/>
              </w:rPr>
              <w:t>Inputs (Level 3)</w:t>
            </w:r>
          </w:p>
        </w:tc>
        <w:tc>
          <w:tcPr>
            <w:tcW w:w="8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4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84" w:type="dxa"/>
            <w:tcBorders/>
            <w:vAlign w:val="bottom"/>
          </w:tcPr>
          <w:p>
            <w:pPr>
              <w:pStyle w:val="TableContents"/>
              <w:bidi w:val="0"/>
              <w:spacing w:before="0" w:after="283"/>
              <w:jc w:val="left"/>
              <w:rPr/>
            </w:pPr>
            <w:r>
              <w:rPr/>
              <w:t> </w:t>
            </w:r>
          </w:p>
        </w:tc>
      </w:tr>
      <w:tr>
        <w:trPr/>
        <w:tc>
          <w:tcPr>
            <w:tcW w:w="3049" w:type="dxa"/>
            <w:tcBorders/>
            <w:shd w:fill="CCEEFF" w:val="clear"/>
            <w:vAlign w:val="bottom"/>
          </w:tcPr>
          <w:p>
            <w:pPr>
              <w:pStyle w:val="TableContents"/>
              <w:bidi w:val="0"/>
              <w:spacing w:before="0" w:after="0"/>
              <w:ind w:left="180" w:right="0" w:hanging="180"/>
              <w:jc w:val="left"/>
              <w:rPr>
                <w:color w:val="000000"/>
              </w:rPr>
            </w:pPr>
            <w:r>
              <w:rPr>
                <w:color w:val="000000"/>
              </w:rPr>
              <w:t>Senior Secured First Lien Term Loans</w:t>
            </w:r>
          </w:p>
        </w:tc>
        <w:tc>
          <w:tcPr>
            <w:tcW w:w="60" w:type="dxa"/>
            <w:tcBorders/>
            <w:shd w:fill="CCEEFF" w:val="clear"/>
            <w:vAlign w:val="bottom"/>
          </w:tcPr>
          <w:p>
            <w:pPr>
              <w:pStyle w:val="TableContents"/>
              <w:bidi w:val="0"/>
              <w:spacing w:before="0" w:after="283"/>
              <w:jc w:val="right"/>
              <w:rPr/>
            </w:pPr>
            <w:r>
              <w:rPr/>
              <w:t> </w:t>
            </w:r>
          </w:p>
        </w:tc>
        <w:tc>
          <w:tcPr>
            <w:tcW w:w="864" w:type="dxa"/>
            <w:tcBorders/>
            <w:shd w:fill="CCEEFF" w:val="clear"/>
            <w:vAlign w:val="bottom"/>
          </w:tcPr>
          <w:p>
            <w:pPr>
              <w:pStyle w:val="TableContents"/>
              <w:bidi w:val="0"/>
              <w:spacing w:before="0" w:after="0"/>
              <w:jc w:val="left"/>
              <w:rPr>
                <w:color w:val="000000"/>
              </w:rPr>
            </w:pPr>
            <w:r>
              <w:rPr>
                <w:color w:val="000000"/>
              </w:rPr>
              <w:t>$</w:t>
            </w:r>
          </w:p>
        </w:tc>
        <w:tc>
          <w:tcPr>
            <w:tcW w:w="587" w:type="dxa"/>
            <w:tcBorders/>
            <w:shd w:fill="CCEEFF" w:val="clear"/>
            <w:vAlign w:val="bottom"/>
          </w:tcPr>
          <w:p>
            <w:pPr>
              <w:pStyle w:val="TableContents"/>
              <w:bidi w:val="0"/>
              <w:spacing w:before="0" w:after="0"/>
              <w:jc w:val="right"/>
              <w:rPr>
                <w:color w:val="000000"/>
              </w:rPr>
            </w:pPr>
            <w:r>
              <w:rPr>
                <w:color w:val="000000"/>
              </w:rPr>
              <w:t>-</w:t>
            </w:r>
          </w:p>
        </w:tc>
        <w:tc>
          <w:tcPr>
            <w:tcW w:w="8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913" w:type="dxa"/>
            <w:tcBorders/>
            <w:shd w:fill="CCEEFF" w:val="clear"/>
            <w:vAlign w:val="bottom"/>
          </w:tcPr>
          <w:p>
            <w:pPr>
              <w:pStyle w:val="TableContents"/>
              <w:bidi w:val="0"/>
              <w:spacing w:before="0" w:after="0"/>
              <w:jc w:val="left"/>
              <w:rPr>
                <w:color w:val="000000"/>
              </w:rPr>
            </w:pPr>
            <w:r>
              <w:rPr>
                <w:color w:val="000000"/>
              </w:rPr>
              <w:t>$</w:t>
            </w:r>
          </w:p>
        </w:tc>
        <w:tc>
          <w:tcPr>
            <w:tcW w:w="618" w:type="dxa"/>
            <w:tcBorders/>
            <w:shd w:fill="CCEEFF" w:val="clear"/>
            <w:vAlign w:val="bottom"/>
          </w:tcPr>
          <w:p>
            <w:pPr>
              <w:pStyle w:val="TableContents"/>
              <w:bidi w:val="0"/>
              <w:spacing w:before="0" w:after="0"/>
              <w:jc w:val="right"/>
              <w:rPr>
                <w:color w:val="000000"/>
              </w:rPr>
            </w:pPr>
            <w:r>
              <w:rPr>
                <w:color w:val="000000"/>
              </w:rPr>
              <w:t>-</w:t>
            </w:r>
          </w:p>
        </w:tc>
        <w:tc>
          <w:tcPr>
            <w:tcW w:w="8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0"/>
              <w:jc w:val="left"/>
              <w:rPr>
                <w:color w:val="000000"/>
              </w:rPr>
            </w:pPr>
            <w:r>
              <w:rPr>
                <w:color w:val="000000"/>
              </w:rPr>
              <w:t>$</w:t>
            </w:r>
          </w:p>
        </w:tc>
        <w:tc>
          <w:tcPr>
            <w:tcW w:w="1574" w:type="dxa"/>
            <w:tcBorders/>
            <w:shd w:fill="CCEEFF" w:val="clear"/>
            <w:vAlign w:val="bottom"/>
          </w:tcPr>
          <w:p>
            <w:pPr>
              <w:pStyle w:val="TableContents"/>
              <w:bidi w:val="0"/>
              <w:spacing w:before="0" w:after="0"/>
              <w:jc w:val="right"/>
              <w:rPr>
                <w:color w:val="000000"/>
              </w:rPr>
            </w:pPr>
            <w:r>
              <w:rPr>
                <w:color w:val="000000"/>
              </w:rPr>
              <w:t>44,350,164</w:t>
            </w:r>
          </w:p>
        </w:tc>
        <w:tc>
          <w:tcPr>
            <w:tcW w:w="8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0"/>
              <w:jc w:val="left"/>
              <w:rPr>
                <w:color w:val="000000"/>
              </w:rPr>
            </w:pPr>
            <w:r>
              <w:rPr>
                <w:color w:val="000000"/>
              </w:rPr>
              <w:t>$</w:t>
            </w:r>
          </w:p>
        </w:tc>
        <w:tc>
          <w:tcPr>
            <w:tcW w:w="1549" w:type="dxa"/>
            <w:tcBorders/>
            <w:shd w:fill="CCEEFF" w:val="clear"/>
            <w:vAlign w:val="bottom"/>
          </w:tcPr>
          <w:p>
            <w:pPr>
              <w:pStyle w:val="TableContents"/>
              <w:bidi w:val="0"/>
              <w:spacing w:before="0" w:after="0"/>
              <w:jc w:val="right"/>
              <w:rPr>
                <w:color w:val="000000"/>
              </w:rPr>
            </w:pPr>
            <w:r>
              <w:rPr>
                <w:color w:val="000000"/>
              </w:rPr>
              <w:t>44,350,164</w:t>
            </w:r>
          </w:p>
        </w:tc>
        <w:tc>
          <w:tcPr>
            <w:tcW w:w="84" w:type="dxa"/>
            <w:tcBorders/>
            <w:shd w:fill="CCEEFF" w:val="clear"/>
            <w:vAlign w:val="bottom"/>
          </w:tcPr>
          <w:p>
            <w:pPr>
              <w:pStyle w:val="TableContents"/>
              <w:bidi w:val="0"/>
              <w:spacing w:before="0" w:after="283"/>
              <w:jc w:val="left"/>
              <w:rPr/>
            </w:pPr>
            <w:r>
              <w:rPr/>
              <w:t> </w:t>
            </w:r>
          </w:p>
        </w:tc>
      </w:tr>
      <w:tr>
        <w:trPr/>
        <w:tc>
          <w:tcPr>
            <w:tcW w:w="3049" w:type="dxa"/>
            <w:tcBorders/>
            <w:vAlign w:val="bottom"/>
          </w:tcPr>
          <w:p>
            <w:pPr>
              <w:pStyle w:val="TableContents"/>
              <w:bidi w:val="0"/>
              <w:spacing w:before="0" w:after="0"/>
              <w:ind w:left="180" w:right="0" w:hanging="180"/>
              <w:jc w:val="left"/>
              <w:rPr>
                <w:color w:val="000000"/>
              </w:rPr>
            </w:pPr>
            <w:r>
              <w:rPr>
                <w:color w:val="000000"/>
              </w:rPr>
              <w:t>Senior Secured Notes</w:t>
            </w:r>
          </w:p>
        </w:tc>
        <w:tc>
          <w:tcPr>
            <w:tcW w:w="60" w:type="dxa"/>
            <w:tcBorders/>
            <w:vAlign w:val="bottom"/>
          </w:tcPr>
          <w:p>
            <w:pPr>
              <w:pStyle w:val="TableContents"/>
              <w:bidi w:val="0"/>
              <w:spacing w:before="0" w:after="283"/>
              <w:jc w:val="right"/>
              <w:rPr/>
            </w:pPr>
            <w:r>
              <w:rPr/>
              <w:t> </w:t>
            </w:r>
          </w:p>
        </w:tc>
        <w:tc>
          <w:tcPr>
            <w:tcW w:w="864"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0"/>
              <w:jc w:val="right"/>
              <w:rPr>
                <w:color w:val="000000"/>
              </w:rPr>
            </w:pPr>
            <w:r>
              <w:rPr>
                <w:color w:val="000000"/>
              </w:rPr>
              <w:t>-</w:t>
            </w:r>
          </w:p>
        </w:tc>
        <w:tc>
          <w:tcPr>
            <w:tcW w:w="8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913"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0"/>
              <w:jc w:val="right"/>
              <w:rPr>
                <w:color w:val="000000"/>
              </w:rPr>
            </w:pPr>
            <w:r>
              <w:rPr>
                <w:color w:val="000000"/>
              </w:rPr>
              <w:t>-</w:t>
            </w:r>
          </w:p>
        </w:tc>
        <w:tc>
          <w:tcPr>
            <w:tcW w:w="8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0"/>
              <w:jc w:val="right"/>
              <w:rPr>
                <w:color w:val="000000"/>
              </w:rPr>
            </w:pPr>
            <w:r>
              <w:rPr>
                <w:color w:val="000000"/>
              </w:rPr>
              <w:t>8,267,000</w:t>
            </w:r>
          </w:p>
        </w:tc>
        <w:tc>
          <w:tcPr>
            <w:tcW w:w="8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0"/>
              <w:jc w:val="right"/>
              <w:rPr>
                <w:color w:val="000000"/>
              </w:rPr>
            </w:pPr>
            <w:r>
              <w:rPr>
                <w:color w:val="000000"/>
              </w:rPr>
              <w:t>8,267,000</w:t>
            </w:r>
          </w:p>
        </w:tc>
        <w:tc>
          <w:tcPr>
            <w:tcW w:w="84" w:type="dxa"/>
            <w:tcBorders/>
            <w:vAlign w:val="bottom"/>
          </w:tcPr>
          <w:p>
            <w:pPr>
              <w:pStyle w:val="TableContents"/>
              <w:bidi w:val="0"/>
              <w:spacing w:before="0" w:after="283"/>
              <w:jc w:val="left"/>
              <w:rPr/>
            </w:pPr>
            <w:r>
              <w:rPr/>
              <w:t> </w:t>
            </w:r>
          </w:p>
        </w:tc>
      </w:tr>
      <w:tr>
        <w:trPr/>
        <w:tc>
          <w:tcPr>
            <w:tcW w:w="3049" w:type="dxa"/>
            <w:tcBorders/>
            <w:shd w:fill="CCEEFF" w:val="clear"/>
            <w:vAlign w:val="bottom"/>
          </w:tcPr>
          <w:p>
            <w:pPr>
              <w:pStyle w:val="TableContents"/>
              <w:bidi w:val="0"/>
              <w:spacing w:before="0" w:after="283"/>
              <w:jc w:val="left"/>
              <w:rPr/>
            </w:pPr>
            <w:r>
              <w:rPr/>
              <w:t>Equity</w:t>
            </w:r>
          </w:p>
        </w:tc>
        <w:tc>
          <w:tcPr>
            <w:tcW w:w="60" w:type="dxa"/>
            <w:tcBorders/>
            <w:shd w:fill="CCEEFF" w:val="clear"/>
            <w:vAlign w:val="bottom"/>
          </w:tcPr>
          <w:p>
            <w:pPr>
              <w:pStyle w:val="TableContents"/>
              <w:bidi w:val="0"/>
              <w:spacing w:before="0" w:after="283"/>
              <w:jc w:val="right"/>
              <w:rPr/>
            </w:pPr>
            <w:r>
              <w:rPr/>
              <w:t> </w:t>
            </w:r>
          </w:p>
        </w:tc>
        <w:tc>
          <w:tcPr>
            <w:tcW w:w="8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87"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8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9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8"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8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74" w:type="dxa"/>
            <w:tcBorders>
              <w:bottom w:val="single" w:sz="12" w:space="0" w:color="000000"/>
            </w:tcBorders>
            <w:shd w:fill="CCEEFF" w:val="clear"/>
            <w:tcMar>
              <w:bottom w:w="28" w:type="dxa"/>
            </w:tcMar>
            <w:vAlign w:val="bottom"/>
          </w:tcPr>
          <w:p>
            <w:pPr>
              <w:pStyle w:val="TableContents"/>
              <w:bidi w:val="0"/>
              <w:spacing w:before="0" w:after="283"/>
              <w:jc w:val="right"/>
              <w:rPr/>
            </w:pPr>
            <w:r>
              <w:rPr/>
              <w:t>781,000</w:t>
            </w:r>
          </w:p>
        </w:tc>
        <w:tc>
          <w:tcPr>
            <w:tcW w:w="8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49" w:type="dxa"/>
            <w:tcBorders>
              <w:bottom w:val="single" w:sz="12" w:space="0" w:color="000000"/>
            </w:tcBorders>
            <w:shd w:fill="CCEEFF" w:val="clear"/>
            <w:tcMar>
              <w:bottom w:w="28" w:type="dxa"/>
            </w:tcMar>
            <w:vAlign w:val="bottom"/>
          </w:tcPr>
          <w:p>
            <w:pPr>
              <w:pStyle w:val="TableContents"/>
              <w:bidi w:val="0"/>
              <w:spacing w:before="0" w:after="283"/>
              <w:jc w:val="right"/>
              <w:rPr/>
            </w:pPr>
            <w:r>
              <w:rPr/>
              <w:t>781,000</w:t>
            </w:r>
          </w:p>
        </w:tc>
        <w:tc>
          <w:tcPr>
            <w:tcW w:w="84" w:type="dxa"/>
            <w:tcBorders/>
            <w:shd w:fill="CCEEFF" w:val="clear"/>
            <w:vAlign w:val="bottom"/>
          </w:tcPr>
          <w:p>
            <w:pPr>
              <w:pStyle w:val="TableContents"/>
              <w:bidi w:val="0"/>
              <w:spacing w:before="0" w:after="283"/>
              <w:jc w:val="left"/>
              <w:rPr/>
            </w:pPr>
            <w:r>
              <w:rPr/>
              <w:t> </w:t>
            </w:r>
          </w:p>
        </w:tc>
      </w:tr>
      <w:tr>
        <w:trPr/>
        <w:tc>
          <w:tcPr>
            <w:tcW w:w="3049" w:type="dxa"/>
            <w:tcBorders/>
            <w:vAlign w:val="bottom"/>
          </w:tcPr>
          <w:p>
            <w:pPr>
              <w:pStyle w:val="TableContents"/>
              <w:bidi w:val="0"/>
              <w:spacing w:before="0" w:after="0"/>
              <w:ind w:left="180" w:right="0" w:hanging="180"/>
              <w:jc w:val="left"/>
              <w:rPr>
                <w:color w:val="000000"/>
              </w:rPr>
            </w:pPr>
            <w:r>
              <w:rPr>
                <w:color w:val="000000"/>
              </w:rPr>
              <w:t>Total</w:t>
            </w:r>
          </w:p>
        </w:tc>
        <w:tc>
          <w:tcPr>
            <w:tcW w:w="60" w:type="dxa"/>
            <w:tcBorders/>
            <w:vAlign w:val="bottom"/>
          </w:tcPr>
          <w:p>
            <w:pPr>
              <w:pStyle w:val="TableContents"/>
              <w:bidi w:val="0"/>
              <w:spacing w:before="0" w:after="283"/>
              <w:jc w:val="right"/>
              <w:rPr/>
            </w:pPr>
            <w:r>
              <w:rPr/>
              <w:t> </w:t>
            </w:r>
          </w:p>
        </w:tc>
        <w:tc>
          <w:tcPr>
            <w:tcW w:w="86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58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8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91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1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8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57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53,398,164</w:t>
            </w:r>
          </w:p>
        </w:tc>
        <w:tc>
          <w:tcPr>
            <w:tcW w:w="8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9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54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53,398,164</w:t>
            </w:r>
          </w:p>
        </w:tc>
        <w:tc>
          <w:tcPr>
            <w:tcW w:w="84" w:type="dxa"/>
            <w:tcBorders/>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2838"/>
        <w:gridCol w:w="60"/>
        <w:gridCol w:w="862"/>
        <w:gridCol w:w="585"/>
        <w:gridCol w:w="88"/>
        <w:gridCol w:w="88"/>
        <w:gridCol w:w="894"/>
        <w:gridCol w:w="606"/>
        <w:gridCol w:w="88"/>
        <w:gridCol w:w="88"/>
        <w:gridCol w:w="234"/>
        <w:gridCol w:w="1666"/>
        <w:gridCol w:w="88"/>
        <w:gridCol w:w="88"/>
        <w:gridCol w:w="208"/>
        <w:gridCol w:w="1640"/>
        <w:gridCol w:w="84"/>
      </w:tblGrid>
      <w:tr>
        <w:trPr/>
        <w:tc>
          <w:tcPr>
            <w:tcW w:w="28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23"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 Measurements at December 31, 2023 Using</w:t>
            </w:r>
          </w:p>
        </w:tc>
        <w:tc>
          <w:tcPr>
            <w:tcW w:w="84" w:type="dxa"/>
            <w:tcBorders/>
            <w:vAlign w:val="bottom"/>
          </w:tcPr>
          <w:p>
            <w:pPr>
              <w:pStyle w:val="TableContents"/>
              <w:bidi w:val="0"/>
              <w:spacing w:before="0" w:after="283"/>
              <w:jc w:val="left"/>
              <w:rPr/>
            </w:pPr>
            <w:r>
              <w:rPr/>
              <w:t> </w:t>
            </w:r>
          </w:p>
        </w:tc>
      </w:tr>
      <w:tr>
        <w:trPr/>
        <w:tc>
          <w:tcPr>
            <w:tcW w:w="2838"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Assets</w:t>
            </w:r>
          </w:p>
        </w:tc>
        <w:tc>
          <w:tcPr>
            <w:tcW w:w="60" w:type="dxa"/>
            <w:tcBorders/>
            <w:vAlign w:val="bottom"/>
          </w:tcPr>
          <w:p>
            <w:pPr>
              <w:pStyle w:val="TableContents"/>
              <w:bidi w:val="0"/>
              <w:spacing w:before="0" w:after="283"/>
              <w:jc w:val="left"/>
              <w:rPr/>
            </w:pPr>
            <w:r>
              <w:rPr/>
              <w:t> </w:t>
            </w:r>
          </w:p>
        </w:tc>
        <w:tc>
          <w:tcPr>
            <w:tcW w:w="144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Quoted Prices</w:t>
            </w:r>
          </w:p>
          <w:p>
            <w:pPr>
              <w:pStyle w:val="TableContents"/>
              <w:bidi w:val="0"/>
              <w:spacing w:before="0" w:after="0"/>
              <w:jc w:val="center"/>
              <w:rPr>
                <w:b/>
                <w:color w:val="000000"/>
              </w:rPr>
            </w:pPr>
            <w:r>
              <w:rPr>
                <w:b/>
                <w:color w:val="000000"/>
              </w:rPr>
              <w:t xml:space="preserve">in Active </w:t>
            </w:r>
          </w:p>
          <w:p>
            <w:pPr>
              <w:pStyle w:val="TableContents"/>
              <w:bidi w:val="0"/>
              <w:spacing w:before="0" w:after="0"/>
              <w:jc w:val="center"/>
              <w:rPr>
                <w:b/>
                <w:color w:val="000000"/>
              </w:rPr>
            </w:pPr>
            <w:r>
              <w:rPr>
                <w:b/>
                <w:color w:val="000000"/>
              </w:rPr>
              <w:t xml:space="preserve">Markets for </w:t>
            </w:r>
          </w:p>
          <w:p>
            <w:pPr>
              <w:pStyle w:val="TableContents"/>
              <w:bidi w:val="0"/>
              <w:spacing w:before="0" w:after="0"/>
              <w:jc w:val="center"/>
              <w:rPr>
                <w:b/>
                <w:color w:val="000000"/>
              </w:rPr>
            </w:pPr>
            <w:r>
              <w:rPr>
                <w:b/>
                <w:color w:val="000000"/>
              </w:rPr>
              <w:t xml:space="preserve">Identical Assets </w:t>
            </w:r>
          </w:p>
          <w:p>
            <w:pPr>
              <w:pStyle w:val="TableContents"/>
              <w:bidi w:val="0"/>
              <w:spacing w:before="0" w:after="0"/>
              <w:jc w:val="center"/>
              <w:rPr>
                <w:b/>
                <w:color w:val="000000"/>
              </w:rPr>
            </w:pPr>
            <w:r>
              <w:rPr>
                <w:b/>
                <w:color w:val="000000"/>
              </w:rPr>
              <w:t>(Level 1)</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5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Significant</w:t>
            </w:r>
          </w:p>
          <w:p>
            <w:pPr>
              <w:pStyle w:val="TableContents"/>
              <w:bidi w:val="0"/>
              <w:spacing w:before="0" w:after="0"/>
              <w:jc w:val="center"/>
              <w:rPr>
                <w:b/>
                <w:color w:val="000000"/>
              </w:rPr>
            </w:pPr>
            <w:r>
              <w:rPr>
                <w:b/>
                <w:color w:val="000000"/>
              </w:rPr>
              <w:t xml:space="preserve">Other </w:t>
            </w:r>
          </w:p>
          <w:p>
            <w:pPr>
              <w:pStyle w:val="TableContents"/>
              <w:bidi w:val="0"/>
              <w:spacing w:before="0" w:after="0"/>
              <w:jc w:val="center"/>
              <w:rPr>
                <w:b/>
                <w:color w:val="000000"/>
              </w:rPr>
            </w:pPr>
            <w:r>
              <w:rPr>
                <w:b/>
                <w:color w:val="000000"/>
              </w:rPr>
              <w:t>Observable</w:t>
            </w:r>
          </w:p>
          <w:p>
            <w:pPr>
              <w:pStyle w:val="TableContents"/>
              <w:bidi w:val="0"/>
              <w:spacing w:before="0" w:after="0"/>
              <w:jc w:val="center"/>
              <w:rPr>
                <w:b/>
                <w:color w:val="000000"/>
              </w:rPr>
            </w:pPr>
            <w:r>
              <w:rPr>
                <w:b/>
                <w:color w:val="000000"/>
              </w:rPr>
              <w:t>Inputs (Level 2)</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9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Significant </w:t>
            </w:r>
          </w:p>
          <w:p>
            <w:pPr>
              <w:pStyle w:val="TableContents"/>
              <w:bidi w:val="0"/>
              <w:spacing w:before="0" w:after="0"/>
              <w:jc w:val="center"/>
              <w:rPr>
                <w:b/>
                <w:color w:val="000000"/>
              </w:rPr>
            </w:pPr>
            <w:r>
              <w:rPr>
                <w:b/>
                <w:color w:val="000000"/>
              </w:rPr>
              <w:t xml:space="preserve">Unobservable </w:t>
            </w:r>
          </w:p>
          <w:p>
            <w:pPr>
              <w:pStyle w:val="TableContents"/>
              <w:bidi w:val="0"/>
              <w:spacing w:before="0" w:after="0"/>
              <w:jc w:val="center"/>
              <w:rPr>
                <w:b/>
                <w:color w:val="000000"/>
              </w:rPr>
            </w:pPr>
            <w:r>
              <w:rPr>
                <w:b/>
                <w:color w:val="000000"/>
              </w:rPr>
              <w:t>Inputs (Level 3)</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4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84" w:type="dxa"/>
            <w:tcBorders/>
            <w:vAlign w:val="bottom"/>
          </w:tcPr>
          <w:p>
            <w:pPr>
              <w:pStyle w:val="TableContents"/>
              <w:bidi w:val="0"/>
              <w:spacing w:before="0" w:after="283"/>
              <w:jc w:val="left"/>
              <w:rPr/>
            </w:pPr>
            <w:r>
              <w:rPr/>
              <w:t> </w:t>
            </w:r>
          </w:p>
        </w:tc>
      </w:tr>
      <w:tr>
        <w:trPr/>
        <w:tc>
          <w:tcPr>
            <w:tcW w:w="2838" w:type="dxa"/>
            <w:tcBorders/>
            <w:shd w:fill="CCEEFF" w:val="clear"/>
            <w:vAlign w:val="bottom"/>
          </w:tcPr>
          <w:p>
            <w:pPr>
              <w:pStyle w:val="TableContents"/>
              <w:bidi w:val="0"/>
              <w:spacing w:before="0" w:after="0"/>
              <w:ind w:left="180" w:right="0" w:hanging="180"/>
              <w:jc w:val="left"/>
              <w:rPr>
                <w:color w:val="000000"/>
              </w:rPr>
            </w:pPr>
            <w:r>
              <w:rPr>
                <w:color w:val="000000"/>
              </w:rPr>
              <w:t>Senior Secured First Lien Term Loans</w:t>
            </w:r>
          </w:p>
        </w:tc>
        <w:tc>
          <w:tcPr>
            <w:tcW w:w="60"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0"/>
              <w:jc w:val="left"/>
              <w:rPr>
                <w:color w:val="000000"/>
              </w:rPr>
            </w:pPr>
            <w:r>
              <w:rPr>
                <w:color w:val="000000"/>
              </w:rPr>
              <w:t>$</w:t>
            </w:r>
          </w:p>
        </w:tc>
        <w:tc>
          <w:tcPr>
            <w:tcW w:w="585" w:type="dxa"/>
            <w:tcBorders/>
            <w:shd w:fill="CCEEFF" w:val="clear"/>
            <w:vAlign w:val="bottom"/>
          </w:tcPr>
          <w:p>
            <w:pPr>
              <w:pStyle w:val="TableContents"/>
              <w:bidi w:val="0"/>
              <w:spacing w:before="0" w:after="0"/>
              <w:jc w:val="right"/>
              <w:rPr>
                <w:color w:val="000000"/>
              </w:rPr>
            </w:pPr>
            <w:r>
              <w:rPr>
                <w:color w:val="000000"/>
              </w:rPr>
              <w:t>-</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0"/>
              <w:jc w:val="left"/>
              <w:rPr>
                <w:color w:val="000000"/>
              </w:rPr>
            </w:pPr>
            <w:r>
              <w:rPr>
                <w:color w:val="000000"/>
              </w:rPr>
              <w:t>$</w:t>
            </w:r>
          </w:p>
        </w:tc>
        <w:tc>
          <w:tcPr>
            <w:tcW w:w="606" w:type="dxa"/>
            <w:tcBorders/>
            <w:shd w:fill="CCEEFF" w:val="clear"/>
            <w:vAlign w:val="bottom"/>
          </w:tcPr>
          <w:p>
            <w:pPr>
              <w:pStyle w:val="TableContents"/>
              <w:bidi w:val="0"/>
              <w:spacing w:before="0" w:after="0"/>
              <w:jc w:val="right"/>
              <w:rPr>
                <w:color w:val="000000"/>
              </w:rPr>
            </w:pPr>
            <w:r>
              <w:rPr>
                <w:color w:val="000000"/>
              </w:rPr>
              <w:t>-</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0"/>
              <w:jc w:val="left"/>
              <w:rPr>
                <w:color w:val="000000"/>
              </w:rPr>
            </w:pPr>
            <w:r>
              <w:rPr>
                <w:color w:val="000000"/>
              </w:rPr>
              <w:t>$</w:t>
            </w:r>
          </w:p>
        </w:tc>
        <w:tc>
          <w:tcPr>
            <w:tcW w:w="1666" w:type="dxa"/>
            <w:tcBorders/>
            <w:shd w:fill="CCEEFF" w:val="clear"/>
            <w:vAlign w:val="bottom"/>
          </w:tcPr>
          <w:p>
            <w:pPr>
              <w:pStyle w:val="TableContents"/>
              <w:bidi w:val="0"/>
              <w:spacing w:before="0" w:after="0"/>
              <w:jc w:val="right"/>
              <w:rPr>
                <w:color w:val="000000"/>
              </w:rPr>
            </w:pPr>
            <w:r>
              <w:rPr>
                <w:color w:val="000000"/>
              </w:rPr>
              <w:t>46,006,000</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0"/>
              <w:jc w:val="left"/>
              <w:rPr>
                <w:color w:val="000000"/>
              </w:rPr>
            </w:pPr>
            <w:r>
              <w:rPr>
                <w:color w:val="000000"/>
              </w:rPr>
              <w:t>$</w:t>
            </w:r>
          </w:p>
        </w:tc>
        <w:tc>
          <w:tcPr>
            <w:tcW w:w="1640" w:type="dxa"/>
            <w:tcBorders/>
            <w:shd w:fill="CCEEFF" w:val="clear"/>
            <w:vAlign w:val="bottom"/>
          </w:tcPr>
          <w:p>
            <w:pPr>
              <w:pStyle w:val="TableContents"/>
              <w:bidi w:val="0"/>
              <w:spacing w:before="0" w:after="0"/>
              <w:jc w:val="right"/>
              <w:rPr>
                <w:color w:val="000000"/>
              </w:rPr>
            </w:pPr>
            <w:r>
              <w:rPr>
                <w:color w:val="000000"/>
              </w:rPr>
              <w:t>46,006,000</w:t>
            </w:r>
          </w:p>
        </w:tc>
        <w:tc>
          <w:tcPr>
            <w:tcW w:w="84" w:type="dxa"/>
            <w:tcBorders/>
            <w:shd w:fill="CCEEFF" w:val="clear"/>
            <w:vAlign w:val="bottom"/>
          </w:tcPr>
          <w:p>
            <w:pPr>
              <w:pStyle w:val="TableContents"/>
              <w:bidi w:val="0"/>
              <w:spacing w:before="0" w:after="283"/>
              <w:jc w:val="left"/>
              <w:rPr/>
            </w:pPr>
            <w:r>
              <w:rPr/>
              <w:t> </w:t>
            </w:r>
          </w:p>
        </w:tc>
      </w:tr>
      <w:tr>
        <w:trPr/>
        <w:tc>
          <w:tcPr>
            <w:tcW w:w="2838" w:type="dxa"/>
            <w:tcBorders/>
            <w:vAlign w:val="bottom"/>
          </w:tcPr>
          <w:p>
            <w:pPr>
              <w:pStyle w:val="TableContents"/>
              <w:bidi w:val="0"/>
              <w:spacing w:before="0" w:after="0"/>
              <w:ind w:left="180" w:right="0" w:hanging="180"/>
              <w:jc w:val="left"/>
              <w:rPr>
                <w:color w:val="000000"/>
              </w:rPr>
            </w:pPr>
            <w:r>
              <w:rPr>
                <w:color w:val="000000"/>
              </w:rPr>
              <w:t>Senior Secured Notes</w:t>
            </w:r>
          </w:p>
        </w:tc>
        <w:tc>
          <w:tcPr>
            <w:tcW w:w="60" w:type="dxa"/>
            <w:tcBorders/>
            <w:vAlign w:val="bottom"/>
          </w:tcPr>
          <w:p>
            <w:pPr>
              <w:pStyle w:val="TableContents"/>
              <w:bidi w:val="0"/>
              <w:spacing w:before="0" w:after="283"/>
              <w:jc w:val="left"/>
              <w:rPr/>
            </w:pPr>
            <w:r>
              <w:rPr/>
              <w:t> </w:t>
            </w:r>
          </w:p>
        </w:tc>
        <w:tc>
          <w:tcPr>
            <w:tcW w:w="862" w:type="dxa"/>
            <w:tcBorders>
              <w:bottom w:val="single" w:sz="12" w:space="0" w:color="000000"/>
            </w:tcBorders>
            <w:tcMar>
              <w:bottom w:w="28" w:type="dxa"/>
            </w:tcMar>
            <w:vAlign w:val="bottom"/>
          </w:tcPr>
          <w:p>
            <w:pPr>
              <w:pStyle w:val="TableContents"/>
              <w:bidi w:val="0"/>
              <w:spacing w:before="0" w:after="283"/>
              <w:jc w:val="left"/>
              <w:rPr/>
            </w:pPr>
            <w:r>
              <w:rPr/>
              <w:t> </w:t>
            </w:r>
          </w:p>
        </w:tc>
        <w:tc>
          <w:tcPr>
            <w:tcW w:w="5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94" w:type="dxa"/>
            <w:tcBorders>
              <w:bottom w:val="single" w:sz="12" w:space="0" w:color="000000"/>
            </w:tcBorders>
            <w:tcMar>
              <w:bottom w:w="28" w:type="dxa"/>
            </w:tcMar>
            <w:vAlign w:val="bottom"/>
          </w:tcPr>
          <w:p>
            <w:pPr>
              <w:pStyle w:val="TableContents"/>
              <w:bidi w:val="0"/>
              <w:spacing w:before="0" w:after="283"/>
              <w:jc w:val="left"/>
              <w:rPr/>
            </w:pPr>
            <w:r>
              <w:rPr/>
              <w:t> </w:t>
            </w:r>
          </w:p>
        </w:tc>
        <w:tc>
          <w:tcPr>
            <w:tcW w:w="60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34" w:type="dxa"/>
            <w:tcBorders>
              <w:bottom w:val="single" w:sz="12" w:space="0" w:color="000000"/>
            </w:tcBorders>
            <w:tcMar>
              <w:bottom w:w="28" w:type="dxa"/>
            </w:tcMar>
            <w:vAlign w:val="bottom"/>
          </w:tcPr>
          <w:p>
            <w:pPr>
              <w:pStyle w:val="TableContents"/>
              <w:bidi w:val="0"/>
              <w:spacing w:before="0" w:after="283"/>
              <w:jc w:val="left"/>
              <w:rPr/>
            </w:pPr>
            <w:r>
              <w:rPr/>
              <w:t> </w:t>
            </w:r>
          </w:p>
        </w:tc>
        <w:tc>
          <w:tcPr>
            <w:tcW w:w="166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8,114,000</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8" w:type="dxa"/>
            <w:tcBorders>
              <w:bottom w:val="single" w:sz="12" w:space="0" w:color="000000"/>
            </w:tcBorders>
            <w:tcMar>
              <w:bottom w:w="28" w:type="dxa"/>
            </w:tcMar>
            <w:vAlign w:val="bottom"/>
          </w:tcPr>
          <w:p>
            <w:pPr>
              <w:pStyle w:val="TableContents"/>
              <w:bidi w:val="0"/>
              <w:spacing w:before="0" w:after="283"/>
              <w:jc w:val="left"/>
              <w:rPr/>
            </w:pPr>
            <w:r>
              <w:rPr/>
              <w:t> </w:t>
            </w:r>
          </w:p>
        </w:tc>
        <w:tc>
          <w:tcPr>
            <w:tcW w:w="16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8,114,000</w:t>
            </w:r>
          </w:p>
        </w:tc>
        <w:tc>
          <w:tcPr>
            <w:tcW w:w="84" w:type="dxa"/>
            <w:tcBorders/>
            <w:vAlign w:val="bottom"/>
          </w:tcPr>
          <w:p>
            <w:pPr>
              <w:pStyle w:val="TableContents"/>
              <w:bidi w:val="0"/>
              <w:spacing w:before="0" w:after="283"/>
              <w:jc w:val="left"/>
              <w:rPr/>
            </w:pPr>
            <w:r>
              <w:rPr/>
              <w:t> </w:t>
            </w:r>
          </w:p>
        </w:tc>
      </w:tr>
      <w:tr>
        <w:trPr/>
        <w:tc>
          <w:tcPr>
            <w:tcW w:w="2838" w:type="dxa"/>
            <w:tcBorders/>
            <w:shd w:fill="CCEEFF" w:val="clear"/>
            <w:vAlign w:val="bottom"/>
          </w:tcPr>
          <w:p>
            <w:pPr>
              <w:pStyle w:val="TableContents"/>
              <w:bidi w:val="0"/>
              <w:spacing w:before="0" w:after="0"/>
              <w:ind w:left="180" w:right="0" w:hanging="180"/>
              <w:jc w:val="left"/>
              <w:rPr>
                <w:color w:val="000000"/>
              </w:rPr>
            </w:pPr>
            <w:r>
              <w:rPr>
                <w:color w:val="000000"/>
              </w:rPr>
              <w:t>Total</w:t>
            </w:r>
          </w:p>
        </w:tc>
        <w:tc>
          <w:tcPr>
            <w:tcW w:w="60" w:type="dxa"/>
            <w:tcBorders/>
            <w:shd w:fill="CCEEFF" w:val="clear"/>
            <w:vAlign w:val="bottom"/>
          </w:tcPr>
          <w:p>
            <w:pPr>
              <w:pStyle w:val="TableContents"/>
              <w:bidi w:val="0"/>
              <w:spacing w:before="0" w:after="283"/>
              <w:jc w:val="left"/>
              <w:rPr/>
            </w:pPr>
            <w:r>
              <w:rPr/>
              <w:t> </w:t>
            </w:r>
          </w:p>
        </w:tc>
        <w:tc>
          <w:tcPr>
            <w:tcW w:w="86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9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3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66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54,120,000</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0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64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54,120,000</w:t>
            </w:r>
          </w:p>
        </w:tc>
        <w:tc>
          <w:tcPr>
            <w:tcW w:w="8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provide a summary of the significant unobservable inputs used to fair value the Level 3 portfolio investments as of June 30, 2024 and December 31, 2023. The methodology for the determination of the fair value of the Company’s investments is discussed in “Note 2 – Significant Accounting Policies”. Discount rate ranges are shown as spread over PRIME and Treasuries, respectively, for Senior Secured First Lien Term Loans, as of June 30, 2024 and December 31, 2023.</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28" w:type="dxa"/>
          <w:right w:w="0" w:type="dxa"/>
        </w:tblCellMar>
      </w:tblPr>
      <w:tblGrid>
        <w:gridCol w:w="1914"/>
        <w:gridCol w:w="60"/>
        <w:gridCol w:w="153"/>
        <w:gridCol w:w="1208"/>
        <w:gridCol w:w="60"/>
        <w:gridCol w:w="2079"/>
        <w:gridCol w:w="60"/>
        <w:gridCol w:w="1858"/>
        <w:gridCol w:w="60"/>
        <w:gridCol w:w="60"/>
        <w:gridCol w:w="823"/>
        <w:gridCol w:w="215"/>
        <w:gridCol w:w="60"/>
        <w:gridCol w:w="164"/>
        <w:gridCol w:w="1212"/>
        <w:gridCol w:w="219"/>
      </w:tblGrid>
      <w:tr>
        <w:trPr/>
        <w:tc>
          <w:tcPr>
            <w:tcW w:w="1914" w:type="dxa"/>
            <w:tcBorders>
              <w:bottom w:val="single" w:sz="12" w:space="0" w:color="000000"/>
            </w:tcBorders>
            <w:vAlign w:val="bottom"/>
          </w:tcPr>
          <w:p>
            <w:pPr>
              <w:pStyle w:val="TableContents"/>
              <w:bidi w:val="0"/>
              <w:spacing w:before="0" w:after="0"/>
              <w:jc w:val="left"/>
              <w:rPr>
                <w:b/>
                <w:color w:val="000000"/>
              </w:rPr>
            </w:pPr>
            <w:r>
              <w:rPr>
                <w:b/>
                <w:color w:val="000000"/>
              </w:rPr>
              <w:t>Investment Type</w:t>
            </w:r>
          </w:p>
        </w:tc>
        <w:tc>
          <w:tcPr>
            <w:tcW w:w="60" w:type="dxa"/>
            <w:tcBorders/>
            <w:tcMar>
              <w:bottom w:w="0" w:type="dxa"/>
            </w:tcMar>
            <w:vAlign w:val="bottom"/>
          </w:tcPr>
          <w:p>
            <w:pPr>
              <w:pStyle w:val="TableContents"/>
              <w:bidi w:val="0"/>
              <w:spacing w:before="0" w:after="283"/>
              <w:jc w:val="left"/>
              <w:rPr/>
            </w:pPr>
            <w:r>
              <w:rPr/>
              <w:t> </w:t>
            </w:r>
          </w:p>
        </w:tc>
        <w:tc>
          <w:tcPr>
            <w:tcW w:w="1361" w:type="dxa"/>
            <w:gridSpan w:val="2"/>
            <w:tcBorders>
              <w:bottom w:val="single" w:sz="12" w:space="0" w:color="000000"/>
            </w:tcBorders>
            <w:vAlign w:val="bottom"/>
          </w:tcPr>
          <w:p>
            <w:pPr>
              <w:pStyle w:val="TableContents"/>
              <w:bidi w:val="0"/>
              <w:spacing w:before="0" w:after="0"/>
              <w:jc w:val="center"/>
              <w:rPr>
                <w:b/>
                <w:color w:val="000000"/>
              </w:rPr>
            </w:pPr>
            <w:r>
              <w:rPr>
                <w:b/>
                <w:color w:val="000000"/>
              </w:rPr>
              <w:t>Fair Value as of</w:t>
              <w:br/>
              <w:t>June 30, 2024</w:t>
            </w:r>
          </w:p>
        </w:tc>
        <w:tc>
          <w:tcPr>
            <w:tcW w:w="60" w:type="dxa"/>
            <w:tcBorders/>
            <w:tcMar>
              <w:bottom w:w="0" w:type="dxa"/>
            </w:tcMar>
            <w:vAlign w:val="bottom"/>
          </w:tcPr>
          <w:p>
            <w:pPr>
              <w:pStyle w:val="TableContents"/>
              <w:bidi w:val="0"/>
              <w:spacing w:before="0" w:after="283"/>
              <w:jc w:val="left"/>
              <w:rPr/>
            </w:pPr>
            <w:r>
              <w:rPr/>
              <w:t> </w:t>
            </w:r>
          </w:p>
        </w:tc>
        <w:tc>
          <w:tcPr>
            <w:tcW w:w="2079" w:type="dxa"/>
            <w:tcBorders>
              <w:bottom w:val="single" w:sz="12" w:space="0" w:color="000000"/>
            </w:tcBorders>
            <w:vAlign w:val="bottom"/>
          </w:tcPr>
          <w:p>
            <w:pPr>
              <w:pStyle w:val="TableContents"/>
              <w:bidi w:val="0"/>
              <w:spacing w:before="0" w:after="0"/>
              <w:jc w:val="center"/>
              <w:rPr>
                <w:b/>
                <w:color w:val="000000"/>
              </w:rPr>
            </w:pPr>
            <w:r>
              <w:rPr>
                <w:b/>
                <w:color w:val="000000"/>
              </w:rPr>
              <w:t>Valuation Techniques/</w:t>
            </w:r>
          </w:p>
          <w:p>
            <w:pPr>
              <w:pStyle w:val="TableContents"/>
              <w:bidi w:val="0"/>
              <w:spacing w:before="0" w:after="0"/>
              <w:jc w:val="center"/>
              <w:rPr>
                <w:b/>
                <w:color w:val="000000"/>
              </w:rPr>
            </w:pPr>
            <w:r>
              <w:rPr>
                <w:b/>
                <w:color w:val="000000"/>
              </w:rPr>
              <w:t>Methodologies</w:t>
            </w:r>
          </w:p>
        </w:tc>
        <w:tc>
          <w:tcPr>
            <w:tcW w:w="60" w:type="dxa"/>
            <w:tcBorders/>
            <w:tcMar>
              <w:bottom w:w="0" w:type="dxa"/>
            </w:tcMar>
            <w:vAlign w:val="bottom"/>
          </w:tcPr>
          <w:p>
            <w:pPr>
              <w:pStyle w:val="TableContents"/>
              <w:bidi w:val="0"/>
              <w:spacing w:before="0" w:after="283"/>
              <w:jc w:val="left"/>
              <w:rPr/>
            </w:pPr>
            <w:r>
              <w:rPr/>
              <w:t> </w:t>
            </w:r>
          </w:p>
        </w:tc>
        <w:tc>
          <w:tcPr>
            <w:tcW w:w="1858" w:type="dxa"/>
            <w:tcBorders>
              <w:bottom w:val="single" w:sz="12" w:space="0" w:color="000000"/>
            </w:tcBorders>
            <w:vAlign w:val="bottom"/>
          </w:tcPr>
          <w:p>
            <w:pPr>
              <w:pStyle w:val="TableContents"/>
              <w:bidi w:val="0"/>
              <w:spacing w:before="0" w:after="0"/>
              <w:jc w:val="center"/>
              <w:rPr>
                <w:b/>
                <w:color w:val="000000"/>
              </w:rPr>
            </w:pPr>
            <w:r>
              <w:rPr>
                <w:b/>
                <w:color w:val="000000"/>
              </w:rPr>
              <w:t xml:space="preserve">Unobservable </w:t>
            </w:r>
          </w:p>
          <w:p>
            <w:pPr>
              <w:pStyle w:val="TableContents"/>
              <w:bidi w:val="0"/>
              <w:spacing w:before="0" w:after="0"/>
              <w:jc w:val="center"/>
              <w:rPr>
                <w:b/>
                <w:color w:val="000000"/>
              </w:rPr>
            </w:pPr>
            <w:r>
              <w:rPr>
                <w:b/>
                <w:color w:val="000000"/>
              </w:rPr>
              <w:t>Input</w:t>
            </w:r>
          </w:p>
        </w:tc>
        <w:tc>
          <w:tcPr>
            <w:tcW w:w="60" w:type="dxa"/>
            <w:tcBorders/>
            <w:tcMar>
              <w:bottom w:w="0" w:type="dxa"/>
            </w:tcMar>
            <w:vAlign w:val="bottom"/>
          </w:tcPr>
          <w:p>
            <w:pPr>
              <w:pStyle w:val="TableContents"/>
              <w:bidi w:val="0"/>
              <w:spacing w:before="0" w:after="283"/>
              <w:jc w:val="left"/>
              <w:rPr/>
            </w:pPr>
            <w:r>
              <w:rPr/>
              <w:t> </w:t>
            </w:r>
          </w:p>
        </w:tc>
        <w:tc>
          <w:tcPr>
            <w:tcW w:w="883" w:type="dxa"/>
            <w:gridSpan w:val="2"/>
            <w:tcBorders>
              <w:bottom w:val="single" w:sz="12" w:space="0" w:color="000000"/>
            </w:tcBorders>
            <w:vAlign w:val="bottom"/>
          </w:tcPr>
          <w:p>
            <w:pPr>
              <w:pStyle w:val="TableContents"/>
              <w:bidi w:val="0"/>
              <w:spacing w:before="0" w:after="0"/>
              <w:jc w:val="center"/>
              <w:rPr>
                <w:b/>
                <w:color w:val="000000"/>
              </w:rPr>
            </w:pPr>
            <w:r>
              <w:rPr>
                <w:b/>
                <w:color w:val="000000"/>
              </w:rPr>
              <w:t>Range</w:t>
            </w:r>
          </w:p>
        </w:tc>
        <w:tc>
          <w:tcPr>
            <w:tcW w:w="21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76" w:type="dxa"/>
            <w:gridSpan w:val="2"/>
            <w:tcBorders>
              <w:bottom w:val="single" w:sz="12" w:space="0" w:color="000000"/>
            </w:tcBorders>
            <w:vAlign w:val="bottom"/>
          </w:tcPr>
          <w:p>
            <w:pPr>
              <w:pStyle w:val="TableContents"/>
              <w:bidi w:val="0"/>
              <w:spacing w:lineRule="auto" w:line="240" w:before="0" w:after="0"/>
              <w:jc w:val="center"/>
              <w:rPr>
                <w:b/>
                <w:color w:val="000000"/>
              </w:rPr>
            </w:pPr>
            <w:r>
              <w:rPr>
                <w:b/>
                <w:color w:val="000000"/>
              </w:rPr>
              <w:t>Weighted Average (1)</w:t>
            </w:r>
          </w:p>
        </w:tc>
        <w:tc>
          <w:tcPr>
            <w:tcW w:w="219" w:type="dxa"/>
            <w:tcBorders/>
            <w:tcMar>
              <w:bottom w:w="0" w:type="dxa"/>
            </w:tcMar>
            <w:vAlign w:val="bottom"/>
          </w:tcPr>
          <w:p>
            <w:pPr>
              <w:pStyle w:val="TableContents"/>
              <w:bidi w:val="0"/>
              <w:spacing w:before="0" w:after="283"/>
              <w:jc w:val="left"/>
              <w:rPr/>
            </w:pPr>
            <w:r>
              <w:rPr/>
              <w:t> </w:t>
            </w:r>
          </w:p>
        </w:tc>
      </w:tr>
      <w:tr>
        <w:trPr/>
        <w:tc>
          <w:tcPr>
            <w:tcW w:w="1914"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361" w:type="dxa"/>
            <w:gridSpan w:val="2"/>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2079"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58"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883" w:type="dxa"/>
            <w:gridSpan w:val="2"/>
            <w:tcBorders/>
            <w:tcMar>
              <w:bottom w:w="0" w:type="dxa"/>
            </w:tcMar>
            <w:vAlign w:val="bottom"/>
          </w:tcPr>
          <w:p>
            <w:pPr>
              <w:pStyle w:val="TableContents"/>
              <w:bidi w:val="0"/>
              <w:spacing w:before="0" w:after="283"/>
              <w:jc w:val="right"/>
              <w:rPr/>
            </w:pPr>
            <w:r>
              <w:rPr/>
              <w:t> </w:t>
            </w:r>
          </w:p>
        </w:tc>
        <w:tc>
          <w:tcPr>
            <w:tcW w:w="21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376" w:type="dxa"/>
            <w:gridSpan w:val="2"/>
            <w:tcBorders/>
            <w:tcMar>
              <w:bottom w:w="0" w:type="dxa"/>
            </w:tcMar>
            <w:vAlign w:val="bottom"/>
          </w:tcPr>
          <w:p>
            <w:pPr>
              <w:pStyle w:val="TableContents"/>
              <w:bidi w:val="0"/>
              <w:spacing w:before="0" w:after="283"/>
              <w:jc w:val="right"/>
              <w:rPr/>
            </w:pPr>
            <w:r>
              <w:rPr/>
              <w:t> </w:t>
            </w:r>
          </w:p>
        </w:tc>
        <w:tc>
          <w:tcPr>
            <w:tcW w:w="219" w:type="dxa"/>
            <w:tcBorders/>
            <w:tcMar>
              <w:bottom w:w="0" w:type="dxa"/>
            </w:tcMar>
            <w:vAlign w:val="bottom"/>
          </w:tcPr>
          <w:p>
            <w:pPr>
              <w:pStyle w:val="TableContents"/>
              <w:bidi w:val="0"/>
              <w:spacing w:before="0" w:after="283"/>
              <w:jc w:val="left"/>
              <w:rPr/>
            </w:pPr>
            <w:r>
              <w:rPr/>
              <w:t> </w:t>
            </w:r>
          </w:p>
        </w:tc>
      </w:tr>
      <w:tr>
        <w:trPr/>
        <w:tc>
          <w:tcPr>
            <w:tcW w:w="1914" w:type="dxa"/>
            <w:tcBorders/>
            <w:shd w:fill="CCEEFF" w:val="clear"/>
            <w:tcMar>
              <w:bottom w:w="0" w:type="dxa"/>
            </w:tcMar>
            <w:vAlign w:val="bottom"/>
          </w:tcPr>
          <w:p>
            <w:pPr>
              <w:pStyle w:val="TableContents"/>
              <w:bidi w:val="0"/>
              <w:spacing w:before="0" w:after="0"/>
              <w:ind w:left="180" w:right="0" w:hanging="180"/>
              <w:jc w:val="left"/>
              <w:rPr>
                <w:color w:val="000000"/>
              </w:rPr>
            </w:pPr>
            <w:r>
              <w:rPr>
                <w:color w:val="000000"/>
              </w:rPr>
              <w:t>Senior Secured First Lien Term Loans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53"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208" w:type="dxa"/>
            <w:tcBorders/>
            <w:shd w:fill="CCEEFF" w:val="clear"/>
            <w:tcMar>
              <w:bottom w:w="0" w:type="dxa"/>
            </w:tcMar>
            <w:vAlign w:val="bottom"/>
          </w:tcPr>
          <w:p>
            <w:pPr>
              <w:pStyle w:val="TableContents"/>
              <w:bidi w:val="0"/>
              <w:spacing w:before="0" w:after="0"/>
              <w:jc w:val="right"/>
              <w:rPr>
                <w:color w:val="000000"/>
              </w:rPr>
            </w:pPr>
            <w:r>
              <w:rPr>
                <w:color w:val="000000"/>
              </w:rPr>
              <w:t>44,350,164</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79" w:type="dxa"/>
            <w:tcBorders/>
            <w:shd w:fill="CCEEFF" w:val="clear"/>
            <w:tcMar>
              <w:bottom w:w="0" w:type="dxa"/>
            </w:tcMar>
            <w:vAlign w:val="bottom"/>
          </w:tcPr>
          <w:p>
            <w:pPr>
              <w:pStyle w:val="TableContents"/>
              <w:bidi w:val="0"/>
              <w:spacing w:before="0" w:after="0"/>
              <w:jc w:val="left"/>
              <w:rPr>
                <w:color w:val="000000"/>
              </w:rPr>
            </w:pPr>
            <w:r>
              <w:rPr>
                <w:color w:val="000000"/>
              </w:rPr>
              <w:t>Discounted Cash Flow</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58" w:type="dxa"/>
            <w:tcBorders/>
            <w:shd w:fill="CCEEFF" w:val="clear"/>
            <w:tcMar>
              <w:bottom w:w="0" w:type="dxa"/>
            </w:tcMar>
            <w:vAlign w:val="bottom"/>
          </w:tcPr>
          <w:p>
            <w:pPr>
              <w:pStyle w:val="TableContents"/>
              <w:bidi w:val="0"/>
              <w:spacing w:before="0" w:after="0"/>
              <w:jc w:val="center"/>
              <w:rPr>
                <w:color w:val="000000"/>
              </w:rPr>
            </w:pPr>
            <w:r>
              <w:rPr>
                <w:color w:val="000000"/>
              </w:rPr>
              <w:t>Discount Rate</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23" w:type="dxa"/>
            <w:tcBorders/>
            <w:shd w:fill="CCEEFF" w:val="clear"/>
            <w:tcMar>
              <w:bottom w:w="0" w:type="dxa"/>
            </w:tcMar>
            <w:vAlign w:val="bottom"/>
          </w:tcPr>
          <w:p>
            <w:pPr>
              <w:pStyle w:val="TableContents"/>
              <w:bidi w:val="0"/>
              <w:spacing w:before="0" w:after="0"/>
              <w:jc w:val="right"/>
              <w:rPr>
                <w:color w:val="000000"/>
              </w:rPr>
            </w:pPr>
            <w:r>
              <w:rPr>
                <w:color w:val="000000"/>
              </w:rPr>
              <w:t>10.1% - 13.5</w:t>
            </w:r>
          </w:p>
        </w:tc>
        <w:tc>
          <w:tcPr>
            <w:tcW w:w="21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4" w:type="dxa"/>
            <w:tcBorders/>
            <w:shd w:fill="CCEEFF" w:val="clear"/>
            <w:tcMar>
              <w:bottom w:w="0" w:type="dxa"/>
            </w:tcMar>
            <w:vAlign w:val="bottom"/>
          </w:tcPr>
          <w:p>
            <w:pPr>
              <w:pStyle w:val="TableContents"/>
              <w:bidi w:val="0"/>
              <w:spacing w:before="0" w:after="283"/>
              <w:jc w:val="left"/>
              <w:rPr/>
            </w:pPr>
            <w:r>
              <w:rPr/>
              <w:t> </w:t>
            </w:r>
          </w:p>
        </w:tc>
        <w:tc>
          <w:tcPr>
            <w:tcW w:w="1212" w:type="dxa"/>
            <w:tcBorders/>
            <w:shd w:fill="CCEEFF" w:val="clear"/>
            <w:tcMar>
              <w:bottom w:w="0" w:type="dxa"/>
            </w:tcMar>
            <w:vAlign w:val="bottom"/>
          </w:tcPr>
          <w:p>
            <w:pPr>
              <w:pStyle w:val="TableContents"/>
              <w:bidi w:val="0"/>
              <w:spacing w:before="0" w:after="0"/>
              <w:jc w:val="right"/>
              <w:rPr>
                <w:color w:val="000000"/>
              </w:rPr>
            </w:pPr>
            <w:r>
              <w:rPr>
                <w:color w:val="000000"/>
              </w:rPr>
              <w:t>12.0</w:t>
            </w:r>
          </w:p>
        </w:tc>
        <w:tc>
          <w:tcPr>
            <w:tcW w:w="219" w:type="dxa"/>
            <w:tcBorders/>
            <w:shd w:fill="CCEEFF" w:val="clear"/>
            <w:tcMar>
              <w:bottom w:w="0" w:type="dxa"/>
            </w:tcMar>
            <w:vAlign w:val="bottom"/>
          </w:tcPr>
          <w:p>
            <w:pPr>
              <w:pStyle w:val="TableContents"/>
              <w:bidi w:val="0"/>
              <w:spacing w:before="0" w:after="0"/>
              <w:jc w:val="left"/>
              <w:rPr>
                <w:color w:val="000000"/>
              </w:rPr>
            </w:pPr>
            <w:r>
              <w:rPr>
                <w:color w:val="000000"/>
              </w:rPr>
              <w:t>%</w:t>
            </w:r>
          </w:p>
        </w:tc>
      </w:tr>
      <w:tr>
        <w:trPr/>
        <w:tc>
          <w:tcPr>
            <w:tcW w:w="1914" w:type="dxa"/>
            <w:tcBorders/>
            <w:tcMar>
              <w:bottom w:w="0" w:type="dxa"/>
            </w:tcMar>
            <w:vAlign w:val="bottom"/>
          </w:tcPr>
          <w:p>
            <w:pPr>
              <w:pStyle w:val="TableContents"/>
              <w:bidi w:val="0"/>
              <w:spacing w:before="0" w:after="0"/>
              <w:ind w:left="180" w:right="0" w:hanging="180"/>
              <w:jc w:val="left"/>
              <w:rPr>
                <w:color w:val="000000"/>
              </w:rPr>
            </w:pPr>
            <w:r>
              <w:rPr>
                <w:color w:val="000000"/>
              </w:rPr>
              <w:t>Senior Secured Notes</w:t>
            </w:r>
          </w:p>
        </w:tc>
        <w:tc>
          <w:tcPr>
            <w:tcW w:w="60" w:type="dxa"/>
            <w:tcBorders/>
            <w:tcMar>
              <w:bottom w:w="0" w:type="dxa"/>
            </w:tcMar>
            <w:vAlign w:val="bottom"/>
          </w:tcPr>
          <w:p>
            <w:pPr>
              <w:pStyle w:val="TableContents"/>
              <w:bidi w:val="0"/>
              <w:spacing w:before="0" w:after="283"/>
              <w:jc w:val="right"/>
              <w:rPr/>
            </w:pPr>
            <w:r>
              <w:rPr/>
              <w:t> </w:t>
            </w:r>
          </w:p>
        </w:tc>
        <w:tc>
          <w:tcPr>
            <w:tcW w:w="153" w:type="dxa"/>
            <w:tcBorders/>
            <w:tcMar>
              <w:bottom w:w="0" w:type="dxa"/>
            </w:tcMar>
            <w:vAlign w:val="bottom"/>
          </w:tcPr>
          <w:p>
            <w:pPr>
              <w:pStyle w:val="TableContents"/>
              <w:bidi w:val="0"/>
              <w:spacing w:before="0" w:after="283"/>
              <w:jc w:val="left"/>
              <w:rPr/>
            </w:pPr>
            <w:r>
              <w:rPr/>
              <w:t> </w:t>
            </w:r>
          </w:p>
        </w:tc>
        <w:tc>
          <w:tcPr>
            <w:tcW w:w="1208" w:type="dxa"/>
            <w:tcBorders/>
            <w:tcMar>
              <w:bottom w:w="0" w:type="dxa"/>
            </w:tcMar>
            <w:vAlign w:val="bottom"/>
          </w:tcPr>
          <w:p>
            <w:pPr>
              <w:pStyle w:val="TableContents"/>
              <w:bidi w:val="0"/>
              <w:spacing w:before="0" w:after="0"/>
              <w:jc w:val="right"/>
              <w:rPr>
                <w:color w:val="000000"/>
              </w:rPr>
            </w:pPr>
            <w:r>
              <w:rPr>
                <w:color w:val="000000"/>
              </w:rPr>
              <w:t>8,267,000</w:t>
            </w:r>
          </w:p>
        </w:tc>
        <w:tc>
          <w:tcPr>
            <w:tcW w:w="60" w:type="dxa"/>
            <w:tcBorders/>
            <w:tcMar>
              <w:bottom w:w="0" w:type="dxa"/>
            </w:tcMar>
            <w:vAlign w:val="bottom"/>
          </w:tcPr>
          <w:p>
            <w:pPr>
              <w:pStyle w:val="TableContents"/>
              <w:bidi w:val="0"/>
              <w:spacing w:before="0" w:after="283"/>
              <w:jc w:val="left"/>
              <w:rPr/>
            </w:pPr>
            <w:r>
              <w:rPr/>
              <w:t> </w:t>
            </w:r>
          </w:p>
        </w:tc>
        <w:tc>
          <w:tcPr>
            <w:tcW w:w="2079" w:type="dxa"/>
            <w:tcBorders/>
            <w:tcMar>
              <w:bottom w:w="0" w:type="dxa"/>
            </w:tcMar>
            <w:vAlign w:val="bottom"/>
          </w:tcPr>
          <w:p>
            <w:pPr>
              <w:pStyle w:val="TableContents"/>
              <w:bidi w:val="0"/>
              <w:spacing w:before="0" w:after="0"/>
              <w:jc w:val="left"/>
              <w:rPr>
                <w:color w:val="000000"/>
              </w:rPr>
            </w:pPr>
            <w:r>
              <w:rPr>
                <w:color w:val="000000"/>
              </w:rPr>
              <w:t>Discounted Cash Flow</w:t>
            </w:r>
          </w:p>
        </w:tc>
        <w:tc>
          <w:tcPr>
            <w:tcW w:w="60" w:type="dxa"/>
            <w:tcBorders/>
            <w:tcMar>
              <w:bottom w:w="0" w:type="dxa"/>
            </w:tcMar>
            <w:vAlign w:val="bottom"/>
          </w:tcPr>
          <w:p>
            <w:pPr>
              <w:pStyle w:val="TableContents"/>
              <w:bidi w:val="0"/>
              <w:spacing w:before="0" w:after="283"/>
              <w:jc w:val="left"/>
              <w:rPr/>
            </w:pPr>
            <w:r>
              <w:rPr/>
              <w:t> </w:t>
            </w:r>
          </w:p>
        </w:tc>
        <w:tc>
          <w:tcPr>
            <w:tcW w:w="1858" w:type="dxa"/>
            <w:tcBorders/>
            <w:tcMar>
              <w:bottom w:w="0" w:type="dxa"/>
            </w:tcMar>
            <w:vAlign w:val="bottom"/>
          </w:tcPr>
          <w:p>
            <w:pPr>
              <w:pStyle w:val="TableContents"/>
              <w:bidi w:val="0"/>
              <w:spacing w:before="0" w:after="0"/>
              <w:jc w:val="center"/>
              <w:rPr>
                <w:color w:val="000000"/>
              </w:rPr>
            </w:pPr>
            <w:r>
              <w:rPr>
                <w:color w:val="000000"/>
              </w:rPr>
              <w:t>Discount Rate</w:t>
            </w:r>
          </w:p>
        </w:tc>
        <w:tc>
          <w:tcPr>
            <w:tcW w:w="6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823" w:type="dxa"/>
            <w:tcBorders/>
            <w:tcMar>
              <w:bottom w:w="0" w:type="dxa"/>
            </w:tcMar>
            <w:vAlign w:val="bottom"/>
          </w:tcPr>
          <w:p>
            <w:pPr>
              <w:pStyle w:val="TableContents"/>
              <w:bidi w:val="0"/>
              <w:spacing w:before="0" w:after="0"/>
              <w:jc w:val="right"/>
              <w:rPr>
                <w:color w:val="000000"/>
              </w:rPr>
            </w:pPr>
            <w:r>
              <w:rPr>
                <w:color w:val="000000"/>
              </w:rPr>
              <w:t>6.9% - 12.9</w:t>
            </w:r>
          </w:p>
        </w:tc>
        <w:tc>
          <w:tcPr>
            <w:tcW w:w="215" w:type="dxa"/>
            <w:tcBorders/>
            <w:tcMar>
              <w:bottom w:w="0" w:type="dxa"/>
            </w:tcMar>
            <w:vAlign w:val="bottom"/>
          </w:tcPr>
          <w:p>
            <w:pPr>
              <w:pStyle w:val="TableContents"/>
              <w:bidi w:val="0"/>
              <w:spacing w:before="0" w:after="0"/>
              <w:jc w:val="left"/>
              <w:rPr>
                <w:color w:val="000000"/>
              </w:rPr>
            </w:pPr>
            <w:r>
              <w:rPr>
                <w:color w:val="000000"/>
              </w:rPr>
              <w:t>%</w:t>
            </w:r>
          </w:p>
        </w:tc>
        <w:tc>
          <w:tcPr>
            <w:tcW w:w="60" w:type="dxa"/>
            <w:tcBorders/>
            <w:tcMar>
              <w:bottom w:w="0" w:type="dxa"/>
            </w:tcMar>
            <w:vAlign w:val="bottom"/>
          </w:tcPr>
          <w:p>
            <w:pPr>
              <w:pStyle w:val="TableContents"/>
              <w:bidi w:val="0"/>
              <w:spacing w:before="0" w:after="283"/>
              <w:jc w:val="right"/>
              <w:rPr/>
            </w:pPr>
            <w:r>
              <w:rPr/>
              <w:t> </w:t>
            </w:r>
          </w:p>
        </w:tc>
        <w:tc>
          <w:tcPr>
            <w:tcW w:w="164" w:type="dxa"/>
            <w:tcBorders/>
            <w:tcMar>
              <w:bottom w:w="0" w:type="dxa"/>
            </w:tcMar>
            <w:vAlign w:val="bottom"/>
          </w:tcPr>
          <w:p>
            <w:pPr>
              <w:pStyle w:val="TableContents"/>
              <w:bidi w:val="0"/>
              <w:spacing w:before="0" w:after="283"/>
              <w:jc w:val="left"/>
              <w:rPr/>
            </w:pPr>
            <w:r>
              <w:rPr/>
              <w:t> </w:t>
            </w:r>
          </w:p>
        </w:tc>
        <w:tc>
          <w:tcPr>
            <w:tcW w:w="1212" w:type="dxa"/>
            <w:tcBorders/>
            <w:tcMar>
              <w:bottom w:w="0" w:type="dxa"/>
            </w:tcMar>
            <w:vAlign w:val="bottom"/>
          </w:tcPr>
          <w:p>
            <w:pPr>
              <w:pStyle w:val="TableContents"/>
              <w:bidi w:val="0"/>
              <w:spacing w:before="0" w:after="0"/>
              <w:jc w:val="right"/>
              <w:rPr>
                <w:color w:val="000000"/>
              </w:rPr>
            </w:pPr>
            <w:r>
              <w:rPr>
                <w:color w:val="000000"/>
              </w:rPr>
              <w:t>9.8</w:t>
            </w:r>
          </w:p>
        </w:tc>
        <w:tc>
          <w:tcPr>
            <w:tcW w:w="219" w:type="dxa"/>
            <w:tcBorders/>
            <w:tcMar>
              <w:bottom w:w="0" w:type="dxa"/>
            </w:tcMar>
            <w:vAlign w:val="bottom"/>
          </w:tcPr>
          <w:p>
            <w:pPr>
              <w:pStyle w:val="TableContents"/>
              <w:bidi w:val="0"/>
              <w:spacing w:before="0" w:after="0"/>
              <w:jc w:val="left"/>
              <w:rPr>
                <w:color w:val="000000"/>
              </w:rPr>
            </w:pPr>
            <w:r>
              <w:rPr>
                <w:color w:val="000000"/>
              </w:rPr>
              <w:t>%</w:t>
            </w:r>
          </w:p>
        </w:tc>
      </w:tr>
      <w:tr>
        <w:trPr/>
        <w:tc>
          <w:tcPr>
            <w:tcW w:w="1914" w:type="dxa"/>
            <w:tcBorders/>
            <w:shd w:fill="CCEEFF" w:val="clear"/>
            <w:tcMar>
              <w:bottom w:w="0" w:type="dxa"/>
            </w:tcMar>
            <w:vAlign w:val="bottom"/>
          </w:tcPr>
          <w:p>
            <w:pPr>
              <w:pStyle w:val="TableContents"/>
              <w:bidi w:val="0"/>
              <w:spacing w:before="0" w:after="283"/>
              <w:jc w:val="left"/>
              <w:rPr/>
            </w:pPr>
            <w:r>
              <w:rPr/>
              <w:t>Preferred Equity Securities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53" w:type="dxa"/>
            <w:tcBorders/>
            <w:shd w:fill="CCEEFF" w:val="clear"/>
            <w:tcMar>
              <w:bottom w:w="0" w:type="dxa"/>
            </w:tcMar>
            <w:vAlign w:val="bottom"/>
          </w:tcPr>
          <w:p>
            <w:pPr>
              <w:pStyle w:val="TableContents"/>
              <w:bidi w:val="0"/>
              <w:spacing w:before="0" w:after="283"/>
              <w:jc w:val="left"/>
              <w:rPr/>
            </w:pPr>
            <w:r>
              <w:rPr/>
              <w:t> </w:t>
            </w:r>
          </w:p>
        </w:tc>
        <w:tc>
          <w:tcPr>
            <w:tcW w:w="1208" w:type="dxa"/>
            <w:tcBorders/>
            <w:shd w:fill="CCEEFF" w:val="clear"/>
            <w:tcMar>
              <w:bottom w:w="0" w:type="dxa"/>
            </w:tcMar>
            <w:vAlign w:val="bottom"/>
          </w:tcPr>
          <w:p>
            <w:pPr>
              <w:pStyle w:val="TableContents"/>
              <w:bidi w:val="0"/>
              <w:spacing w:before="0" w:after="283"/>
              <w:jc w:val="right"/>
              <w:rPr/>
            </w:pPr>
            <w:r>
              <w:rPr/>
              <w:t>500,000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79" w:type="dxa"/>
            <w:tcBorders/>
            <w:shd w:fill="CCEEFF" w:val="clear"/>
            <w:tcMar>
              <w:bottom w:w="0" w:type="dxa"/>
            </w:tcMar>
            <w:vAlign w:val="bottom"/>
          </w:tcPr>
          <w:p>
            <w:pPr>
              <w:pStyle w:val="TableContents"/>
              <w:bidi w:val="0"/>
              <w:spacing w:before="0" w:after="0"/>
              <w:jc w:val="left"/>
              <w:rPr/>
            </w:pPr>
            <w:r>
              <w:rPr/>
              <w:t xml:space="preserve">Enterprise Value Market Approach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58" w:type="dxa"/>
            <w:tcBorders/>
            <w:shd w:fill="CCEEFF" w:val="clear"/>
            <w:tcMar>
              <w:bottom w:w="0" w:type="dxa"/>
            </w:tcMar>
            <w:vAlign w:val="bottom"/>
          </w:tcPr>
          <w:p>
            <w:pPr>
              <w:pStyle w:val="TableContents"/>
              <w:bidi w:val="0"/>
              <w:spacing w:before="0" w:after="283"/>
              <w:jc w:val="center"/>
              <w:rPr/>
            </w:pPr>
            <w:r>
              <w:rPr/>
              <w:t>Enterprise Valuation Multiple</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23" w:type="dxa"/>
            <w:tcBorders/>
            <w:shd w:fill="CCEEFF" w:val="clear"/>
            <w:tcMar>
              <w:bottom w:w="0" w:type="dxa"/>
            </w:tcMar>
            <w:vAlign w:val="bottom"/>
          </w:tcPr>
          <w:p>
            <w:pPr>
              <w:pStyle w:val="TableContents"/>
              <w:bidi w:val="0"/>
              <w:spacing w:before="0" w:after="283"/>
              <w:jc w:val="right"/>
              <w:rPr/>
            </w:pPr>
            <w:r>
              <w:rPr/>
              <w:t>2.0x - 2.0x</w:t>
            </w:r>
          </w:p>
        </w:tc>
        <w:tc>
          <w:tcPr>
            <w:tcW w:w="215" w:type="dxa"/>
            <w:tcBorders/>
            <w:shd w:fill="CCEEFF" w:val="clear"/>
            <w:tcMar>
              <w:bottom w:w="0" w:type="dxa"/>
            </w:tcMar>
            <w:vAlign w:val="bottom"/>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bottom"/>
          </w:tcPr>
          <w:p>
            <w:pPr>
              <w:pStyle w:val="TableContents"/>
              <w:bidi w:val="0"/>
              <w:spacing w:before="0" w:after="283"/>
              <w:jc w:val="right"/>
              <w:rPr/>
            </w:pPr>
            <w:r>
              <w:rPr/>
              <w:t> </w:t>
            </w:r>
          </w:p>
        </w:tc>
        <w:tc>
          <w:tcPr>
            <w:tcW w:w="164" w:type="dxa"/>
            <w:tcBorders/>
            <w:shd w:fill="CCEEFF" w:val="clear"/>
            <w:tcMar>
              <w:bottom w:w="0" w:type="dxa"/>
            </w:tcMar>
            <w:vAlign w:val="bottom"/>
          </w:tcPr>
          <w:p>
            <w:pPr>
              <w:pStyle w:val="TableContents"/>
              <w:bidi w:val="0"/>
              <w:spacing w:before="0" w:after="283"/>
              <w:jc w:val="left"/>
              <w:rPr/>
            </w:pPr>
            <w:r>
              <w:rPr/>
              <w:t> </w:t>
            </w:r>
          </w:p>
        </w:tc>
        <w:tc>
          <w:tcPr>
            <w:tcW w:w="1212" w:type="dxa"/>
            <w:tcBorders/>
            <w:shd w:fill="CCEEFF" w:val="clear"/>
            <w:tcMar>
              <w:bottom w:w="0" w:type="dxa"/>
            </w:tcMar>
            <w:vAlign w:val="bottom"/>
          </w:tcPr>
          <w:p>
            <w:pPr>
              <w:pStyle w:val="TableContents"/>
              <w:bidi w:val="0"/>
              <w:spacing w:before="0" w:after="283"/>
              <w:jc w:val="right"/>
              <w:rPr/>
            </w:pPr>
            <w:r>
              <w:rPr/>
              <w:t>2.0x</w:t>
            </w:r>
          </w:p>
        </w:tc>
        <w:tc>
          <w:tcPr>
            <w:tcW w:w="219" w:type="dxa"/>
            <w:tcBorders/>
            <w:shd w:fill="CCEEFF" w:val="clear"/>
            <w:tcMar>
              <w:bottom w:w="0" w:type="dxa"/>
            </w:tcMar>
            <w:vAlign w:val="bottom"/>
          </w:tcPr>
          <w:p>
            <w:pPr>
              <w:pStyle w:val="TableContents"/>
              <w:bidi w:val="0"/>
              <w:spacing w:before="0" w:after="283"/>
              <w:jc w:val="left"/>
              <w:rPr>
                <w:sz w:val="4"/>
                <w:szCs w:val="4"/>
              </w:rPr>
            </w:pPr>
            <w:r>
              <w:rPr>
                <w:sz w:val="4"/>
                <w:szCs w:val="4"/>
              </w:rPr>
            </w:r>
          </w:p>
        </w:tc>
      </w:tr>
      <w:tr>
        <w:trPr/>
        <w:tc>
          <w:tcPr>
            <w:tcW w:w="1914" w:type="dxa"/>
            <w:tcBorders/>
            <w:tcMar>
              <w:bottom w:w="0" w:type="dxa"/>
            </w:tcMar>
            <w:vAlign w:val="bottom"/>
          </w:tcPr>
          <w:p>
            <w:pPr>
              <w:pStyle w:val="TableContents"/>
              <w:bidi w:val="0"/>
              <w:spacing w:before="0" w:after="283"/>
              <w:jc w:val="left"/>
              <w:rPr/>
            </w:pPr>
            <w:r>
              <w:rPr/>
              <w:t>Warrants and Other Equity Securities</w:t>
            </w:r>
          </w:p>
        </w:tc>
        <w:tc>
          <w:tcPr>
            <w:tcW w:w="60" w:type="dxa"/>
            <w:tcBorders/>
            <w:tcMar>
              <w:bottom w:w="0" w:type="dxa"/>
            </w:tcMar>
            <w:vAlign w:val="bottom"/>
          </w:tcPr>
          <w:p>
            <w:pPr>
              <w:pStyle w:val="TableContents"/>
              <w:bidi w:val="0"/>
              <w:spacing w:before="0" w:after="283"/>
              <w:jc w:val="right"/>
              <w:rPr/>
            </w:pPr>
            <w:r>
              <w:rPr/>
              <w:t> </w:t>
            </w:r>
          </w:p>
        </w:tc>
        <w:tc>
          <w:tcPr>
            <w:tcW w:w="153" w:type="dxa"/>
            <w:tcBorders>
              <w:bottom w:val="single" w:sz="12" w:space="0" w:color="000000"/>
            </w:tcBorders>
            <w:vAlign w:val="bottom"/>
          </w:tcPr>
          <w:p>
            <w:pPr>
              <w:pStyle w:val="TableContents"/>
              <w:bidi w:val="0"/>
              <w:spacing w:before="0" w:after="283"/>
              <w:jc w:val="left"/>
              <w:rPr/>
            </w:pPr>
            <w:r>
              <w:rPr/>
              <w:t> </w:t>
            </w:r>
          </w:p>
        </w:tc>
        <w:tc>
          <w:tcPr>
            <w:tcW w:w="1208" w:type="dxa"/>
            <w:tcBorders>
              <w:bottom w:val="single" w:sz="12" w:space="0" w:color="000000"/>
            </w:tcBorders>
            <w:vAlign w:val="bottom"/>
          </w:tcPr>
          <w:p>
            <w:pPr>
              <w:pStyle w:val="TableContents"/>
              <w:bidi w:val="0"/>
              <w:spacing w:before="0" w:after="283"/>
              <w:jc w:val="right"/>
              <w:rPr/>
            </w:pPr>
            <w:r>
              <w:rPr/>
              <w:t>281,000</w:t>
            </w:r>
          </w:p>
        </w:tc>
        <w:tc>
          <w:tcPr>
            <w:tcW w:w="60" w:type="dxa"/>
            <w:tcBorders/>
            <w:tcMar>
              <w:bottom w:w="0" w:type="dxa"/>
            </w:tcMar>
            <w:vAlign w:val="bottom"/>
          </w:tcPr>
          <w:p>
            <w:pPr>
              <w:pStyle w:val="TableContents"/>
              <w:bidi w:val="0"/>
              <w:spacing w:before="0" w:after="283"/>
              <w:jc w:val="left"/>
              <w:rPr/>
            </w:pPr>
            <w:r>
              <w:rPr/>
              <w:t> </w:t>
            </w:r>
          </w:p>
        </w:tc>
        <w:tc>
          <w:tcPr>
            <w:tcW w:w="2079" w:type="dxa"/>
            <w:tcBorders/>
            <w:tcMar>
              <w:bottom w:w="0" w:type="dxa"/>
            </w:tcMar>
            <w:vAlign w:val="bottom"/>
          </w:tcPr>
          <w:p>
            <w:pPr>
              <w:pStyle w:val="TableContents"/>
              <w:bidi w:val="0"/>
              <w:spacing w:before="0" w:after="283"/>
              <w:jc w:val="left"/>
              <w:rPr/>
            </w:pPr>
            <w:r>
              <w:rPr/>
              <w:t>Enterprise Value Market Approach</w:t>
            </w:r>
          </w:p>
        </w:tc>
        <w:tc>
          <w:tcPr>
            <w:tcW w:w="60" w:type="dxa"/>
            <w:tcBorders/>
            <w:tcMar>
              <w:bottom w:w="0" w:type="dxa"/>
            </w:tcMar>
            <w:vAlign w:val="bottom"/>
          </w:tcPr>
          <w:p>
            <w:pPr>
              <w:pStyle w:val="TableContents"/>
              <w:bidi w:val="0"/>
              <w:spacing w:before="0" w:after="283"/>
              <w:jc w:val="left"/>
              <w:rPr/>
            </w:pPr>
            <w:r>
              <w:rPr/>
              <w:t> </w:t>
            </w:r>
          </w:p>
        </w:tc>
        <w:tc>
          <w:tcPr>
            <w:tcW w:w="1858" w:type="dxa"/>
            <w:tcBorders/>
            <w:tcMar>
              <w:bottom w:w="0" w:type="dxa"/>
            </w:tcMar>
            <w:vAlign w:val="bottom"/>
          </w:tcPr>
          <w:p>
            <w:pPr>
              <w:pStyle w:val="TableContents"/>
              <w:bidi w:val="0"/>
              <w:spacing w:before="0" w:after="283"/>
              <w:jc w:val="center"/>
              <w:rPr/>
            </w:pPr>
            <w:r>
              <w:rPr/>
              <w:t>Enterprise Valuation Multiple</w:t>
            </w:r>
          </w:p>
        </w:tc>
        <w:tc>
          <w:tcPr>
            <w:tcW w:w="6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823" w:type="dxa"/>
            <w:tcBorders/>
            <w:tcMar>
              <w:bottom w:w="0" w:type="dxa"/>
            </w:tcMar>
            <w:vAlign w:val="bottom"/>
          </w:tcPr>
          <w:p>
            <w:pPr>
              <w:pStyle w:val="TableContents"/>
              <w:bidi w:val="0"/>
              <w:spacing w:before="0" w:after="283"/>
              <w:jc w:val="right"/>
              <w:rPr/>
            </w:pPr>
            <w:r>
              <w:rPr/>
              <w:t>2.0x - 2.0x</w:t>
            </w:r>
          </w:p>
        </w:tc>
        <w:tc>
          <w:tcPr>
            <w:tcW w:w="215" w:type="dxa"/>
            <w:tcBorders/>
            <w:tcMar>
              <w:bottom w:w="0" w:type="dxa"/>
            </w:tcMar>
            <w:vAlign w:val="bottom"/>
          </w:tcPr>
          <w:p>
            <w:pPr>
              <w:pStyle w:val="TableContents"/>
              <w:bidi w:val="0"/>
              <w:spacing w:before="0" w:after="283"/>
              <w:jc w:val="left"/>
              <w:rPr>
                <w:sz w:val="4"/>
                <w:szCs w:val="4"/>
              </w:rPr>
            </w:pPr>
            <w:r>
              <w:rPr>
                <w:sz w:val="4"/>
                <w:szCs w:val="4"/>
              </w:rPr>
            </w:r>
          </w:p>
        </w:tc>
        <w:tc>
          <w:tcPr>
            <w:tcW w:w="60" w:type="dxa"/>
            <w:tcBorders/>
            <w:tcMar>
              <w:bottom w:w="0" w:type="dxa"/>
            </w:tcMar>
            <w:vAlign w:val="bottom"/>
          </w:tcPr>
          <w:p>
            <w:pPr>
              <w:pStyle w:val="TableContents"/>
              <w:bidi w:val="0"/>
              <w:spacing w:before="0" w:after="283"/>
              <w:jc w:val="right"/>
              <w:rPr/>
            </w:pPr>
            <w:r>
              <w:rPr/>
              <w:t> </w:t>
            </w:r>
          </w:p>
        </w:tc>
        <w:tc>
          <w:tcPr>
            <w:tcW w:w="164" w:type="dxa"/>
            <w:tcBorders/>
            <w:tcMar>
              <w:bottom w:w="0" w:type="dxa"/>
            </w:tcMar>
            <w:vAlign w:val="bottom"/>
          </w:tcPr>
          <w:p>
            <w:pPr>
              <w:pStyle w:val="TableContents"/>
              <w:bidi w:val="0"/>
              <w:spacing w:before="0" w:after="283"/>
              <w:jc w:val="left"/>
              <w:rPr/>
            </w:pPr>
            <w:r>
              <w:rPr/>
              <w:t> </w:t>
            </w:r>
          </w:p>
        </w:tc>
        <w:tc>
          <w:tcPr>
            <w:tcW w:w="1212" w:type="dxa"/>
            <w:tcBorders/>
            <w:tcMar>
              <w:bottom w:w="0" w:type="dxa"/>
            </w:tcMar>
            <w:vAlign w:val="bottom"/>
          </w:tcPr>
          <w:p>
            <w:pPr>
              <w:pStyle w:val="TableContents"/>
              <w:bidi w:val="0"/>
              <w:spacing w:before="0" w:after="283"/>
              <w:jc w:val="right"/>
              <w:rPr/>
            </w:pPr>
            <w:r>
              <w:rPr/>
              <w:t>2.0x</w:t>
            </w:r>
          </w:p>
        </w:tc>
        <w:tc>
          <w:tcPr>
            <w:tcW w:w="219" w:type="dxa"/>
            <w:tcBorders/>
            <w:tcMar>
              <w:bottom w:w="0" w:type="dxa"/>
            </w:tcMar>
            <w:vAlign w:val="bottom"/>
          </w:tcPr>
          <w:p>
            <w:pPr>
              <w:pStyle w:val="TableContents"/>
              <w:bidi w:val="0"/>
              <w:spacing w:before="0" w:after="283"/>
              <w:jc w:val="left"/>
              <w:rPr>
                <w:sz w:val="4"/>
                <w:szCs w:val="4"/>
              </w:rPr>
            </w:pPr>
            <w:r>
              <w:rPr>
                <w:sz w:val="4"/>
                <w:szCs w:val="4"/>
              </w:rPr>
            </w:r>
          </w:p>
        </w:tc>
      </w:tr>
      <w:tr>
        <w:trPr/>
        <w:tc>
          <w:tcPr>
            <w:tcW w:w="1914" w:type="dxa"/>
            <w:tcBorders/>
            <w:shd w:fill="CCEEFF" w:val="clear"/>
            <w:tcMar>
              <w:bottom w:w="0" w:type="dxa"/>
            </w:tcMar>
            <w:vAlign w:val="bottom"/>
          </w:tcPr>
          <w:p>
            <w:pPr>
              <w:pStyle w:val="TableContents"/>
              <w:bidi w:val="0"/>
              <w:spacing w:before="0" w:after="0"/>
              <w:ind w:left="360" w:right="0" w:hanging="180"/>
              <w:jc w:val="left"/>
              <w:rPr>
                <w:color w:val="000000"/>
              </w:rPr>
            </w:pPr>
            <w:r>
              <w:rPr>
                <w:color w:val="000000"/>
              </w:rPr>
              <w:t>Total</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53" w:type="dxa"/>
            <w:tcBorders>
              <w:bottom w:val="double" w:sz="8" w:space="0" w:color="000000"/>
            </w:tcBorders>
            <w:shd w:fill="CCEEFF" w:val="clear"/>
            <w:vAlign w:val="bottom"/>
          </w:tcPr>
          <w:p>
            <w:pPr>
              <w:pStyle w:val="TableContents"/>
              <w:bidi w:val="0"/>
              <w:spacing w:before="0" w:after="0"/>
              <w:jc w:val="left"/>
              <w:rPr>
                <w:color w:val="000000"/>
              </w:rPr>
            </w:pPr>
            <w:r>
              <w:rPr>
                <w:color w:val="000000"/>
              </w:rPr>
              <w:t>$</w:t>
            </w:r>
          </w:p>
        </w:tc>
        <w:tc>
          <w:tcPr>
            <w:tcW w:w="1208"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53,398,164</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79"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58"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23" w:type="dxa"/>
            <w:tcBorders/>
            <w:shd w:fill="CCEEFF" w:val="clear"/>
            <w:tcMar>
              <w:bottom w:w="0" w:type="dxa"/>
            </w:tcMar>
            <w:vAlign w:val="bottom"/>
          </w:tcPr>
          <w:p>
            <w:pPr>
              <w:pStyle w:val="TableContents"/>
              <w:bidi w:val="0"/>
              <w:spacing w:before="0" w:after="283"/>
              <w:jc w:val="right"/>
              <w:rPr/>
            </w:pPr>
            <w:r>
              <w:rPr/>
              <w:t> </w:t>
            </w:r>
          </w:p>
        </w:tc>
        <w:tc>
          <w:tcPr>
            <w:tcW w:w="21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4" w:type="dxa"/>
            <w:tcBorders/>
            <w:shd w:fill="CCEEFF" w:val="clear"/>
            <w:tcMar>
              <w:bottom w:w="0" w:type="dxa"/>
            </w:tcMar>
            <w:vAlign w:val="bottom"/>
          </w:tcPr>
          <w:p>
            <w:pPr>
              <w:pStyle w:val="TableContents"/>
              <w:bidi w:val="0"/>
              <w:spacing w:before="0" w:after="283"/>
              <w:jc w:val="left"/>
              <w:rPr/>
            </w:pPr>
            <w:r>
              <w:rPr/>
              <w:t> </w:t>
            </w:r>
          </w:p>
        </w:tc>
        <w:tc>
          <w:tcPr>
            <w:tcW w:w="1212" w:type="dxa"/>
            <w:tcBorders/>
            <w:shd w:fill="CCEEFF" w:val="clear"/>
            <w:tcMar>
              <w:bottom w:w="0" w:type="dxa"/>
            </w:tcMar>
            <w:vAlign w:val="bottom"/>
          </w:tcPr>
          <w:p>
            <w:pPr>
              <w:pStyle w:val="TableContents"/>
              <w:bidi w:val="0"/>
              <w:spacing w:before="0" w:after="283"/>
              <w:jc w:val="right"/>
              <w:rPr/>
            </w:pPr>
            <w:r>
              <w:rPr/>
              <w:t> </w:t>
            </w:r>
          </w:p>
        </w:tc>
        <w:tc>
          <w:tcPr>
            <w:tcW w:w="219"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tbl>
      <w:tblPr>
        <w:tblW w:w="10205" w:type="dxa"/>
        <w:jc w:val="center"/>
        <w:tblInd w:w="0" w:type="dxa"/>
        <w:tblLayout w:type="fixed"/>
        <w:tblCellMar>
          <w:top w:w="0" w:type="dxa"/>
          <w:left w:w="0" w:type="dxa"/>
          <w:bottom w:w="28" w:type="dxa"/>
          <w:right w:w="0" w:type="dxa"/>
        </w:tblCellMar>
      </w:tblPr>
      <w:tblGrid>
        <w:gridCol w:w="2026"/>
        <w:gridCol w:w="60"/>
        <w:gridCol w:w="168"/>
        <w:gridCol w:w="1323"/>
        <w:gridCol w:w="60"/>
        <w:gridCol w:w="2162"/>
        <w:gridCol w:w="60"/>
        <w:gridCol w:w="1451"/>
        <w:gridCol w:w="60"/>
        <w:gridCol w:w="60"/>
        <w:gridCol w:w="851"/>
        <w:gridCol w:w="215"/>
        <w:gridCol w:w="60"/>
        <w:gridCol w:w="171"/>
        <w:gridCol w:w="1261"/>
        <w:gridCol w:w="217"/>
      </w:tblGrid>
      <w:tr>
        <w:trPr/>
        <w:tc>
          <w:tcPr>
            <w:tcW w:w="2026" w:type="dxa"/>
            <w:tcBorders>
              <w:bottom w:val="single" w:sz="12" w:space="0" w:color="000000"/>
            </w:tcBorders>
            <w:vAlign w:val="bottom"/>
          </w:tcPr>
          <w:p>
            <w:pPr>
              <w:pStyle w:val="TableContents"/>
              <w:bidi w:val="0"/>
              <w:spacing w:before="0" w:after="0"/>
              <w:jc w:val="left"/>
              <w:rPr>
                <w:b/>
                <w:color w:val="000000"/>
              </w:rPr>
            </w:pPr>
            <w:r>
              <w:rPr>
                <w:b/>
                <w:color w:val="000000"/>
              </w:rPr>
              <w:t>Investment Type</w:t>
            </w:r>
          </w:p>
        </w:tc>
        <w:tc>
          <w:tcPr>
            <w:tcW w:w="60" w:type="dxa"/>
            <w:tcBorders/>
            <w:tcMar>
              <w:bottom w:w="0" w:type="dxa"/>
            </w:tcMar>
            <w:vAlign w:val="bottom"/>
          </w:tcPr>
          <w:p>
            <w:pPr>
              <w:pStyle w:val="TableContents"/>
              <w:bidi w:val="0"/>
              <w:spacing w:before="0" w:after="283"/>
              <w:jc w:val="left"/>
              <w:rPr/>
            </w:pPr>
            <w:r>
              <w:rPr/>
              <w:t> </w:t>
            </w:r>
          </w:p>
        </w:tc>
        <w:tc>
          <w:tcPr>
            <w:tcW w:w="1491" w:type="dxa"/>
            <w:gridSpan w:val="2"/>
            <w:tcBorders>
              <w:bottom w:val="single" w:sz="12" w:space="0" w:color="000000"/>
            </w:tcBorders>
            <w:vAlign w:val="bottom"/>
          </w:tcPr>
          <w:p>
            <w:pPr>
              <w:pStyle w:val="TableContents"/>
              <w:bidi w:val="0"/>
              <w:spacing w:before="0" w:after="0"/>
              <w:jc w:val="center"/>
              <w:rPr>
                <w:b/>
                <w:color w:val="000000"/>
              </w:rPr>
            </w:pPr>
            <w:r>
              <w:rPr>
                <w:b/>
                <w:color w:val="000000"/>
              </w:rPr>
              <w:t xml:space="preserve">Fair Value as of </w:t>
            </w:r>
          </w:p>
          <w:p>
            <w:pPr>
              <w:pStyle w:val="TableContents"/>
              <w:bidi w:val="0"/>
              <w:spacing w:before="0" w:after="0"/>
              <w:jc w:val="center"/>
              <w:rPr>
                <w:b/>
                <w:color w:val="000000"/>
              </w:rPr>
            </w:pPr>
            <w:r>
              <w:rPr>
                <w:b/>
                <w:color w:val="000000"/>
              </w:rPr>
              <w:t>December 31, 2023</w:t>
            </w:r>
          </w:p>
        </w:tc>
        <w:tc>
          <w:tcPr>
            <w:tcW w:w="60" w:type="dxa"/>
            <w:tcBorders/>
            <w:tcMar>
              <w:bottom w:w="0" w:type="dxa"/>
            </w:tcMar>
            <w:vAlign w:val="bottom"/>
          </w:tcPr>
          <w:p>
            <w:pPr>
              <w:pStyle w:val="TableContents"/>
              <w:bidi w:val="0"/>
              <w:spacing w:before="0" w:after="283"/>
              <w:jc w:val="left"/>
              <w:rPr/>
            </w:pPr>
            <w:r>
              <w:rPr/>
              <w:t> </w:t>
            </w:r>
          </w:p>
        </w:tc>
        <w:tc>
          <w:tcPr>
            <w:tcW w:w="2162" w:type="dxa"/>
            <w:tcBorders>
              <w:bottom w:val="single" w:sz="12" w:space="0" w:color="000000"/>
            </w:tcBorders>
            <w:vAlign w:val="bottom"/>
          </w:tcPr>
          <w:p>
            <w:pPr>
              <w:pStyle w:val="TableContents"/>
              <w:bidi w:val="0"/>
              <w:spacing w:before="0" w:after="0"/>
              <w:jc w:val="center"/>
              <w:rPr>
                <w:b/>
                <w:color w:val="000000"/>
              </w:rPr>
            </w:pPr>
            <w:r>
              <w:rPr>
                <w:b/>
                <w:color w:val="000000"/>
              </w:rPr>
              <w:t>Valuation Techniques/ Methodologies</w:t>
            </w:r>
          </w:p>
        </w:tc>
        <w:tc>
          <w:tcPr>
            <w:tcW w:w="60" w:type="dxa"/>
            <w:tcBorders/>
            <w:tcMar>
              <w:bottom w:w="0" w:type="dxa"/>
            </w:tcMar>
            <w:vAlign w:val="bottom"/>
          </w:tcPr>
          <w:p>
            <w:pPr>
              <w:pStyle w:val="TableContents"/>
              <w:bidi w:val="0"/>
              <w:spacing w:before="0" w:after="283"/>
              <w:jc w:val="left"/>
              <w:rPr/>
            </w:pPr>
            <w:r>
              <w:rPr/>
              <w:t> </w:t>
            </w:r>
          </w:p>
        </w:tc>
        <w:tc>
          <w:tcPr>
            <w:tcW w:w="1451" w:type="dxa"/>
            <w:tcBorders>
              <w:bottom w:val="single" w:sz="12" w:space="0" w:color="000000"/>
            </w:tcBorders>
            <w:vAlign w:val="bottom"/>
          </w:tcPr>
          <w:p>
            <w:pPr>
              <w:pStyle w:val="TableContents"/>
              <w:bidi w:val="0"/>
              <w:spacing w:before="0" w:after="0"/>
              <w:jc w:val="center"/>
              <w:rPr>
                <w:b/>
                <w:color w:val="000000"/>
              </w:rPr>
            </w:pPr>
            <w:r>
              <w:rPr>
                <w:b/>
                <w:color w:val="000000"/>
              </w:rPr>
              <w:t xml:space="preserve">Unobservable </w:t>
            </w:r>
          </w:p>
          <w:p>
            <w:pPr>
              <w:pStyle w:val="TableContents"/>
              <w:bidi w:val="0"/>
              <w:spacing w:before="0" w:after="0"/>
              <w:jc w:val="center"/>
              <w:rPr>
                <w:b/>
                <w:color w:val="000000"/>
              </w:rPr>
            </w:pPr>
            <w:r>
              <w:rPr>
                <w:b/>
                <w:color w:val="000000"/>
              </w:rPr>
              <w:t>Input</w:t>
            </w:r>
          </w:p>
        </w:tc>
        <w:tc>
          <w:tcPr>
            <w:tcW w:w="60" w:type="dxa"/>
            <w:tcBorders/>
            <w:tcMar>
              <w:bottom w:w="0" w:type="dxa"/>
            </w:tcMar>
            <w:vAlign w:val="bottom"/>
          </w:tcPr>
          <w:p>
            <w:pPr>
              <w:pStyle w:val="TableContents"/>
              <w:bidi w:val="0"/>
              <w:spacing w:before="0" w:after="283"/>
              <w:jc w:val="left"/>
              <w:rPr/>
            </w:pPr>
            <w:r>
              <w:rPr/>
              <w:t> </w:t>
            </w:r>
          </w:p>
        </w:tc>
        <w:tc>
          <w:tcPr>
            <w:tcW w:w="911" w:type="dxa"/>
            <w:gridSpan w:val="2"/>
            <w:tcBorders>
              <w:bottom w:val="single" w:sz="12" w:space="0" w:color="000000"/>
            </w:tcBorders>
            <w:vAlign w:val="bottom"/>
          </w:tcPr>
          <w:p>
            <w:pPr>
              <w:pStyle w:val="TableContents"/>
              <w:bidi w:val="0"/>
              <w:spacing w:before="0" w:after="0"/>
              <w:jc w:val="center"/>
              <w:rPr>
                <w:b/>
                <w:color w:val="000000"/>
              </w:rPr>
            </w:pPr>
            <w:r>
              <w:rPr>
                <w:b/>
                <w:color w:val="000000"/>
              </w:rPr>
              <w:t>Range</w:t>
            </w:r>
          </w:p>
        </w:tc>
        <w:tc>
          <w:tcPr>
            <w:tcW w:w="21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32" w:type="dxa"/>
            <w:gridSpan w:val="2"/>
            <w:tcBorders>
              <w:bottom w:val="single" w:sz="12" w:space="0" w:color="000000"/>
            </w:tcBorders>
            <w:vAlign w:val="bottom"/>
          </w:tcPr>
          <w:p>
            <w:pPr>
              <w:pStyle w:val="TableContents"/>
              <w:bidi w:val="0"/>
              <w:spacing w:lineRule="auto" w:line="240" w:before="0" w:after="0"/>
              <w:jc w:val="center"/>
              <w:rPr>
                <w:b/>
                <w:color w:val="000000"/>
              </w:rPr>
            </w:pPr>
            <w:r>
              <w:rPr>
                <w:b/>
                <w:color w:val="000000"/>
              </w:rPr>
              <w:t>Weighted Average (1)</w:t>
            </w:r>
          </w:p>
        </w:tc>
        <w:tc>
          <w:tcPr>
            <w:tcW w:w="217" w:type="dxa"/>
            <w:tcBorders/>
            <w:tcMar>
              <w:bottom w:w="0" w:type="dxa"/>
            </w:tcMar>
            <w:vAlign w:val="bottom"/>
          </w:tcPr>
          <w:p>
            <w:pPr>
              <w:pStyle w:val="TableContents"/>
              <w:bidi w:val="0"/>
              <w:spacing w:before="0" w:after="283"/>
              <w:jc w:val="left"/>
              <w:rPr/>
            </w:pPr>
            <w:r>
              <w:rPr/>
              <w:t> </w:t>
            </w:r>
          </w:p>
        </w:tc>
      </w:tr>
      <w:tr>
        <w:trPr/>
        <w:tc>
          <w:tcPr>
            <w:tcW w:w="2026"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8" w:type="dxa"/>
            <w:tcBorders/>
            <w:tcMar>
              <w:bottom w:w="0" w:type="dxa"/>
            </w:tcMar>
            <w:vAlign w:val="bottom"/>
          </w:tcPr>
          <w:p>
            <w:pPr>
              <w:pStyle w:val="TableContents"/>
              <w:bidi w:val="0"/>
              <w:spacing w:before="0" w:after="283"/>
              <w:jc w:val="left"/>
              <w:rPr/>
            </w:pPr>
            <w:r>
              <w:rPr/>
              <w:t> </w:t>
            </w:r>
          </w:p>
        </w:tc>
        <w:tc>
          <w:tcPr>
            <w:tcW w:w="1323"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2162"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51"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851" w:type="dxa"/>
            <w:tcBorders/>
            <w:tcMar>
              <w:bottom w:w="0" w:type="dxa"/>
            </w:tcMar>
            <w:vAlign w:val="bottom"/>
          </w:tcPr>
          <w:p>
            <w:pPr>
              <w:pStyle w:val="TableContents"/>
              <w:bidi w:val="0"/>
              <w:spacing w:before="0" w:after="283"/>
              <w:jc w:val="right"/>
              <w:rPr/>
            </w:pPr>
            <w:r>
              <w:rPr/>
              <w:t> </w:t>
            </w:r>
          </w:p>
        </w:tc>
        <w:tc>
          <w:tcPr>
            <w:tcW w:w="21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71" w:type="dxa"/>
            <w:tcBorders/>
            <w:tcMar>
              <w:bottom w:w="0" w:type="dxa"/>
            </w:tcMar>
            <w:vAlign w:val="bottom"/>
          </w:tcPr>
          <w:p>
            <w:pPr>
              <w:pStyle w:val="TableContents"/>
              <w:bidi w:val="0"/>
              <w:spacing w:before="0" w:after="283"/>
              <w:jc w:val="left"/>
              <w:rPr/>
            </w:pPr>
            <w:r>
              <w:rPr/>
              <w:t> </w:t>
            </w:r>
          </w:p>
        </w:tc>
        <w:tc>
          <w:tcPr>
            <w:tcW w:w="1261" w:type="dxa"/>
            <w:tcBorders/>
            <w:tcMar>
              <w:bottom w:w="0" w:type="dxa"/>
            </w:tcMar>
            <w:vAlign w:val="bottom"/>
          </w:tcPr>
          <w:p>
            <w:pPr>
              <w:pStyle w:val="TableContents"/>
              <w:bidi w:val="0"/>
              <w:spacing w:before="0" w:after="283"/>
              <w:jc w:val="right"/>
              <w:rPr/>
            </w:pPr>
            <w:r>
              <w:rPr/>
              <w:t> </w:t>
            </w:r>
          </w:p>
        </w:tc>
        <w:tc>
          <w:tcPr>
            <w:tcW w:w="217" w:type="dxa"/>
            <w:tcBorders/>
            <w:tcMar>
              <w:bottom w:w="0" w:type="dxa"/>
            </w:tcMar>
            <w:vAlign w:val="bottom"/>
          </w:tcPr>
          <w:p>
            <w:pPr>
              <w:pStyle w:val="TableContents"/>
              <w:bidi w:val="0"/>
              <w:spacing w:before="0" w:after="283"/>
              <w:jc w:val="left"/>
              <w:rPr/>
            </w:pPr>
            <w:r>
              <w:rPr/>
              <w:t> </w:t>
            </w:r>
          </w:p>
        </w:tc>
      </w:tr>
      <w:tr>
        <w:trPr/>
        <w:tc>
          <w:tcPr>
            <w:tcW w:w="2026" w:type="dxa"/>
            <w:tcBorders/>
            <w:shd w:fill="CCEEFF" w:val="clear"/>
            <w:tcMar>
              <w:bottom w:w="0" w:type="dxa"/>
            </w:tcMar>
            <w:vAlign w:val="bottom"/>
          </w:tcPr>
          <w:p>
            <w:pPr>
              <w:pStyle w:val="TableContents"/>
              <w:bidi w:val="0"/>
              <w:spacing w:before="0" w:after="0"/>
              <w:ind w:left="180" w:right="0" w:hanging="180"/>
              <w:jc w:val="left"/>
              <w:rPr>
                <w:color w:val="000000"/>
              </w:rPr>
            </w:pPr>
            <w:r>
              <w:rPr>
                <w:color w:val="000000"/>
              </w:rPr>
              <w:t>Senior Secured First Lien Term Loans</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8"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323" w:type="dxa"/>
            <w:tcBorders/>
            <w:shd w:fill="CCEEFF" w:val="clear"/>
            <w:tcMar>
              <w:bottom w:w="0" w:type="dxa"/>
            </w:tcMar>
            <w:vAlign w:val="bottom"/>
          </w:tcPr>
          <w:p>
            <w:pPr>
              <w:pStyle w:val="TableContents"/>
              <w:bidi w:val="0"/>
              <w:spacing w:before="0" w:after="0"/>
              <w:jc w:val="right"/>
              <w:rPr>
                <w:color w:val="000000"/>
              </w:rPr>
            </w:pPr>
            <w:r>
              <w:rPr>
                <w:color w:val="000000"/>
              </w:rPr>
              <w:t>46,006,000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2162" w:type="dxa"/>
            <w:tcBorders/>
            <w:shd w:fill="CCEEFF" w:val="clear"/>
            <w:tcMar>
              <w:bottom w:w="0" w:type="dxa"/>
            </w:tcMar>
            <w:vAlign w:val="bottom"/>
          </w:tcPr>
          <w:p>
            <w:pPr>
              <w:pStyle w:val="TableContents"/>
              <w:bidi w:val="0"/>
              <w:spacing w:before="0" w:after="0"/>
              <w:jc w:val="left"/>
              <w:rPr>
                <w:color w:val="000000"/>
              </w:rPr>
            </w:pPr>
            <w:r>
              <w:rPr>
                <w:color w:val="000000"/>
              </w:rPr>
              <w:t>Discounted Cash Flow</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51" w:type="dxa"/>
            <w:tcBorders/>
            <w:shd w:fill="CCEEFF" w:val="clear"/>
            <w:tcMar>
              <w:bottom w:w="0" w:type="dxa"/>
            </w:tcMar>
            <w:vAlign w:val="bottom"/>
          </w:tcPr>
          <w:p>
            <w:pPr>
              <w:pStyle w:val="TableContents"/>
              <w:bidi w:val="0"/>
              <w:spacing w:before="0" w:after="0"/>
              <w:jc w:val="center"/>
              <w:rPr>
                <w:color w:val="000000"/>
              </w:rPr>
            </w:pPr>
            <w:r>
              <w:rPr>
                <w:color w:val="000000"/>
              </w:rPr>
              <w:t>Discount Rate</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51" w:type="dxa"/>
            <w:tcBorders/>
            <w:shd w:fill="CCEEFF" w:val="clear"/>
            <w:tcMar>
              <w:bottom w:w="0" w:type="dxa"/>
            </w:tcMar>
            <w:vAlign w:val="bottom"/>
          </w:tcPr>
          <w:p>
            <w:pPr>
              <w:pStyle w:val="TableContents"/>
              <w:bidi w:val="0"/>
              <w:spacing w:before="0" w:after="0"/>
              <w:jc w:val="right"/>
              <w:rPr>
                <w:color w:val="000000"/>
              </w:rPr>
            </w:pPr>
            <w:r>
              <w:rPr>
                <w:color w:val="000000"/>
              </w:rPr>
              <w:t>10.1% - 13.5</w:t>
            </w:r>
          </w:p>
        </w:tc>
        <w:tc>
          <w:tcPr>
            <w:tcW w:w="21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71" w:type="dxa"/>
            <w:tcBorders/>
            <w:shd w:fill="CCEEFF" w:val="clear"/>
            <w:tcMar>
              <w:bottom w:w="0" w:type="dxa"/>
            </w:tcMar>
            <w:vAlign w:val="bottom"/>
          </w:tcPr>
          <w:p>
            <w:pPr>
              <w:pStyle w:val="TableContents"/>
              <w:bidi w:val="0"/>
              <w:spacing w:before="0" w:after="283"/>
              <w:jc w:val="left"/>
              <w:rPr/>
            </w:pPr>
            <w:r>
              <w:rPr/>
              <w:t> </w:t>
            </w:r>
          </w:p>
        </w:tc>
        <w:tc>
          <w:tcPr>
            <w:tcW w:w="1261" w:type="dxa"/>
            <w:tcBorders/>
            <w:shd w:fill="CCEEFF" w:val="clear"/>
            <w:tcMar>
              <w:bottom w:w="0" w:type="dxa"/>
            </w:tcMar>
            <w:vAlign w:val="bottom"/>
          </w:tcPr>
          <w:p>
            <w:pPr>
              <w:pStyle w:val="TableContents"/>
              <w:bidi w:val="0"/>
              <w:spacing w:before="0" w:after="0"/>
              <w:jc w:val="right"/>
              <w:rPr>
                <w:color w:val="000000"/>
              </w:rPr>
            </w:pPr>
            <w:r>
              <w:rPr>
                <w:color w:val="000000"/>
              </w:rPr>
              <w:t>12.2</w:t>
            </w:r>
          </w:p>
        </w:tc>
        <w:tc>
          <w:tcPr>
            <w:tcW w:w="217" w:type="dxa"/>
            <w:tcBorders/>
            <w:shd w:fill="CCEEFF" w:val="clear"/>
            <w:tcMar>
              <w:bottom w:w="0" w:type="dxa"/>
            </w:tcMar>
            <w:vAlign w:val="bottom"/>
          </w:tcPr>
          <w:p>
            <w:pPr>
              <w:pStyle w:val="TableContents"/>
              <w:bidi w:val="0"/>
              <w:spacing w:before="0" w:after="0"/>
              <w:jc w:val="left"/>
              <w:rPr>
                <w:color w:val="000000"/>
              </w:rPr>
            </w:pPr>
            <w:r>
              <w:rPr>
                <w:color w:val="000000"/>
              </w:rPr>
              <w:t>%</w:t>
            </w:r>
          </w:p>
        </w:tc>
      </w:tr>
      <w:tr>
        <w:trPr/>
        <w:tc>
          <w:tcPr>
            <w:tcW w:w="2026" w:type="dxa"/>
            <w:tcBorders/>
            <w:tcMar>
              <w:bottom w:w="0" w:type="dxa"/>
            </w:tcMar>
            <w:vAlign w:val="bottom"/>
          </w:tcPr>
          <w:p>
            <w:pPr>
              <w:pStyle w:val="TableContents"/>
              <w:bidi w:val="0"/>
              <w:spacing w:before="0" w:after="0"/>
              <w:ind w:left="180" w:right="0" w:hanging="180"/>
              <w:jc w:val="left"/>
              <w:rPr>
                <w:color w:val="000000"/>
              </w:rPr>
            </w:pPr>
            <w:r>
              <w:rPr>
                <w:color w:val="000000"/>
              </w:rPr>
              <w:t>Senior Secured Notes</w:t>
            </w:r>
          </w:p>
        </w:tc>
        <w:tc>
          <w:tcPr>
            <w:tcW w:w="60" w:type="dxa"/>
            <w:tcBorders/>
            <w:tcMar>
              <w:bottom w:w="0" w:type="dxa"/>
            </w:tcMar>
            <w:vAlign w:val="bottom"/>
          </w:tcPr>
          <w:p>
            <w:pPr>
              <w:pStyle w:val="TableContents"/>
              <w:bidi w:val="0"/>
              <w:spacing w:before="0" w:after="283"/>
              <w:jc w:val="left"/>
              <w:rPr/>
            </w:pPr>
            <w:r>
              <w:rPr/>
              <w:t> </w:t>
            </w:r>
          </w:p>
        </w:tc>
        <w:tc>
          <w:tcPr>
            <w:tcW w:w="168" w:type="dxa"/>
            <w:tcBorders>
              <w:bottom w:val="single" w:sz="12" w:space="0" w:color="000000"/>
            </w:tcBorders>
            <w:vAlign w:val="bottom"/>
          </w:tcPr>
          <w:p>
            <w:pPr>
              <w:pStyle w:val="TableContents"/>
              <w:bidi w:val="0"/>
              <w:spacing w:before="0" w:after="283"/>
              <w:jc w:val="left"/>
              <w:rPr/>
            </w:pPr>
            <w:r>
              <w:rPr/>
              <w:t> </w:t>
            </w:r>
          </w:p>
        </w:tc>
        <w:tc>
          <w:tcPr>
            <w:tcW w:w="1323" w:type="dxa"/>
            <w:tcBorders>
              <w:bottom w:val="single" w:sz="12" w:space="0" w:color="000000"/>
            </w:tcBorders>
            <w:vAlign w:val="bottom"/>
          </w:tcPr>
          <w:p>
            <w:pPr>
              <w:pStyle w:val="TableContents"/>
              <w:bidi w:val="0"/>
              <w:spacing w:before="0" w:after="0"/>
              <w:jc w:val="right"/>
              <w:rPr>
                <w:color w:val="000000"/>
              </w:rPr>
            </w:pPr>
            <w:r>
              <w:rPr>
                <w:color w:val="000000"/>
              </w:rPr>
              <w:t>8,114,000</w:t>
            </w:r>
          </w:p>
        </w:tc>
        <w:tc>
          <w:tcPr>
            <w:tcW w:w="60" w:type="dxa"/>
            <w:tcBorders/>
            <w:tcMar>
              <w:bottom w:w="0" w:type="dxa"/>
            </w:tcMar>
            <w:vAlign w:val="bottom"/>
          </w:tcPr>
          <w:p>
            <w:pPr>
              <w:pStyle w:val="TableContents"/>
              <w:bidi w:val="0"/>
              <w:spacing w:before="0" w:after="283"/>
              <w:jc w:val="left"/>
              <w:rPr/>
            </w:pPr>
            <w:r>
              <w:rPr/>
              <w:t> </w:t>
            </w:r>
          </w:p>
        </w:tc>
        <w:tc>
          <w:tcPr>
            <w:tcW w:w="2162" w:type="dxa"/>
            <w:tcBorders/>
            <w:tcMar>
              <w:bottom w:w="0" w:type="dxa"/>
            </w:tcMar>
            <w:vAlign w:val="bottom"/>
          </w:tcPr>
          <w:p>
            <w:pPr>
              <w:pStyle w:val="TableContents"/>
              <w:bidi w:val="0"/>
              <w:spacing w:before="0" w:after="0"/>
              <w:jc w:val="left"/>
              <w:rPr>
                <w:color w:val="000000"/>
              </w:rPr>
            </w:pPr>
            <w:r>
              <w:rPr>
                <w:color w:val="000000"/>
              </w:rPr>
              <w:t>Discounted Cash Flow</w:t>
            </w:r>
          </w:p>
        </w:tc>
        <w:tc>
          <w:tcPr>
            <w:tcW w:w="60" w:type="dxa"/>
            <w:tcBorders/>
            <w:tcMar>
              <w:bottom w:w="0" w:type="dxa"/>
            </w:tcMar>
            <w:vAlign w:val="bottom"/>
          </w:tcPr>
          <w:p>
            <w:pPr>
              <w:pStyle w:val="TableContents"/>
              <w:bidi w:val="0"/>
              <w:spacing w:before="0" w:after="283"/>
              <w:jc w:val="left"/>
              <w:rPr/>
            </w:pPr>
            <w:r>
              <w:rPr/>
              <w:t> </w:t>
            </w:r>
          </w:p>
        </w:tc>
        <w:tc>
          <w:tcPr>
            <w:tcW w:w="1451" w:type="dxa"/>
            <w:tcBorders/>
            <w:tcMar>
              <w:bottom w:w="0" w:type="dxa"/>
            </w:tcMar>
            <w:vAlign w:val="bottom"/>
          </w:tcPr>
          <w:p>
            <w:pPr>
              <w:pStyle w:val="TableContents"/>
              <w:bidi w:val="0"/>
              <w:spacing w:before="0" w:after="0"/>
              <w:jc w:val="center"/>
              <w:rPr>
                <w:color w:val="000000"/>
              </w:rPr>
            </w:pPr>
            <w:r>
              <w:rPr>
                <w:color w:val="000000"/>
              </w:rPr>
              <w:t>Discount Rate</w:t>
            </w:r>
          </w:p>
        </w:tc>
        <w:tc>
          <w:tcPr>
            <w:tcW w:w="6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851" w:type="dxa"/>
            <w:tcBorders/>
            <w:tcMar>
              <w:bottom w:w="0" w:type="dxa"/>
            </w:tcMar>
            <w:vAlign w:val="bottom"/>
          </w:tcPr>
          <w:p>
            <w:pPr>
              <w:pStyle w:val="TableContents"/>
              <w:bidi w:val="0"/>
              <w:spacing w:before="0" w:after="0"/>
              <w:jc w:val="right"/>
              <w:rPr>
                <w:color w:val="000000"/>
              </w:rPr>
            </w:pPr>
            <w:r>
              <w:rPr>
                <w:color w:val="000000"/>
              </w:rPr>
              <w:t>7.4% - 13.7</w:t>
            </w:r>
          </w:p>
        </w:tc>
        <w:tc>
          <w:tcPr>
            <w:tcW w:w="215" w:type="dxa"/>
            <w:tcBorders/>
            <w:tcMar>
              <w:bottom w:w="0" w:type="dxa"/>
            </w:tcMar>
            <w:vAlign w:val="bottom"/>
          </w:tcPr>
          <w:p>
            <w:pPr>
              <w:pStyle w:val="TableContents"/>
              <w:bidi w:val="0"/>
              <w:spacing w:before="0" w:after="0"/>
              <w:jc w:val="left"/>
              <w:rPr>
                <w:color w:val="000000"/>
              </w:rPr>
            </w:pPr>
            <w:r>
              <w:rPr>
                <w:color w:val="000000"/>
              </w:rPr>
              <w:t>%</w:t>
            </w:r>
          </w:p>
        </w:tc>
        <w:tc>
          <w:tcPr>
            <w:tcW w:w="60" w:type="dxa"/>
            <w:tcBorders/>
            <w:tcMar>
              <w:bottom w:w="0" w:type="dxa"/>
            </w:tcMar>
            <w:vAlign w:val="bottom"/>
          </w:tcPr>
          <w:p>
            <w:pPr>
              <w:pStyle w:val="TableContents"/>
              <w:bidi w:val="0"/>
              <w:spacing w:before="0" w:after="283"/>
              <w:jc w:val="right"/>
              <w:rPr/>
            </w:pPr>
            <w:r>
              <w:rPr/>
              <w:t> </w:t>
            </w:r>
          </w:p>
        </w:tc>
        <w:tc>
          <w:tcPr>
            <w:tcW w:w="171" w:type="dxa"/>
            <w:tcBorders/>
            <w:tcMar>
              <w:bottom w:w="0" w:type="dxa"/>
            </w:tcMar>
            <w:vAlign w:val="bottom"/>
          </w:tcPr>
          <w:p>
            <w:pPr>
              <w:pStyle w:val="TableContents"/>
              <w:bidi w:val="0"/>
              <w:spacing w:before="0" w:after="283"/>
              <w:jc w:val="left"/>
              <w:rPr/>
            </w:pPr>
            <w:r>
              <w:rPr/>
              <w:t> </w:t>
            </w:r>
          </w:p>
        </w:tc>
        <w:tc>
          <w:tcPr>
            <w:tcW w:w="1261" w:type="dxa"/>
            <w:tcBorders/>
            <w:tcMar>
              <w:bottom w:w="0" w:type="dxa"/>
            </w:tcMar>
            <w:vAlign w:val="bottom"/>
          </w:tcPr>
          <w:p>
            <w:pPr>
              <w:pStyle w:val="TableContents"/>
              <w:bidi w:val="0"/>
              <w:spacing w:before="0" w:after="0"/>
              <w:jc w:val="right"/>
              <w:rPr>
                <w:color w:val="000000"/>
              </w:rPr>
            </w:pPr>
            <w:r>
              <w:rPr>
                <w:color w:val="000000"/>
              </w:rPr>
              <w:t>10.5</w:t>
            </w:r>
          </w:p>
        </w:tc>
        <w:tc>
          <w:tcPr>
            <w:tcW w:w="217" w:type="dxa"/>
            <w:tcBorders/>
            <w:tcMar>
              <w:bottom w:w="0" w:type="dxa"/>
            </w:tcMar>
            <w:vAlign w:val="bottom"/>
          </w:tcPr>
          <w:p>
            <w:pPr>
              <w:pStyle w:val="TableContents"/>
              <w:bidi w:val="0"/>
              <w:spacing w:before="0" w:after="0"/>
              <w:jc w:val="left"/>
              <w:rPr>
                <w:color w:val="000000"/>
              </w:rPr>
            </w:pPr>
            <w:r>
              <w:rPr>
                <w:color w:val="000000"/>
              </w:rPr>
              <w:t>%</w:t>
            </w:r>
          </w:p>
        </w:tc>
      </w:tr>
      <w:tr>
        <w:trPr/>
        <w:tc>
          <w:tcPr>
            <w:tcW w:w="2026" w:type="dxa"/>
            <w:tcBorders/>
            <w:shd w:fill="CCEEFF" w:val="clear"/>
            <w:tcMar>
              <w:bottom w:w="0" w:type="dxa"/>
            </w:tcMar>
            <w:vAlign w:val="bottom"/>
          </w:tcPr>
          <w:p>
            <w:pPr>
              <w:pStyle w:val="TableContents"/>
              <w:bidi w:val="0"/>
              <w:spacing w:before="0" w:after="0"/>
              <w:ind w:left="360" w:right="0" w:hanging="180"/>
              <w:jc w:val="left"/>
              <w:rPr>
                <w:color w:val="000000"/>
              </w:rPr>
            </w:pPr>
            <w:r>
              <w:rPr>
                <w:color w:val="000000"/>
              </w:rPr>
              <w:t>Total</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8" w:type="dxa"/>
            <w:tcBorders>
              <w:bottom w:val="double" w:sz="8" w:space="0" w:color="000000"/>
            </w:tcBorders>
            <w:shd w:fill="CCEEFF" w:val="clear"/>
            <w:vAlign w:val="bottom"/>
          </w:tcPr>
          <w:p>
            <w:pPr>
              <w:pStyle w:val="TableContents"/>
              <w:bidi w:val="0"/>
              <w:spacing w:before="0" w:after="0"/>
              <w:jc w:val="left"/>
              <w:rPr>
                <w:color w:val="000000"/>
              </w:rPr>
            </w:pPr>
            <w:r>
              <w:rPr>
                <w:color w:val="000000"/>
              </w:rPr>
              <w:t>$</w:t>
            </w:r>
          </w:p>
        </w:tc>
        <w:tc>
          <w:tcPr>
            <w:tcW w:w="1323"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54,120,000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2162"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51"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51" w:type="dxa"/>
            <w:tcBorders/>
            <w:shd w:fill="CCEEFF" w:val="clear"/>
            <w:tcMar>
              <w:bottom w:w="0" w:type="dxa"/>
            </w:tcMar>
            <w:vAlign w:val="bottom"/>
          </w:tcPr>
          <w:p>
            <w:pPr>
              <w:pStyle w:val="TableContents"/>
              <w:bidi w:val="0"/>
              <w:spacing w:before="0" w:after="283"/>
              <w:jc w:val="right"/>
              <w:rPr/>
            </w:pPr>
            <w:r>
              <w:rPr/>
              <w:t> </w:t>
            </w:r>
          </w:p>
        </w:tc>
        <w:tc>
          <w:tcPr>
            <w:tcW w:w="21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71" w:type="dxa"/>
            <w:tcBorders/>
            <w:shd w:fill="CCEEFF" w:val="clear"/>
            <w:tcMar>
              <w:bottom w:w="0" w:type="dxa"/>
            </w:tcMar>
            <w:vAlign w:val="bottom"/>
          </w:tcPr>
          <w:p>
            <w:pPr>
              <w:pStyle w:val="TableContents"/>
              <w:bidi w:val="0"/>
              <w:spacing w:before="0" w:after="283"/>
              <w:jc w:val="left"/>
              <w:rPr/>
            </w:pPr>
            <w:r>
              <w:rPr/>
              <w:t> </w:t>
            </w:r>
          </w:p>
        </w:tc>
        <w:tc>
          <w:tcPr>
            <w:tcW w:w="1261" w:type="dxa"/>
            <w:tcBorders/>
            <w:shd w:fill="CCEEFF" w:val="clear"/>
            <w:tcMar>
              <w:bottom w:w="0" w:type="dxa"/>
            </w:tcMar>
            <w:vAlign w:val="bottom"/>
          </w:tcPr>
          <w:p>
            <w:pPr>
              <w:pStyle w:val="TableContents"/>
              <w:bidi w:val="0"/>
              <w:spacing w:before="0" w:after="283"/>
              <w:jc w:val="right"/>
              <w:rPr/>
            </w:pPr>
            <w:r>
              <w:rPr/>
              <w:t> </w:t>
            </w:r>
          </w:p>
        </w:tc>
        <w:tc>
          <w:tcPr>
            <w:tcW w:w="217"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(1) The weighted average is calculated based on the fair value of each investment.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200" w:after="200"/>
        <w:jc w:val="left"/>
        <w:rPr/>
      </w:pPr>
      <w:hyperlink w:anchor="TABLEOFCONTENTS">
        <w:r>
          <w:rPr/>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200" w:after="200"/>
        <w:jc w:val="left"/>
        <w:rPr/>
      </w:pPr>
      <w:r>
        <w:rPr/>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Financial Statements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Significant increases (decreases) in discount rate in isolation would result in a significantly lower (higher) fair value assessment. Significant increases (decreases) in volatility in isolation would result in a significantly lower (higher) fair value assessment.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provide a summary of changes in the fair value of the Company’s Level 3 portfolio investments for the six months ended June 30, 2024 and 2023:</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4959"/>
        <w:gridCol w:w="60"/>
        <w:gridCol w:w="155"/>
        <w:gridCol w:w="1224"/>
        <w:gridCol w:w="95"/>
        <w:gridCol w:w="60"/>
        <w:gridCol w:w="140"/>
        <w:gridCol w:w="980"/>
        <w:gridCol w:w="60"/>
        <w:gridCol w:w="60"/>
        <w:gridCol w:w="140"/>
        <w:gridCol w:w="800"/>
        <w:gridCol w:w="60"/>
        <w:gridCol w:w="60"/>
        <w:gridCol w:w="140"/>
        <w:gridCol w:w="1100"/>
        <w:gridCol w:w="112"/>
      </w:tblGrid>
      <w:tr>
        <w:trPr/>
        <w:tc>
          <w:tcPr>
            <w:tcW w:w="49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Senior Secured</w:t>
              <w:br/>
              <w:t>First Lien</w:t>
              <w:br/>
              <w:t>Term Loans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Senior</w:t>
              <w:br/>
              <w:t>Secured</w:t>
              <w:b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Equity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br/>
              <w:t>Investments</w:t>
            </w:r>
          </w:p>
        </w:tc>
        <w:tc>
          <w:tcPr>
            <w:tcW w:w="112" w:type="dxa"/>
            <w:tcBorders/>
            <w:vAlign w:val="bottom"/>
          </w:tcPr>
          <w:p>
            <w:pPr>
              <w:pStyle w:val="TableContents"/>
              <w:bidi w:val="0"/>
              <w:spacing w:before="0" w:after="283"/>
              <w:jc w:val="left"/>
              <w:rPr/>
            </w:pPr>
            <w:r>
              <w:rPr/>
              <w:t> </w:t>
            </w:r>
          </w:p>
        </w:tc>
      </w:tr>
      <w:tr>
        <w:trPr/>
        <w:tc>
          <w:tcPr>
            <w:tcW w:w="4959" w:type="dxa"/>
            <w:tcBorders/>
            <w:shd w:fill="CCEEFF" w:val="clear"/>
            <w:vAlign w:val="bottom"/>
          </w:tcPr>
          <w:p>
            <w:pPr>
              <w:pStyle w:val="TableContents"/>
              <w:bidi w:val="0"/>
              <w:spacing w:before="0" w:after="0"/>
              <w:ind w:left="180" w:right="0" w:hanging="0"/>
              <w:jc w:val="left"/>
              <w:rPr>
                <w:color w:val="000000"/>
              </w:rPr>
            </w:pPr>
            <w:r>
              <w:rPr>
                <w:color w:val="000000"/>
              </w:rPr>
              <w:t>Fair Value as of December 31, 2023</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0"/>
              <w:jc w:val="left"/>
              <w:rPr>
                <w:color w:val="000000"/>
              </w:rPr>
            </w:pPr>
            <w:r>
              <w:rPr>
                <w:color w:val="000000"/>
              </w:rPr>
              <w:t>$</w:t>
            </w:r>
          </w:p>
        </w:tc>
        <w:tc>
          <w:tcPr>
            <w:tcW w:w="1224" w:type="dxa"/>
            <w:tcBorders/>
            <w:shd w:fill="CCEEFF" w:val="clear"/>
            <w:vAlign w:val="bottom"/>
          </w:tcPr>
          <w:p>
            <w:pPr>
              <w:pStyle w:val="TableContents"/>
              <w:bidi w:val="0"/>
              <w:spacing w:before="0" w:after="0"/>
              <w:jc w:val="right"/>
              <w:rPr>
                <w:color w:val="000000"/>
              </w:rPr>
            </w:pPr>
            <w:r>
              <w:rPr>
                <w:color w:val="000000"/>
              </w:rPr>
              <w:t>46,006,000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8,114,000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54,120,000</w:t>
            </w:r>
          </w:p>
        </w:tc>
        <w:tc>
          <w:tcPr>
            <w:tcW w:w="112" w:type="dxa"/>
            <w:tcBorders/>
            <w:shd w:fill="CCEEFF" w:val="clear"/>
            <w:vAlign w:val="bottom"/>
          </w:tcPr>
          <w:p>
            <w:pPr>
              <w:pStyle w:val="TableContents"/>
              <w:bidi w:val="0"/>
              <w:spacing w:before="0" w:after="283"/>
              <w:jc w:val="left"/>
              <w:rPr/>
            </w:pPr>
            <w:r>
              <w:rPr/>
              <w:t> </w:t>
            </w:r>
          </w:p>
        </w:tc>
      </w:tr>
      <w:tr>
        <w:trPr/>
        <w:tc>
          <w:tcPr>
            <w:tcW w:w="4959" w:type="dxa"/>
            <w:tcBorders/>
            <w:vAlign w:val="bottom"/>
          </w:tcPr>
          <w:p>
            <w:pPr>
              <w:pStyle w:val="TableContents"/>
              <w:bidi w:val="0"/>
              <w:spacing w:before="0" w:after="0"/>
              <w:ind w:left="180" w:right="0" w:hanging="180"/>
              <w:jc w:val="left"/>
              <w:rPr>
                <w:color w:val="000000"/>
              </w:rPr>
            </w:pPr>
            <w:r>
              <w:rPr>
                <w:color w:val="000000"/>
              </w:rPr>
              <w:t>Purchases</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0"/>
              <w:jc w:val="right"/>
              <w:rPr>
                <w:color w:val="000000"/>
              </w:rPr>
            </w:pPr>
            <w:r>
              <w:rPr>
                <w:color w:val="000000"/>
              </w:rPr>
              <w:t>832,175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742,825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1,575,000</w:t>
            </w:r>
          </w:p>
        </w:tc>
        <w:tc>
          <w:tcPr>
            <w:tcW w:w="112" w:type="dxa"/>
            <w:tcBorders/>
            <w:vAlign w:val="bottom"/>
          </w:tcPr>
          <w:p>
            <w:pPr>
              <w:pStyle w:val="TableContents"/>
              <w:bidi w:val="0"/>
              <w:spacing w:before="0" w:after="283"/>
              <w:jc w:val="left"/>
              <w:rPr/>
            </w:pPr>
            <w:r>
              <w:rPr/>
              <w:t> </w:t>
            </w:r>
          </w:p>
        </w:tc>
      </w:tr>
      <w:tr>
        <w:trPr/>
        <w:tc>
          <w:tcPr>
            <w:tcW w:w="4959" w:type="dxa"/>
            <w:tcBorders/>
            <w:shd w:fill="CCEEFF" w:val="clear"/>
            <w:vAlign w:val="bottom"/>
          </w:tcPr>
          <w:p>
            <w:pPr>
              <w:pStyle w:val="TableContents"/>
              <w:bidi w:val="0"/>
              <w:spacing w:before="0" w:after="0"/>
              <w:ind w:left="180" w:right="0" w:hanging="180"/>
              <w:jc w:val="left"/>
              <w:rPr>
                <w:color w:val="000000"/>
              </w:rPr>
            </w:pPr>
            <w:r>
              <w:rPr>
                <w:color w:val="000000"/>
              </w:rPr>
              <w:t>Accretion of discount and fees (amortization of premium), net</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0"/>
              <w:jc w:val="right"/>
              <w:rPr>
                <w:color w:val="000000"/>
              </w:rPr>
            </w:pPr>
            <w:r>
              <w:rPr>
                <w:color w:val="000000"/>
              </w:rPr>
              <w:t>231,942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117,237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349,179</w:t>
            </w:r>
          </w:p>
        </w:tc>
        <w:tc>
          <w:tcPr>
            <w:tcW w:w="112" w:type="dxa"/>
            <w:tcBorders/>
            <w:shd w:fill="CCEEFF" w:val="clear"/>
            <w:vAlign w:val="bottom"/>
          </w:tcPr>
          <w:p>
            <w:pPr>
              <w:pStyle w:val="TableContents"/>
              <w:bidi w:val="0"/>
              <w:spacing w:before="0" w:after="283"/>
              <w:jc w:val="left"/>
              <w:rPr/>
            </w:pPr>
            <w:r>
              <w:rPr/>
              <w:t> </w:t>
            </w:r>
          </w:p>
        </w:tc>
      </w:tr>
      <w:tr>
        <w:trPr/>
        <w:tc>
          <w:tcPr>
            <w:tcW w:w="4959" w:type="dxa"/>
            <w:tcBorders/>
            <w:vAlign w:val="bottom"/>
          </w:tcPr>
          <w:p>
            <w:pPr>
              <w:pStyle w:val="TableContents"/>
              <w:bidi w:val="0"/>
              <w:spacing w:before="0" w:after="283"/>
              <w:jc w:val="left"/>
              <w:rPr/>
            </w:pPr>
            <w:r>
              <w:rPr/>
              <w:t>PIK interest</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113,137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113,137</w:t>
            </w:r>
          </w:p>
        </w:tc>
        <w:tc>
          <w:tcPr>
            <w:tcW w:w="112" w:type="dxa"/>
            <w:tcBorders/>
            <w:vAlign w:val="bottom"/>
          </w:tcPr>
          <w:p>
            <w:pPr>
              <w:pStyle w:val="TableContents"/>
              <w:bidi w:val="0"/>
              <w:spacing w:before="0" w:after="283"/>
              <w:jc w:val="left"/>
              <w:rPr/>
            </w:pPr>
            <w:r>
              <w:rPr/>
              <w:t> </w:t>
            </w:r>
          </w:p>
        </w:tc>
      </w:tr>
      <w:tr>
        <w:trPr/>
        <w:tc>
          <w:tcPr>
            <w:tcW w:w="4959" w:type="dxa"/>
            <w:tcBorders/>
            <w:shd w:fill="CCEEFF" w:val="clear"/>
            <w:vAlign w:val="bottom"/>
          </w:tcPr>
          <w:p>
            <w:pPr>
              <w:pStyle w:val="TableContents"/>
              <w:bidi w:val="0"/>
              <w:spacing w:before="0" w:after="0"/>
              <w:ind w:left="180" w:right="0" w:hanging="180"/>
              <w:jc w:val="left"/>
              <w:rPr>
                <w:color w:val="000000"/>
              </w:rPr>
            </w:pPr>
            <w:r>
              <w:rPr>
                <w:color w:val="000000"/>
              </w:rPr>
              <w:t>Proceeds from sales of investments and principal repayments</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0"/>
              <w:jc w:val="right"/>
              <w:rPr>
                <w:color w:val="000000"/>
              </w:rPr>
            </w:pPr>
            <w:r>
              <w:rPr>
                <w:color w:val="000000"/>
              </w:rPr>
              <w:t>(3,126,000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(3,126,000</w:t>
            </w:r>
          </w:p>
        </w:tc>
        <w:tc>
          <w:tcPr>
            <w:tcW w:w="112" w:type="dxa"/>
            <w:tcBorders/>
            <w:shd w:fill="CCEEFF" w:val="clear"/>
            <w:vAlign w:val="bottom"/>
          </w:tcPr>
          <w:p>
            <w:pPr>
              <w:pStyle w:val="TableContents"/>
              <w:bidi w:val="0"/>
              <w:spacing w:before="0" w:after="0"/>
              <w:jc w:val="left"/>
              <w:rPr>
                <w:color w:val="000000"/>
              </w:rPr>
            </w:pPr>
            <w:r>
              <w:rPr>
                <w:color w:val="000000"/>
              </w:rPr>
              <w:t>)</w:t>
            </w:r>
          </w:p>
        </w:tc>
      </w:tr>
      <w:tr>
        <w:trPr/>
        <w:tc>
          <w:tcPr>
            <w:tcW w:w="4959" w:type="dxa"/>
            <w:tcBorders/>
            <w:vAlign w:val="bottom"/>
          </w:tcPr>
          <w:p>
            <w:pPr>
              <w:pStyle w:val="TableContents"/>
              <w:bidi w:val="0"/>
              <w:spacing w:before="0" w:after="0"/>
              <w:ind w:left="180" w:right="0" w:hanging="180"/>
              <w:jc w:val="left"/>
              <w:rPr>
                <w:color w:val="000000"/>
              </w:rPr>
            </w:pPr>
            <w:r>
              <w:rPr>
                <w:color w:val="000000"/>
              </w:rPr>
              <w:t>Net realized gain (loss) on investments</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w:t>
            </w:r>
          </w:p>
        </w:tc>
        <w:tc>
          <w:tcPr>
            <w:tcW w:w="112" w:type="dxa"/>
            <w:tcBorders/>
            <w:vAlign w:val="bottom"/>
          </w:tcPr>
          <w:p>
            <w:pPr>
              <w:pStyle w:val="TableContents"/>
              <w:bidi w:val="0"/>
              <w:spacing w:before="0" w:after="283"/>
              <w:jc w:val="left"/>
              <w:rPr/>
            </w:pPr>
            <w:r>
              <w:rPr/>
              <w:t> </w:t>
            </w:r>
          </w:p>
        </w:tc>
      </w:tr>
      <w:tr>
        <w:trPr/>
        <w:tc>
          <w:tcPr>
            <w:tcW w:w="4959" w:type="dxa"/>
            <w:tcBorders/>
            <w:shd w:fill="CCEEFF" w:val="clear"/>
            <w:vAlign w:val="bottom"/>
          </w:tcPr>
          <w:p>
            <w:pPr>
              <w:pStyle w:val="TableContents"/>
              <w:bidi w:val="0"/>
              <w:spacing w:before="0" w:after="0"/>
              <w:ind w:left="180" w:right="0" w:hanging="180"/>
              <w:jc w:val="left"/>
              <w:rPr>
                <w:color w:val="000000"/>
              </w:rPr>
            </w:pPr>
            <w:r>
              <w:rPr>
                <w:color w:val="000000"/>
              </w:rPr>
              <w:t>Net change in unrealized appreciation (depreciation) from investments</w:t>
            </w:r>
          </w:p>
        </w:tc>
        <w:tc>
          <w:tcPr>
            <w:tcW w:w="60" w:type="dxa"/>
            <w:tcBorders/>
            <w:shd w:fill="CCEEFF" w:val="clear"/>
            <w:vAlign w:val="bottom"/>
          </w:tcPr>
          <w:p>
            <w:pPr>
              <w:pStyle w:val="TableContents"/>
              <w:bidi w:val="0"/>
              <w:spacing w:before="0" w:after="283"/>
              <w:jc w:val="righ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292,910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35,763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283"/>
              <w:jc w:val="right"/>
              <w:rPr/>
            </w:pPr>
            <w:r>
              <w:rPr/>
              <w:t>38,175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366,848</w:t>
            </w:r>
          </w:p>
        </w:tc>
        <w:tc>
          <w:tcPr>
            <w:tcW w:w="112" w:type="dxa"/>
            <w:tcBorders/>
            <w:shd w:fill="CCEEFF" w:val="clear"/>
            <w:vAlign w:val="bottom"/>
          </w:tcPr>
          <w:p>
            <w:pPr>
              <w:pStyle w:val="TableContents"/>
              <w:bidi w:val="0"/>
              <w:spacing w:before="0" w:after="283"/>
              <w:jc w:val="left"/>
              <w:rPr/>
            </w:pPr>
            <w:r>
              <w:rPr/>
              <w:t> </w:t>
            </w:r>
          </w:p>
        </w:tc>
      </w:tr>
      <w:tr>
        <w:trPr/>
        <w:tc>
          <w:tcPr>
            <w:tcW w:w="4959" w:type="dxa"/>
            <w:tcBorders/>
            <w:vAlign w:val="bottom"/>
          </w:tcPr>
          <w:p>
            <w:pPr>
              <w:pStyle w:val="TableContents"/>
              <w:bidi w:val="0"/>
              <w:spacing w:before="0" w:after="0"/>
              <w:ind w:left="180" w:right="0" w:hanging="0"/>
              <w:jc w:val="left"/>
              <w:rPr>
                <w:color w:val="000000"/>
              </w:rPr>
            </w:pPr>
            <w:r>
              <w:rPr>
                <w:color w:val="000000"/>
              </w:rPr>
              <w:t>Balance as of June 30, 2024</w:t>
            </w:r>
          </w:p>
        </w:tc>
        <w:tc>
          <w:tcPr>
            <w:tcW w:w="60" w:type="dxa"/>
            <w:tcBorders/>
            <w:vAlign w:val="bottom"/>
          </w:tcPr>
          <w:p>
            <w:pPr>
              <w:pStyle w:val="TableContents"/>
              <w:bidi w:val="0"/>
              <w:spacing w:before="0" w:after="283"/>
              <w:jc w:val="righ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2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44,350,164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8,267,000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800" w:type="dxa"/>
            <w:tcBorders>
              <w:bottom w:val="double" w:sz="8" w:space="0" w:color="000000"/>
            </w:tcBorders>
            <w:tcMar>
              <w:bottom w:w="28" w:type="dxa"/>
            </w:tcMar>
            <w:vAlign w:val="bottom"/>
          </w:tcPr>
          <w:p>
            <w:pPr>
              <w:pStyle w:val="TableContents"/>
              <w:bidi w:val="0"/>
              <w:spacing w:before="0" w:after="283"/>
              <w:jc w:val="right"/>
              <w:rPr/>
            </w:pPr>
            <w:r>
              <w:rPr/>
              <w:t>781,000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53,398,164</w:t>
            </w:r>
          </w:p>
        </w:tc>
        <w:tc>
          <w:tcPr>
            <w:tcW w:w="112" w:type="dxa"/>
            <w:tcBorders/>
            <w:vAlign w:val="bottom"/>
          </w:tcPr>
          <w:p>
            <w:pPr>
              <w:pStyle w:val="TableContents"/>
              <w:bidi w:val="0"/>
              <w:spacing w:before="0" w:after="283"/>
              <w:jc w:val="left"/>
              <w:rPr/>
            </w:pPr>
            <w:r>
              <w:rPr/>
              <w:t> </w:t>
            </w:r>
          </w:p>
        </w:tc>
      </w:tr>
      <w:tr>
        <w:trPr/>
        <w:tc>
          <w:tcPr>
            <w:tcW w:w="4959"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4959" w:type="dxa"/>
            <w:tcBorders/>
            <w:vAlign w:val="bottom"/>
          </w:tcPr>
          <w:p>
            <w:pPr>
              <w:pStyle w:val="TableContents"/>
              <w:bidi w:val="0"/>
              <w:spacing w:before="0" w:after="0"/>
              <w:ind w:left="180" w:right="0" w:hanging="0"/>
              <w:jc w:val="left"/>
              <w:rPr>
                <w:color w:val="000000"/>
              </w:rPr>
            </w:pPr>
            <w:r>
              <w:rPr>
                <w:color w:val="000000"/>
              </w:rPr>
              <w:t>Net change in unrealized appreciation/depreciation on Level 3 investments still held as of June 30, 2024</w:t>
            </w:r>
          </w:p>
        </w:tc>
        <w:tc>
          <w:tcPr>
            <w:tcW w:w="60" w:type="dxa"/>
            <w:tcBorders/>
            <w:vAlign w:val="bottom"/>
          </w:tcPr>
          <w:p>
            <w:pPr>
              <w:pStyle w:val="TableContents"/>
              <w:bidi w:val="0"/>
              <w:spacing w:before="0" w:after="283"/>
              <w:jc w:val="righ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2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292,910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35,763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800" w:type="dxa"/>
            <w:tcBorders>
              <w:bottom w:val="double" w:sz="8" w:space="0" w:color="000000"/>
            </w:tcBorders>
            <w:tcMar>
              <w:bottom w:w="28" w:type="dxa"/>
            </w:tcMar>
            <w:vAlign w:val="bottom"/>
          </w:tcPr>
          <w:p>
            <w:pPr>
              <w:pStyle w:val="TableContents"/>
              <w:bidi w:val="0"/>
              <w:spacing w:before="0" w:after="283"/>
              <w:jc w:val="right"/>
              <w:rPr/>
            </w:pPr>
            <w:r>
              <w:rPr/>
              <w:t>38,175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366,848</w:t>
            </w:r>
          </w:p>
        </w:tc>
        <w:tc>
          <w:tcPr>
            <w:tcW w:w="112"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876"/>
        <w:gridCol w:w="60"/>
        <w:gridCol w:w="159"/>
        <w:gridCol w:w="1253"/>
        <w:gridCol w:w="95"/>
        <w:gridCol w:w="60"/>
        <w:gridCol w:w="140"/>
        <w:gridCol w:w="1055"/>
        <w:gridCol w:w="95"/>
        <w:gridCol w:w="60"/>
        <w:gridCol w:w="140"/>
        <w:gridCol w:w="1100"/>
        <w:gridCol w:w="112"/>
      </w:tblGrid>
      <w:tr>
        <w:trPr/>
        <w:tc>
          <w:tcPr>
            <w:tcW w:w="58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Senior Secured</w:t>
              <w:br/>
              <w:t>First Lien</w:t>
              <w:br/>
              <w:t>Term Loans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Senior</w:t>
              <w:br/>
              <w:t>Secured</w:t>
              <w:br/>
              <w:t>Notes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br/>
              <w:t>Investments</w:t>
            </w:r>
          </w:p>
        </w:tc>
        <w:tc>
          <w:tcPr>
            <w:tcW w:w="112" w:type="dxa"/>
            <w:tcBorders/>
            <w:vAlign w:val="bottom"/>
          </w:tcPr>
          <w:p>
            <w:pPr>
              <w:pStyle w:val="TableContents"/>
              <w:bidi w:val="0"/>
              <w:spacing w:before="0" w:after="283"/>
              <w:jc w:val="left"/>
              <w:rPr/>
            </w:pPr>
            <w:r>
              <w:rPr/>
              <w:t> </w:t>
            </w:r>
          </w:p>
        </w:tc>
      </w:tr>
      <w:tr>
        <w:trPr/>
        <w:tc>
          <w:tcPr>
            <w:tcW w:w="5876" w:type="dxa"/>
            <w:tcBorders/>
            <w:shd w:fill="CCEEFF" w:val="clear"/>
            <w:vAlign w:val="bottom"/>
          </w:tcPr>
          <w:p>
            <w:pPr>
              <w:pStyle w:val="TableContents"/>
              <w:bidi w:val="0"/>
              <w:spacing w:before="0" w:after="0"/>
              <w:jc w:val="left"/>
              <w:rPr>
                <w:color w:val="000000"/>
              </w:rPr>
            </w:pPr>
            <w:r>
              <w:rPr>
                <w:color w:val="000000"/>
              </w:rPr>
              <w:t>Fair Value as of December 31, 2022</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0"/>
              <w:jc w:val="left"/>
              <w:rPr>
                <w:color w:val="000000"/>
              </w:rPr>
            </w:pPr>
            <w:r>
              <w:rPr>
                <w:color w:val="000000"/>
              </w:rPr>
              <w:t>$</w:t>
            </w:r>
          </w:p>
        </w:tc>
        <w:tc>
          <w:tcPr>
            <w:tcW w:w="1253" w:type="dxa"/>
            <w:tcBorders/>
            <w:shd w:fill="CCEEFF" w:val="clear"/>
            <w:vAlign w:val="bottom"/>
          </w:tcPr>
          <w:p>
            <w:pPr>
              <w:pStyle w:val="TableContents"/>
              <w:bidi w:val="0"/>
              <w:spacing w:before="0" w:after="0"/>
              <w:jc w:val="right"/>
              <w:rPr>
                <w:color w:val="000000"/>
              </w:rPr>
            </w:pPr>
            <w:r>
              <w:rPr>
                <w:color w:val="000000"/>
              </w:rPr>
              <w:t>40,660,633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9,593,917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50,254,550</w:t>
            </w:r>
          </w:p>
        </w:tc>
        <w:tc>
          <w:tcPr>
            <w:tcW w:w="112" w:type="dxa"/>
            <w:tcBorders/>
            <w:shd w:fill="CCEEFF" w:val="clear"/>
            <w:vAlign w:val="bottom"/>
          </w:tcPr>
          <w:p>
            <w:pPr>
              <w:pStyle w:val="TableContents"/>
              <w:bidi w:val="0"/>
              <w:spacing w:before="0" w:after="283"/>
              <w:jc w:val="left"/>
              <w:rPr/>
            </w:pPr>
            <w:r>
              <w:rPr/>
              <w:t> </w:t>
            </w:r>
          </w:p>
        </w:tc>
      </w:tr>
      <w:tr>
        <w:trPr/>
        <w:tc>
          <w:tcPr>
            <w:tcW w:w="5876" w:type="dxa"/>
            <w:tcBorders/>
            <w:vAlign w:val="bottom"/>
          </w:tcPr>
          <w:p>
            <w:pPr>
              <w:pStyle w:val="TableContents"/>
              <w:bidi w:val="0"/>
              <w:spacing w:before="0" w:after="0"/>
              <w:jc w:val="left"/>
              <w:rPr>
                <w:color w:val="000000"/>
              </w:rPr>
            </w:pPr>
            <w:r>
              <w:rPr>
                <w:color w:val="000000"/>
              </w:rPr>
              <w:t>Purchases</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0"/>
              <w:jc w:val="right"/>
              <w:rPr>
                <w:color w:val="000000"/>
              </w:rPr>
            </w:pPr>
            <w:r>
              <w:rPr>
                <w:color w:val="000000"/>
              </w:rPr>
              <w:t>8,442,000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8,442,000</w:t>
            </w:r>
          </w:p>
        </w:tc>
        <w:tc>
          <w:tcPr>
            <w:tcW w:w="112" w:type="dxa"/>
            <w:tcBorders/>
            <w:vAlign w:val="bottom"/>
          </w:tcPr>
          <w:p>
            <w:pPr>
              <w:pStyle w:val="TableContents"/>
              <w:bidi w:val="0"/>
              <w:spacing w:before="0" w:after="283"/>
              <w:jc w:val="left"/>
              <w:rPr/>
            </w:pPr>
            <w:r>
              <w:rPr/>
              <w:t> </w:t>
            </w:r>
          </w:p>
        </w:tc>
      </w:tr>
      <w:tr>
        <w:trPr/>
        <w:tc>
          <w:tcPr>
            <w:tcW w:w="5876" w:type="dxa"/>
            <w:tcBorders/>
            <w:shd w:fill="CCEEFF" w:val="clear"/>
            <w:vAlign w:val="bottom"/>
          </w:tcPr>
          <w:p>
            <w:pPr>
              <w:pStyle w:val="TableContents"/>
              <w:bidi w:val="0"/>
              <w:spacing w:before="0" w:after="0"/>
              <w:jc w:val="left"/>
              <w:rPr>
                <w:color w:val="000000"/>
              </w:rPr>
            </w:pPr>
            <w:r>
              <w:rPr>
                <w:color w:val="000000"/>
              </w:rPr>
              <w:t>Accretion of discount and fees (amortization of premium), net</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0"/>
              <w:jc w:val="right"/>
              <w:rPr>
                <w:color w:val="000000"/>
              </w:rPr>
            </w:pPr>
            <w:r>
              <w:rPr>
                <w:color w:val="000000"/>
              </w:rPr>
              <w:t>158,740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142,818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301,558</w:t>
            </w:r>
          </w:p>
        </w:tc>
        <w:tc>
          <w:tcPr>
            <w:tcW w:w="112" w:type="dxa"/>
            <w:tcBorders/>
            <w:shd w:fill="CCEEFF" w:val="clear"/>
            <w:vAlign w:val="bottom"/>
          </w:tcPr>
          <w:p>
            <w:pPr>
              <w:pStyle w:val="TableContents"/>
              <w:bidi w:val="0"/>
              <w:spacing w:before="0" w:after="283"/>
              <w:jc w:val="left"/>
              <w:rPr/>
            </w:pPr>
            <w:r>
              <w:rPr/>
              <w:t> </w:t>
            </w:r>
          </w:p>
        </w:tc>
      </w:tr>
      <w:tr>
        <w:trPr/>
        <w:tc>
          <w:tcPr>
            <w:tcW w:w="5876" w:type="dxa"/>
            <w:tcBorders/>
            <w:vAlign w:val="bottom"/>
          </w:tcPr>
          <w:p>
            <w:pPr>
              <w:pStyle w:val="TableContents"/>
              <w:bidi w:val="0"/>
              <w:spacing w:before="0" w:after="0"/>
              <w:jc w:val="left"/>
              <w:rPr>
                <w:color w:val="000000"/>
              </w:rPr>
            </w:pPr>
            <w:r>
              <w:rPr>
                <w:color w:val="000000"/>
              </w:rPr>
              <w:t>PIK interest</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0"/>
              <w:jc w:val="right"/>
              <w:rPr>
                <w:color w:val="000000"/>
              </w:rPr>
            </w:pPr>
            <w:r>
              <w:rPr>
                <w:color w:val="000000"/>
              </w:rPr>
              <w:t>62,587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62,587</w:t>
            </w:r>
          </w:p>
        </w:tc>
        <w:tc>
          <w:tcPr>
            <w:tcW w:w="112" w:type="dxa"/>
            <w:tcBorders/>
            <w:vAlign w:val="bottom"/>
          </w:tcPr>
          <w:p>
            <w:pPr>
              <w:pStyle w:val="TableContents"/>
              <w:bidi w:val="0"/>
              <w:spacing w:before="0" w:after="283"/>
              <w:jc w:val="left"/>
              <w:rPr/>
            </w:pPr>
            <w:r>
              <w:rPr/>
              <w:t> </w:t>
            </w:r>
          </w:p>
        </w:tc>
      </w:tr>
      <w:tr>
        <w:trPr/>
        <w:tc>
          <w:tcPr>
            <w:tcW w:w="5876" w:type="dxa"/>
            <w:tcBorders/>
            <w:shd w:fill="CCEEFF" w:val="clear"/>
            <w:vAlign w:val="bottom"/>
          </w:tcPr>
          <w:p>
            <w:pPr>
              <w:pStyle w:val="TableContents"/>
              <w:bidi w:val="0"/>
              <w:spacing w:before="0" w:after="0"/>
              <w:jc w:val="left"/>
              <w:rPr>
                <w:color w:val="000000"/>
              </w:rPr>
            </w:pPr>
            <w:r>
              <w:rPr>
                <w:color w:val="000000"/>
              </w:rPr>
              <w:t>Proceeds from sales of investments and principal repayments</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0"/>
              <w:jc w:val="right"/>
              <w:rPr>
                <w:color w:val="000000"/>
              </w:rPr>
            </w:pPr>
            <w:r>
              <w:rPr>
                <w:color w:val="000000"/>
              </w:rPr>
              <w:t>(90,000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(1,600,000</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(1,690,000</w:t>
            </w:r>
          </w:p>
        </w:tc>
        <w:tc>
          <w:tcPr>
            <w:tcW w:w="112" w:type="dxa"/>
            <w:tcBorders/>
            <w:shd w:fill="CCEEFF" w:val="clear"/>
            <w:vAlign w:val="bottom"/>
          </w:tcPr>
          <w:p>
            <w:pPr>
              <w:pStyle w:val="TableContents"/>
              <w:bidi w:val="0"/>
              <w:spacing w:before="0" w:after="0"/>
              <w:jc w:val="left"/>
              <w:rPr>
                <w:color w:val="000000"/>
              </w:rPr>
            </w:pPr>
            <w:r>
              <w:rPr>
                <w:color w:val="000000"/>
              </w:rPr>
              <w:t>)</w:t>
            </w:r>
          </w:p>
        </w:tc>
      </w:tr>
      <w:tr>
        <w:trPr/>
        <w:tc>
          <w:tcPr>
            <w:tcW w:w="5876" w:type="dxa"/>
            <w:tcBorders/>
            <w:vAlign w:val="bottom"/>
          </w:tcPr>
          <w:p>
            <w:pPr>
              <w:pStyle w:val="TableContents"/>
              <w:bidi w:val="0"/>
              <w:spacing w:before="0" w:after="0"/>
              <w:jc w:val="left"/>
              <w:rPr>
                <w:color w:val="000000"/>
              </w:rPr>
            </w:pPr>
            <w:r>
              <w:rPr>
                <w:color w:val="000000"/>
              </w:rPr>
              <w:t>Net realized gain (loss) on investments</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(210,767</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(210,767</w:t>
            </w:r>
          </w:p>
        </w:tc>
        <w:tc>
          <w:tcPr>
            <w:tcW w:w="112" w:type="dxa"/>
            <w:tcBorders/>
            <w:vAlign w:val="bottom"/>
          </w:tcPr>
          <w:p>
            <w:pPr>
              <w:pStyle w:val="TableContents"/>
              <w:bidi w:val="0"/>
              <w:spacing w:before="0" w:after="0"/>
              <w:jc w:val="left"/>
              <w:rPr>
                <w:color w:val="000000"/>
              </w:rPr>
            </w:pPr>
            <w:r>
              <w:rPr>
                <w:color w:val="000000"/>
              </w:rPr>
              <w:t>)</w:t>
            </w:r>
          </w:p>
        </w:tc>
      </w:tr>
      <w:tr>
        <w:trPr/>
        <w:tc>
          <w:tcPr>
            <w:tcW w:w="5876" w:type="dxa"/>
            <w:tcBorders/>
            <w:shd w:fill="CCEEFF" w:val="clear"/>
            <w:vAlign w:val="bottom"/>
          </w:tcPr>
          <w:p>
            <w:pPr>
              <w:pStyle w:val="TableContents"/>
              <w:bidi w:val="0"/>
              <w:spacing w:before="0" w:after="0"/>
              <w:jc w:val="left"/>
              <w:rPr>
                <w:color w:val="000000"/>
              </w:rPr>
            </w:pPr>
            <w:r>
              <w:rPr>
                <w:color w:val="000000"/>
              </w:rPr>
              <w:t>Net change in unrealized appreciation (depreciation) on investments</w:t>
            </w:r>
          </w:p>
        </w:tc>
        <w:tc>
          <w:tcPr>
            <w:tcW w:w="60" w:type="dxa"/>
            <w:tcBorders/>
            <w:shd w:fill="CCEEFF" w:val="clear"/>
            <w:vAlign w:val="bottom"/>
          </w:tcPr>
          <w:p>
            <w:pPr>
              <w:pStyle w:val="TableContents"/>
              <w:bidi w:val="0"/>
              <w:spacing w:before="0" w:after="283"/>
              <w:jc w:val="righ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497,584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283"/>
              <w:jc w:val="right"/>
              <w:rPr/>
            </w:pPr>
            <w:r>
              <w:rPr/>
              <w:t>11,532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509,116</w:t>
            </w:r>
          </w:p>
        </w:tc>
        <w:tc>
          <w:tcPr>
            <w:tcW w:w="112" w:type="dxa"/>
            <w:tcBorders/>
            <w:shd w:fill="CCEEFF" w:val="clear"/>
            <w:vAlign w:val="bottom"/>
          </w:tcPr>
          <w:p>
            <w:pPr>
              <w:pStyle w:val="TableContents"/>
              <w:bidi w:val="0"/>
              <w:spacing w:before="0" w:after="283"/>
              <w:jc w:val="left"/>
              <w:rPr/>
            </w:pPr>
            <w:r>
              <w:rPr/>
              <w:t> </w:t>
            </w:r>
          </w:p>
        </w:tc>
      </w:tr>
      <w:tr>
        <w:trPr/>
        <w:tc>
          <w:tcPr>
            <w:tcW w:w="5876" w:type="dxa"/>
            <w:tcBorders/>
            <w:vAlign w:val="bottom"/>
          </w:tcPr>
          <w:p>
            <w:pPr>
              <w:pStyle w:val="TableContents"/>
              <w:bidi w:val="0"/>
              <w:spacing w:before="0" w:after="0"/>
              <w:jc w:val="left"/>
              <w:rPr>
                <w:color w:val="000000"/>
              </w:rPr>
            </w:pPr>
            <w:r>
              <w:rPr>
                <w:color w:val="000000"/>
              </w:rPr>
              <w:t>Balance as of June 30, 2023</w:t>
            </w:r>
          </w:p>
        </w:tc>
        <w:tc>
          <w:tcPr>
            <w:tcW w:w="60" w:type="dxa"/>
            <w:tcBorders/>
            <w:vAlign w:val="bottom"/>
          </w:tcPr>
          <w:p>
            <w:pPr>
              <w:pStyle w:val="TableContents"/>
              <w:bidi w:val="0"/>
              <w:spacing w:before="0" w:after="283"/>
              <w:jc w:val="right"/>
              <w:rPr/>
            </w:pPr>
            <w:r>
              <w:rPr/>
              <w:t> </w:t>
            </w:r>
          </w:p>
        </w:tc>
        <w:tc>
          <w:tcPr>
            <w:tcW w:w="15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5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49,731,544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1055" w:type="dxa"/>
            <w:tcBorders>
              <w:bottom w:val="double" w:sz="8" w:space="0" w:color="000000"/>
            </w:tcBorders>
            <w:tcMar>
              <w:bottom w:w="28" w:type="dxa"/>
            </w:tcMar>
            <w:vAlign w:val="bottom"/>
          </w:tcPr>
          <w:p>
            <w:pPr>
              <w:pStyle w:val="TableContents"/>
              <w:bidi w:val="0"/>
              <w:spacing w:before="0" w:after="283"/>
              <w:jc w:val="right"/>
              <w:rPr/>
            </w:pPr>
            <w:r>
              <w:rPr/>
              <w:t>7,937,500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57,669,044</w:t>
            </w:r>
          </w:p>
        </w:tc>
        <w:tc>
          <w:tcPr>
            <w:tcW w:w="112" w:type="dxa"/>
            <w:tcBorders/>
            <w:vAlign w:val="bottom"/>
          </w:tcPr>
          <w:p>
            <w:pPr>
              <w:pStyle w:val="TableContents"/>
              <w:bidi w:val="0"/>
              <w:spacing w:before="0" w:after="283"/>
              <w:jc w:val="left"/>
              <w:rPr/>
            </w:pPr>
            <w:r>
              <w:rPr/>
              <w:t> </w:t>
            </w:r>
          </w:p>
        </w:tc>
      </w:tr>
      <w:tr>
        <w:trPr/>
        <w:tc>
          <w:tcPr>
            <w:tcW w:w="58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5876" w:type="dxa"/>
            <w:tcBorders/>
            <w:vAlign w:val="bottom"/>
          </w:tcPr>
          <w:p>
            <w:pPr>
              <w:pStyle w:val="TableContents"/>
              <w:bidi w:val="0"/>
              <w:spacing w:before="0" w:after="0"/>
              <w:ind w:left="180" w:right="0" w:hanging="0"/>
              <w:jc w:val="left"/>
              <w:rPr>
                <w:color w:val="000000"/>
              </w:rPr>
            </w:pPr>
            <w:r>
              <w:rPr>
                <w:color w:val="000000"/>
              </w:rPr>
              <w:t>Net change in unrealized appreciation/depreciation on Level 3 investments still held as of June 30, 2023</w:t>
            </w:r>
          </w:p>
        </w:tc>
        <w:tc>
          <w:tcPr>
            <w:tcW w:w="60" w:type="dxa"/>
            <w:tcBorders/>
            <w:vAlign w:val="bottom"/>
          </w:tcPr>
          <w:p>
            <w:pPr>
              <w:pStyle w:val="TableContents"/>
              <w:bidi w:val="0"/>
              <w:spacing w:before="0" w:after="283"/>
              <w:jc w:val="right"/>
              <w:rPr/>
            </w:pPr>
            <w:r>
              <w:rPr/>
              <w:t> </w:t>
            </w:r>
          </w:p>
        </w:tc>
        <w:tc>
          <w:tcPr>
            <w:tcW w:w="15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5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497,584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1055" w:type="dxa"/>
            <w:tcBorders>
              <w:bottom w:val="double" w:sz="8" w:space="0" w:color="000000"/>
            </w:tcBorders>
            <w:tcMar>
              <w:bottom w:w="28" w:type="dxa"/>
            </w:tcMar>
            <w:vAlign w:val="bottom"/>
          </w:tcPr>
          <w:p>
            <w:pPr>
              <w:pStyle w:val="TableContents"/>
              <w:bidi w:val="0"/>
              <w:spacing w:before="0" w:after="283"/>
              <w:jc w:val="right"/>
              <w:rPr/>
            </w:pPr>
            <w:r>
              <w:rPr/>
              <w:t>11,532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509,116</w:t>
            </w:r>
          </w:p>
        </w:tc>
        <w:tc>
          <w:tcPr>
            <w:tcW w:w="112"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5 — RELATED PARTY TRANSACTIONS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Pursuant to the investment advisory agreement between the Company and SSC (the “Investment Advisory Agreement”), fees payable to SSC are equal to (a) a base management fee of 1.75% of the average value of the Company’s gross assets at the end of the two most recent quarters (i.e., total assets held before deduction of any liabilities), which includes investments acquired with the use of leverage and excludes cash and cash equivalents and (b) an incentive fee based on the Company’s performance. The incentive fee consists of two parts. The first part is calculated and payable quarterly in arrears and equals 20% of the Company’s “Pre-Incentive Fee Net Investment Income” for the quarter, subject to a preferred return, or “hurdle,” of 1.75% per quarter (7% annualized), and a “catch-up” feature. The second part is determined and payable in arrears as of the end of each fiscal year (or upon termination of the Investment Advisory Agreement) and equals 20% of the Company’s realized capital gains on a cumulative basis from inception through the end of the fiscal year, if any, computed net of all realized capital losses and unrealized capital depreciation on a cumulative basis, less the aggregate amount of any previously paid capital gain incentive fee (the “Incentive Fee on Capital Gains”). </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While the Investment Advisory Agreement neither includes nor contemplates the inclusion of unrealized gains in the calculation of the Incentive Fee on Capital Gains, as required by U.S. GAAP, we accrue the Incentive Fee on Capital Gains on unrealized capital appreciation exceeding unrealized depreciation. This accrual reflects the Incentive Fee on Capital Gains that would be payable to SSC if the Company’s entire investment portfolio was liquidated at its fair value as of the balance sheet date even though SSC is not entitled to an Incentive Fee on Capital Gains with respect to unrealized capital appreciation unless and until such gains are actually realized.</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200" w:after="200"/>
        <w:jc w:val="both"/>
        <w:rPr/>
      </w:pPr>
      <w:hyperlink w:anchor="TABLEOFCONTENTS">
        <w:r>
          <w:rPr/>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200" w:after="200"/>
        <w:jc w:val="both"/>
        <w:rPr/>
      </w:pPr>
      <w:r>
        <w:rPr/>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Financial Statements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200" w:after="200"/>
        <w:jc w:val="both"/>
        <w:rPr/>
      </w:pPr>
      <w:hyperlink w:anchor="TABLEOFCONTENTS">
        <w:r>
          <w:rPr>
            <w:rStyle w:val="InternetLink"/>
            <w:color w:val="000000"/>
            <w:shd w:fill="FFFFFF" w:val="clear"/>
          </w:rPr>
          <w:t> </w:t>
        </w:r>
      </w:hyperlink>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management fee is payable quarterly in arrears. For the three and six months ended June 30, 2024, the Company incurred management fee expenses of $246,324 and $492,455, respectively. For the three and six months ended June 30, 2023, the Company incurred management fee expenses of $257,489 and $495,908, respectively. As of June 30, 2024 and December 31, 2023, $246,324 and $257,121, respectively, remained payable.</w:t>
      </w:r>
    </w:p>
    <w:p>
      <w:pPr>
        <w:pStyle w:val="TextBody"/>
        <w:bidi w:val="0"/>
        <w:spacing w:before="0" w:after="0"/>
        <w:jc w:val="both"/>
        <w:rPr>
          <w:caps w:val="false"/>
          <w:smallCaps w:val="false"/>
          <w:color w:val="000000"/>
          <w:shd w:fill="FFFFFF" w:val="clear"/>
        </w:rPr>
      </w:pPr>
      <w:r>
        <w:rPr>
          <w:caps w:val="false"/>
          <w:smallCaps w:val="false"/>
          <w:color w:val="000000"/>
          <w:shd w:fill="FFFFFF" w:val="clear"/>
        </w:rPr>
        <w:t>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For the three and six months ended June 30, 2024, the Company incurred income-based incentive fee expenses of $328,503 and $328,503, respectively. For the three and six months ended June 30, 2023, the Company incurred income-based incentive fee expenses of $442,673 and $646,494, respectively. As of June 30, 2024 and December 31, 2023, $1,839,756 and $1,511,253, respectively, remained payable.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For the three and six months ended June 30, 2024, the Company incurred capital gains incentive fee expenses of $(46,555) and $73,369, respectively. For the three and six months ended June 30, 2023, the Company incurred capital gains incentive fee expense</w:t>
      </w:r>
      <w:r>
        <w:rPr>
          <w:rFonts w:ascii="Times New Roman" w:hAnsi="Times New Roman"/>
          <w:b w:val="false"/>
          <w:i w:val="false"/>
          <w:caps w:val="false"/>
          <w:smallCaps w:val="false"/>
          <w:color w:val="000000"/>
          <w:spacing w:val="0"/>
          <w:sz w:val="20"/>
          <w:shd w:fill="FFFFFF" w:val="clear"/>
        </w:rPr>
        <w:t>s of $(137,602) and $5,000, respectively</w:t>
      </w:r>
      <w:r>
        <w:rPr>
          <w:rFonts w:ascii="Times New Roman" w:hAnsi="Times New Roman"/>
          <w:b w:val="false"/>
          <w:i w:val="false"/>
          <w:caps w:val="false"/>
          <w:smallCaps w:val="false"/>
          <w:color w:val="000000"/>
          <w:sz w:val="20"/>
          <w:shd w:fill="FFFFFF" w:val="clear"/>
        </w:rPr>
        <w:t>. As of June 30, 2024 and December 31, 2023, $160,953 and $87,583, respectively, remained payable.</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Pursuant to the administration agreement between the Company and SSC (the “Administration Agreement”), the Company is to reimburse SSC for the costs and expenses incurred by SSC in performing its obligations, including but not limited to maintaining and keeping all books and records and providing personnel and facilities. This includes costs and expenses incurred by SSC in connection with the delegation of its obligations to SS&amp;C, the sub-administrator. The Company is generally not responsible for the compensation of SSC’s employees or any overhead expenses. However, we may reimburse SSC for an allocable portion of the compensation paid by SSC to our CCO and CFO and their respective staffs (based on a percentage of time such individuals devote, on an estimated basis, to our business affairs). For the three and six months ended June 30, 2024 and 2023, the Adviser has waived any expense reimbursement, other than those associated with the delegation of its obligations to the sub-administrator and the use of temporary accounting services.</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For the three and six months ended June 30, 2023, the Company paid $984 and $1,198, respectively, </w:t>
      </w:r>
      <w:r>
        <w:rPr>
          <w:rFonts w:ascii="Times New Roman" w:hAnsi="Times New Roman"/>
          <w:b w:val="false"/>
          <w:i w:val="false"/>
          <w:caps w:val="false"/>
          <w:smallCaps w:val="false"/>
          <w:color w:val="000000"/>
          <w:spacing w:val="0"/>
          <w:sz w:val="20"/>
          <w:shd w:fill="FFFFFF" w:val="clear"/>
        </w:rPr>
        <w:t>as reimbursement to SSC for expenses paid on the Company’s behalf. Due to affiliate in the accompanying Statements of Assets and Liabilities in the amount of $493 and $0 as of June 30, 2024 and December 31, 2023, respectively, is due to SSC for expenses paid on the Company’s behalf.</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SSC was the seed investor of the Company and provided initial funding to the Company by purchasing approximately $63 million of the Company’s common stock in the Company’s initial public offering. SSC provided this “seed capital” to the Company for the purpose of facilitating the launch and initial operation of the Company, as opposed to for long term investment purposes. SSC does not expect to hold the Company’s common stock indefinitely, and may sell the Company’s common stock at a future point in time. In order for SSC’s sales of the shares of the Company not to be deemed to have been made “on the basis of” material nonpublic information, such sales may be made pursuant to a pre-approved trading plan that complies with Rule 10b5-1 under the Exchange Act and that may obligate SSC to make recurring sales of the Company’s common stock on a periodic basis. Sales of substantial amounts of the Company’s common stock, including by SSC or other large stockholders, or the availability of such common stock for sale, could adversely affect the prevailing market prices for the Company’s common stock. If this occurs and continues for a sustained period of time, it could impair the Company’s ability to raise additional capital through the sale of securities, should the Company desire to do so.</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SSC holds approximately 72% of the Company’s voting stock and has the ability to exercise substantial control over all corporate actions requiring stockholder approval, including the election and removal of directors, certain amendments of the Company’s charter, the Company’s ability to issue its common stock at a price below NAV per share, and the approval of any merger or other extraordinary corporate action.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SSC absorbed $1.23 million, representing the cost of the sales load (i.e., underwriting discounts and commissions) incurred by the Company in connection with the initial public offering of its common stock. The Company will not incur any additional expenses with this transaction.</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During the three and six months ended June 30, 2024, SSC and certain related parties received dividend distributions from the Company relating to their shares held. Refer to “Note 7 – Common Stock” for further details on the Company’s dividend reinvestment plan and the distributions declared. The Company did not make any distributions during the three and six months ended June 30, 2023.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6 — COMMITMENTS AND CONTINGENCIES</w:t>
      </w:r>
    </w:p>
    <w:p>
      <w:pPr>
        <w:pStyle w:val="TextBody"/>
        <w:bidi w:val="0"/>
        <w:spacing w:before="0" w:after="0"/>
        <w:ind w:left="720" w:right="500" w:hanging="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Unfunded Commitments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commitments and contingencies include unfunded commitments to extend credit in the form of loans to the Company’s portfolio companies. A portion of these unfunded contractual commitments are generally dependent upon the portfolio company reaching certain milestones before the debt commitment becomes available. Furthermore, the Company’s credit agreements with its portfolio companies generally contain customary lending provisions that allow the Company relief from funding obligations for previously made commitments in instances where the underlying portfolio company experiences materially adverse events that affect the financial condition or business outlook of the company. Since a portion of these commitments may expire without being drawn, unfunded contractual commitments do not necessarily represent future cash requirements. As such, the Company’s disclosure of unfunded contractual commitments as of June 30, 2024 includes only those commitments that are available at the request of the portfolio company and are unencumbered by milestones or additional lending provisions. As of June 30, 2024, the Company had outstanding commitments to fund investments totaling $1.75 million. The Company has identified no unfunded commitments as of December 31, 2023.</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did not have any other off-balance sheet financings or liabilities as of June 30, 2024 or December 31, 2023. The Company will fund its unfunded commitments, if any, from the same sources it uses to fund its investment commitments that are funded at the time they are made (which are typically through existing cash and cash equivalents) and maintains adequate liquidity to fund its unfunded commitments through these sources.</w:t>
        <w:br/>
        <w:t> </w:t>
      </w:r>
    </w:p>
    <w:p>
      <w:pPr>
        <w:pStyle w:val="TextBody"/>
        <w:bidi w:val="0"/>
        <w:jc w:val="both"/>
        <w:rPr>
          <w:rFonts w:ascii="Times New Roman" w:hAnsi="Times New Roman"/>
          <w:color w:val="000000"/>
          <w:sz w:val="20"/>
          <w:shd w:fill="FFFFFF" w:val="clear"/>
        </w:rPr>
      </w:pPr>
      <w:r>
        <w:rPr>
          <w:rFonts w:ascii="Times New Roman" w:hAnsi="Times New Roman"/>
          <w:color w:val="000000"/>
          <w:sz w:val="20"/>
          <w:shd w:fill="FFFFFF" w:val="clear"/>
        </w:rPr>
        <w:t>In the normal course of business, the Company enters into contracts that provide a variety of representations and warranties, and general indemnifications. Such contracts include those with certain service providers, brokers and trading counterparties. Any exposure to the Company under these arrangements is unknown as it would involve future claims that may be made against the Company; however, based on the Company’s experience, the risk of loss is remote and no such claims are expected to occur. As such, the Company has not accrued any liability in connection with such indemnifications.</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Legal Proceedings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may, from time to time, be involved in litigation arising out of its operations in the normal course of business or otherwise. Furthermore, third parties may try to seek to impose liability on the Company in connection with the activities of its portfolio companies. As of June 30, 2024, there are no material legal matters or material litigation pending of which the Company is aware.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7 — COMMON STOCK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As of June 30, 2024, 100,000,000 shares of $0.01 par value common stock were authorized. </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200" w:after="200"/>
        <w:jc w:val="left"/>
        <w:rPr/>
      </w:pPr>
      <w:hyperlink w:anchor="TABLEOFCONTENTS">
        <w:r>
          <w:rPr/>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200" w:after="200"/>
        <w:jc w:val="left"/>
        <w:rPr/>
      </w:pPr>
      <w:r>
        <w:rPr/>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Financial Statements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aps w:val="false"/>
          <w:smallCaps w:val="false"/>
          <w:color w:val="000000"/>
          <w:sz w:val="20"/>
          <w:shd w:fill="FFFFFF" w:val="clear"/>
        </w:rPr>
        <w:t>Distributions</w:t>
      </w:r>
      <w:r>
        <w:rPr>
          <w:rFonts w:ascii="Times New Roman" w:hAnsi="Times New Roman"/>
          <w:b/>
          <w:i/>
          <w:color w:val="000000"/>
          <w:sz w:val="20"/>
          <w:shd w:fill="FFFFFF" w:val="clear"/>
        </w:rPr>
        <w:t xml:space="preserve"> </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following table summarizes distributions declared and paid by the Company during the six months ended June 30, 2024:</w:t>
      </w:r>
    </w:p>
    <w:p>
      <w:pPr>
        <w:pStyle w:val="TextBody"/>
        <w:bidi w:val="0"/>
        <w:spacing w:before="0" w:after="0"/>
        <w:jc w:val="left"/>
        <w:rPr>
          <w:rFonts w:ascii="Times New Roman" w:hAnsi="Times New Roman"/>
          <w:sz w:val="20"/>
        </w:rPr>
      </w:pPr>
      <w:r>
        <w:rPr>
          <w:rFonts w:ascii="Times New Roman" w:hAnsi="Times New Roman"/>
          <w:sz w:val="20"/>
        </w:rPr>
      </w:r>
    </w:p>
    <w:tbl>
      <w:tblPr>
        <w:tblW w:w="8758" w:type="dxa"/>
        <w:jc w:val="left"/>
        <w:tblInd w:w="0" w:type="dxa"/>
        <w:shd w:fill="FFFFFF" w:val="clear"/>
        <w:tblLayout w:type="fixed"/>
        <w:tblCellMar>
          <w:top w:w="0" w:type="dxa"/>
          <w:left w:w="0" w:type="dxa"/>
          <w:bottom w:w="28" w:type="dxa"/>
          <w:right w:w="0" w:type="dxa"/>
        </w:tblCellMar>
      </w:tblPr>
      <w:tblGrid>
        <w:gridCol w:w="1745"/>
        <w:gridCol w:w="60"/>
        <w:gridCol w:w="920"/>
        <w:gridCol w:w="60"/>
        <w:gridCol w:w="1535"/>
        <w:gridCol w:w="60"/>
        <w:gridCol w:w="1535"/>
        <w:gridCol w:w="60"/>
        <w:gridCol w:w="250"/>
        <w:gridCol w:w="789"/>
        <w:gridCol w:w="60"/>
        <w:gridCol w:w="60"/>
        <w:gridCol w:w="195"/>
        <w:gridCol w:w="1369"/>
        <w:gridCol w:w="60"/>
      </w:tblGrid>
      <w:tr>
        <w:trPr/>
        <w:tc>
          <w:tcPr>
            <w:tcW w:w="1745" w:type="dxa"/>
            <w:tcBorders>
              <w:bottom w:val="single" w:sz="12" w:space="0" w:color="000000"/>
            </w:tcBorders>
            <w:shd w:fill="FFFFFF" w:val="clear"/>
            <w:vAlign w:val="bottom"/>
          </w:tcPr>
          <w:p>
            <w:pPr>
              <w:pStyle w:val="TableContents"/>
              <w:bidi w:val="0"/>
              <w:spacing w:before="0" w:after="0"/>
              <w:jc w:val="center"/>
              <w:rPr>
                <w:b/>
                <w:color w:val="000000"/>
              </w:rPr>
            </w:pPr>
            <w:r>
              <w:rPr>
                <w:b/>
                <w:color w:val="000000"/>
              </w:rPr>
              <w:t>Declaration Date</w:t>
            </w:r>
          </w:p>
        </w:tc>
        <w:tc>
          <w:tcPr>
            <w:tcW w:w="60" w:type="dxa"/>
            <w:tcBorders/>
            <w:shd w:fill="FFFFFF" w:val="clear"/>
            <w:tcMar>
              <w:bottom w:w="0" w:type="dxa"/>
            </w:tcMar>
            <w:vAlign w:val="bottom"/>
          </w:tcPr>
          <w:p>
            <w:pPr>
              <w:pStyle w:val="TableContents"/>
              <w:bidi w:val="0"/>
              <w:spacing w:before="0" w:after="283"/>
              <w:jc w:val="left"/>
              <w:rPr/>
            </w:pPr>
            <w:r>
              <w:rPr/>
              <w:t> </w:t>
            </w:r>
          </w:p>
        </w:tc>
        <w:tc>
          <w:tcPr>
            <w:tcW w:w="920" w:type="dxa"/>
            <w:tcBorders>
              <w:bottom w:val="single" w:sz="12" w:space="0" w:color="000000"/>
            </w:tcBorders>
            <w:shd w:fill="FFFFFF" w:val="clear"/>
            <w:vAlign w:val="bottom"/>
          </w:tcPr>
          <w:p>
            <w:pPr>
              <w:pStyle w:val="TableContents"/>
              <w:bidi w:val="0"/>
              <w:spacing w:before="0" w:after="0"/>
              <w:jc w:val="center"/>
              <w:rPr>
                <w:b/>
                <w:color w:val="000000"/>
              </w:rPr>
            </w:pPr>
            <w:r>
              <w:rPr>
                <w:b/>
                <w:color w:val="000000"/>
              </w:rPr>
              <w:t>Type</w:t>
            </w:r>
          </w:p>
        </w:tc>
        <w:tc>
          <w:tcPr>
            <w:tcW w:w="60" w:type="dxa"/>
            <w:tcBorders/>
            <w:shd w:fill="FFFFFF" w:val="clear"/>
            <w:tcMar>
              <w:bottom w:w="0" w:type="dxa"/>
            </w:tcMar>
            <w:vAlign w:val="bottom"/>
          </w:tcPr>
          <w:p>
            <w:pPr>
              <w:pStyle w:val="TableContents"/>
              <w:bidi w:val="0"/>
              <w:spacing w:before="0" w:after="283"/>
              <w:jc w:val="left"/>
              <w:rPr/>
            </w:pPr>
            <w:r>
              <w:rPr/>
              <w:t> </w:t>
            </w:r>
          </w:p>
        </w:tc>
        <w:tc>
          <w:tcPr>
            <w:tcW w:w="1535" w:type="dxa"/>
            <w:tcBorders>
              <w:bottom w:val="single" w:sz="12" w:space="0" w:color="000000"/>
            </w:tcBorders>
            <w:shd w:fill="FFFFFF" w:val="clear"/>
            <w:vAlign w:val="bottom"/>
          </w:tcPr>
          <w:p>
            <w:pPr>
              <w:pStyle w:val="TableContents"/>
              <w:bidi w:val="0"/>
              <w:spacing w:before="0" w:after="0"/>
              <w:jc w:val="center"/>
              <w:rPr>
                <w:b/>
                <w:color w:val="000000"/>
              </w:rPr>
            </w:pPr>
            <w:r>
              <w:rPr>
                <w:b/>
                <w:color w:val="000000"/>
              </w:rPr>
              <w:t>Record Date</w:t>
            </w:r>
          </w:p>
        </w:tc>
        <w:tc>
          <w:tcPr>
            <w:tcW w:w="60" w:type="dxa"/>
            <w:tcBorders/>
            <w:shd w:fill="FFFFFF" w:val="clear"/>
            <w:tcMar>
              <w:bottom w:w="0" w:type="dxa"/>
            </w:tcMar>
            <w:vAlign w:val="bottom"/>
          </w:tcPr>
          <w:p>
            <w:pPr>
              <w:pStyle w:val="TableContents"/>
              <w:bidi w:val="0"/>
              <w:spacing w:before="0" w:after="283"/>
              <w:jc w:val="left"/>
              <w:rPr/>
            </w:pPr>
            <w:r>
              <w:rPr/>
              <w:t> </w:t>
            </w:r>
          </w:p>
        </w:tc>
        <w:tc>
          <w:tcPr>
            <w:tcW w:w="1535" w:type="dxa"/>
            <w:tcBorders>
              <w:bottom w:val="single" w:sz="12" w:space="0" w:color="000000"/>
            </w:tcBorders>
            <w:shd w:fill="FFFFFF" w:val="clear"/>
            <w:vAlign w:val="bottom"/>
          </w:tcPr>
          <w:p>
            <w:pPr>
              <w:pStyle w:val="TableContents"/>
              <w:bidi w:val="0"/>
              <w:spacing w:before="0" w:after="0"/>
              <w:jc w:val="center"/>
              <w:rPr>
                <w:b/>
                <w:color w:val="000000"/>
              </w:rPr>
            </w:pPr>
            <w:r>
              <w:rPr>
                <w:b/>
                <w:color w:val="000000"/>
              </w:rPr>
              <w:t>Payment Date</w:t>
            </w:r>
          </w:p>
        </w:tc>
        <w:tc>
          <w:tcPr>
            <w:tcW w:w="60" w:type="dxa"/>
            <w:tcBorders/>
            <w:shd w:fill="FFFFFF" w:val="clear"/>
            <w:tcMar>
              <w:bottom w:w="0" w:type="dxa"/>
            </w:tcMar>
            <w:vAlign w:val="bottom"/>
          </w:tcPr>
          <w:p>
            <w:pPr>
              <w:pStyle w:val="TableContents"/>
              <w:bidi w:val="0"/>
              <w:spacing w:before="0" w:after="283"/>
              <w:jc w:val="left"/>
              <w:rPr/>
            </w:pPr>
            <w:r>
              <w:rPr/>
              <w:t> </w:t>
            </w:r>
          </w:p>
        </w:tc>
        <w:tc>
          <w:tcPr>
            <w:tcW w:w="1039" w:type="dxa"/>
            <w:gridSpan w:val="2"/>
            <w:tcBorders>
              <w:bottom w:val="single" w:sz="12" w:space="0" w:color="000000"/>
            </w:tcBorders>
            <w:shd w:fill="FFFFFF" w:val="clear"/>
            <w:vAlign w:val="bottom"/>
          </w:tcPr>
          <w:p>
            <w:pPr>
              <w:pStyle w:val="TableContents"/>
              <w:bidi w:val="0"/>
              <w:spacing w:before="0" w:after="0"/>
              <w:jc w:val="center"/>
              <w:rPr>
                <w:b/>
                <w:color w:val="000000"/>
              </w:rPr>
            </w:pPr>
            <w:r>
              <w:rPr>
                <w:b/>
                <w:color w:val="000000"/>
              </w:rPr>
              <w:t>Per Share</w:t>
              <w:br/>
              <w:t>Amount</w:t>
            </w:r>
          </w:p>
        </w:tc>
        <w:tc>
          <w:tcPr>
            <w:tcW w:w="60" w:type="dxa"/>
            <w:tcBorders/>
            <w:shd w:fill="FFFFFF" w:val="clear"/>
            <w:tcMar>
              <w:bottom w:w="0" w:type="dxa"/>
            </w:tcMar>
            <w:vAlign w:val="bottom"/>
          </w:tcPr>
          <w:p>
            <w:pPr>
              <w:pStyle w:val="TableContents"/>
              <w:bidi w:val="0"/>
              <w:spacing w:before="0" w:after="283"/>
              <w:jc w:val="left"/>
              <w:rPr/>
            </w:pPr>
            <w:r>
              <w:rPr/>
              <w:t> </w:t>
            </w:r>
          </w:p>
        </w:tc>
        <w:tc>
          <w:tcPr>
            <w:tcW w:w="60" w:type="dxa"/>
            <w:tcBorders/>
            <w:shd w:fill="FFFFFF" w:val="clear"/>
            <w:tcMar>
              <w:bottom w:w="0" w:type="dxa"/>
            </w:tcMar>
            <w:vAlign w:val="bottom"/>
          </w:tcPr>
          <w:p>
            <w:pPr>
              <w:pStyle w:val="TableContents"/>
              <w:bidi w:val="0"/>
              <w:spacing w:before="0" w:after="283"/>
              <w:jc w:val="left"/>
              <w:rPr/>
            </w:pPr>
            <w:r>
              <w:rPr/>
              <w:t> </w:t>
            </w:r>
          </w:p>
        </w:tc>
        <w:tc>
          <w:tcPr>
            <w:tcW w:w="1564" w:type="dxa"/>
            <w:gridSpan w:val="2"/>
            <w:tcBorders>
              <w:bottom w:val="single" w:sz="12" w:space="0" w:color="000000"/>
            </w:tcBorders>
            <w:shd w:fill="FFFFFF" w:val="clear"/>
            <w:vAlign w:val="bottom"/>
          </w:tcPr>
          <w:p>
            <w:pPr>
              <w:pStyle w:val="TableContents"/>
              <w:bidi w:val="0"/>
              <w:spacing w:before="0" w:after="0"/>
              <w:jc w:val="center"/>
              <w:rPr>
                <w:b/>
                <w:color w:val="000000"/>
              </w:rPr>
            </w:pPr>
            <w:r>
              <w:rPr>
                <w:b/>
                <w:color w:val="000000"/>
              </w:rPr>
              <w:t>Dividends Paid</w:t>
            </w:r>
          </w:p>
        </w:tc>
        <w:tc>
          <w:tcPr>
            <w:tcW w:w="60" w:type="dxa"/>
            <w:tcBorders/>
            <w:shd w:fill="FFFFFF" w:val="clear"/>
            <w:tcMar>
              <w:bottom w:w="0" w:type="dxa"/>
            </w:tcMar>
            <w:vAlign w:val="bottom"/>
          </w:tcPr>
          <w:p>
            <w:pPr>
              <w:pStyle w:val="TableContents"/>
              <w:bidi w:val="0"/>
              <w:spacing w:before="0" w:after="283"/>
              <w:jc w:val="left"/>
              <w:rPr/>
            </w:pPr>
            <w:r>
              <w:rPr/>
              <w:t> </w:t>
            </w:r>
          </w:p>
        </w:tc>
      </w:tr>
      <w:tr>
        <w:trPr/>
        <w:tc>
          <w:tcPr>
            <w:tcW w:w="1745" w:type="dxa"/>
            <w:tcBorders/>
            <w:shd w:fill="CCEEFF" w:val="clear"/>
            <w:tcMar>
              <w:bottom w:w="0" w:type="dxa"/>
            </w:tcMar>
            <w:vAlign w:val="bottom"/>
          </w:tcPr>
          <w:p>
            <w:pPr>
              <w:pStyle w:val="TableContents"/>
              <w:bidi w:val="0"/>
              <w:spacing w:before="0" w:after="0"/>
              <w:jc w:val="center"/>
              <w:rPr>
                <w:color w:val="000000"/>
              </w:rPr>
            </w:pPr>
            <w:r>
              <w:rPr>
                <w:color w:val="000000"/>
              </w:rPr>
              <w:t>March 8, 2024</w:t>
            </w:r>
          </w:p>
        </w:tc>
        <w:tc>
          <w:tcPr>
            <w:tcW w:w="60" w:type="dxa"/>
            <w:tcBorders/>
            <w:shd w:fill="CCEEFF" w:val="clear"/>
            <w:tcMar>
              <w:bottom w:w="0" w:type="dxa"/>
            </w:tcMar>
            <w:vAlign w:val="bottom"/>
          </w:tcPr>
          <w:p>
            <w:pPr>
              <w:pStyle w:val="TableContents"/>
              <w:bidi w:val="0"/>
              <w:spacing w:before="0" w:after="283"/>
              <w:jc w:val="left"/>
              <w:rPr/>
            </w:pPr>
            <w:r>
              <w:rPr/>
              <w:t> </w:t>
            </w:r>
          </w:p>
        </w:tc>
        <w:tc>
          <w:tcPr>
            <w:tcW w:w="920" w:type="dxa"/>
            <w:tcBorders/>
            <w:shd w:fill="CCEEFF" w:val="clear"/>
            <w:tcMar>
              <w:bottom w:w="0" w:type="dxa"/>
            </w:tcMar>
            <w:vAlign w:val="bottom"/>
          </w:tcPr>
          <w:p>
            <w:pPr>
              <w:pStyle w:val="TableContents"/>
              <w:bidi w:val="0"/>
              <w:spacing w:before="0" w:after="0"/>
              <w:jc w:val="center"/>
              <w:rPr>
                <w:color w:val="000000"/>
              </w:rPr>
            </w:pPr>
            <w:r>
              <w:rPr>
                <w:color w:val="000000"/>
              </w:rPr>
              <w:t>Quarterly</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35" w:type="dxa"/>
            <w:tcBorders/>
            <w:shd w:fill="CCEEFF" w:val="clear"/>
            <w:tcMar>
              <w:bottom w:w="0" w:type="dxa"/>
            </w:tcMar>
            <w:vAlign w:val="bottom"/>
          </w:tcPr>
          <w:p>
            <w:pPr>
              <w:pStyle w:val="TableContents"/>
              <w:bidi w:val="0"/>
              <w:spacing w:before="0" w:after="0"/>
              <w:jc w:val="center"/>
              <w:rPr>
                <w:color w:val="000000"/>
              </w:rPr>
            </w:pPr>
            <w:r>
              <w:rPr>
                <w:color w:val="000000"/>
              </w:rPr>
              <w:t>March 20, 2024</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35" w:type="dxa"/>
            <w:tcBorders/>
            <w:shd w:fill="CCEEFF" w:val="clear"/>
            <w:tcMar>
              <w:bottom w:w="0" w:type="dxa"/>
            </w:tcMar>
            <w:vAlign w:val="bottom"/>
          </w:tcPr>
          <w:p>
            <w:pPr>
              <w:pStyle w:val="TableContents"/>
              <w:bidi w:val="0"/>
              <w:spacing w:before="0" w:after="0"/>
              <w:jc w:val="center"/>
              <w:rPr>
                <w:color w:val="000000"/>
              </w:rPr>
            </w:pPr>
            <w:r>
              <w:rPr>
                <w:color w:val="000000"/>
              </w:rPr>
              <w:t>March 28, 2024</w:t>
            </w:r>
          </w:p>
        </w:tc>
        <w:tc>
          <w:tcPr>
            <w:tcW w:w="60" w:type="dxa"/>
            <w:tcBorders/>
            <w:shd w:fill="CCEEFF" w:val="clear"/>
            <w:tcMar>
              <w:bottom w:w="0" w:type="dxa"/>
            </w:tcMar>
            <w:vAlign w:val="bottom"/>
          </w:tcPr>
          <w:p>
            <w:pPr>
              <w:pStyle w:val="TableContents"/>
              <w:bidi w:val="0"/>
              <w:spacing w:before="0" w:after="283"/>
              <w:jc w:val="left"/>
              <w:rPr/>
            </w:pPr>
            <w:r>
              <w:rPr/>
              <w:t> </w:t>
            </w:r>
          </w:p>
        </w:tc>
        <w:tc>
          <w:tcPr>
            <w:tcW w:w="25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789" w:type="dxa"/>
            <w:tcBorders/>
            <w:shd w:fill="CCEEFF" w:val="clear"/>
            <w:tcMar>
              <w:bottom w:w="0" w:type="dxa"/>
            </w:tcMar>
            <w:vAlign w:val="bottom"/>
          </w:tcPr>
          <w:p>
            <w:pPr>
              <w:pStyle w:val="TableContents"/>
              <w:bidi w:val="0"/>
              <w:spacing w:before="0" w:after="0"/>
              <w:jc w:val="right"/>
              <w:rPr>
                <w:color w:val="000000"/>
              </w:rPr>
            </w:pPr>
            <w:r>
              <w:rPr>
                <w:color w:val="000000"/>
              </w:rPr>
              <w:t>0.25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9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369" w:type="dxa"/>
            <w:tcBorders/>
            <w:shd w:fill="CCEEFF" w:val="clear"/>
            <w:tcMar>
              <w:bottom w:w="0" w:type="dxa"/>
            </w:tcMar>
            <w:vAlign w:val="bottom"/>
          </w:tcPr>
          <w:p>
            <w:pPr>
              <w:pStyle w:val="TableContents"/>
              <w:bidi w:val="0"/>
              <w:spacing w:before="0" w:after="0"/>
              <w:jc w:val="right"/>
              <w:rPr>
                <w:color w:val="000000"/>
              </w:rPr>
            </w:pPr>
            <w:r>
              <w:rPr>
                <w:color w:val="000000"/>
              </w:rPr>
              <w:t>1,553,736</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1745" w:type="dxa"/>
            <w:tcBorders/>
            <w:shd w:fill="FFFFFF" w:val="clear"/>
            <w:tcMar>
              <w:bottom w:w="0" w:type="dxa"/>
            </w:tcMar>
            <w:vAlign w:val="bottom"/>
          </w:tcPr>
          <w:p>
            <w:pPr>
              <w:pStyle w:val="TableContents"/>
              <w:bidi w:val="0"/>
              <w:spacing w:before="0" w:after="283"/>
              <w:jc w:val="center"/>
              <w:rPr/>
            </w:pPr>
            <w:r>
              <w:rPr/>
              <w:t>May 9, 2024</w:t>
            </w:r>
          </w:p>
        </w:tc>
        <w:tc>
          <w:tcPr>
            <w:tcW w:w="60" w:type="dxa"/>
            <w:tcBorders/>
            <w:shd w:fill="FFFFFF" w:val="clear"/>
            <w:tcMar>
              <w:bottom w:w="0" w:type="dxa"/>
            </w:tcMar>
            <w:vAlign w:val="bottom"/>
          </w:tcPr>
          <w:p>
            <w:pPr>
              <w:pStyle w:val="TableContents"/>
              <w:bidi w:val="0"/>
              <w:spacing w:before="0" w:after="283"/>
              <w:jc w:val="left"/>
              <w:rPr/>
            </w:pPr>
            <w:r>
              <w:rPr/>
              <w:t> </w:t>
            </w:r>
          </w:p>
        </w:tc>
        <w:tc>
          <w:tcPr>
            <w:tcW w:w="920" w:type="dxa"/>
            <w:tcBorders/>
            <w:shd w:fill="FFFFFF" w:val="clear"/>
            <w:tcMar>
              <w:bottom w:w="0" w:type="dxa"/>
            </w:tcMar>
            <w:vAlign w:val="bottom"/>
          </w:tcPr>
          <w:p>
            <w:pPr>
              <w:pStyle w:val="TableContents"/>
              <w:bidi w:val="0"/>
              <w:spacing w:before="0" w:after="283"/>
              <w:jc w:val="center"/>
              <w:rPr/>
            </w:pPr>
            <w:r>
              <w:rPr/>
              <w:t>Quarterly</w:t>
            </w:r>
          </w:p>
        </w:tc>
        <w:tc>
          <w:tcPr>
            <w:tcW w:w="60" w:type="dxa"/>
            <w:tcBorders/>
            <w:shd w:fill="FFFFFF" w:val="clear"/>
            <w:tcMar>
              <w:bottom w:w="0" w:type="dxa"/>
            </w:tcMar>
            <w:vAlign w:val="bottom"/>
          </w:tcPr>
          <w:p>
            <w:pPr>
              <w:pStyle w:val="TableContents"/>
              <w:bidi w:val="0"/>
              <w:spacing w:before="0" w:after="283"/>
              <w:jc w:val="left"/>
              <w:rPr/>
            </w:pPr>
            <w:r>
              <w:rPr/>
              <w:t> </w:t>
            </w:r>
          </w:p>
        </w:tc>
        <w:tc>
          <w:tcPr>
            <w:tcW w:w="1535" w:type="dxa"/>
            <w:tcBorders/>
            <w:shd w:fill="FFFFFF" w:val="clear"/>
            <w:tcMar>
              <w:bottom w:w="0" w:type="dxa"/>
            </w:tcMar>
            <w:vAlign w:val="bottom"/>
          </w:tcPr>
          <w:p>
            <w:pPr>
              <w:pStyle w:val="TableContents"/>
              <w:bidi w:val="0"/>
              <w:spacing w:before="0" w:after="283"/>
              <w:jc w:val="center"/>
              <w:rPr/>
            </w:pPr>
            <w:r>
              <w:rPr/>
              <w:t>June 20, 2024</w:t>
            </w:r>
          </w:p>
        </w:tc>
        <w:tc>
          <w:tcPr>
            <w:tcW w:w="60" w:type="dxa"/>
            <w:tcBorders/>
            <w:shd w:fill="FFFFFF" w:val="clear"/>
            <w:tcMar>
              <w:bottom w:w="0" w:type="dxa"/>
            </w:tcMar>
            <w:vAlign w:val="bottom"/>
          </w:tcPr>
          <w:p>
            <w:pPr>
              <w:pStyle w:val="TableContents"/>
              <w:bidi w:val="0"/>
              <w:spacing w:before="0" w:after="283"/>
              <w:jc w:val="left"/>
              <w:rPr/>
            </w:pPr>
            <w:r>
              <w:rPr/>
              <w:t> </w:t>
            </w:r>
          </w:p>
        </w:tc>
        <w:tc>
          <w:tcPr>
            <w:tcW w:w="1535" w:type="dxa"/>
            <w:tcBorders/>
            <w:shd w:fill="FFFFFF" w:val="clear"/>
            <w:tcMar>
              <w:bottom w:w="0" w:type="dxa"/>
            </w:tcMar>
            <w:vAlign w:val="bottom"/>
          </w:tcPr>
          <w:p>
            <w:pPr>
              <w:pStyle w:val="TableContents"/>
              <w:bidi w:val="0"/>
              <w:spacing w:before="0" w:after="283"/>
              <w:jc w:val="center"/>
              <w:rPr/>
            </w:pPr>
            <w:r>
              <w:rPr/>
              <w:t>June 28, 2024</w:t>
            </w:r>
          </w:p>
        </w:tc>
        <w:tc>
          <w:tcPr>
            <w:tcW w:w="60" w:type="dxa"/>
            <w:tcBorders/>
            <w:shd w:fill="FFFFFF" w:val="clear"/>
            <w:tcMar>
              <w:bottom w:w="0" w:type="dxa"/>
            </w:tcMar>
            <w:vAlign w:val="bottom"/>
          </w:tcPr>
          <w:p>
            <w:pPr>
              <w:pStyle w:val="TableContents"/>
              <w:bidi w:val="0"/>
              <w:spacing w:before="0" w:after="283"/>
              <w:jc w:val="left"/>
              <w:rPr/>
            </w:pPr>
            <w:r>
              <w:rPr/>
              <w:t> </w:t>
            </w:r>
          </w:p>
        </w:tc>
        <w:tc>
          <w:tcPr>
            <w:tcW w:w="250" w:type="dxa"/>
            <w:tcBorders/>
            <w:shd w:fill="FFFFFF" w:val="clear"/>
            <w:tcMar>
              <w:bottom w:w="0" w:type="dxa"/>
            </w:tcMar>
            <w:vAlign w:val="bottom"/>
          </w:tcPr>
          <w:p>
            <w:pPr>
              <w:pStyle w:val="TableContents"/>
              <w:bidi w:val="0"/>
              <w:spacing w:before="0" w:after="283"/>
              <w:jc w:val="left"/>
              <w:rPr/>
            </w:pPr>
            <w:r>
              <w:rPr/>
              <w:t>$</w:t>
            </w:r>
          </w:p>
        </w:tc>
        <w:tc>
          <w:tcPr>
            <w:tcW w:w="789" w:type="dxa"/>
            <w:tcBorders/>
            <w:shd w:fill="FFFFFF" w:val="clear"/>
            <w:tcMar>
              <w:bottom w:w="0" w:type="dxa"/>
            </w:tcMar>
            <w:vAlign w:val="bottom"/>
          </w:tcPr>
          <w:p>
            <w:pPr>
              <w:pStyle w:val="TableContents"/>
              <w:bidi w:val="0"/>
              <w:spacing w:before="0" w:after="283"/>
              <w:jc w:val="right"/>
              <w:rPr/>
            </w:pPr>
            <w:r>
              <w:rPr/>
              <w:t>0.25</w:t>
            </w:r>
          </w:p>
        </w:tc>
        <w:tc>
          <w:tcPr>
            <w:tcW w:w="60" w:type="dxa"/>
            <w:tcBorders/>
            <w:shd w:fill="FFFFFF" w:val="clear"/>
            <w:tcMar>
              <w:bottom w:w="0" w:type="dxa"/>
            </w:tcMar>
            <w:vAlign w:val="bottom"/>
          </w:tcPr>
          <w:p>
            <w:pPr>
              <w:pStyle w:val="TableContents"/>
              <w:bidi w:val="0"/>
              <w:spacing w:before="0" w:after="283"/>
              <w:jc w:val="left"/>
              <w:rPr/>
            </w:pPr>
            <w:r>
              <w:rPr/>
              <w:t> </w:t>
            </w:r>
          </w:p>
        </w:tc>
        <w:tc>
          <w:tcPr>
            <w:tcW w:w="60" w:type="dxa"/>
            <w:tcBorders/>
            <w:shd w:fill="FFFFFF" w:val="clear"/>
            <w:tcMar>
              <w:bottom w:w="0" w:type="dxa"/>
            </w:tcMar>
            <w:vAlign w:val="bottom"/>
          </w:tcPr>
          <w:p>
            <w:pPr>
              <w:pStyle w:val="TableContents"/>
              <w:bidi w:val="0"/>
              <w:spacing w:before="0" w:after="283"/>
              <w:jc w:val="left"/>
              <w:rPr/>
            </w:pPr>
            <w:r>
              <w:rPr/>
              <w:t> </w:t>
            </w:r>
          </w:p>
        </w:tc>
        <w:tc>
          <w:tcPr>
            <w:tcW w:w="195" w:type="dxa"/>
            <w:tcBorders/>
            <w:shd w:fill="FFFFFF" w:val="clear"/>
            <w:tcMar>
              <w:bottom w:w="0" w:type="dxa"/>
            </w:tcMar>
            <w:vAlign w:val="bottom"/>
          </w:tcPr>
          <w:p>
            <w:pPr>
              <w:pStyle w:val="TableContents"/>
              <w:bidi w:val="0"/>
              <w:spacing w:before="0" w:after="283"/>
              <w:jc w:val="left"/>
              <w:rPr/>
            </w:pPr>
            <w:r>
              <w:rPr/>
              <w:t>$</w:t>
            </w:r>
          </w:p>
        </w:tc>
        <w:tc>
          <w:tcPr>
            <w:tcW w:w="1369" w:type="dxa"/>
            <w:tcBorders/>
            <w:shd w:fill="FFFFFF" w:val="clear"/>
            <w:tcMar>
              <w:bottom w:w="0" w:type="dxa"/>
            </w:tcMar>
            <w:vAlign w:val="bottom"/>
          </w:tcPr>
          <w:p>
            <w:pPr>
              <w:pStyle w:val="TableContents"/>
              <w:bidi w:val="0"/>
              <w:spacing w:before="0" w:after="283"/>
              <w:jc w:val="right"/>
              <w:rPr/>
            </w:pPr>
            <w:r>
              <w:rPr/>
              <w:t>1,553,738</w:t>
            </w:r>
          </w:p>
        </w:tc>
        <w:tc>
          <w:tcPr>
            <w:tcW w:w="60" w:type="dxa"/>
            <w:tcBorders/>
            <w:shd w:fill="FFFF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widowControl/>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During the six months ended June 30, 2023, the Company </w:t>
      </w:r>
      <w:r>
        <w:rPr>
          <w:rFonts w:ascii="Times New Roman" w:hAnsi="Times New Roman"/>
          <w:b w:val="false"/>
          <w:i w:val="false"/>
          <w:caps w:val="false"/>
          <w:smallCaps w:val="false"/>
          <w:color w:val="000000"/>
          <w:spacing w:val="0"/>
          <w:sz w:val="20"/>
          <w:shd w:fill="FFFFFF" w:val="clear"/>
        </w:rPr>
        <w:t>did not</w:t>
      </w:r>
      <w:r>
        <w:rPr>
          <w:rFonts w:ascii="Times New Roman" w:hAnsi="Times New Roman"/>
          <w:color w:val="000000"/>
          <w:sz w:val="20"/>
          <w:shd w:fill="FFFFFF" w:val="clear"/>
        </w:rPr>
        <w:t xml:space="preserve"> have any distributions.</w:t>
      </w:r>
    </w:p>
    <w:p>
      <w:pPr>
        <w:pStyle w:val="TextBody"/>
        <w:bidi w:val="0"/>
        <w:spacing w:before="0" w:after="0"/>
        <w:jc w:val="both"/>
        <w:rPr>
          <w:rFonts w:ascii="Times New Roman" w:hAnsi="Times New Roman"/>
          <w:b/>
          <w:i/>
          <w:sz w:val="20"/>
        </w:rPr>
      </w:pPr>
      <w:r>
        <w:rPr>
          <w:rFonts w:ascii="Times New Roman" w:hAnsi="Times New Roman"/>
          <w:b/>
          <w:i/>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Dividend Reinvestment Plan</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dividend reinvestment plan (“DRIP”)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pStyle w:val="TextBody"/>
        <w:bidi w:val="0"/>
        <w:spacing w:before="0" w:after="0"/>
        <w:jc w:val="left"/>
        <w:rPr>
          <w:color w:val="000000"/>
          <w:shd w:fill="FFFFFF" w:val="clear"/>
        </w:rPr>
      </w:pPr>
      <w:r>
        <w:rPr>
          <w:color w:val="000000"/>
          <w:shd w:fill="FFFFFF" w:val="clear"/>
        </w:rPr>
        <w:t> </w:t>
      </w:r>
    </w:p>
    <w:p>
      <w:pPr>
        <w:pStyle w:val="TextBody"/>
        <w:bidi w:val="0"/>
        <w:spacing w:before="4" w:after="283"/>
        <w:jc w:val="both"/>
        <w:rPr>
          <w:rFonts w:ascii="Times New Roman" w:hAnsi="Times New Roman"/>
          <w:color w:val="000000"/>
          <w:sz w:val="20"/>
          <w:shd w:fill="FFFFFF" w:val="clear"/>
        </w:rPr>
      </w:pPr>
      <w:r>
        <w:rPr>
          <w:rFonts w:ascii="Times New Roman" w:hAnsi="Times New Roman"/>
          <w:color w:val="000000"/>
          <w:sz w:val="20"/>
          <w:shd w:fill="FFFFFF" w:val="clear"/>
        </w:rPr>
        <w:t>The Company’s DRIP is administered by its transfer agent on behalf of the Company’s record holders and participating brokerage firms. Brokerage firms and other financial intermediaries may decide not to participate in the Company’s DRIP but may provide a similar dividend reinvestment plan for their clients. During the six months ended June 30, 2024, the Company issued the following shares of common stock under the DRIP:</w:t>
      </w:r>
    </w:p>
    <w:p>
      <w:pPr>
        <w:pStyle w:val="TextBody"/>
        <w:bidi w:val="0"/>
        <w:spacing w:before="4" w:after="283"/>
        <w:jc w:val="both"/>
        <w:rPr>
          <w:rFonts w:ascii="Times New Roman" w:hAnsi="Times New Roman"/>
          <w:sz w:val="20"/>
        </w:rPr>
      </w:pPr>
      <w:r>
        <w:rPr>
          <w:rFonts w:ascii="Times New Roman" w:hAnsi="Times New Roman"/>
          <w:sz w:val="20"/>
        </w:rPr>
      </w:r>
    </w:p>
    <w:tbl>
      <w:tblPr>
        <w:tblW w:w="6804" w:type="dxa"/>
        <w:jc w:val="left"/>
        <w:tblInd w:w="0" w:type="dxa"/>
        <w:tblLayout w:type="fixed"/>
        <w:tblCellMar>
          <w:top w:w="0" w:type="dxa"/>
          <w:left w:w="0" w:type="dxa"/>
          <w:bottom w:w="28" w:type="dxa"/>
          <w:right w:w="0" w:type="dxa"/>
        </w:tblCellMar>
      </w:tblPr>
      <w:tblGrid>
        <w:gridCol w:w="1745"/>
        <w:gridCol w:w="60"/>
        <w:gridCol w:w="920"/>
        <w:gridCol w:w="60"/>
        <w:gridCol w:w="1535"/>
        <w:gridCol w:w="60"/>
        <w:gridCol w:w="1535"/>
        <w:gridCol w:w="60"/>
        <w:gridCol w:w="144"/>
        <w:gridCol w:w="625"/>
        <w:gridCol w:w="60"/>
      </w:tblGrid>
      <w:tr>
        <w:trPr/>
        <w:tc>
          <w:tcPr>
            <w:tcW w:w="1745" w:type="dxa"/>
            <w:tcBorders>
              <w:bottom w:val="single" w:sz="12" w:space="0" w:color="000000"/>
            </w:tcBorders>
            <w:vAlign w:val="bottom"/>
          </w:tcPr>
          <w:p>
            <w:pPr>
              <w:pStyle w:val="TableContents"/>
              <w:bidi w:val="0"/>
              <w:spacing w:before="0" w:after="283"/>
              <w:jc w:val="center"/>
              <w:rPr>
                <w:b/>
              </w:rPr>
            </w:pPr>
            <w:r>
              <w:rPr>
                <w:b/>
              </w:rPr>
              <w:t>Declaration Date</w:t>
            </w:r>
          </w:p>
        </w:tc>
        <w:tc>
          <w:tcPr>
            <w:tcW w:w="60" w:type="dxa"/>
            <w:tcBorders/>
            <w:tcMar>
              <w:bottom w:w="0" w:type="dxa"/>
            </w:tcMar>
            <w:vAlign w:val="bottom"/>
          </w:tcPr>
          <w:p>
            <w:pPr>
              <w:pStyle w:val="TableContents"/>
              <w:bidi w:val="0"/>
              <w:spacing w:before="0" w:after="283"/>
              <w:jc w:val="center"/>
              <w:rPr/>
            </w:pPr>
            <w:r>
              <w:rPr/>
              <w:t> </w:t>
            </w:r>
          </w:p>
        </w:tc>
        <w:tc>
          <w:tcPr>
            <w:tcW w:w="920" w:type="dxa"/>
            <w:tcBorders>
              <w:bottom w:val="single" w:sz="12" w:space="0" w:color="000000"/>
            </w:tcBorders>
            <w:vAlign w:val="bottom"/>
          </w:tcPr>
          <w:p>
            <w:pPr>
              <w:pStyle w:val="TableContents"/>
              <w:bidi w:val="0"/>
              <w:spacing w:before="0" w:after="283"/>
              <w:jc w:val="center"/>
              <w:rPr>
                <w:b/>
              </w:rPr>
            </w:pPr>
            <w:r>
              <w:rPr>
                <w:b/>
              </w:rPr>
              <w:t>Type</w:t>
            </w:r>
          </w:p>
        </w:tc>
        <w:tc>
          <w:tcPr>
            <w:tcW w:w="60" w:type="dxa"/>
            <w:tcBorders/>
            <w:tcMar>
              <w:bottom w:w="0" w:type="dxa"/>
            </w:tcMar>
            <w:vAlign w:val="bottom"/>
          </w:tcPr>
          <w:p>
            <w:pPr>
              <w:pStyle w:val="TableContents"/>
              <w:bidi w:val="0"/>
              <w:spacing w:before="0" w:after="283"/>
              <w:jc w:val="center"/>
              <w:rPr/>
            </w:pPr>
            <w:r>
              <w:rPr/>
              <w:t> </w:t>
            </w:r>
          </w:p>
        </w:tc>
        <w:tc>
          <w:tcPr>
            <w:tcW w:w="1535" w:type="dxa"/>
            <w:tcBorders>
              <w:bottom w:val="single" w:sz="12" w:space="0" w:color="000000"/>
            </w:tcBorders>
            <w:vAlign w:val="bottom"/>
          </w:tcPr>
          <w:p>
            <w:pPr>
              <w:pStyle w:val="TableContents"/>
              <w:bidi w:val="0"/>
              <w:spacing w:before="0" w:after="0"/>
              <w:jc w:val="center"/>
              <w:rPr>
                <w:b/>
              </w:rPr>
            </w:pPr>
            <w:r>
              <w:rPr>
                <w:b/>
              </w:rPr>
              <w:t xml:space="preserve">Record Date </w:t>
            </w:r>
          </w:p>
        </w:tc>
        <w:tc>
          <w:tcPr>
            <w:tcW w:w="60" w:type="dxa"/>
            <w:tcBorders/>
            <w:tcMar>
              <w:bottom w:w="0" w:type="dxa"/>
            </w:tcMar>
            <w:vAlign w:val="bottom"/>
          </w:tcPr>
          <w:p>
            <w:pPr>
              <w:pStyle w:val="TableContents"/>
              <w:bidi w:val="0"/>
              <w:spacing w:before="0" w:after="283"/>
              <w:jc w:val="left"/>
              <w:rPr/>
            </w:pPr>
            <w:r>
              <w:rPr/>
              <w:t> </w:t>
            </w:r>
          </w:p>
        </w:tc>
        <w:tc>
          <w:tcPr>
            <w:tcW w:w="1535" w:type="dxa"/>
            <w:tcBorders>
              <w:bottom w:val="single" w:sz="12" w:space="0" w:color="000000"/>
            </w:tcBorders>
            <w:vAlign w:val="bottom"/>
          </w:tcPr>
          <w:p>
            <w:pPr>
              <w:pStyle w:val="TableContents"/>
              <w:bidi w:val="0"/>
              <w:spacing w:before="0" w:after="0"/>
              <w:jc w:val="center"/>
              <w:rPr>
                <w:b/>
              </w:rPr>
            </w:pPr>
            <w:r>
              <w:rPr>
                <w:b/>
              </w:rPr>
              <w:t xml:space="preserve">Payment Date </w:t>
            </w:r>
          </w:p>
        </w:tc>
        <w:tc>
          <w:tcPr>
            <w:tcW w:w="60" w:type="dxa"/>
            <w:tcBorders/>
            <w:tcMar>
              <w:bottom w:w="0" w:type="dxa"/>
            </w:tcMar>
            <w:vAlign w:val="bottom"/>
          </w:tcPr>
          <w:p>
            <w:pPr>
              <w:pStyle w:val="TableContents"/>
              <w:bidi w:val="0"/>
              <w:spacing w:before="0" w:after="283"/>
              <w:jc w:val="left"/>
              <w:rPr/>
            </w:pPr>
            <w:r>
              <w:rPr/>
              <w:t> </w:t>
            </w:r>
          </w:p>
        </w:tc>
        <w:tc>
          <w:tcPr>
            <w:tcW w:w="769" w:type="dxa"/>
            <w:gridSpan w:val="2"/>
            <w:tcBorders>
              <w:bottom w:val="single" w:sz="12" w:space="0" w:color="000000"/>
            </w:tcBorders>
            <w:vAlign w:val="bottom"/>
          </w:tcPr>
          <w:p>
            <w:pPr>
              <w:pStyle w:val="TableContents"/>
              <w:bidi w:val="0"/>
              <w:spacing w:before="0" w:after="0"/>
              <w:jc w:val="center"/>
              <w:rPr>
                <w:b/>
              </w:rPr>
            </w:pPr>
            <w:r>
              <w:rPr>
                <w:b/>
              </w:rPr>
              <w:t xml:space="preserve">Shares </w:t>
            </w:r>
          </w:p>
        </w:tc>
        <w:tc>
          <w:tcPr>
            <w:tcW w:w="60" w:type="dxa"/>
            <w:tcBorders/>
            <w:tcMar>
              <w:bottom w:w="0" w:type="dxa"/>
            </w:tcMar>
            <w:vAlign w:val="bottom"/>
          </w:tcPr>
          <w:p>
            <w:pPr>
              <w:pStyle w:val="TableContents"/>
              <w:bidi w:val="0"/>
              <w:spacing w:before="0" w:after="283"/>
              <w:jc w:val="left"/>
              <w:rPr/>
            </w:pPr>
            <w:r>
              <w:rPr/>
              <w:t> </w:t>
            </w:r>
          </w:p>
        </w:tc>
      </w:tr>
      <w:tr>
        <w:trPr/>
        <w:tc>
          <w:tcPr>
            <w:tcW w:w="1745" w:type="dxa"/>
            <w:tcBorders/>
            <w:shd w:fill="CCEEFF" w:val="clear"/>
            <w:tcMar>
              <w:bottom w:w="0" w:type="dxa"/>
            </w:tcMar>
            <w:vAlign w:val="bottom"/>
          </w:tcPr>
          <w:p>
            <w:pPr>
              <w:pStyle w:val="TableContents"/>
              <w:bidi w:val="0"/>
              <w:spacing w:before="0" w:after="283"/>
              <w:jc w:val="center"/>
              <w:rPr/>
            </w:pPr>
            <w:r>
              <w:rPr/>
              <w:t>March 8, 2024</w:t>
            </w:r>
          </w:p>
        </w:tc>
        <w:tc>
          <w:tcPr>
            <w:tcW w:w="60" w:type="dxa"/>
            <w:tcBorders/>
            <w:shd w:fill="CCEEFF" w:val="clear"/>
            <w:tcMar>
              <w:bottom w:w="0" w:type="dxa"/>
            </w:tcMar>
            <w:vAlign w:val="bottom"/>
          </w:tcPr>
          <w:p>
            <w:pPr>
              <w:pStyle w:val="TableContents"/>
              <w:bidi w:val="0"/>
              <w:spacing w:before="0" w:after="283"/>
              <w:jc w:val="center"/>
              <w:rPr/>
            </w:pPr>
            <w:r>
              <w:rPr/>
              <w:t> </w:t>
            </w:r>
          </w:p>
        </w:tc>
        <w:tc>
          <w:tcPr>
            <w:tcW w:w="920" w:type="dxa"/>
            <w:tcBorders/>
            <w:shd w:fill="CCEEFF" w:val="clear"/>
            <w:tcMar>
              <w:bottom w:w="0" w:type="dxa"/>
            </w:tcMar>
            <w:vAlign w:val="bottom"/>
          </w:tcPr>
          <w:p>
            <w:pPr>
              <w:pStyle w:val="TableContents"/>
              <w:bidi w:val="0"/>
              <w:spacing w:before="0" w:after="0"/>
              <w:jc w:val="center"/>
              <w:rPr/>
            </w:pPr>
            <w:r>
              <w:rPr/>
              <w:t>Quarterly</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35" w:type="dxa"/>
            <w:tcBorders/>
            <w:shd w:fill="CCEEFF" w:val="clear"/>
            <w:tcMar>
              <w:bottom w:w="0" w:type="dxa"/>
            </w:tcMar>
            <w:vAlign w:val="bottom"/>
          </w:tcPr>
          <w:p>
            <w:pPr>
              <w:pStyle w:val="TableContents"/>
              <w:bidi w:val="0"/>
              <w:spacing w:before="0" w:after="0"/>
              <w:jc w:val="center"/>
              <w:rPr/>
            </w:pPr>
            <w:r>
              <w:rPr/>
              <w:t>March 20, 2024</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35" w:type="dxa"/>
            <w:tcBorders/>
            <w:shd w:fill="CCEEFF" w:val="clear"/>
            <w:tcMar>
              <w:bottom w:w="0" w:type="dxa"/>
            </w:tcMar>
            <w:vAlign w:val="bottom"/>
          </w:tcPr>
          <w:p>
            <w:pPr>
              <w:pStyle w:val="TableContents"/>
              <w:bidi w:val="0"/>
              <w:spacing w:before="0" w:after="0"/>
              <w:jc w:val="center"/>
              <w:rPr/>
            </w:pPr>
            <w:r>
              <w:rPr/>
              <w:t>March 28, 2024</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4" w:type="dxa"/>
            <w:tcBorders/>
            <w:shd w:fill="CCEEFF" w:val="clear"/>
            <w:tcMar>
              <w:bottom w:w="0" w:type="dxa"/>
            </w:tcMar>
            <w:vAlign w:val="bottom"/>
          </w:tcPr>
          <w:p>
            <w:pPr>
              <w:pStyle w:val="TableContents"/>
              <w:bidi w:val="0"/>
              <w:spacing w:before="0" w:after="283"/>
              <w:jc w:val="left"/>
              <w:rPr/>
            </w:pPr>
            <w:r>
              <w:rPr/>
              <w:t> </w:t>
            </w:r>
          </w:p>
        </w:tc>
        <w:tc>
          <w:tcPr>
            <w:tcW w:w="625" w:type="dxa"/>
            <w:tcBorders/>
            <w:shd w:fill="CCEEFF" w:val="clear"/>
            <w:tcMar>
              <w:bottom w:w="0" w:type="dxa"/>
            </w:tcMar>
            <w:vAlign w:val="bottom"/>
          </w:tcPr>
          <w:p>
            <w:pPr>
              <w:pStyle w:val="TableContents"/>
              <w:bidi w:val="0"/>
              <w:spacing w:before="0" w:after="0"/>
              <w:jc w:val="right"/>
              <w:rPr/>
            </w:pPr>
            <w:r>
              <w:rPr/>
              <w:t>8</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1745" w:type="dxa"/>
            <w:tcBorders/>
            <w:tcMar>
              <w:bottom w:w="0" w:type="dxa"/>
            </w:tcMar>
            <w:vAlign w:val="bottom"/>
          </w:tcPr>
          <w:p>
            <w:pPr>
              <w:pStyle w:val="TableContents"/>
              <w:bidi w:val="0"/>
              <w:spacing w:before="0" w:after="283"/>
              <w:jc w:val="center"/>
              <w:rPr/>
            </w:pPr>
            <w:r>
              <w:rPr/>
              <w:t>May 9, 2024</w:t>
            </w:r>
          </w:p>
        </w:tc>
        <w:tc>
          <w:tcPr>
            <w:tcW w:w="60" w:type="dxa"/>
            <w:tcBorders/>
            <w:tcMar>
              <w:bottom w:w="0" w:type="dxa"/>
            </w:tcMar>
            <w:vAlign w:val="bottom"/>
          </w:tcPr>
          <w:p>
            <w:pPr>
              <w:pStyle w:val="TableContents"/>
              <w:bidi w:val="0"/>
              <w:spacing w:before="0" w:after="283"/>
              <w:jc w:val="center"/>
              <w:rPr/>
            </w:pPr>
            <w:r>
              <w:rPr/>
              <w:t> </w:t>
            </w:r>
          </w:p>
        </w:tc>
        <w:tc>
          <w:tcPr>
            <w:tcW w:w="920" w:type="dxa"/>
            <w:tcBorders/>
            <w:tcMar>
              <w:bottom w:w="0" w:type="dxa"/>
            </w:tcMar>
            <w:vAlign w:val="bottom"/>
          </w:tcPr>
          <w:p>
            <w:pPr>
              <w:pStyle w:val="TableContents"/>
              <w:bidi w:val="0"/>
              <w:spacing w:before="0" w:after="283"/>
              <w:jc w:val="center"/>
              <w:rPr/>
            </w:pPr>
            <w:r>
              <w:rPr/>
              <w:t>Quarterly</w:t>
            </w:r>
          </w:p>
        </w:tc>
        <w:tc>
          <w:tcPr>
            <w:tcW w:w="60" w:type="dxa"/>
            <w:tcBorders/>
            <w:tcMar>
              <w:bottom w:w="0" w:type="dxa"/>
            </w:tcMar>
            <w:vAlign w:val="bottom"/>
          </w:tcPr>
          <w:p>
            <w:pPr>
              <w:pStyle w:val="TableContents"/>
              <w:bidi w:val="0"/>
              <w:spacing w:before="0" w:after="283"/>
              <w:jc w:val="center"/>
              <w:rPr/>
            </w:pPr>
            <w:r>
              <w:rPr/>
              <w:t> </w:t>
            </w:r>
          </w:p>
        </w:tc>
        <w:tc>
          <w:tcPr>
            <w:tcW w:w="1535" w:type="dxa"/>
            <w:tcBorders/>
            <w:tcMar>
              <w:bottom w:w="0" w:type="dxa"/>
            </w:tcMar>
            <w:vAlign w:val="bottom"/>
          </w:tcPr>
          <w:p>
            <w:pPr>
              <w:pStyle w:val="TableContents"/>
              <w:bidi w:val="0"/>
              <w:spacing w:before="0" w:after="283"/>
              <w:jc w:val="center"/>
              <w:rPr/>
            </w:pPr>
            <w:r>
              <w:rPr/>
              <w:t>June 20, 2024</w:t>
            </w:r>
          </w:p>
        </w:tc>
        <w:tc>
          <w:tcPr>
            <w:tcW w:w="60" w:type="dxa"/>
            <w:tcBorders/>
            <w:tcMar>
              <w:bottom w:w="0" w:type="dxa"/>
            </w:tcMar>
            <w:vAlign w:val="bottom"/>
          </w:tcPr>
          <w:p>
            <w:pPr>
              <w:pStyle w:val="TableContents"/>
              <w:bidi w:val="0"/>
              <w:spacing w:before="0" w:after="283"/>
              <w:jc w:val="center"/>
              <w:rPr/>
            </w:pPr>
            <w:r>
              <w:rPr/>
              <w:t> </w:t>
            </w:r>
          </w:p>
        </w:tc>
        <w:tc>
          <w:tcPr>
            <w:tcW w:w="1535" w:type="dxa"/>
            <w:tcBorders/>
            <w:tcMar>
              <w:bottom w:w="0" w:type="dxa"/>
            </w:tcMar>
            <w:vAlign w:val="bottom"/>
          </w:tcPr>
          <w:p>
            <w:pPr>
              <w:pStyle w:val="TableContents"/>
              <w:bidi w:val="0"/>
              <w:spacing w:before="0" w:after="283"/>
              <w:jc w:val="center"/>
              <w:rPr/>
            </w:pPr>
            <w:r>
              <w:rPr/>
              <w:t>June 28, 2024</w:t>
            </w:r>
          </w:p>
        </w:tc>
        <w:tc>
          <w:tcPr>
            <w:tcW w:w="60" w:type="dxa"/>
            <w:tcBorders/>
            <w:tcMar>
              <w:bottom w:w="0" w:type="dxa"/>
            </w:tcMar>
            <w:vAlign w:val="bottom"/>
          </w:tcPr>
          <w:p>
            <w:pPr>
              <w:pStyle w:val="TableContents"/>
              <w:bidi w:val="0"/>
              <w:spacing w:before="0" w:after="283"/>
              <w:jc w:val="right"/>
              <w:rPr/>
            </w:pPr>
            <w:r>
              <w:rPr/>
              <w:t> </w:t>
            </w:r>
          </w:p>
        </w:tc>
        <w:tc>
          <w:tcPr>
            <w:tcW w:w="144" w:type="dxa"/>
            <w:tcBorders/>
            <w:tcMar>
              <w:bottom w:w="0" w:type="dxa"/>
            </w:tcMar>
            <w:vAlign w:val="bottom"/>
          </w:tcPr>
          <w:p>
            <w:pPr>
              <w:pStyle w:val="TableContents"/>
              <w:bidi w:val="0"/>
              <w:spacing w:before="0" w:after="283"/>
              <w:jc w:val="left"/>
              <w:rPr/>
            </w:pPr>
            <w:r>
              <w:rPr/>
              <w:t> </w:t>
            </w:r>
          </w:p>
        </w:tc>
        <w:tc>
          <w:tcPr>
            <w:tcW w:w="625" w:type="dxa"/>
            <w:tcBorders/>
            <w:tcMar>
              <w:bottom w:w="0" w:type="dxa"/>
            </w:tcMar>
            <w:vAlign w:val="bottom"/>
          </w:tcPr>
          <w:p>
            <w:pPr>
              <w:pStyle w:val="TableContents"/>
              <w:bidi w:val="0"/>
              <w:spacing w:before="0" w:after="283"/>
              <w:jc w:val="right"/>
              <w:rPr/>
            </w:pPr>
            <w:r>
              <w:rPr/>
              <w:t>15</w:t>
            </w:r>
          </w:p>
        </w:tc>
        <w:tc>
          <w:tcPr>
            <w:tcW w:w="60"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six months ended June 30, 2023, the Company issued no new shares of common stock under the DRIP.</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8 — INDEMNIFICATION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the Company’s organizational documents, the Company’s officers and directors are indemnified against certain liabilities arising out of the performance of their duties to the Company. In addition, in the normal course of business the Company enters into contracts that contain a variety of representations which provide general indemnifications. The Company’s maximum exposure under these agreements cannot be known; however, the Company expects any risk of loss to be remote.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9 — EARNINGS PER SHARE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computation of the weighted average basic and diluted net increase (decrease) in net assets per share from operations for the three and six months ended June 30, 2024 and 2023:</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61"/>
        <w:gridCol w:w="60"/>
        <w:gridCol w:w="190"/>
        <w:gridCol w:w="1331"/>
        <w:gridCol w:w="60"/>
        <w:gridCol w:w="60"/>
        <w:gridCol w:w="190"/>
        <w:gridCol w:w="1331"/>
        <w:gridCol w:w="60"/>
        <w:gridCol w:w="60"/>
        <w:gridCol w:w="176"/>
        <w:gridCol w:w="1234"/>
        <w:gridCol w:w="60"/>
        <w:gridCol w:w="60"/>
        <w:gridCol w:w="176"/>
        <w:gridCol w:w="1234"/>
        <w:gridCol w:w="62"/>
      </w:tblGrid>
      <w:tr>
        <w:trPr/>
        <w:tc>
          <w:tcPr>
            <w:tcW w:w="38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1" w:type="dxa"/>
            <w:gridSpan w:val="2"/>
            <w:tcBorders/>
            <w:vAlign w:val="bottom"/>
          </w:tcPr>
          <w:p>
            <w:pPr>
              <w:pStyle w:val="TableContents"/>
              <w:bidi w:val="0"/>
              <w:spacing w:before="0" w:after="0"/>
              <w:jc w:val="center"/>
              <w:rPr>
                <w:b/>
                <w:color w:val="000000"/>
              </w:rPr>
            </w:pPr>
            <w:r>
              <w:rPr>
                <w:b/>
                <w:color w:val="000000"/>
              </w:rPr>
              <w:t>Three 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1" w:type="dxa"/>
            <w:gridSpan w:val="2"/>
            <w:tcBorders/>
            <w:vAlign w:val="bottom"/>
          </w:tcPr>
          <w:p>
            <w:pPr>
              <w:pStyle w:val="TableContents"/>
              <w:bidi w:val="0"/>
              <w:spacing w:before="0" w:after="0"/>
              <w:jc w:val="center"/>
              <w:rPr>
                <w:b/>
                <w:color w:val="000000"/>
              </w:rPr>
            </w:pPr>
            <w:r>
              <w:rPr>
                <w:b/>
                <w:color w:val="000000"/>
              </w:rPr>
              <w:t>Three 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410" w:type="dxa"/>
            <w:gridSpan w:val="2"/>
            <w:tcBorders/>
            <w:vAlign w:val="bottom"/>
          </w:tcPr>
          <w:p>
            <w:pPr>
              <w:pStyle w:val="TableContents"/>
              <w:bidi w:val="0"/>
              <w:spacing w:before="0" w:after="283"/>
              <w:jc w:val="center"/>
              <w:rPr>
                <w:b/>
              </w:rPr>
            </w:pPr>
            <w:r>
              <w:rPr>
                <w:b/>
              </w:rPr>
              <w:t>Six 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410" w:type="dxa"/>
            <w:gridSpan w:val="2"/>
            <w:tcBorders/>
            <w:vAlign w:val="bottom"/>
          </w:tcPr>
          <w:p>
            <w:pPr>
              <w:pStyle w:val="TableContents"/>
              <w:bidi w:val="0"/>
              <w:spacing w:before="0" w:after="283"/>
              <w:jc w:val="center"/>
              <w:rPr>
                <w:b/>
              </w:rPr>
            </w:pPr>
            <w:r>
              <w:rPr>
                <w:b/>
              </w:rPr>
              <w:t>Six Months Ended</w:t>
            </w:r>
          </w:p>
        </w:tc>
        <w:tc>
          <w:tcPr>
            <w:tcW w:w="62" w:type="dxa"/>
            <w:tcBorders/>
            <w:vAlign w:val="bottom"/>
          </w:tcPr>
          <w:p>
            <w:pPr>
              <w:pStyle w:val="TableContents"/>
              <w:bidi w:val="0"/>
              <w:spacing w:before="0" w:after="283"/>
              <w:jc w:val="left"/>
              <w:rPr/>
            </w:pPr>
            <w:r>
              <w:rPr/>
              <w:t> </w:t>
            </w:r>
          </w:p>
        </w:tc>
      </w:tr>
      <w:tr>
        <w:trPr/>
        <w:tc>
          <w:tcPr>
            <w:tcW w:w="38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410" w:type="dxa"/>
            <w:gridSpan w:val="2"/>
            <w:tcBorders>
              <w:bottom w:val="single" w:sz="12" w:space="0" w:color="000000"/>
            </w:tcBorders>
            <w:tcMar>
              <w:bottom w:w="28" w:type="dxa"/>
            </w:tcMar>
            <w:vAlign w:val="bottom"/>
          </w:tcPr>
          <w:p>
            <w:pPr>
              <w:pStyle w:val="TableContents"/>
              <w:bidi w:val="0"/>
              <w:spacing w:before="0" w:after="283"/>
              <w:jc w:val="center"/>
              <w:rPr/>
            </w:pPr>
            <w:r>
              <w:rPr>
                <w:b/>
              </w:rPr>
              <w:t>June 30, 2024</w:t>
            </w:r>
            <w:r>
              <w:rPr/>
              <w:t xml:space="preserv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41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June 30, 2023</w:t>
            </w:r>
          </w:p>
        </w:tc>
        <w:tc>
          <w:tcPr>
            <w:tcW w:w="62" w:type="dxa"/>
            <w:tcBorders/>
            <w:vAlign w:val="bottom"/>
          </w:tcPr>
          <w:p>
            <w:pPr>
              <w:pStyle w:val="TableContents"/>
              <w:bidi w:val="0"/>
              <w:spacing w:before="0" w:after="283"/>
              <w:jc w:val="left"/>
              <w:rPr/>
            </w:pPr>
            <w:r>
              <w:rPr/>
              <w:t> </w:t>
            </w:r>
          </w:p>
        </w:tc>
      </w:tr>
      <w:tr>
        <w:trPr/>
        <w:tc>
          <w:tcPr>
            <w:tcW w:w="3861" w:type="dxa"/>
            <w:tcBorders/>
            <w:shd w:fill="CCEEFF" w:val="clear"/>
            <w:vAlign w:val="bottom"/>
          </w:tcPr>
          <w:p>
            <w:pPr>
              <w:pStyle w:val="TableContents"/>
              <w:bidi w:val="0"/>
              <w:spacing w:before="0" w:after="0"/>
              <w:ind w:left="180" w:right="0" w:hanging="180"/>
              <w:jc w:val="left"/>
              <w:rPr>
                <w:color w:val="000000"/>
              </w:rPr>
            </w:pPr>
            <w:r>
              <w:rPr>
                <w:color w:val="000000"/>
              </w:rPr>
              <w:t>Net increase (decrease) in net assets resulting from operations</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color w:val="000000"/>
              </w:rPr>
            </w:pPr>
            <w:r>
              <w:rPr>
                <w:color w:val="000000"/>
              </w:rPr>
              <w:t>$</w:t>
            </w:r>
          </w:p>
        </w:tc>
        <w:tc>
          <w:tcPr>
            <w:tcW w:w="1331" w:type="dxa"/>
            <w:tcBorders/>
            <w:shd w:fill="CCEEFF" w:val="clear"/>
            <w:vAlign w:val="bottom"/>
          </w:tcPr>
          <w:p>
            <w:pPr>
              <w:pStyle w:val="TableContents"/>
              <w:bidi w:val="0"/>
              <w:spacing w:before="0" w:after="0"/>
              <w:jc w:val="right"/>
              <w:rPr>
                <w:color w:val="000000"/>
              </w:rPr>
            </w:pPr>
            <w:r>
              <w:rPr>
                <w:color w:val="000000"/>
              </w:rPr>
              <w:t>1,292,861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color w:val="000000"/>
              </w:rPr>
            </w:pPr>
            <w:r>
              <w:rPr>
                <w:color w:val="000000"/>
              </w:rPr>
              <w:t>$</w:t>
            </w:r>
          </w:p>
        </w:tc>
        <w:tc>
          <w:tcPr>
            <w:tcW w:w="1331" w:type="dxa"/>
            <w:tcBorders/>
            <w:shd w:fill="CCEEFF" w:val="clear"/>
            <w:vAlign w:val="bottom"/>
          </w:tcPr>
          <w:p>
            <w:pPr>
              <w:pStyle w:val="TableContents"/>
              <w:bidi w:val="0"/>
              <w:spacing w:before="0" w:after="0"/>
              <w:jc w:val="right"/>
              <w:rPr>
                <w:color w:val="000000"/>
              </w:rPr>
            </w:pPr>
            <w:r>
              <w:rPr>
                <w:color w:val="000000"/>
              </w:rPr>
              <w:t>1,211,404</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1,812,672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3,568,484</w:t>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3861" w:type="dxa"/>
            <w:tcBorders/>
            <w:vAlign w:val="bottom"/>
          </w:tcPr>
          <w:p>
            <w:pPr>
              <w:pStyle w:val="TableContents"/>
              <w:widowControl/>
              <w:bidi w:val="0"/>
              <w:spacing w:before="0" w:after="0"/>
              <w:ind w:left="180" w:right="0" w:hanging="180"/>
              <w:jc w:val="left"/>
              <w:rPr>
                <w:color w:val="000000"/>
              </w:rPr>
            </w:pPr>
            <w:r>
              <w:rPr>
                <w:color w:val="000000"/>
              </w:rPr>
              <w:t>Weighted Average Shares Outstanding </w:t>
            </w:r>
            <w:r>
              <w:rPr>
                <w:caps w:val="false"/>
                <w:smallCaps w:val="false"/>
                <w:color w:val="000000"/>
                <w:spacing w:val="0"/>
              </w:rPr>
              <w:t xml:space="preserve"> — </w:t>
            </w:r>
            <w:r>
              <w:rPr>
                <w:color w:val="000000"/>
              </w:rPr>
              <w:t>basic and diluted</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0"/>
              <w:jc w:val="right"/>
              <w:rPr>
                <w:color w:val="000000"/>
              </w:rPr>
            </w:pPr>
            <w:r>
              <w:rPr>
                <w:color w:val="000000"/>
              </w:rPr>
              <w:t>6,214,949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0"/>
              <w:jc w:val="right"/>
              <w:rPr>
                <w:color w:val="000000"/>
              </w:rPr>
            </w:pPr>
            <w:r>
              <w:rPr>
                <w:color w:val="000000"/>
              </w:rPr>
              <w:t>6,214,672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6,214,945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6,214,672</w:t>
            </w:r>
          </w:p>
        </w:tc>
        <w:tc>
          <w:tcPr>
            <w:tcW w:w="62" w:type="dxa"/>
            <w:tcBorders/>
            <w:vAlign w:val="bottom"/>
          </w:tcPr>
          <w:p>
            <w:pPr>
              <w:pStyle w:val="TableContents"/>
              <w:bidi w:val="0"/>
              <w:spacing w:before="0" w:after="283"/>
              <w:jc w:val="left"/>
              <w:rPr/>
            </w:pPr>
            <w:r>
              <w:rPr/>
              <w:t> </w:t>
            </w:r>
          </w:p>
        </w:tc>
      </w:tr>
      <w:tr>
        <w:trPr/>
        <w:tc>
          <w:tcPr>
            <w:tcW w:w="3861" w:type="dxa"/>
            <w:tcBorders/>
            <w:shd w:fill="CCEEFF" w:val="clear"/>
            <w:vAlign w:val="bottom"/>
          </w:tcPr>
          <w:p>
            <w:pPr>
              <w:pStyle w:val="TableContents"/>
              <w:bidi w:val="0"/>
              <w:spacing w:before="0" w:after="0"/>
              <w:ind w:left="180" w:right="0" w:hanging="180"/>
              <w:jc w:val="left"/>
              <w:rPr>
                <w:color w:val="000000"/>
              </w:rPr>
            </w:pPr>
            <w:r>
              <w:rPr>
                <w:color w:val="000000"/>
              </w:rPr>
              <w:t>Net increase (decrease) in net assets resulting from operations per share — basic and diluted</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color w:val="000000"/>
              </w:rPr>
            </w:pPr>
            <w:r>
              <w:rPr>
                <w:color w:val="000000"/>
              </w:rPr>
              <w:t>$</w:t>
            </w:r>
          </w:p>
        </w:tc>
        <w:tc>
          <w:tcPr>
            <w:tcW w:w="1331" w:type="dxa"/>
            <w:tcBorders/>
            <w:shd w:fill="CCEEFF" w:val="clear"/>
            <w:vAlign w:val="bottom"/>
          </w:tcPr>
          <w:p>
            <w:pPr>
              <w:pStyle w:val="TableContents"/>
              <w:bidi w:val="0"/>
              <w:spacing w:before="0" w:after="0"/>
              <w:jc w:val="right"/>
              <w:rPr>
                <w:color w:val="000000"/>
              </w:rPr>
            </w:pPr>
            <w:r>
              <w:rPr>
                <w:color w:val="000000"/>
              </w:rPr>
              <w:t>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color w:val="000000"/>
              </w:rPr>
            </w:pPr>
            <w:r>
              <w:rPr>
                <w:color w:val="000000"/>
              </w:rPr>
              <w:t>$</w:t>
            </w:r>
          </w:p>
        </w:tc>
        <w:tc>
          <w:tcPr>
            <w:tcW w:w="1331" w:type="dxa"/>
            <w:tcBorders/>
            <w:shd w:fill="CCEEFF" w:val="clear"/>
            <w:vAlign w:val="bottom"/>
          </w:tcPr>
          <w:p>
            <w:pPr>
              <w:pStyle w:val="TableContents"/>
              <w:bidi w:val="0"/>
              <w:spacing w:before="0" w:after="0"/>
              <w:jc w:val="right"/>
              <w:rPr>
                <w:color w:val="000000"/>
              </w:rPr>
            </w:pPr>
            <w:r>
              <w:rPr>
                <w:color w:val="000000"/>
              </w:rPr>
              <w:t>0.19</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0.57</w:t>
            </w:r>
          </w:p>
        </w:tc>
        <w:tc>
          <w:tcPr>
            <w:tcW w:w="62"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200" w:after="200"/>
        <w:jc w:val="left"/>
        <w:rPr/>
      </w:pPr>
      <w:hyperlink w:anchor="TABLEOFCONTENTS">
        <w:r>
          <w:rPr/>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200" w:after="200"/>
        <w:jc w:val="left"/>
        <w:rPr/>
      </w:pPr>
      <w:r>
        <w:rPr/>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Financial Statements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10 — INCOME TAXES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 adopted a tax year end of March 31 and elected to be treated as a regulated investment company (“RIC”) for U.S. federal income tax purposes under Subchapter M of the Code. However, there is no guarantee that the Company will qualify to make such an election for any taxable year. As a RIC, the Company generally will not pay corporate-level income tax if it distributes to stockholders at least 90% of its investment company taxable income (“ICTI”) (which is generally its net ordinary taxable income and realized net short-term capital gains in excess of realized net long-term capital losses) and 90% of its tax-exempt income to maintain its RIC status. Depending on the level of ICTI earned in a tax year, the Company may choose to carry forward ICTI in excess of the current year distribution into the next tax year. Any such carryover ICTI must be distributed before the end of that next tax year through a dividend declared prior to filing the final tax return related to the year which generated such ICTI. The amount to be paid out as a distribution is determined by the Board each quarter and is based upon the annual earnings estimated by the management of the Company. To the extent the Company’s earnings fall below the amount of dividend distributions declared, however, a portion of the total amount of the Company’s distributions for the tax year may be deemed a return of capital for tax purposes to the Company’s stockholders.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amounts and sources of distributions reported are only estimates and are not being provided for U.S. federal income tax reporting purposes. The timing and character of distributions for U.S. federal income tax purposes will be determined in accordance with the U.S. federal tax rules which may differ from GAAP. The final determination of the source of all distributions in 2024 will be made after the tax year-end and the amounts represented may be materially different from the amounts disclosed in the final Form 1099-DIV notice. The actual amounts and sources of the amounts for tax reporting purposes will depend upon the Company’s investment performance and may be subject to change based on tax regulations.</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Because federal income tax regulations differ from GAAP, distributions in accordance with tax regulations may differ from net investment income and realized gains recognized for financial reporting purposes. Differences may be permanent or temporary in nature. Permanent differences are reclassified among the capital accounts in the financial statements to reflect their appropriate tax character. Temporary differences arise when certain items of income, expense, gain or loss are recognized in different periods for book and tax purposes.</w:t>
        <w:br/>
        <w:br/>
        <w:t>The Company has not recorded a liability for any uncertain tax positions pursuant to the provisions of ASC 740, Income Taxes, as of June 30, 2024 and December 31, 2023.</w:t>
        <w:br/>
        <w:br/>
        <w:t>In the normal course of business, the Company is subject to examination by federal and certain state and local tax regulators.</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For tax purposes, net realized capital losses may be carried over to offset future capital gains, if any. Funds are permitted to carry forward capital losses for an indefinite period, and such losses will retain their character as either short-term or long-term capital losses. As of March 31, 2024, the Company’s most recent tax year end, the Company had $210,767 of capital loss carryforwards, all of which is short-term.</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Company’s taxable income for each period is an estimate and will not be finally determined until the Company files its tax return for each year. Therefore, the final taxable income earned in each year and carried forward for distribution in the following year may be different than this estimate.</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For the most recent tax year ended March 31, 2024, the Company reclassified $10,676 from distributable earnings to additional paid-in-capital on the Statement of Assets and Liabilities arising from permanent book to tax differences primarily related to non-deductible expenses. For the tax year ended March 31, 2023, the Company reclassified $121,099 from distributable earnings to additional paid-in-capital on the Statement of Assets and Liabilities arising from permanent book to tax differences primarily related to prior year post-financial statement updates and non-deductible excise tax.</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For income tax purposes, distributions paid to shareholders are reported as ordinary income, return of capital, long-term capital gains, or a combination thereof. The tax character of distributions paid for the three months ended June 30, 2024 and the tax year ended March 31, 2024, were as follows:</w:t>
      </w:r>
    </w:p>
    <w:p>
      <w:pPr>
        <w:pStyle w:val="TextBody"/>
        <w:bidi w:val="0"/>
        <w:spacing w:before="0" w:after="0"/>
        <w:jc w:val="both"/>
        <w:rPr/>
      </w:pPr>
      <w:r>
        <w:rPr/>
      </w:r>
    </w:p>
    <w:tbl>
      <w:tblPr>
        <w:tblW w:w="8398" w:type="dxa"/>
        <w:jc w:val="left"/>
        <w:tblInd w:w="0" w:type="dxa"/>
        <w:tblLayout w:type="fixed"/>
        <w:tblCellMar>
          <w:top w:w="0" w:type="dxa"/>
          <w:left w:w="0" w:type="dxa"/>
          <w:bottom w:w="0" w:type="dxa"/>
          <w:right w:w="0" w:type="dxa"/>
        </w:tblCellMar>
      </w:tblPr>
      <w:tblGrid>
        <w:gridCol w:w="1970"/>
        <w:gridCol w:w="60"/>
        <w:gridCol w:w="408"/>
        <w:gridCol w:w="2761"/>
        <w:gridCol w:w="60"/>
        <w:gridCol w:w="60"/>
        <w:gridCol w:w="387"/>
        <w:gridCol w:w="2617"/>
        <w:gridCol w:w="75"/>
      </w:tblGrid>
      <w:tr>
        <w:trPr/>
        <w:tc>
          <w:tcPr>
            <w:tcW w:w="1970" w:type="dxa"/>
            <w:tcBorders/>
            <w:vAlign w:val="bottom"/>
          </w:tcPr>
          <w:p>
            <w:pPr>
              <w:pStyle w:val="TableContents"/>
              <w:bidi w:val="0"/>
              <w:spacing w:before="0" w:after="0"/>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31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For the tax period from April 1, 2024</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through June 30, 2024</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300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For the tax year from April 1, 2023</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through March 31, 2024</w:t>
            </w:r>
          </w:p>
        </w:tc>
        <w:tc>
          <w:tcPr>
            <w:tcW w:w="7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970"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Ordinary Income</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408"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2761"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1,553,738</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387"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261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9,819,273</w:t>
            </w:r>
          </w:p>
        </w:tc>
        <w:tc>
          <w:tcPr>
            <w:tcW w:w="7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970"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Long-term Capital Gain</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40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761"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387"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617"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970"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Return of Capital</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408"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76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387"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6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970" w:type="dxa"/>
            <w:tcBorders/>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Distributions</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40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276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1,553,738</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38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261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9,819,273</w:t>
            </w:r>
          </w:p>
        </w:tc>
        <w:tc>
          <w:tcPr>
            <w:tcW w:w="7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As of March 31, 2024 and March 31, 2023, the components of distributable earnings on a tax basis detailed below differ from the amounts reflected in the Company’s Statements of Assets and Liabilities by temporary book or tax differences primarily arising from the tax treatment of organizational costs, the tax treatment of transaction expenses related to the Loan Portfolio Acquisition, and the tax treatment of uncrystallized capital gain incentive fees.</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200" w:after="200"/>
        <w:jc w:val="both"/>
        <w:rPr/>
      </w:pPr>
      <w:hyperlink w:anchor="TABLEOFCONTENTS">
        <w:r>
          <w:rPr/>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200" w:after="200"/>
        <w:jc w:val="both"/>
        <w:rPr/>
      </w:pPr>
      <w:r>
        <w:rPr/>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Financial Statements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both"/>
        <w:rPr/>
      </w:pPr>
      <w:r>
        <w:rPr/>
      </w:r>
    </w:p>
    <w:tbl>
      <w:tblPr>
        <w:tblW w:w="8978" w:type="dxa"/>
        <w:jc w:val="left"/>
        <w:tblInd w:w="0" w:type="dxa"/>
        <w:shd w:fill="FFFFFF" w:val="clear"/>
        <w:tblLayout w:type="fixed"/>
        <w:tblCellMar>
          <w:top w:w="0" w:type="dxa"/>
          <w:left w:w="0" w:type="dxa"/>
          <w:bottom w:w="0" w:type="dxa"/>
          <w:right w:w="0" w:type="dxa"/>
        </w:tblCellMar>
      </w:tblPr>
      <w:tblGrid>
        <w:gridCol w:w="5450"/>
        <w:gridCol w:w="60"/>
        <w:gridCol w:w="188"/>
        <w:gridCol w:w="1421"/>
        <w:gridCol w:w="95"/>
        <w:gridCol w:w="60"/>
        <w:gridCol w:w="272"/>
        <w:gridCol w:w="1337"/>
        <w:gridCol w:w="95"/>
      </w:tblGrid>
      <w:tr>
        <w:trPr/>
        <w:tc>
          <w:tcPr>
            <w:tcW w:w="545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09" w:type="dxa"/>
            <w:gridSpan w:val="2"/>
            <w:tcBorders>
              <w:bottom w:val="single" w:sz="12" w:space="0" w:color="000000"/>
            </w:tcBorders>
            <w:shd w:fill="FFFFFF" w:val="clear"/>
            <w:tcMar>
              <w:bottom w:w="28" w:type="dxa"/>
            </w:tcMar>
            <w:vAlign w:val="bottom"/>
          </w:tcPr>
          <w:p>
            <w:pPr>
              <w:pStyle w:val="TableContents"/>
              <w:bidi w:val="0"/>
              <w:spacing w:before="0" w:after="0"/>
              <w:jc w:val="center"/>
              <w:rPr>
                <w:b/>
                <w:color w:val="000000"/>
              </w:rPr>
            </w:pPr>
            <w:r>
              <w:rPr>
                <w:b/>
                <w:color w:val="000000"/>
              </w:rPr>
              <w:t>March 31, 2024</w:t>
            </w:r>
          </w:p>
        </w:tc>
        <w:tc>
          <w:tcPr>
            <w:tcW w:w="95" w:type="dxa"/>
            <w:tcBorders/>
            <w:shd w:fill="FFFFFF" w:val="clear"/>
            <w:vAlign w:val="bottom"/>
          </w:tcPr>
          <w:p>
            <w:pPr>
              <w:pStyle w:val="TableContents"/>
              <w:bidi w:val="0"/>
              <w:spacing w:before="0" w:after="283"/>
              <w:jc w:val="center"/>
              <w:rPr/>
            </w:pPr>
            <w:r>
              <w:rPr/>
              <w:t> </w:t>
            </w:r>
          </w:p>
        </w:tc>
        <w:tc>
          <w:tcPr>
            <w:tcW w:w="60" w:type="dxa"/>
            <w:tcBorders/>
            <w:shd w:fill="FFFFFF" w:val="clear"/>
            <w:vAlign w:val="bottom"/>
          </w:tcPr>
          <w:p>
            <w:pPr>
              <w:pStyle w:val="TableContents"/>
              <w:bidi w:val="0"/>
              <w:spacing w:before="0" w:after="283"/>
              <w:jc w:val="center"/>
              <w:rPr/>
            </w:pPr>
            <w:r>
              <w:rPr/>
              <w:t> </w:t>
            </w:r>
          </w:p>
        </w:tc>
        <w:tc>
          <w:tcPr>
            <w:tcW w:w="1609" w:type="dxa"/>
            <w:gridSpan w:val="2"/>
            <w:tcBorders>
              <w:bottom w:val="single" w:sz="12" w:space="0" w:color="000000"/>
            </w:tcBorders>
            <w:shd w:fill="FFFFFF" w:val="clear"/>
            <w:tcMar>
              <w:bottom w:w="28" w:type="dxa"/>
            </w:tcMar>
            <w:vAlign w:val="bottom"/>
          </w:tcPr>
          <w:p>
            <w:pPr>
              <w:pStyle w:val="TableContents"/>
              <w:bidi w:val="0"/>
              <w:spacing w:before="0" w:after="283"/>
              <w:jc w:val="center"/>
              <w:rPr>
                <w:b/>
              </w:rPr>
            </w:pPr>
            <w:r>
              <w:rPr>
                <w:b/>
              </w:rPr>
              <w:t>March 31, 2023</w:t>
            </w:r>
          </w:p>
        </w:tc>
        <w:tc>
          <w:tcPr>
            <w:tcW w:w="95" w:type="dxa"/>
            <w:tcBorders/>
            <w:shd w:fill="FFFFFF" w:val="clear"/>
            <w:vAlign w:val="bottom"/>
          </w:tcPr>
          <w:p>
            <w:pPr>
              <w:pStyle w:val="TableContents"/>
              <w:bidi w:val="0"/>
              <w:spacing w:before="0" w:after="283"/>
              <w:jc w:val="left"/>
              <w:rPr/>
            </w:pPr>
            <w:r>
              <w:rPr/>
              <w:t> </w:t>
            </w:r>
          </w:p>
        </w:tc>
      </w:tr>
      <w:tr>
        <w:trPr/>
        <w:tc>
          <w:tcPr>
            <w:tcW w:w="5450" w:type="dxa"/>
            <w:tcBorders/>
            <w:shd w:fill="CCEEFF" w:val="clear"/>
            <w:vAlign w:val="bottom"/>
          </w:tcPr>
          <w:p>
            <w:pPr>
              <w:pStyle w:val="TableContents"/>
              <w:bidi w:val="0"/>
              <w:spacing w:before="0" w:after="0"/>
              <w:ind w:left="180" w:right="0" w:hanging="180"/>
              <w:jc w:val="left"/>
              <w:rPr>
                <w:color w:val="000000"/>
              </w:rPr>
            </w:pPr>
            <w:r>
              <w:rPr>
                <w:color w:val="000000"/>
              </w:rPr>
              <w:t>Undistributed ordinary income</w:t>
            </w:r>
          </w:p>
        </w:tc>
        <w:tc>
          <w:tcPr>
            <w:tcW w:w="6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0"/>
              <w:jc w:val="left"/>
              <w:rPr>
                <w:color w:val="000000"/>
              </w:rPr>
            </w:pPr>
            <w:r>
              <w:rPr>
                <w:color w:val="000000"/>
              </w:rPr>
              <w:t>$</w:t>
            </w:r>
          </w:p>
        </w:tc>
        <w:tc>
          <w:tcPr>
            <w:tcW w:w="1421" w:type="dxa"/>
            <w:tcBorders/>
            <w:shd w:fill="CCEEFF" w:val="clear"/>
            <w:vAlign w:val="bottom"/>
          </w:tcPr>
          <w:p>
            <w:pPr>
              <w:pStyle w:val="TableContents"/>
              <w:bidi w:val="0"/>
              <w:spacing w:before="0" w:after="0"/>
              <w:jc w:val="right"/>
              <w:rPr>
                <w:color w:val="000000"/>
              </w:rPr>
            </w:pPr>
            <w:r>
              <w:rPr>
                <w:color w:val="000000"/>
              </w:rPr>
              <w:t>1,782,017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xml:space="preserve">$ </w:t>
            </w:r>
          </w:p>
        </w:tc>
        <w:tc>
          <w:tcPr>
            <w:tcW w:w="1337" w:type="dxa"/>
            <w:tcBorders/>
            <w:shd w:fill="CCEEFF" w:val="clear"/>
            <w:vAlign w:val="bottom"/>
          </w:tcPr>
          <w:p>
            <w:pPr>
              <w:pStyle w:val="TableContents"/>
              <w:bidi w:val="0"/>
              <w:spacing w:before="0" w:after="283"/>
              <w:jc w:val="right"/>
              <w:rPr/>
            </w:pPr>
            <w:r>
              <w:rPr/>
              <w:t>3,418,714</w:t>
            </w:r>
          </w:p>
        </w:tc>
        <w:tc>
          <w:tcPr>
            <w:tcW w:w="95" w:type="dxa"/>
            <w:tcBorders/>
            <w:shd w:fill="CCEEFF" w:val="clear"/>
            <w:vAlign w:val="bottom"/>
          </w:tcPr>
          <w:p>
            <w:pPr>
              <w:pStyle w:val="TableContents"/>
              <w:bidi w:val="0"/>
              <w:spacing w:before="0" w:after="283"/>
              <w:jc w:val="left"/>
              <w:rPr/>
            </w:pPr>
            <w:r>
              <w:rPr/>
              <w:t> </w:t>
            </w:r>
          </w:p>
        </w:tc>
      </w:tr>
      <w:tr>
        <w:trPr/>
        <w:tc>
          <w:tcPr>
            <w:tcW w:w="5450" w:type="dxa"/>
            <w:tcBorders/>
            <w:shd w:fill="FFFFFF" w:val="clear"/>
            <w:vAlign w:val="bottom"/>
          </w:tcPr>
          <w:p>
            <w:pPr>
              <w:pStyle w:val="TableContents"/>
              <w:bidi w:val="0"/>
              <w:spacing w:before="0" w:after="0"/>
              <w:ind w:left="180" w:right="0" w:hanging="180"/>
              <w:jc w:val="left"/>
              <w:rPr>
                <w:color w:val="000000"/>
              </w:rPr>
            </w:pPr>
            <w:r>
              <w:rPr>
                <w:color w:val="000000"/>
              </w:rPr>
              <w:t>Net unrealized appreciation (depreciation) on investments</w:t>
            </w:r>
          </w:p>
        </w:tc>
        <w:tc>
          <w:tcPr>
            <w:tcW w:w="60" w:type="dxa"/>
            <w:tcBorders/>
            <w:shd w:fill="FFFFFF" w:val="clear"/>
            <w:vAlign w:val="bottom"/>
          </w:tcPr>
          <w:p>
            <w:pPr>
              <w:pStyle w:val="TableContents"/>
              <w:bidi w:val="0"/>
              <w:spacing w:before="0" w:after="283"/>
              <w:jc w:val="right"/>
              <w:rPr/>
            </w:pPr>
            <w:r>
              <w:rPr/>
              <w:t> </w:t>
            </w:r>
          </w:p>
        </w:tc>
        <w:tc>
          <w:tcPr>
            <w:tcW w:w="188" w:type="dxa"/>
            <w:tcBorders/>
            <w:shd w:fill="FFFFFF" w:val="clear"/>
            <w:vAlign w:val="bottom"/>
          </w:tcPr>
          <w:p>
            <w:pPr>
              <w:pStyle w:val="TableContents"/>
              <w:bidi w:val="0"/>
              <w:spacing w:before="0" w:after="283"/>
              <w:jc w:val="left"/>
              <w:rPr/>
            </w:pPr>
            <w:r>
              <w:rPr/>
              <w:t> </w:t>
            </w:r>
          </w:p>
        </w:tc>
        <w:tc>
          <w:tcPr>
            <w:tcW w:w="1421" w:type="dxa"/>
            <w:tcBorders/>
            <w:shd w:fill="FFFFFF" w:val="clear"/>
            <w:vAlign w:val="bottom"/>
          </w:tcPr>
          <w:p>
            <w:pPr>
              <w:pStyle w:val="TableContents"/>
              <w:bidi w:val="0"/>
              <w:spacing w:before="0" w:after="0"/>
              <w:jc w:val="right"/>
              <w:rPr>
                <w:color w:val="000000"/>
              </w:rPr>
            </w:pPr>
            <w:r>
              <w:rPr>
                <w:color w:val="000000"/>
              </w:rPr>
              <w:t>1,248,303</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72" w:type="dxa"/>
            <w:tcBorders/>
            <w:shd w:fill="FFFFFF" w:val="clear"/>
            <w:vAlign w:val="bottom"/>
          </w:tcPr>
          <w:p>
            <w:pPr>
              <w:pStyle w:val="TableContents"/>
              <w:bidi w:val="0"/>
              <w:spacing w:before="0" w:after="283"/>
              <w:jc w:val="left"/>
              <w:rPr/>
            </w:pPr>
            <w:r>
              <w:rPr/>
            </w:r>
          </w:p>
        </w:tc>
        <w:tc>
          <w:tcPr>
            <w:tcW w:w="1337" w:type="dxa"/>
            <w:tcBorders/>
            <w:shd w:fill="FFFFFF" w:val="clear"/>
            <w:vAlign w:val="bottom"/>
          </w:tcPr>
          <w:p>
            <w:pPr>
              <w:pStyle w:val="TableContents"/>
              <w:bidi w:val="0"/>
              <w:spacing w:before="0" w:after="283"/>
              <w:jc w:val="right"/>
              <w:rPr/>
            </w:pPr>
            <w:r>
              <w:rPr/>
              <w:t>713,009</w:t>
            </w:r>
          </w:p>
        </w:tc>
        <w:tc>
          <w:tcPr>
            <w:tcW w:w="95" w:type="dxa"/>
            <w:tcBorders/>
            <w:shd w:fill="FFFFFF" w:val="clear"/>
            <w:vAlign w:val="bottom"/>
          </w:tcPr>
          <w:p>
            <w:pPr>
              <w:pStyle w:val="TableContents"/>
              <w:bidi w:val="0"/>
              <w:spacing w:before="0" w:after="283"/>
              <w:jc w:val="left"/>
              <w:rPr/>
            </w:pPr>
            <w:r>
              <w:rPr/>
              <w:t> </w:t>
            </w:r>
          </w:p>
        </w:tc>
      </w:tr>
      <w:tr>
        <w:trPr/>
        <w:tc>
          <w:tcPr>
            <w:tcW w:w="5450" w:type="dxa"/>
            <w:tcBorders/>
            <w:shd w:fill="CCEEFF" w:val="clear"/>
            <w:vAlign w:val="bottom"/>
          </w:tcPr>
          <w:p>
            <w:pPr>
              <w:pStyle w:val="TableContents"/>
              <w:bidi w:val="0"/>
              <w:spacing w:before="0" w:after="283"/>
              <w:jc w:val="left"/>
              <w:rPr/>
            </w:pPr>
            <w:r>
              <w:rPr/>
              <w:t xml:space="preserve">Capital loss carry forwards </w:t>
            </w:r>
          </w:p>
        </w:tc>
        <w:tc>
          <w:tcPr>
            <w:tcW w:w="6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283"/>
              <w:jc w:val="left"/>
              <w:rPr/>
            </w:pPr>
            <w:r>
              <w:rPr/>
              <w:t> </w:t>
            </w:r>
          </w:p>
        </w:tc>
        <w:tc>
          <w:tcPr>
            <w:tcW w:w="1421" w:type="dxa"/>
            <w:tcBorders/>
            <w:shd w:fill="CCEEFF" w:val="clear"/>
            <w:vAlign w:val="bottom"/>
          </w:tcPr>
          <w:p>
            <w:pPr>
              <w:pStyle w:val="TableContents"/>
              <w:bidi w:val="0"/>
              <w:spacing w:before="0" w:after="283"/>
              <w:jc w:val="right"/>
              <w:rPr/>
            </w:pPr>
            <w:r>
              <w:rPr/>
              <w:t>(210,767</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r>
          </w:p>
        </w:tc>
        <w:tc>
          <w:tcPr>
            <w:tcW w:w="1337"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5450" w:type="dxa"/>
            <w:tcBorders/>
            <w:shd w:fill="FFFFFF" w:val="clear"/>
            <w:vAlign w:val="bottom"/>
          </w:tcPr>
          <w:p>
            <w:pPr>
              <w:pStyle w:val="TableContents"/>
              <w:bidi w:val="0"/>
              <w:spacing w:before="0" w:after="0"/>
              <w:ind w:left="180" w:right="0" w:hanging="180"/>
              <w:jc w:val="left"/>
              <w:rPr>
                <w:color w:val="000000"/>
              </w:rPr>
            </w:pPr>
            <w:r>
              <w:rPr>
                <w:color w:val="000000"/>
              </w:rPr>
              <w:t>Other temporary differences</w:t>
            </w:r>
          </w:p>
        </w:tc>
        <w:tc>
          <w:tcPr>
            <w:tcW w:w="60" w:type="dxa"/>
            <w:tcBorders/>
            <w:shd w:fill="FFFFFF" w:val="clear"/>
            <w:vAlign w:val="bottom"/>
          </w:tcPr>
          <w:p>
            <w:pPr>
              <w:pStyle w:val="TableContents"/>
              <w:bidi w:val="0"/>
              <w:spacing w:before="0" w:after="283"/>
              <w:jc w:val="right"/>
              <w:rPr/>
            </w:pPr>
            <w:r>
              <w:rPr/>
              <w:t> </w:t>
            </w:r>
          </w:p>
        </w:tc>
        <w:tc>
          <w:tcPr>
            <w:tcW w:w="188"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1421" w:type="dxa"/>
            <w:tcBorders>
              <w:bottom w:val="single" w:sz="12" w:space="0" w:color="000000"/>
            </w:tcBorders>
            <w:shd w:fill="FFFFFF" w:val="clear"/>
            <w:tcMar>
              <w:bottom w:w="28" w:type="dxa"/>
            </w:tcMar>
            <w:vAlign w:val="bottom"/>
          </w:tcPr>
          <w:p>
            <w:pPr>
              <w:pStyle w:val="TableContents"/>
              <w:bidi w:val="0"/>
              <w:spacing w:before="0" w:after="0"/>
              <w:jc w:val="right"/>
              <w:rPr>
                <w:color w:val="000000"/>
              </w:rPr>
            </w:pPr>
            <w:r>
              <w:rPr>
                <w:color w:val="000000"/>
              </w:rPr>
              <w:t>(3,393,536</w:t>
            </w:r>
          </w:p>
        </w:tc>
        <w:tc>
          <w:tcPr>
            <w:tcW w:w="95" w:type="dxa"/>
            <w:tcBorders/>
            <w:shd w:fill="FFFFFF" w:val="clear"/>
            <w:vAlign w:val="bottom"/>
          </w:tcPr>
          <w:p>
            <w:pPr>
              <w:pStyle w:val="TableContents"/>
              <w:bidi w:val="0"/>
              <w:spacing w:before="0" w:after="0"/>
              <w:jc w:val="left"/>
              <w:rPr>
                <w:color w:val="000000"/>
              </w:rPr>
            </w:pPr>
            <w:r>
              <w:rPr>
                <w:color w:val="000000"/>
              </w:rPr>
              <w:t>)</w:t>
            </w:r>
          </w:p>
        </w:tc>
        <w:tc>
          <w:tcPr>
            <w:tcW w:w="60" w:type="dxa"/>
            <w:tcBorders/>
            <w:shd w:fill="FFFFFF" w:val="clear"/>
            <w:vAlign w:val="bottom"/>
          </w:tcPr>
          <w:p>
            <w:pPr>
              <w:pStyle w:val="TableContents"/>
              <w:bidi w:val="0"/>
              <w:spacing w:before="0" w:after="283"/>
              <w:jc w:val="left"/>
              <w:rPr/>
            </w:pPr>
            <w:r>
              <w:rPr/>
              <w:t> </w:t>
            </w:r>
          </w:p>
        </w:tc>
        <w:tc>
          <w:tcPr>
            <w:tcW w:w="272"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1337" w:type="dxa"/>
            <w:tcBorders>
              <w:bottom w:val="single" w:sz="12" w:space="0" w:color="000000"/>
            </w:tcBorders>
            <w:shd w:fill="FFFFFF" w:val="clear"/>
            <w:tcMar>
              <w:bottom w:w="28" w:type="dxa"/>
            </w:tcMar>
            <w:vAlign w:val="bottom"/>
          </w:tcPr>
          <w:p>
            <w:pPr>
              <w:pStyle w:val="TableContents"/>
              <w:bidi w:val="0"/>
              <w:spacing w:before="0" w:after="283"/>
              <w:jc w:val="right"/>
              <w:rPr/>
            </w:pPr>
            <w:r>
              <w:rPr/>
              <w:t>(399,948</w:t>
            </w:r>
          </w:p>
        </w:tc>
        <w:tc>
          <w:tcPr>
            <w:tcW w:w="95" w:type="dxa"/>
            <w:tcBorders/>
            <w:shd w:fill="FFFFFF" w:val="clear"/>
            <w:vAlign w:val="bottom"/>
          </w:tcPr>
          <w:p>
            <w:pPr>
              <w:pStyle w:val="TableContents"/>
              <w:bidi w:val="0"/>
              <w:spacing w:before="0" w:after="283"/>
              <w:jc w:val="left"/>
              <w:rPr/>
            </w:pPr>
            <w:r>
              <w:rPr/>
              <w:t>)</w:t>
            </w:r>
          </w:p>
        </w:tc>
      </w:tr>
      <w:tr>
        <w:trPr/>
        <w:tc>
          <w:tcPr>
            <w:tcW w:w="5450" w:type="dxa"/>
            <w:tcBorders/>
            <w:shd w:fill="CCEEFF" w:val="clear"/>
            <w:vAlign w:val="bottom"/>
          </w:tcPr>
          <w:p>
            <w:pPr>
              <w:pStyle w:val="TableContents"/>
              <w:bidi w:val="0"/>
              <w:spacing w:before="0" w:after="0"/>
              <w:ind w:left="180" w:right="0" w:hanging="0"/>
              <w:jc w:val="left"/>
              <w:rPr>
                <w:color w:val="000000"/>
              </w:rPr>
            </w:pPr>
            <w:r>
              <w:rPr>
                <w:color w:val="000000"/>
              </w:rPr>
              <w:t>Total</w:t>
            </w:r>
          </w:p>
        </w:tc>
        <w:tc>
          <w:tcPr>
            <w:tcW w:w="60" w:type="dxa"/>
            <w:tcBorders/>
            <w:shd w:fill="CCEEFF" w:val="clear"/>
            <w:vAlign w:val="bottom"/>
          </w:tcPr>
          <w:p>
            <w:pPr>
              <w:pStyle w:val="TableContents"/>
              <w:bidi w:val="0"/>
              <w:spacing w:before="0" w:after="283"/>
              <w:jc w:val="right"/>
              <w:rPr/>
            </w:pPr>
            <w:r>
              <w:rPr/>
              <w:t> </w:t>
            </w:r>
          </w:p>
        </w:tc>
        <w:tc>
          <w:tcPr>
            <w:tcW w:w="18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42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(573,983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72" w:type="dxa"/>
            <w:tcBorders>
              <w:bottom w:val="double" w:sz="8" w:space="0" w:color="000000"/>
            </w:tcBorders>
            <w:shd w:fill="CCEEFF" w:val="clear"/>
            <w:tcMar>
              <w:bottom w:w="28" w:type="dxa"/>
            </w:tcMar>
            <w:vAlign w:val="bottom"/>
          </w:tcPr>
          <w:p>
            <w:pPr>
              <w:pStyle w:val="TableContents"/>
              <w:bidi w:val="0"/>
              <w:spacing w:before="0" w:after="283"/>
              <w:jc w:val="left"/>
              <w:rPr/>
            </w:pPr>
            <w:r>
              <w:rPr/>
              <w:t xml:space="preserve">$ </w:t>
            </w:r>
          </w:p>
        </w:tc>
        <w:tc>
          <w:tcPr>
            <w:tcW w:w="1337" w:type="dxa"/>
            <w:tcBorders>
              <w:bottom w:val="double" w:sz="8" w:space="0" w:color="000000"/>
            </w:tcBorders>
            <w:shd w:fill="CCEEFF" w:val="clear"/>
            <w:tcMar>
              <w:bottom w:w="28" w:type="dxa"/>
            </w:tcMar>
            <w:vAlign w:val="bottom"/>
          </w:tcPr>
          <w:p>
            <w:pPr>
              <w:pStyle w:val="TableContents"/>
              <w:bidi w:val="0"/>
              <w:spacing w:before="0" w:after="283"/>
              <w:jc w:val="right"/>
              <w:rPr/>
            </w:pPr>
            <w:r>
              <w:rPr/>
              <w:t>3,731,775</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720" w:right="41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tax cost basis and the estimated aggregate gross unrealized appreciation and depreciation from investments and cash equivalents for federal income tax purposes as of June 30, 2024, March 31, 2024 and December 31, 2023: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tbl>
      <w:tblPr>
        <w:tblW w:w="10205" w:type="dxa"/>
        <w:jc w:val="left"/>
        <w:tblInd w:w="0" w:type="dxa"/>
        <w:tblLayout w:type="fixed"/>
        <w:tblCellMar>
          <w:top w:w="0" w:type="dxa"/>
          <w:left w:w="0" w:type="dxa"/>
          <w:bottom w:w="0" w:type="dxa"/>
          <w:right w:w="0" w:type="dxa"/>
        </w:tblCellMar>
      </w:tblPr>
      <w:tblGrid>
        <w:gridCol w:w="5201"/>
        <w:gridCol w:w="60"/>
        <w:gridCol w:w="156"/>
        <w:gridCol w:w="1229"/>
        <w:gridCol w:w="95"/>
        <w:gridCol w:w="60"/>
        <w:gridCol w:w="165"/>
        <w:gridCol w:w="1303"/>
        <w:gridCol w:w="95"/>
        <w:gridCol w:w="60"/>
        <w:gridCol w:w="189"/>
        <w:gridCol w:w="1494"/>
        <w:gridCol w:w="98"/>
      </w:tblGrid>
      <w:tr>
        <w:trPr/>
        <w:tc>
          <w:tcPr>
            <w:tcW w:w="5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8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 xml:space="preserve">June 30, 2024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468"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March 31, 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2023</w:t>
            </w:r>
          </w:p>
        </w:tc>
        <w:tc>
          <w:tcPr>
            <w:tcW w:w="98" w:type="dxa"/>
            <w:tcBorders/>
            <w:vAlign w:val="bottom"/>
          </w:tcPr>
          <w:p>
            <w:pPr>
              <w:pStyle w:val="TableContents"/>
              <w:bidi w:val="0"/>
              <w:spacing w:before="0" w:after="283"/>
              <w:jc w:val="left"/>
              <w:rPr/>
            </w:pPr>
            <w:r>
              <w:rPr/>
              <w:t> </w:t>
            </w:r>
          </w:p>
        </w:tc>
      </w:tr>
      <w:tr>
        <w:trPr/>
        <w:tc>
          <w:tcPr>
            <w:tcW w:w="5201" w:type="dxa"/>
            <w:tcBorders/>
            <w:shd w:fill="CCEEFF" w:val="clear"/>
            <w:vAlign w:val="bottom"/>
          </w:tcPr>
          <w:p>
            <w:pPr>
              <w:pStyle w:val="TableContents"/>
              <w:bidi w:val="0"/>
              <w:spacing w:before="0" w:after="0"/>
              <w:ind w:left="180" w:right="0" w:hanging="180"/>
              <w:jc w:val="left"/>
              <w:rPr>
                <w:color w:val="000000"/>
              </w:rPr>
            </w:pPr>
            <w:r>
              <w:rPr>
                <w:color w:val="000000"/>
              </w:rPr>
              <w:t>Tax cost of investments and cash equivalents</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86,386,485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w:t>
            </w:r>
          </w:p>
        </w:tc>
        <w:tc>
          <w:tcPr>
            <w:tcW w:w="1303" w:type="dxa"/>
            <w:tcBorders/>
            <w:shd w:fill="CCEEFF" w:val="clear"/>
            <w:vAlign w:val="bottom"/>
          </w:tcPr>
          <w:p>
            <w:pPr>
              <w:pStyle w:val="TableContents"/>
              <w:bidi w:val="0"/>
              <w:spacing w:before="0" w:after="283"/>
              <w:jc w:val="right"/>
              <w:rPr/>
            </w:pPr>
            <w:r>
              <w:rPr/>
              <w:t>86,762,991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0"/>
              <w:jc w:val="left"/>
              <w:rPr>
                <w:color w:val="000000"/>
              </w:rPr>
            </w:pPr>
            <w:r>
              <w:rPr>
                <w:color w:val="000000"/>
              </w:rPr>
              <w:t>$</w:t>
            </w:r>
          </w:p>
        </w:tc>
        <w:tc>
          <w:tcPr>
            <w:tcW w:w="1494" w:type="dxa"/>
            <w:tcBorders/>
            <w:shd w:fill="CCEEFF" w:val="clear"/>
            <w:vAlign w:val="bottom"/>
          </w:tcPr>
          <w:p>
            <w:pPr>
              <w:pStyle w:val="TableContents"/>
              <w:bidi w:val="0"/>
              <w:spacing w:before="0" w:after="0"/>
              <w:jc w:val="right"/>
              <w:rPr>
                <w:color w:val="000000"/>
              </w:rPr>
            </w:pPr>
            <w:r>
              <w:rPr>
                <w:color w:val="000000"/>
              </w:rPr>
              <w:t>86,082,952</w:t>
            </w:r>
          </w:p>
        </w:tc>
        <w:tc>
          <w:tcPr>
            <w:tcW w:w="98" w:type="dxa"/>
            <w:tcBorders/>
            <w:shd w:fill="CCEEFF" w:val="clear"/>
            <w:vAlign w:val="bottom"/>
          </w:tcPr>
          <w:p>
            <w:pPr>
              <w:pStyle w:val="TableContents"/>
              <w:bidi w:val="0"/>
              <w:spacing w:before="0" w:after="283"/>
              <w:jc w:val="left"/>
              <w:rPr/>
            </w:pPr>
            <w:r>
              <w:rPr/>
              <w:t> </w:t>
            </w:r>
          </w:p>
        </w:tc>
      </w:tr>
      <w:tr>
        <w:trPr/>
        <w:tc>
          <w:tcPr>
            <w:tcW w:w="5201" w:type="dxa"/>
            <w:tcBorders/>
            <w:vAlign w:val="bottom"/>
          </w:tcPr>
          <w:p>
            <w:pPr>
              <w:pStyle w:val="TableContents"/>
              <w:bidi w:val="0"/>
              <w:spacing w:before="0" w:after="0"/>
              <w:ind w:left="180" w:right="0" w:hanging="180"/>
              <w:jc w:val="left"/>
              <w:rPr>
                <w:color w:val="000000"/>
              </w:rPr>
            </w:pPr>
            <w:r>
              <w:rPr>
                <w:color w:val="000000"/>
              </w:rPr>
              <w:t>Unrealized appreciation</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1,109,618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w:t>
            </w:r>
          </w:p>
        </w:tc>
        <w:tc>
          <w:tcPr>
            <w:tcW w:w="1303" w:type="dxa"/>
            <w:tcBorders/>
            <w:vAlign w:val="bottom"/>
          </w:tcPr>
          <w:p>
            <w:pPr>
              <w:pStyle w:val="TableContents"/>
              <w:bidi w:val="0"/>
              <w:spacing w:before="0" w:after="283"/>
              <w:jc w:val="right"/>
              <w:rPr/>
            </w:pPr>
            <w:r>
              <w:rPr/>
              <w:t>1,363,524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0"/>
              <w:jc w:val="left"/>
              <w:rPr>
                <w:color w:val="000000"/>
              </w:rPr>
            </w:pPr>
            <w:r>
              <w:rPr>
                <w:color w:val="000000"/>
              </w:rPr>
              <w:t>$</w:t>
            </w:r>
          </w:p>
        </w:tc>
        <w:tc>
          <w:tcPr>
            <w:tcW w:w="1494" w:type="dxa"/>
            <w:tcBorders/>
            <w:vAlign w:val="bottom"/>
          </w:tcPr>
          <w:p>
            <w:pPr>
              <w:pStyle w:val="TableContents"/>
              <w:bidi w:val="0"/>
              <w:spacing w:before="0" w:after="0"/>
              <w:jc w:val="right"/>
              <w:rPr>
                <w:color w:val="000000"/>
              </w:rPr>
            </w:pPr>
            <w:r>
              <w:rPr>
                <w:color w:val="000000"/>
              </w:rPr>
              <w:t>784,052</w:t>
            </w:r>
          </w:p>
        </w:tc>
        <w:tc>
          <w:tcPr>
            <w:tcW w:w="98" w:type="dxa"/>
            <w:tcBorders/>
            <w:vAlign w:val="bottom"/>
          </w:tcPr>
          <w:p>
            <w:pPr>
              <w:pStyle w:val="TableContents"/>
              <w:bidi w:val="0"/>
              <w:spacing w:before="0" w:after="283"/>
              <w:jc w:val="left"/>
              <w:rPr/>
            </w:pPr>
            <w:r>
              <w:rPr/>
              <w:t> </w:t>
            </w:r>
          </w:p>
        </w:tc>
      </w:tr>
      <w:tr>
        <w:trPr/>
        <w:tc>
          <w:tcPr>
            <w:tcW w:w="5201" w:type="dxa"/>
            <w:tcBorders/>
            <w:shd w:fill="CCEEFF" w:val="clear"/>
            <w:vAlign w:val="bottom"/>
          </w:tcPr>
          <w:p>
            <w:pPr>
              <w:pStyle w:val="TableContents"/>
              <w:bidi w:val="0"/>
              <w:spacing w:before="0" w:after="0"/>
              <w:ind w:left="180" w:right="0" w:hanging="180"/>
              <w:jc w:val="left"/>
              <w:rPr>
                <w:color w:val="000000"/>
              </w:rPr>
            </w:pPr>
            <w:r>
              <w:rPr>
                <w:color w:val="000000"/>
              </w:rPr>
              <w:t>Unrealized depreciation</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1229" w:type="dxa"/>
            <w:tcBorders>
              <w:bottom w:val="single" w:sz="12" w:space="0" w:color="000000"/>
            </w:tcBorders>
            <w:shd w:fill="CCEEFF" w:val="clear"/>
            <w:tcMar>
              <w:bottom w:w="28" w:type="dxa"/>
            </w:tcMar>
            <w:vAlign w:val="bottom"/>
          </w:tcPr>
          <w:p>
            <w:pPr>
              <w:pStyle w:val="TableContents"/>
              <w:bidi w:val="0"/>
              <w:spacing w:before="0" w:after="283"/>
              <w:jc w:val="right"/>
              <w:rPr/>
            </w:pPr>
            <w:r>
              <w:rPr/>
              <w:t>(94,087</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1303" w:type="dxa"/>
            <w:tcBorders>
              <w:bottom w:val="single" w:sz="12" w:space="0" w:color="000000"/>
            </w:tcBorders>
            <w:shd w:fill="CCEEFF" w:val="clear"/>
            <w:tcMar>
              <w:bottom w:w="28" w:type="dxa"/>
            </w:tcMar>
            <w:vAlign w:val="bottom"/>
          </w:tcPr>
          <w:p>
            <w:pPr>
              <w:pStyle w:val="TableContents"/>
              <w:bidi w:val="0"/>
              <w:spacing w:before="0" w:after="283"/>
              <w:jc w:val="right"/>
              <w:rPr/>
            </w:pPr>
            <w:r>
              <w:rPr/>
              <w:t>(115,221</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89"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49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(135,369</w:t>
            </w:r>
          </w:p>
        </w:tc>
        <w:tc>
          <w:tcPr>
            <w:tcW w:w="98" w:type="dxa"/>
            <w:tcBorders/>
            <w:shd w:fill="CCEEFF" w:val="clear"/>
            <w:vAlign w:val="bottom"/>
          </w:tcPr>
          <w:p>
            <w:pPr>
              <w:pStyle w:val="TableContents"/>
              <w:bidi w:val="0"/>
              <w:spacing w:before="0" w:after="0"/>
              <w:jc w:val="left"/>
              <w:rPr>
                <w:color w:val="000000"/>
              </w:rPr>
            </w:pPr>
            <w:r>
              <w:rPr>
                <w:color w:val="000000"/>
              </w:rPr>
              <w:t>)</w:t>
            </w:r>
          </w:p>
        </w:tc>
      </w:tr>
      <w:tr>
        <w:trPr/>
        <w:tc>
          <w:tcPr>
            <w:tcW w:w="5201" w:type="dxa"/>
            <w:tcBorders/>
            <w:vAlign w:val="bottom"/>
          </w:tcPr>
          <w:p>
            <w:pPr>
              <w:pStyle w:val="TableContents"/>
              <w:bidi w:val="0"/>
              <w:spacing w:before="0" w:after="0"/>
              <w:ind w:left="180" w:right="0" w:hanging="180"/>
              <w:jc w:val="left"/>
              <w:rPr>
                <w:color w:val="000000"/>
              </w:rPr>
            </w:pPr>
            <w:r>
              <w:rPr>
                <w:color w:val="000000"/>
              </w:rPr>
              <w:t>Net unrealized appreciation (depreciation) from investments and cash equivalents</w:t>
            </w:r>
          </w:p>
        </w:tc>
        <w:tc>
          <w:tcPr>
            <w:tcW w:w="60" w:type="dxa"/>
            <w:tcBorders/>
            <w:vAlign w:val="bottom"/>
          </w:tcPr>
          <w:p>
            <w:pPr>
              <w:pStyle w:val="TableContents"/>
              <w:bidi w:val="0"/>
              <w:spacing w:before="0" w:after="283"/>
              <w:jc w:val="right"/>
              <w:rPr/>
            </w:pPr>
            <w:r>
              <w:rPr/>
              <w:t> </w:t>
            </w:r>
          </w:p>
        </w:tc>
        <w:tc>
          <w:tcPr>
            <w:tcW w:w="156" w:type="dxa"/>
            <w:tcBorders>
              <w:bottom w:val="double" w:sz="8" w:space="0" w:color="000000"/>
            </w:tcBorders>
            <w:tcMar>
              <w:bottom w:w="28" w:type="dxa"/>
            </w:tcMar>
            <w:vAlign w:val="bottom"/>
          </w:tcPr>
          <w:p>
            <w:pPr>
              <w:pStyle w:val="TableContents"/>
              <w:bidi w:val="0"/>
              <w:spacing w:before="0" w:after="283"/>
              <w:jc w:val="left"/>
              <w:rPr/>
            </w:pPr>
            <w:r>
              <w:rPr/>
              <w:t>$</w:t>
            </w:r>
          </w:p>
        </w:tc>
        <w:tc>
          <w:tcPr>
            <w:tcW w:w="1229" w:type="dxa"/>
            <w:tcBorders>
              <w:bottom w:val="double" w:sz="8" w:space="0" w:color="000000"/>
            </w:tcBorders>
            <w:tcMar>
              <w:bottom w:w="28" w:type="dxa"/>
            </w:tcMar>
            <w:vAlign w:val="bottom"/>
          </w:tcPr>
          <w:p>
            <w:pPr>
              <w:pStyle w:val="TableContents"/>
              <w:bidi w:val="0"/>
              <w:spacing w:before="0" w:after="283"/>
              <w:jc w:val="right"/>
              <w:rPr/>
            </w:pPr>
            <w:r>
              <w:rPr/>
              <w:t>1,015,531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double" w:sz="8" w:space="0" w:color="000000"/>
            </w:tcBorders>
            <w:tcMar>
              <w:bottom w:w="28" w:type="dxa"/>
            </w:tcMar>
            <w:vAlign w:val="bottom"/>
          </w:tcPr>
          <w:p>
            <w:pPr>
              <w:pStyle w:val="TableContents"/>
              <w:bidi w:val="0"/>
              <w:spacing w:before="0" w:after="283"/>
              <w:jc w:val="left"/>
              <w:rPr/>
            </w:pPr>
            <w:r>
              <w:rPr/>
              <w:t>$</w:t>
            </w:r>
          </w:p>
        </w:tc>
        <w:tc>
          <w:tcPr>
            <w:tcW w:w="1303" w:type="dxa"/>
            <w:tcBorders>
              <w:bottom w:val="double" w:sz="8" w:space="0" w:color="000000"/>
            </w:tcBorders>
            <w:tcMar>
              <w:bottom w:w="28" w:type="dxa"/>
            </w:tcMar>
            <w:vAlign w:val="bottom"/>
          </w:tcPr>
          <w:p>
            <w:pPr>
              <w:pStyle w:val="TableContents"/>
              <w:bidi w:val="0"/>
              <w:spacing w:before="0" w:after="283"/>
              <w:jc w:val="right"/>
              <w:rPr/>
            </w:pPr>
            <w:r>
              <w:rPr/>
              <w:t>1,248,303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49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648,683</w:t>
            </w:r>
          </w:p>
        </w:tc>
        <w:tc>
          <w:tcPr>
            <w:tcW w:w="98"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11 — FINANCIAL HIGHLIGHTS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presents financial highlights for the six months ended June 30, 2024 and 2023:</w:t>
      </w:r>
    </w:p>
    <w:p>
      <w:pPr>
        <w:pStyle w:val="TextBody"/>
        <w:bidi w:val="0"/>
        <w:spacing w:before="0" w:after="0"/>
        <w:jc w:val="left"/>
        <w:rPr>
          <w:color w:val="000000"/>
          <w:shd w:fill="FFFFFF" w:val="clear"/>
        </w:rPr>
      </w:pPr>
      <w:r>
        <w:rPr>
          <w:color w:val="000000"/>
          <w:shd w:fill="FFFFFF" w:val="clear"/>
        </w:rPr>
        <w:t> </w:t>
      </w:r>
    </w:p>
    <w:tbl>
      <w:tblPr>
        <w:tblW w:w="9293" w:type="dxa"/>
        <w:jc w:val="left"/>
        <w:tblInd w:w="0" w:type="dxa"/>
        <w:tblLayout w:type="fixed"/>
        <w:tblCellMar>
          <w:top w:w="0" w:type="dxa"/>
          <w:left w:w="0" w:type="dxa"/>
          <w:bottom w:w="0" w:type="dxa"/>
          <w:right w:w="0" w:type="dxa"/>
        </w:tblCellMar>
      </w:tblPr>
      <w:tblGrid>
        <w:gridCol w:w="5840"/>
        <w:gridCol w:w="60"/>
        <w:gridCol w:w="159"/>
        <w:gridCol w:w="1255"/>
        <w:gridCol w:w="215"/>
        <w:gridCol w:w="60"/>
        <w:gridCol w:w="159"/>
        <w:gridCol w:w="1255"/>
        <w:gridCol w:w="290"/>
      </w:tblGrid>
      <w:tr>
        <w:trPr/>
        <w:tc>
          <w:tcPr>
            <w:tcW w:w="584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3103" w:type="dxa"/>
            <w:gridSpan w:val="6"/>
            <w:tcBorders/>
            <w:vAlign w:val="bottom"/>
          </w:tcPr>
          <w:p>
            <w:pPr>
              <w:pStyle w:val="TableContents"/>
              <w:bidi w:val="0"/>
              <w:spacing w:before="0" w:after="0"/>
              <w:jc w:val="center"/>
              <w:rPr>
                <w:b/>
                <w:color w:val="000000"/>
              </w:rPr>
            </w:pPr>
            <w:r>
              <w:rPr>
                <w:b/>
                <w:color w:val="000000"/>
              </w:rPr>
              <w:t>For the six months ended</w:t>
            </w:r>
          </w:p>
        </w:tc>
        <w:tc>
          <w:tcPr>
            <w:tcW w:w="290" w:type="dxa"/>
            <w:tcBorders/>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2023</w:t>
            </w:r>
          </w:p>
        </w:tc>
        <w:tc>
          <w:tcPr>
            <w:tcW w:w="290" w:type="dxa"/>
            <w:tcBorders/>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ind w:left="180" w:right="0" w:hanging="180"/>
              <w:jc w:val="left"/>
              <w:rPr>
                <w:b/>
                <w:color w:val="000000"/>
              </w:rPr>
            </w:pPr>
            <w:r>
              <w:rPr>
                <w:b/>
                <w:color w:val="000000"/>
              </w:rPr>
              <w:t>Per share data:</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ind w:left="180" w:right="0" w:hanging="180"/>
              <w:jc w:val="left"/>
              <w:rPr>
                <w:color w:val="000000"/>
              </w:rPr>
            </w:pPr>
            <w:r>
              <w:rPr>
                <w:color w:val="000000"/>
              </w:rPr>
              <w:t>Net asset value at beginning of period</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0"/>
              <w:jc w:val="left"/>
              <w:rPr>
                <w:color w:val="000000"/>
              </w:rPr>
            </w:pPr>
            <w:r>
              <w:rPr>
                <w:color w:val="000000"/>
              </w:rPr>
              <w:t>$</w:t>
            </w:r>
          </w:p>
        </w:tc>
        <w:tc>
          <w:tcPr>
            <w:tcW w:w="1255" w:type="dxa"/>
            <w:tcBorders/>
            <w:shd w:fill="CCEEFF" w:val="clear"/>
            <w:vAlign w:val="bottom"/>
          </w:tcPr>
          <w:p>
            <w:pPr>
              <w:pStyle w:val="TableContents"/>
              <w:bidi w:val="0"/>
              <w:spacing w:before="0" w:after="0"/>
              <w:jc w:val="right"/>
              <w:rPr>
                <w:color w:val="000000"/>
              </w:rPr>
            </w:pPr>
            <w:r>
              <w:rPr>
                <w:color w:val="000000"/>
              </w:rPr>
              <w:t>13.77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0"/>
              <w:jc w:val="left"/>
              <w:rPr>
                <w:color w:val="000000"/>
              </w:rPr>
            </w:pPr>
            <w:r>
              <w:rPr>
                <w:color w:val="000000"/>
              </w:rPr>
              <w:t>$</w:t>
            </w:r>
          </w:p>
        </w:tc>
        <w:tc>
          <w:tcPr>
            <w:tcW w:w="1255" w:type="dxa"/>
            <w:tcBorders/>
            <w:shd w:fill="CCEEFF" w:val="clear"/>
            <w:vAlign w:val="bottom"/>
          </w:tcPr>
          <w:p>
            <w:pPr>
              <w:pStyle w:val="TableContents"/>
              <w:bidi w:val="0"/>
              <w:spacing w:before="0" w:after="0"/>
              <w:jc w:val="right"/>
              <w:rPr>
                <w:color w:val="000000"/>
              </w:rPr>
            </w:pPr>
            <w:r>
              <w:rPr>
                <w:color w:val="000000"/>
              </w:rPr>
              <w:t>13.91</w:t>
            </w:r>
          </w:p>
        </w:tc>
        <w:tc>
          <w:tcPr>
            <w:tcW w:w="290"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lineRule="auto" w:line="240" w:before="0" w:after="0"/>
              <w:ind w:left="180" w:right="0" w:hanging="180"/>
              <w:jc w:val="left"/>
              <w:rPr>
                <w:color w:val="000000"/>
              </w:rPr>
            </w:pPr>
            <w:r>
              <w:rPr>
                <w:color w:val="000000"/>
              </w:rPr>
              <w:t>Net investment income (loss) (1)</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0"/>
              <w:jc w:val="right"/>
              <w:rPr>
                <w:color w:val="000000"/>
              </w:rPr>
            </w:pPr>
            <w:r>
              <w:rPr>
                <w:color w:val="000000"/>
              </w:rPr>
              <w:t>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0"/>
              <w:jc w:val="right"/>
              <w:rPr>
                <w:color w:val="000000"/>
              </w:rPr>
            </w:pPr>
            <w:r>
              <w:rPr>
                <w:color w:val="000000"/>
              </w:rPr>
              <w:t>0.53</w:t>
            </w:r>
          </w:p>
        </w:tc>
        <w:tc>
          <w:tcPr>
            <w:tcW w:w="290"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lineRule="auto" w:line="240" w:before="0" w:after="0"/>
              <w:ind w:left="180" w:right="0" w:hanging="180"/>
              <w:jc w:val="left"/>
              <w:rPr>
                <w:color w:val="000000"/>
              </w:rPr>
            </w:pPr>
            <w:r>
              <w:rPr>
                <w:color w:val="000000"/>
              </w:rPr>
              <w:t>Net realized and unrealized gains/(losses) on investments (1)</w:t>
            </w:r>
          </w:p>
        </w:tc>
        <w:tc>
          <w:tcPr>
            <w:tcW w:w="60" w:type="dxa"/>
            <w:tcBorders/>
            <w:shd w:fill="CCEEFF" w:val="clear"/>
            <w:vAlign w:val="bottom"/>
          </w:tcPr>
          <w:p>
            <w:pPr>
              <w:pStyle w:val="TableContents"/>
              <w:bidi w:val="0"/>
              <w:spacing w:before="0" w:after="283"/>
              <w:jc w:val="righ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0.06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0.05</w:t>
            </w:r>
          </w:p>
        </w:tc>
        <w:tc>
          <w:tcPr>
            <w:tcW w:w="290"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ind w:left="180" w:right="0" w:hanging="180"/>
              <w:jc w:val="left"/>
              <w:rPr>
                <w:color w:val="000000"/>
              </w:rPr>
            </w:pPr>
            <w:r>
              <w:rPr>
                <w:color w:val="000000"/>
              </w:rPr>
              <w:t>Net increase/(decrease) in net assets resulting from operations</w:t>
            </w:r>
          </w:p>
        </w:tc>
        <w:tc>
          <w:tcPr>
            <w:tcW w:w="60" w:type="dxa"/>
            <w:tcBorders/>
            <w:vAlign w:val="bottom"/>
          </w:tcPr>
          <w:p>
            <w:pPr>
              <w:pStyle w:val="TableContents"/>
              <w:bidi w:val="0"/>
              <w:spacing w:before="0" w:after="283"/>
              <w:jc w:val="right"/>
              <w:rPr/>
            </w:pPr>
            <w:r>
              <w:rPr/>
              <w:t> </w:t>
            </w:r>
          </w:p>
        </w:tc>
        <w:tc>
          <w:tcPr>
            <w:tcW w:w="1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0.29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0.58</w:t>
            </w:r>
          </w:p>
        </w:tc>
        <w:tc>
          <w:tcPr>
            <w:tcW w:w="290"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283"/>
              <w:jc w:val="left"/>
              <w:rPr/>
            </w:pPr>
            <w:r>
              <w:rPr/>
              <w:t>Distributions from net investment income (loss)</w:t>
            </w:r>
            <w:r>
              <w:rPr>
                <w:position w:val="8"/>
                <w:sz w:val="19"/>
              </w:rPr>
              <w:t>(4)</w:t>
            </w:r>
          </w:p>
        </w:tc>
        <w:tc>
          <w:tcPr>
            <w:tcW w:w="60" w:type="dxa"/>
            <w:tcBorders/>
            <w:shd w:fill="CCEEFF" w:val="clear"/>
            <w:vAlign w:val="bottom"/>
          </w:tcPr>
          <w:p>
            <w:pPr>
              <w:pStyle w:val="TableContents"/>
              <w:bidi w:val="0"/>
              <w:spacing w:before="0" w:after="283"/>
              <w:jc w:val="righ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5" w:type="dxa"/>
            <w:tcBorders>
              <w:bottom w:val="single" w:sz="12" w:space="0" w:color="000000"/>
            </w:tcBorders>
            <w:shd w:fill="CCEEFF" w:val="clear"/>
            <w:tcMar>
              <w:bottom w:w="28" w:type="dxa"/>
            </w:tcMar>
            <w:vAlign w:val="bottom"/>
          </w:tcPr>
          <w:p>
            <w:pPr>
              <w:pStyle w:val="TableContents"/>
              <w:bidi w:val="0"/>
              <w:spacing w:before="0" w:after="283"/>
              <w:jc w:val="right"/>
              <w:rPr/>
            </w:pPr>
            <w:r>
              <w:rPr/>
              <w:t>(0.50</w:t>
            </w:r>
          </w:p>
        </w:tc>
        <w:tc>
          <w:tcPr>
            <w:tcW w:w="21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290"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ind w:left="180" w:right="0" w:hanging="180"/>
              <w:jc w:val="left"/>
              <w:rPr>
                <w:color w:val="000000"/>
              </w:rPr>
            </w:pPr>
            <w:r>
              <w:rPr>
                <w:color w:val="000000"/>
              </w:rPr>
              <w:t>Net asset value at end of period</w:t>
            </w:r>
          </w:p>
        </w:tc>
        <w:tc>
          <w:tcPr>
            <w:tcW w:w="60" w:type="dxa"/>
            <w:tcBorders/>
            <w:vAlign w:val="bottom"/>
          </w:tcPr>
          <w:p>
            <w:pPr>
              <w:pStyle w:val="TableContents"/>
              <w:bidi w:val="0"/>
              <w:spacing w:before="0" w:after="283"/>
              <w:jc w:val="right"/>
              <w:rPr/>
            </w:pPr>
            <w:r>
              <w:rPr/>
              <w:t> </w:t>
            </w:r>
          </w:p>
        </w:tc>
        <w:tc>
          <w:tcPr>
            <w:tcW w:w="15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5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13.56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5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14.49</w:t>
            </w:r>
          </w:p>
        </w:tc>
        <w:tc>
          <w:tcPr>
            <w:tcW w:w="290"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ind w:left="180" w:right="0" w:hanging="180"/>
              <w:jc w:val="left"/>
              <w:rPr>
                <w:color w:val="000000"/>
              </w:rPr>
            </w:pPr>
            <w:r>
              <w:rPr>
                <w:color w:val="000000"/>
              </w:rPr>
              <w:t>Net assets at end of period</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0"/>
              <w:jc w:val="left"/>
              <w:rPr>
                <w:color w:val="000000"/>
              </w:rPr>
            </w:pPr>
            <w:r>
              <w:rPr>
                <w:color w:val="000000"/>
              </w:rPr>
              <w:t>$</w:t>
            </w:r>
          </w:p>
        </w:tc>
        <w:tc>
          <w:tcPr>
            <w:tcW w:w="1255" w:type="dxa"/>
            <w:tcBorders/>
            <w:shd w:fill="CCEEFF" w:val="clear"/>
            <w:vAlign w:val="bottom"/>
          </w:tcPr>
          <w:p>
            <w:pPr>
              <w:pStyle w:val="TableContents"/>
              <w:bidi w:val="0"/>
              <w:spacing w:before="0" w:after="0"/>
              <w:jc w:val="right"/>
              <w:rPr>
                <w:color w:val="000000"/>
              </w:rPr>
            </w:pPr>
            <w:r>
              <w:rPr>
                <w:color w:val="000000"/>
              </w:rPr>
              <w:t>84,258,073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0"/>
              <w:jc w:val="left"/>
              <w:rPr>
                <w:color w:val="000000"/>
              </w:rPr>
            </w:pPr>
            <w:r>
              <w:rPr>
                <w:color w:val="000000"/>
              </w:rPr>
              <w:t>$</w:t>
            </w:r>
          </w:p>
        </w:tc>
        <w:tc>
          <w:tcPr>
            <w:tcW w:w="1255" w:type="dxa"/>
            <w:tcBorders/>
            <w:shd w:fill="CCEEFF" w:val="clear"/>
            <w:vAlign w:val="bottom"/>
          </w:tcPr>
          <w:p>
            <w:pPr>
              <w:pStyle w:val="TableContents"/>
              <w:bidi w:val="0"/>
              <w:spacing w:before="0" w:after="0"/>
              <w:jc w:val="right"/>
              <w:rPr>
                <w:color w:val="000000"/>
              </w:rPr>
            </w:pPr>
            <w:r>
              <w:rPr>
                <w:color w:val="000000"/>
              </w:rPr>
              <w:t>90,044,213</w:t>
            </w:r>
          </w:p>
        </w:tc>
        <w:tc>
          <w:tcPr>
            <w:tcW w:w="290"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ind w:left="180" w:right="0" w:hanging="180"/>
              <w:jc w:val="left"/>
              <w:rPr>
                <w:color w:val="000000"/>
              </w:rPr>
            </w:pPr>
            <w:r>
              <w:rPr>
                <w:color w:val="000000"/>
              </w:rPr>
              <w:t>Shares outstanding at end of period</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0"/>
              <w:jc w:val="right"/>
              <w:rPr>
                <w:color w:val="000000"/>
              </w:rPr>
            </w:pPr>
            <w:r>
              <w:rPr>
                <w:color w:val="000000"/>
              </w:rPr>
              <w:t>6,214,964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0"/>
              <w:jc w:val="right"/>
              <w:rPr>
                <w:color w:val="000000"/>
              </w:rPr>
            </w:pPr>
            <w:r>
              <w:rPr>
                <w:color w:val="000000"/>
              </w:rPr>
              <w:t>6,214,672</w:t>
            </w:r>
          </w:p>
        </w:tc>
        <w:tc>
          <w:tcPr>
            <w:tcW w:w="290"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ind w:left="180" w:right="0" w:hanging="180"/>
              <w:jc w:val="left"/>
              <w:rPr>
                <w:color w:val="000000"/>
              </w:rPr>
            </w:pPr>
            <w:r>
              <w:rPr>
                <w:color w:val="000000"/>
              </w:rPr>
              <w:t>Weighted average net assets</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0"/>
              <w:jc w:val="left"/>
              <w:rPr>
                <w:color w:val="000000"/>
              </w:rPr>
            </w:pPr>
            <w:r>
              <w:rPr>
                <w:color w:val="000000"/>
              </w:rPr>
              <w:t>$</w:t>
            </w:r>
          </w:p>
        </w:tc>
        <w:tc>
          <w:tcPr>
            <w:tcW w:w="1255" w:type="dxa"/>
            <w:tcBorders/>
            <w:shd w:fill="CCEEFF" w:val="clear"/>
            <w:vAlign w:val="bottom"/>
          </w:tcPr>
          <w:p>
            <w:pPr>
              <w:pStyle w:val="TableContents"/>
              <w:bidi w:val="0"/>
              <w:spacing w:before="0" w:after="0"/>
              <w:jc w:val="right"/>
              <w:rPr>
                <w:color w:val="000000"/>
              </w:rPr>
            </w:pPr>
            <w:r>
              <w:rPr>
                <w:color w:val="000000"/>
              </w:rPr>
              <w:t>85,034,260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0"/>
              <w:jc w:val="left"/>
              <w:rPr>
                <w:color w:val="000000"/>
              </w:rPr>
            </w:pPr>
            <w:r>
              <w:rPr>
                <w:color w:val="000000"/>
              </w:rPr>
              <w:t>$</w:t>
            </w:r>
          </w:p>
        </w:tc>
        <w:tc>
          <w:tcPr>
            <w:tcW w:w="1255" w:type="dxa"/>
            <w:tcBorders/>
            <w:shd w:fill="CCEEFF" w:val="clear"/>
            <w:vAlign w:val="bottom"/>
          </w:tcPr>
          <w:p>
            <w:pPr>
              <w:pStyle w:val="TableContents"/>
              <w:bidi w:val="0"/>
              <w:spacing w:before="0" w:after="0"/>
              <w:jc w:val="right"/>
              <w:rPr>
                <w:color w:val="000000"/>
              </w:rPr>
            </w:pPr>
            <w:r>
              <w:rPr>
                <w:color w:val="000000"/>
              </w:rPr>
              <w:t>87,669,473</w:t>
            </w:r>
          </w:p>
        </w:tc>
        <w:tc>
          <w:tcPr>
            <w:tcW w:w="290"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ind w:left="180" w:right="0" w:hanging="180"/>
              <w:jc w:val="left"/>
              <w:rPr>
                <w:color w:val="000000"/>
              </w:rPr>
            </w:pPr>
            <w:r>
              <w:rPr>
                <w:color w:val="000000"/>
              </w:rPr>
              <w:t>Per share market value at end of period</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0"/>
              <w:jc w:val="left"/>
              <w:rPr>
                <w:color w:val="000000"/>
              </w:rPr>
            </w:pPr>
            <w:r>
              <w:rPr>
                <w:color w:val="000000"/>
              </w:rPr>
              <w:t>$</w:t>
            </w:r>
          </w:p>
        </w:tc>
        <w:tc>
          <w:tcPr>
            <w:tcW w:w="1255" w:type="dxa"/>
            <w:tcBorders/>
            <w:shd w:fill="CCEEFF" w:val="clear"/>
            <w:vAlign w:val="bottom"/>
          </w:tcPr>
          <w:p>
            <w:pPr>
              <w:pStyle w:val="TableContents"/>
              <w:bidi w:val="0"/>
              <w:spacing w:before="0" w:after="0"/>
              <w:jc w:val="right"/>
              <w:rPr>
                <w:color w:val="000000"/>
              </w:rPr>
            </w:pPr>
            <w:r>
              <w:rPr>
                <w:color w:val="000000"/>
              </w:rPr>
              <w:t>11.82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0"/>
              <w:jc w:val="left"/>
              <w:rPr>
                <w:color w:val="000000"/>
              </w:rPr>
            </w:pPr>
            <w:r>
              <w:rPr>
                <w:color w:val="000000"/>
              </w:rPr>
              <w:t>$</w:t>
            </w:r>
          </w:p>
        </w:tc>
        <w:tc>
          <w:tcPr>
            <w:tcW w:w="1255" w:type="dxa"/>
            <w:tcBorders/>
            <w:shd w:fill="CCEEFF" w:val="clear"/>
            <w:vAlign w:val="bottom"/>
          </w:tcPr>
          <w:p>
            <w:pPr>
              <w:pStyle w:val="TableContents"/>
              <w:bidi w:val="0"/>
              <w:spacing w:before="0" w:after="0"/>
              <w:jc w:val="right"/>
              <w:rPr>
                <w:color w:val="000000"/>
              </w:rPr>
            </w:pPr>
            <w:r>
              <w:rPr>
                <w:color w:val="000000"/>
              </w:rPr>
              <w:t>8.18</w:t>
            </w:r>
          </w:p>
        </w:tc>
        <w:tc>
          <w:tcPr>
            <w:tcW w:w="290"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lineRule="auto" w:line="240" w:before="0" w:after="0"/>
              <w:ind w:left="180" w:right="0" w:hanging="180"/>
              <w:jc w:val="left"/>
              <w:rPr>
                <w:color w:val="000000"/>
              </w:rPr>
            </w:pPr>
            <w:r>
              <w:rPr>
                <w:color w:val="000000"/>
              </w:rPr>
              <w:t>Total return based on market value (2)</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0"/>
              <w:jc w:val="right"/>
              <w:rPr>
                <w:color w:val="000000"/>
              </w:rPr>
            </w:pPr>
            <w:r>
              <w:rPr>
                <w:color w:val="000000"/>
              </w:rPr>
              <w:t>46.73</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0"/>
              <w:jc w:val="right"/>
              <w:rPr>
                <w:color w:val="000000"/>
              </w:rPr>
            </w:pPr>
            <w:r>
              <w:rPr>
                <w:color w:val="000000"/>
              </w:rPr>
              <w:t>(16.53</w:t>
            </w:r>
          </w:p>
        </w:tc>
        <w:tc>
          <w:tcPr>
            <w:tcW w:w="290" w:type="dxa"/>
            <w:tcBorders/>
            <w:vAlign w:val="bottom"/>
          </w:tcPr>
          <w:p>
            <w:pPr>
              <w:pStyle w:val="TableContents"/>
              <w:bidi w:val="0"/>
              <w:spacing w:before="0" w:after="0"/>
              <w:jc w:val="left"/>
              <w:rPr>
                <w:color w:val="000000"/>
              </w:rPr>
            </w:pPr>
            <w:r>
              <w:rPr>
                <w:color w:val="000000"/>
              </w:rPr>
              <w:t>)%</w:t>
            </w:r>
          </w:p>
        </w:tc>
      </w:tr>
      <w:tr>
        <w:trPr/>
        <w:tc>
          <w:tcPr>
            <w:tcW w:w="5840" w:type="dxa"/>
            <w:tcBorders/>
            <w:shd w:fill="CCEEFF" w:val="clear"/>
            <w:vAlign w:val="bottom"/>
          </w:tcPr>
          <w:p>
            <w:pPr>
              <w:pStyle w:val="TableContents"/>
              <w:bidi w:val="0"/>
              <w:spacing w:lineRule="auto" w:line="240" w:before="0" w:after="0"/>
              <w:ind w:left="180" w:right="0" w:hanging="180"/>
              <w:jc w:val="left"/>
              <w:rPr>
                <w:color w:val="000000"/>
              </w:rPr>
            </w:pPr>
            <w:r>
              <w:rPr>
                <w:color w:val="000000"/>
              </w:rPr>
              <w:t>Total return based on net asset value (2)</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0"/>
              <w:jc w:val="right"/>
              <w:rPr>
                <w:color w:val="000000"/>
              </w:rPr>
            </w:pPr>
            <w:r>
              <w:rPr>
                <w:color w:val="000000"/>
              </w:rPr>
              <w:t>3.17</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0"/>
              <w:jc w:val="right"/>
              <w:rPr>
                <w:color w:val="000000"/>
              </w:rPr>
            </w:pPr>
            <w:r>
              <w:rPr>
                <w:color w:val="000000"/>
              </w:rPr>
              <w:t>4.17</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584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ind w:left="180" w:right="0" w:hanging="180"/>
              <w:jc w:val="left"/>
              <w:rPr>
                <w:b/>
                <w:color w:val="000000"/>
              </w:rPr>
            </w:pPr>
            <w:r>
              <w:rPr>
                <w:b/>
                <w:color w:val="000000"/>
              </w:rPr>
              <w:t>Ratio/Supplemental data:</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lineRule="auto" w:line="240" w:before="0" w:after="0"/>
              <w:ind w:left="180" w:right="0" w:hanging="180"/>
              <w:jc w:val="left"/>
              <w:rPr>
                <w:color w:val="000000"/>
              </w:rPr>
            </w:pPr>
            <w:r>
              <w:rPr>
                <w:color w:val="000000"/>
              </w:rPr>
              <w:t>Ratio of expenses to average net assets (3)</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0"/>
              <w:jc w:val="right"/>
              <w:rPr>
                <w:color w:val="000000"/>
              </w:rPr>
            </w:pPr>
            <w:r>
              <w:rPr>
                <w:color w:val="000000"/>
              </w:rPr>
              <w:t>5.17</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0"/>
              <w:jc w:val="right"/>
              <w:rPr>
                <w:color w:val="000000"/>
              </w:rPr>
            </w:pPr>
            <w:r>
              <w:rPr>
                <w:color w:val="000000"/>
              </w:rPr>
              <w:t>2.37</w:t>
            </w:r>
          </w:p>
        </w:tc>
        <w:tc>
          <w:tcPr>
            <w:tcW w:w="290" w:type="dxa"/>
            <w:tcBorders/>
            <w:vAlign w:val="bottom"/>
          </w:tcPr>
          <w:p>
            <w:pPr>
              <w:pStyle w:val="TableContents"/>
              <w:bidi w:val="0"/>
              <w:spacing w:before="0" w:after="0"/>
              <w:jc w:val="left"/>
              <w:rPr>
                <w:color w:val="000000"/>
              </w:rPr>
            </w:pPr>
            <w:r>
              <w:rPr>
                <w:color w:val="000000"/>
              </w:rPr>
              <w:t>%</w:t>
            </w:r>
          </w:p>
        </w:tc>
      </w:tr>
      <w:tr>
        <w:trPr/>
        <w:tc>
          <w:tcPr>
            <w:tcW w:w="5840" w:type="dxa"/>
            <w:tcBorders/>
            <w:shd w:fill="CCEEFF" w:val="clear"/>
            <w:vAlign w:val="bottom"/>
          </w:tcPr>
          <w:p>
            <w:pPr>
              <w:pStyle w:val="TableContents"/>
              <w:bidi w:val="0"/>
              <w:spacing w:lineRule="auto" w:line="240" w:before="0" w:after="0"/>
              <w:ind w:left="180" w:right="0" w:hanging="180"/>
              <w:jc w:val="left"/>
              <w:rPr>
                <w:color w:val="000000"/>
              </w:rPr>
            </w:pPr>
            <w:r>
              <w:rPr>
                <w:color w:val="000000"/>
              </w:rPr>
              <w:t>Ratio of net investment income (loss) to average net assets (3)</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0"/>
              <w:jc w:val="right"/>
              <w:rPr>
                <w:color w:val="000000"/>
              </w:rPr>
            </w:pPr>
            <w:r>
              <w:rPr>
                <w:color w:val="000000"/>
              </w:rPr>
              <w:t>1.70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0"/>
              <w:jc w:val="right"/>
              <w:rPr>
                <w:color w:val="000000"/>
              </w:rPr>
            </w:pPr>
            <w:r>
              <w:rPr>
                <w:color w:val="000000"/>
              </w:rPr>
              <w:t>3.73</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5840" w:type="dxa"/>
            <w:tcBorders/>
            <w:vAlign w:val="bottom"/>
          </w:tcPr>
          <w:p>
            <w:pPr>
              <w:pStyle w:val="TableContents"/>
              <w:bidi w:val="0"/>
              <w:spacing w:before="0" w:after="0"/>
              <w:ind w:left="180" w:right="0" w:hanging="180"/>
              <w:jc w:val="left"/>
              <w:rPr>
                <w:color w:val="000000"/>
              </w:rPr>
            </w:pPr>
            <w:r>
              <w:rPr>
                <w:color w:val="000000"/>
              </w:rPr>
              <w:t>Portfolio turnover</w:t>
            </w:r>
            <w:r>
              <w:rPr>
                <w:color w:val="000000"/>
                <w:position w:val="8"/>
                <w:sz w:val="19"/>
              </w:rPr>
              <w:t xml:space="preserve"> (3)</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0"/>
              <w:jc w:val="right"/>
              <w:rPr>
                <w:color w:val="000000"/>
              </w:rPr>
            </w:pPr>
            <w:r>
              <w:rPr>
                <w:color w:val="000000"/>
              </w:rPr>
              <w:t>3.12</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0"/>
              <w:jc w:val="right"/>
              <w:rPr>
                <w:color w:val="000000"/>
              </w:rPr>
            </w:pPr>
            <w:r>
              <w:rPr>
                <w:color w:val="000000"/>
              </w:rPr>
              <w:t>3.10</w:t>
            </w:r>
          </w:p>
        </w:tc>
        <w:tc>
          <w:tcPr>
            <w:tcW w:w="29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lineRule="auto" w:line="240" w:before="0" w:after="283"/>
              <w:jc w:val="left"/>
              <w:rPr>
                <w:color w:val="000000"/>
              </w:rPr>
            </w:pPr>
            <w:r>
              <w:rPr>
                <w:color w:val="000000"/>
              </w:rPr>
              <w:t>(1)</w:t>
            </w:r>
          </w:p>
        </w:tc>
        <w:tc>
          <w:tcPr>
            <w:tcW w:w="9905" w:type="dxa"/>
            <w:tcBorders/>
            <w:vAlign w:val="center"/>
          </w:tcPr>
          <w:p>
            <w:pPr>
              <w:pStyle w:val="TableContents"/>
              <w:bidi w:val="0"/>
              <w:spacing w:before="0" w:after="0"/>
              <w:jc w:val="both"/>
              <w:rPr>
                <w:color w:val="000000"/>
              </w:rPr>
            </w:pPr>
            <w:r>
              <w:rPr>
                <w:color w:val="000000"/>
              </w:rPr>
              <w:t>The per share data was derived by using the weighted average shares outstanding during the periods presented.</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lineRule="auto" w:line="240" w:before="0" w:after="283"/>
              <w:jc w:val="left"/>
              <w:rPr>
                <w:color w:val="000000"/>
              </w:rPr>
            </w:pPr>
            <w:r>
              <w:rPr>
                <w:color w:val="000000"/>
              </w:rPr>
              <w:t>(2)</w:t>
            </w:r>
          </w:p>
        </w:tc>
        <w:tc>
          <w:tcPr>
            <w:tcW w:w="9964" w:type="dxa"/>
            <w:tcBorders/>
            <w:vAlign w:val="center"/>
          </w:tcPr>
          <w:p>
            <w:pPr>
              <w:pStyle w:val="TableContents"/>
              <w:bidi w:val="0"/>
              <w:spacing w:before="0" w:after="0"/>
              <w:jc w:val="both"/>
              <w:rPr>
                <w:color w:val="000000"/>
              </w:rPr>
            </w:pPr>
            <w:r>
              <w:rPr>
                <w:color w:val="000000"/>
              </w:rPr>
              <w:t xml:space="preserve">Total return based on market value is based on the change in market price per share between the beginning and ending market prices per share in each period and assumes that common stock dividends are reinvested in accordance with our common stock dividend reinvestment plan. Total return based on net asset value is based upon the change in net asset value per share between the beginning and ending net asset values per share in each period and assumes that dividends are reinvested in accordance with our common stock dividend reinvestment plan. For periods less than a year, total return is not annualized. </w:t>
            </w:r>
          </w:p>
        </w:tc>
      </w:tr>
    </w:tbl>
    <w:tbl>
      <w:tblPr>
        <w:tblW w:w="2560" w:type="dxa"/>
        <w:jc w:val="left"/>
        <w:tblInd w:w="0" w:type="dxa"/>
        <w:tblLayout w:type="fixed"/>
        <w:tblCellMar>
          <w:top w:w="0" w:type="dxa"/>
          <w:left w:w="0" w:type="dxa"/>
          <w:bottom w:w="0" w:type="dxa"/>
          <w:right w:w="0" w:type="dxa"/>
        </w:tblCellMar>
      </w:tblPr>
      <w:tblGrid>
        <w:gridCol w:w="305"/>
        <w:gridCol w:w="2255"/>
      </w:tblGrid>
      <w:tr>
        <w:trPr/>
        <w:tc>
          <w:tcPr>
            <w:tcW w:w="305" w:type="dxa"/>
            <w:tcBorders/>
            <w:vAlign w:val="center"/>
          </w:tcPr>
          <w:p>
            <w:pPr>
              <w:pStyle w:val="TableContents"/>
              <w:bidi w:val="0"/>
              <w:spacing w:lineRule="auto" w:line="240" w:before="0" w:after="283"/>
              <w:jc w:val="left"/>
              <w:rPr>
                <w:color w:val="000000"/>
              </w:rPr>
            </w:pPr>
            <w:r>
              <w:rPr>
                <w:color w:val="000000"/>
              </w:rPr>
              <w:t>(3)</w:t>
            </w:r>
          </w:p>
        </w:tc>
        <w:tc>
          <w:tcPr>
            <w:tcW w:w="2255" w:type="dxa"/>
            <w:tcBorders/>
            <w:vAlign w:val="center"/>
          </w:tcPr>
          <w:p>
            <w:pPr>
              <w:pStyle w:val="TableContents"/>
              <w:bidi w:val="0"/>
              <w:spacing w:before="0" w:after="0"/>
              <w:jc w:val="both"/>
              <w:rPr>
                <w:color w:val="000000"/>
              </w:rPr>
            </w:pPr>
            <w:r>
              <w:rPr>
                <w:color w:val="000000"/>
              </w:rPr>
              <w:t>Ratio is not annualized.</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lineRule="auto" w:line="240" w:before="0" w:after="283"/>
              <w:jc w:val="left"/>
              <w:rPr>
                <w:color w:val="000000"/>
              </w:rPr>
            </w:pPr>
            <w:r>
              <w:rPr>
                <w:color w:val="000000"/>
              </w:rPr>
              <w:t>(4)</w:t>
            </w:r>
          </w:p>
        </w:tc>
        <w:tc>
          <w:tcPr>
            <w:tcW w:w="9965" w:type="dxa"/>
            <w:tcBorders/>
            <w:vAlign w:val="center"/>
          </w:tcPr>
          <w:p>
            <w:pPr>
              <w:pStyle w:val="TableContents"/>
              <w:bidi w:val="0"/>
              <w:spacing w:before="0" w:after="0"/>
              <w:jc w:val="both"/>
              <w:rPr>
                <w:color w:val="000000"/>
              </w:rPr>
            </w:pPr>
            <w:r>
              <w:rPr>
                <w:color w:val="000000"/>
              </w:rPr>
              <w:t>Management monitors available taxable earnings, including net investment income and realized capital gains, to determine if a tax return of capital may occur for the tax year. To the extent the Company’s taxable earnings fall below the total amount of the Company’s distributions for that tax year, a portion of those distributions may be deemed a tax return of capital to the Company’s stockholders. The ultimate tax character of the Company’s earnings cannot be determined until tax returns are prepared after the end of the tax year. The amounts and sources of distributions reported are only estimates and are not being provided for U.S. tax reporting purposes.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200" w:after="200"/>
        <w:jc w:val="left"/>
        <w:rPr/>
      </w:pPr>
      <w:hyperlink w:anchor="TABLEOFCONTENTS">
        <w:r>
          <w:rPr/>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200" w:after="200"/>
        <w:jc w:val="left"/>
        <w:rPr/>
      </w:pPr>
      <w:r>
        <w:rPr/>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Financial Statements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12 — PROPOSED LOAN PORTFOLIO ACQUISITION</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Overview</w:t>
      </w:r>
    </w:p>
    <w:p>
      <w:pPr>
        <w:pStyle w:val="TextBody"/>
        <w:bidi w:val="0"/>
        <w:spacing w:before="0" w:after="0"/>
        <w:jc w:val="left"/>
        <w:rPr/>
      </w:pPr>
      <w:r>
        <w:rPr/>
      </w:r>
    </w:p>
    <w:p>
      <w:pPr>
        <w:pStyle w:val="TextBody"/>
        <w:widowControl/>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On February 18, 2024, the Company entered into a Purchase Agreement (the “Loan Portfolio Acquisition Agreement”) with Chicago Atlantic Loan Portfolio, LLC, a Delaware limited liability company (“CALP”). The Loan Portfolio Acquisition Agreement provides that, subject to the conditions set forth in the Loan Portfolio Acquisition Agreement, at the closing of the transactions contemplated by the Loan Portfolio Acquisition Agreement (the “Closing”, and the date on which the Closing occurs, the “Closing Date”), the Company will issue to CALP shares of the Company’s common stock (the “Stock Issuance”) in consideration for acquiring a portfolio of loans (the “Loan Portfolio” and together with the Stock Issuance, </w:t>
      </w:r>
      <w:r>
        <w:rPr>
          <w:rFonts w:ascii="Times New Roman" w:hAnsi="Times New Roman"/>
          <w:b w:val="false"/>
          <w:i w:val="false"/>
          <w:caps w:val="false"/>
          <w:smallCaps w:val="false"/>
          <w:color w:val="000000"/>
          <w:spacing w:val="0"/>
          <w:sz w:val="20"/>
          <w:shd w:fill="FFFFFF" w:val="clear"/>
        </w:rPr>
        <w:t>the “Loan Portfolio Acquisition”) fr</w:t>
      </w:r>
      <w:r>
        <w:rPr>
          <w:rFonts w:ascii="Times New Roman" w:hAnsi="Times New Roman"/>
          <w:b w:val="false"/>
          <w:i w:val="false"/>
          <w:caps w:val="false"/>
          <w:smallCaps w:val="false"/>
          <w:color w:val="000000"/>
          <w:spacing w:val="0"/>
          <w:sz w:val="20"/>
          <w:shd w:fill="FFFFFF" w:val="clear"/>
        </w:rPr>
        <w:t>om</w:t>
      </w:r>
      <w:r>
        <w:rPr>
          <w:rFonts w:ascii="Times New Roman" w:hAnsi="Times New Roman"/>
          <w:color w:val="000000"/>
          <w:sz w:val="20"/>
          <w:shd w:fill="FFFFFF" w:val="clear"/>
        </w:rPr>
        <w:t xml:space="preserve"> CALP (the “Loan Purchase” and together with the Stock Issuance, the “Transactions”).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Board, on the recommendation of a special committee (the “Special Committee”) comprised solely of all of the independent directors of the Company, has approved the Loan Portfolio Acquisition Agreement and the Transactions contemplated thereby.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January 1, 2024, the Loan Portfolio comprised 24 loans with an aggregate value of approximately $130 million. CALP has agreed to use reasonable best efforts to add 4 loans with an aggregate value of approximately $43 million to the Loan Portfolio prior to the Closing. The Company and CALP may also agree to the addition of other loans to the Loan Portfolio prior to the Closing. The inclusion and/or addition of certain loans to the Loan Portfolio requires third-party consents, and/or such loans may need to be acquired by CALP, and there can be no assurance that any additional loans will be added to the Loan Portfolio prior to the Closing. Certain loans may also be removed from the Loan Portfolio upon the agreement of the Company and CALP, if required third-party consents are not obtained, or upon the repayment of the loans.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The Transactions; Valuations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the Closing, (x) CALP shall sell and transfer to the Company, and the Company shall purchase and acquire from CALP, the Loan Portfolio, including all of CALP’s right, title and interest in, to and under each loan in the Loan Portfolio, the loan documents, collateral and files relating to each loan in the Loan Portfolio, and all amounts received by CALP after the Closing Cut-off Time (as defined below) arising under or in connection with each such loan (the “Contributed Investment Assets”), and (y) the Company shall issue and sell to CALP, and CALP shall purchase and acquire from the Company, such number of newly issued shares of the Company’s common stock (the “Purchased Shares”) equal to (i) the fair value of the Contributed Investment Assets (the “Contributed Investment Assets Fair Value”) as of the Closing Cut-off Time, divided by (ii) the SSIC NAV Per Share. The “SSIC NAV Per Share” means the SSIC NAV (as defined below) divided by the number of outstanding shares of the Company’s common stock as of the Closing Cut-off Time.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Promptly, and within twenty-four (24) hours following 5:00 p.m. Central time on the second day (excluding Sundays and holidays) immediately prior to the Closing Date (the “Closing Cut-off Time”), the Company will deliver to CALP a calculation of the net asset value of the Company (the “SSIC NAV”) and the Contributed Investment Assets Fair Value as of the Closing Cut-off Time, in each case using the valuation policies and procedures of the Company (the “Calculation Notice”). To the extent that CALP does not agree with the calculation of the SSIC NAV or the Contributed Investment Assets Fair Value presented by the Company and set forth in the Calculation Notice, the parties shall negotiate in good faith to agree upon the calculation of the SSIC NAV or the Contributed Investment Assets Fair Value, as the case may be, prior to Closing.</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Closing Conditions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Consummation of the Transactions is subject to certain closing conditions, including (1) requisite approvals of the Company’s stockholders, (2) finalization of the Contributed Investment Assets Fair Value and SSIC NAV calculations, (3) the absence of certain legal impediments or challenges to the consummation of the Transactions by a governmental entity, (4) the effectiveness of a registration statement registering the issuance of the new shares of the Company’s common stock and the listing of the new shares of the Company’s common stock on the NASDAQ Global Market, (5) the Purchased Shares, after giving effect to the Stock Issuance, would collectively constitute at least 65%, but no more than 75%, of the total issued and outstanding shares of the Company’s common stock, (6) the absence of a “material adverse effect” on the applicable party (or the Adviser) and (7) subject to certain exceptions, the accuracy of the representations, warranties and other factual statements and compliance with the covenants set forth in the Loan Portfolio Acquisition Agreement.</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No-Solicitation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Loan Portfolio Acquisition Agreement provides that the Company must immediately terminate any existing discussions and negotiations regarding any competing proposals and may not solicit competing proposals, or, subject to certain exceptions, enter into discussions or negotiations or provide information in connection with any competing proposal. However, the Board may, subject to certain conditions (including engaging in negotiations with CALP, if CALP wishes to negotiate), change its recommendation to the stockholders of the Company and, subject to payment by the Company of a termination fee in an amount of $6,046,613 (the “Termination Fee”), terminate the Loan Portfolio Acquisition Agreement to enter into a definitive agreement with respect to a superior proposal if the Board (acting on the recommendation of the Special Committee) determines in good faith, after consultation with its outside financial advisor and outside legal counsel that the failure to take such action would be reasonably likely to constitute a breach of the standard of conduct applicable to the directors of the Company under applicable law (taking into account, among other factors, any changes to the Loan Portfolio Acquisition Agreement proposed by CALP).</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200" w:after="200"/>
        <w:jc w:val="left"/>
        <w:rPr/>
      </w:pPr>
      <w:hyperlink w:anchor="TABLEOFCONTENTS">
        <w:r>
          <w:rPr/>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200" w:after="200"/>
        <w:jc w:val="left"/>
        <w:rPr/>
      </w:pPr>
      <w:r>
        <w:rPr/>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Financial Statements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Termination; Termination Fees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Loan Portfolio Acquisition Agreement contains certain reciprocal termination rights for both parties, including if the Transactions are not consummated on or before November 18, 2024 or if the requisite approvals of the Company stockholders are not obtained. In addition, the Loan Portfolio Acquisition Agreement contains certain termination rights for the Company and CALP, including the right of the Company to terminate the Agreement in order for the Company to enter into a definitive agreement with respect to a superior proposal, subject to complying with certain requirements and the payment by the Company to CALP of the Termination Fee. CALP also has a right to terminate the Loan Portfolio Acquisition Agreement in the event the Board changes its recommendation to the stockholders of the Company (subject to payment of the Termination Fee) or in the event the Company or the Board materially breaches their respective nonsolicitation obligations (subject to payment of the Termination Fee in certain circumstances). The Termination Fee is also payable in the event of certain other terminations when a competing proposal has been made public (or was otherwise known to the Board) and was not withdrawn prior to termination and a definitive agreement is entered into a competing proposal or a competing proposal is consummated within twelve months after such termination.</w:t>
      </w:r>
    </w:p>
    <w:p>
      <w:pPr>
        <w:pStyle w:val="TextBody"/>
        <w:bidi w:val="0"/>
        <w:spacing w:before="0" w:after="0"/>
        <w:jc w:val="both"/>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Representations, Warranties and Covenants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Loan Portfolio Acquisition Agreement contains customary representations and warranties by each of the Company and CALP and certain statements regarding the Adviser. The Loan Portfolio Acquisition Agreement also contains customary covenants, including, among others, covenants relating to the operation of each of the Company’s and CALP’s businesses during the period prior to Closing. The Company has agreed to convene and hold a stockholder meeting for the purpose of obtaining the approvals required of its stockholders and has agreed that the Board will, subject to certain exceptions, recommend that the Company stockholders approve the applicable proposals in connection with the Transactions.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Indemnification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Subject to the terms of the Loan Portfolio Acquisition Agreement, CALP will indemnify the Company for damages, losses, liabilities and expenses suffered by the Company arising out of any inaccuracy, misrepresentation or breach of certain representations of CALP with respect to the Contributed Investment Assets, subject to certain per-claim and aggregate deductibles. CALP’s maximum liability with respect to claims of indemnification by the Company will not exceed the value of such number of Purchased Shares (the “Holdback Shares”) equal to the lesser of: (x) the quotient of (i) $10,000,000 divided by (ii) the SSIC NAV Per Share or (y) 3% of the total issued and outstanding shares of the Company’s common stock after giving effect to the Stock Issuance. From the time of the issuance of the Holdback Shares until the six month anniversary of the Closing Date (the “Holdback Release Date”), CALP will not be allowed to sell, transfer, distribute, hypothecate, pledge, grant any option to purchase or otherwise dispose of or agree to dispose of, directly or indirectly, any Holdback Shares (the “Transfer Restrictions”). Upon the Holdback Release Date, the Holdback Shares that are not subject to pending claims will cease to be subject to the Transfer Restrictions.</w:t>
      </w:r>
    </w:p>
    <w:p>
      <w:pPr>
        <w:pStyle w:val="TextBody"/>
        <w:bidi w:val="0"/>
        <w:spacing w:before="0" w:after="0"/>
        <w:jc w:val="both"/>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All fees and expenses incurred in connection with the Transactions will be borne by the party incurring such fees or expenses except that transfer and similar taxes incurred in connection with the consummation of the Transactions will be borne by the Company.</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Voting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February 18, 2024, CALP, SSC, Silver Spike Holdings, LP (“Silver Spike Holdings”), the managing member of SSC, and Scott Gordon, managing member of the general partner of Silver Spike Holdings, entered into a Voting Agreement (the “Voting Agreement”), pursuant to which, among other things, SSC has agreed (i) to vote all shares of the Company’s common stock beneficially owned by SSC in favor of the Transactions, (ii) to vote against any competing proposal or a superior proposal and (iii)  not enter into any contract, option or other arrangement or understanding with respect to the transfer of any shares of the Company’s common stock beneficially owned by SSC, other than certain customary exceptions.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Voting Agreement will terminate upon the earliest to occur of: (i) the mutual consent of CALP and SSC, (ii) the termination of the Loan Portfolio Acquisition Agreement in accordance with its terms or (iii) the Closing. SSC has also the right to terminate the Voting Agreement if the Loan Portfolio Acquisition Agreement is amended in a manner materially averse to SSC without SSC’s consent.</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General</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Loan Portfolio Acquisition Agreement does not purport to be complete and is qualified in its entirety by reference to the full text of the Loan Portfolio Acquisition Agreement. The representations, warranties, covenants and agreements contained in the Loan Portfolio Acquisition Agreement were made only for purposes of the Loan Portfolio Acquisition Agreement and as of specific dates; were solely for the benefit of the parties to the Loan Portfolio Acquisition Agreement (except as may be expressly set forth in the Loan Portfolio Acquisition Agreement); may be subject to limitations agreed upon by the parties, including being qualified by confidential disclosures made for the purposes of allocating contractual risk between the parties to the Loan Portfolio Acquisition Agreement instead of establishing these matters as facts; and may be subject to standards of materiality applicable to the contracting parties that differ from those applicable to investors. Investors and security holders should not rely on such representations, warranties, covenants or agreements, or any descriptions thereof, as characterizations of the actual state of facts or condition of any of the parties to the Loan Portfolio Acquisition Agreement or any of their respective subsidiaries or affiliates. Moreover, information concerning the subject matter of the representations, warranties, covenants and agreements may change after the date of the Loan Portfolio Acquisition Agreement, which subsequent information may or may not be fully reflected in public disclosures by the parties to the Loan Portfolio Acquisition Agreement.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200" w:after="200"/>
        <w:jc w:val="left"/>
        <w:rPr/>
      </w:pPr>
      <w:hyperlink w:anchor="TABLEOFCONTENTS">
        <w:r>
          <w:rPr/>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SILVER SPIKE INVESTMENT CORP.</w:t>
      </w:r>
    </w:p>
    <w:p>
      <w:pPr>
        <w:pStyle w:val="TextBody"/>
        <w:bidi w:val="0"/>
        <w:spacing w:before="200" w:after="200"/>
        <w:jc w:val="left"/>
        <w:rPr/>
      </w:pPr>
      <w:r>
        <w:rPr/>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Financial Statements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13 — SUBSEQUENT EVENTS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Company’s management evaluated subsequent events through the date on which the financial statements were issued. Other than the item listed below, there have been no subsequent events that occurred during such period that have required adjustment or disclosure in the financial statements.</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July 16, 2024, the Company invested $3.3 million in Ascend Wellness Holdings, Inc.’s 12.75% senior secured notes due in 2029.</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August 7, 2024, the Board approved a cash dividend of $0.25/share. The dividend is payable on September 27, 2024 to stockholders of record on September 19, 2024.</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r>
        <w:rPr>
          <w:rFonts w:ascii="Times New Roman;Times;serif" w:hAnsi="Times New Roman;Times;serif"/>
          <w:color w:val="000000"/>
          <w:sz w:val="20"/>
          <w:shd w:fill="FFFFFF" w:val="clear"/>
        </w:rPr>
        <w:t xml:space="preserve"> </w:t>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SILVER SPIKE INVESTMENT CORP.</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ManagementsDiscussionandA"/>
      <w:bookmarkStart w:id="11" w:name="ManagementsDiscussionandA"/>
      <w:bookmarkEnd w:id="11"/>
    </w:p>
    <w:tbl>
      <w:tblPr>
        <w:tblW w:w="9790" w:type="dxa"/>
        <w:jc w:val="left"/>
        <w:tblInd w:w="0" w:type="dxa"/>
        <w:tblLayout w:type="fixed"/>
        <w:tblCellMar>
          <w:top w:w="0" w:type="dxa"/>
          <w:left w:w="0" w:type="dxa"/>
          <w:bottom w:w="0" w:type="dxa"/>
          <w:right w:w="0" w:type="dxa"/>
        </w:tblCellMar>
      </w:tblPr>
      <w:tblGrid>
        <w:gridCol w:w="740"/>
        <w:gridCol w:w="9050"/>
      </w:tblGrid>
      <w:tr>
        <w:trPr/>
        <w:tc>
          <w:tcPr>
            <w:tcW w:w="740" w:type="dxa"/>
            <w:tcBorders/>
            <w:vAlign w:val="center"/>
          </w:tcPr>
          <w:p>
            <w:pPr>
              <w:pStyle w:val="TableContents"/>
              <w:bidi w:val="0"/>
              <w:spacing w:before="0" w:after="283"/>
              <w:jc w:val="left"/>
              <w:rPr>
                <w:b/>
                <w:color w:val="000000"/>
              </w:rPr>
            </w:pPr>
            <w:r>
              <w:rPr>
                <w:b/>
                <w:color w:val="000000"/>
              </w:rPr>
              <w:t>Item 2.</w:t>
            </w:r>
          </w:p>
        </w:tc>
        <w:tc>
          <w:tcPr>
            <w:tcW w:w="9050" w:type="dxa"/>
            <w:tcBorders/>
            <w:vAlign w:val="center"/>
          </w:tcPr>
          <w:p>
            <w:pPr>
              <w:pStyle w:val="TableContents"/>
              <w:bidi w:val="0"/>
              <w:spacing w:before="0" w:after="0"/>
              <w:jc w:val="left"/>
              <w:rPr>
                <w:b/>
              </w:rPr>
            </w:pPr>
            <w:r>
              <w:rPr>
                <w:b/>
              </w:rPr>
              <w:t>Management’s Discussion and Analysis of Financial Condition and Results of Operations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The following discussion and analysis or our financial condition and results of operations should be read together with the financial statements and the related notes that are included in Item 1 of Part I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entitled “Item 1A. Risk Factors” in our annual report on Form 10-K for the fiscal year ended December 31, 2023 and elsewhere in this quarterly report on Form 10-Q. Please also see the section entitled “Special Note Regarding Forward-Looking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Overview</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were formed in January 2021 as a Maryland corporation and structured as an externally managed, closed-end, non-diversified management investment company. We have elected to be treated as a BDC under the 1940 Act. In addition, for U.S. federal income tax purposes we have elected to be treated, and intend to qualify annually to be treated, as a RIC under Subchapter M of the Code, commencing with our taxable year ended March 31, 2022. On November 8, 2022, our Board of Directors approved a change in our fiscal year end from March 31 to December 31.</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are a specialty finance company that may invest across the cannabis ecosystem through investments in the form of direct loans to, and equity ownership of, privately held cannabis companies. All of our investments are designed to be compliant with all applicable laws and regulations within the jurisdictions in which they are made or to which we are otherwise subject, including U.S. federal laws. We will make equity investments only in companies that are compliant with all applicable laws and regulations within the jurisdictions in which they are located or operate, including U.S. federal laws. We may make loans to companies that we determine based on our due diligence are licensed in, and complying with, state-regulated cannabis programs, regardless of their status under U.S. federal law, so long as the investment itself is designed to be compliant with all applicable laws and regulations in the jurisdiction in which the investment is made or to which we are otherwise subject, including U.S. federal law. We are externally managed by SSC and seek to expand the compliant cannabis investment activities of SSC’s leading investment platform in the cannabis industry. We primarily seek to partner with private equity firms, entrepreneurs, business owners and management teams to provide credit and equity financing alternatives to support buyouts, recapitalizations, growth initiatives, refinancings and acquisitions across cannabis companies, including cannabis-enabling technology companies, cannabis-related health and wellness companies, and hemp and CBD distribution companies. Under normal circumstances, each such cannabis company derives at least 50% of its revenues or profits from, or commits at least 50% of its assets to, activities related to cannabis at the time of our investment in the cannabis company. We are not required to invest a specific percentage of our assets in such cannabis companies, and we may make debt and equity investments in other companies regardless of sector.</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investment objective is to maximize risk-adjusted returns on equity for our shareholders. We seek to capitalize on what we believe to be nascent cannabis industry growth and drive return on equity by generating current income from our debt investments and capital appreciation from our equity and equity-related investments. We intend to achieve our investment objective by investing primarily in secured debt, unsecured debt, equity warrants and direct equity investments in privately held businesses. We intend that our debt investments will often be secured by either a first or second priority lien on the assets of the portfolio company, can include either fixed or floating rate terms and will generally have a term of between three and six years from the original investment date. To date, we have invested in first lien secured, fixed and floating rate debt with terms of two to four years. We expect our secured loans to be secured by various types of assets of our borrowers. While the types of collateral securing any given secured loan will depend on the nature of the borrower’s business, common types of collateral we expect to secure our loans include real property and certain personal property, including equipment, inventory, receivables, cash, intellectual property rights and other assets to the extent permitted by applicable laws and the regulations governing our borrowers. Certain attractive assets of our borrowers, such as cannabis licenses and cannabis inventory, may not be able to be used as collateral or transferred to us. See “Item 1A. Risk Factors—Risks Relating to Our Investments—Certain assets of our borrowers may not be used as collateral or transferred to us due to applicable state laws and regulations governing the cannabis industry, and such restrictions could negatively impact our profitability.”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Generally, the loans we invest in have a complete set of financial maintenance covenants, which are used to proactively address materially adverse changes in a portfolio company’s financial performance. However, we may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r>
        <w:rPr>
          <w:rFonts w:ascii="Times New Roman;Times;serif" w:hAnsi="Times New Roman;Times;serif"/>
          <w:color w:val="000000"/>
          <w:sz w:val="20"/>
          <w:shd w:fill="FFFFFF" w:val="clear"/>
        </w:rPr>
        <w:t xml:space="preserve"> </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loans in which we tend to invest typically pay interest at rates which are determined periodically on the basis of PRIME plus a premium. The loans in which we have invested and expect to invest are typically made to U.S. and, to a limited extent, non-U.S. (including emerging market) corporations, partnerships and other business entities which operate in various industries and geographical regions. These loans typically are not rated or are rated below investment grade. Securities rated below investment grade are often referred to as “high-yield” or “junk” securities, and may be considered a higher risk than debt instruments that are rated above investment grade.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have typically invested in and expect to continue to invest in loans made primarily to private leveraged middle-market companies with up to $100 million of earnings before interest, taxes, depreciation and amortization, or “EBITDA.” Our business model is focused primarily on the direct origination of investments through portfolio companies or their financial sponsors. We expect that our investments will generally range between $4 million and $40 million each, although we expect that this investment size will vary proportionately with the size of our capital base. We have an active pipeline of investments and are currently reviewing approximately $560 million of potential investments in varying stages of underwriting.</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None of our investment policies are fundamental, and thus may be changed without stockholder approval.</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are externally managed by SSC. SSC also provides the administrative services necessary for us to operate. We believe that our ability to leverage the existing investment management platform of SSC enables us to operate more efficiently and with lower overhead costs than other newly formed funds of comparable size.</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Revenues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generate revenues primarily in the form of interest income from the investments we hold. In addition, we may generate income from dividends on either direct equity investments or equity interests obtained in connection with originating loans, such as options, warrants or conversion rights. Our debt investments typically have a term of three to six years. Our loan portfolio will bear interest at a fixed or floating rate, subject to interest rate floors in certain cases. Interest on our debt investments will generally be payable either monthly or quarterly, but may be semi-annually.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investment portfolio consists of fixed and floating rate loans, and our credit facilities, if any, will bear interest at floating rates. Macro trends in base interest rates like PRIME may affect our net investment income (loss) over the long term.</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accrete premiums or amortize discounts into interest income using the effective yield method for term instruments. Repayments of our debt investments will reduce interest income in future periods. The frequency or volume of these repayments may fluctuate significantly. We will record prepayment premiums on loans as interest income.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Dividend income on equity investments, if applicable, will be recorded on the record date for private portfolio companies or on the ex-dividend date for publicly traded companies.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portfolio activity may also reflect the proceeds from sales of investments. We will recognize realized gains or losses on sales of investments based on the difference between the net proceeds from the disposition and the amortized cost basis of the investment, without regard to unrealized gains or losses previously recognized. We will record current-period changes in fair value of investments that are measured at fair value as a component of the net change in unrealized gains (losses) on investments on the Statements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Expenses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primary operating expenses are a base management fee and any incentive fees under the Investment Advisory Agreement. Our investment management fee compensates our Adviser for its work in identifying, evaluating, negotiating, executing, monitoring, servicing and realizing our investments. See “Item 1. Business—Investment Advisory Agreement.”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Except as specifically provided below, all investment professionals and staff of the Adviser, when and to the extent engaged in providing investment advisory and management services to us, the base compensation, bonus and benefits, and the routine overhead expenses of such personnel allocable to such services, are provided and paid for by the Adviser. We may bear our allocable portion of the compensation paid by the Adviser (or its affiliates) to our CFO and CCO and their respective staffs (based on a percentage of time such individuals devote, on an estimated basis, to our business affairs). We may bear any other expenses of our operations and transactions, including (without limitation) fees and expenses relating to:</w:t>
      </w:r>
    </w:p>
    <w:p>
      <w:pPr>
        <w:pStyle w:val="TextBody"/>
        <w:bidi w:val="0"/>
        <w:spacing w:before="0" w:after="0"/>
        <w:jc w:val="left"/>
        <w:rPr/>
      </w:pPr>
      <w:r>
        <w:rPr/>
      </w:r>
    </w:p>
    <w:tbl>
      <w:tblPr>
        <w:tblW w:w="4128" w:type="dxa"/>
        <w:jc w:val="left"/>
        <w:tblInd w:w="0" w:type="dxa"/>
        <w:tblLayout w:type="fixed"/>
        <w:tblCellMar>
          <w:top w:w="0" w:type="dxa"/>
          <w:left w:w="0" w:type="dxa"/>
          <w:bottom w:w="0" w:type="dxa"/>
          <w:right w:w="0" w:type="dxa"/>
        </w:tblCellMar>
      </w:tblPr>
      <w:tblGrid>
        <w:gridCol w:w="38"/>
        <w:gridCol w:w="110"/>
        <w:gridCol w:w="39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980" w:type="dxa"/>
            <w:tcBorders/>
            <w:vAlign w:val="center"/>
          </w:tcPr>
          <w:p>
            <w:pPr>
              <w:pStyle w:val="TableContents"/>
              <w:bidi w:val="0"/>
              <w:spacing w:before="0" w:after="0"/>
              <w:jc w:val="both"/>
              <w:rPr>
                <w:color w:val="000000"/>
              </w:rPr>
            </w:pPr>
            <w:r>
              <w:rPr>
                <w:color w:val="000000"/>
              </w:rPr>
              <w:t>the cost of our organization and offerings;</w:t>
            </w:r>
          </w:p>
        </w:tc>
      </w:tr>
    </w:tbl>
    <w:p>
      <w:pPr>
        <w:pStyle w:val="TextBody"/>
        <w:bidi w:val="0"/>
        <w:spacing w:before="0" w:after="0"/>
        <w:jc w:val="left"/>
        <w:rPr/>
      </w:pPr>
      <w:r>
        <w:rPr/>
      </w:r>
    </w:p>
    <w:tbl>
      <w:tblPr>
        <w:tblW w:w="8508" w:type="dxa"/>
        <w:jc w:val="left"/>
        <w:tblInd w:w="0" w:type="dxa"/>
        <w:tblLayout w:type="fixed"/>
        <w:tblCellMar>
          <w:top w:w="0" w:type="dxa"/>
          <w:left w:w="0" w:type="dxa"/>
          <w:bottom w:w="0" w:type="dxa"/>
          <w:right w:w="0" w:type="dxa"/>
        </w:tblCellMar>
      </w:tblPr>
      <w:tblGrid>
        <w:gridCol w:w="38"/>
        <w:gridCol w:w="110"/>
        <w:gridCol w:w="83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360" w:type="dxa"/>
            <w:tcBorders/>
            <w:vAlign w:val="center"/>
          </w:tcPr>
          <w:p>
            <w:pPr>
              <w:pStyle w:val="TableContents"/>
              <w:bidi w:val="0"/>
              <w:spacing w:before="0" w:after="0"/>
              <w:jc w:val="both"/>
              <w:rPr>
                <w:color w:val="000000"/>
              </w:rPr>
            </w:pPr>
            <w:r>
              <w:rPr>
                <w:color w:val="000000"/>
              </w:rPr>
              <w:t>the cost of calculating our NAV, including the cost of any third-party valuation services;</w:t>
            </w:r>
          </w:p>
        </w:tc>
      </w:tr>
    </w:tbl>
    <w:p>
      <w:pPr>
        <w:pStyle w:val="TextBody"/>
        <w:bidi w:val="0"/>
        <w:spacing w:before="0" w:after="0"/>
        <w:jc w:val="left"/>
        <w:rPr/>
      </w:pPr>
      <w:r>
        <w:rPr/>
      </w:r>
    </w:p>
    <w:tbl>
      <w:tblPr>
        <w:tblW w:w="9033" w:type="dxa"/>
        <w:jc w:val="left"/>
        <w:tblInd w:w="0" w:type="dxa"/>
        <w:tblLayout w:type="fixed"/>
        <w:tblCellMar>
          <w:top w:w="0" w:type="dxa"/>
          <w:left w:w="0" w:type="dxa"/>
          <w:bottom w:w="0" w:type="dxa"/>
          <w:right w:w="0" w:type="dxa"/>
        </w:tblCellMar>
      </w:tblPr>
      <w:tblGrid>
        <w:gridCol w:w="38"/>
        <w:gridCol w:w="110"/>
        <w:gridCol w:w="88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885" w:type="dxa"/>
            <w:tcBorders/>
            <w:vAlign w:val="center"/>
          </w:tcPr>
          <w:p>
            <w:pPr>
              <w:pStyle w:val="TableContents"/>
              <w:bidi w:val="0"/>
              <w:spacing w:before="0" w:after="0"/>
              <w:jc w:val="both"/>
              <w:rPr>
                <w:color w:val="000000"/>
              </w:rPr>
            </w:pPr>
            <w:r>
              <w:rPr>
                <w:color w:val="000000"/>
              </w:rPr>
              <w:t>the cost of effecting sales and repurchases of shares of our common stock and other securities;</w:t>
            </w:r>
          </w:p>
        </w:tc>
      </w:tr>
    </w:tbl>
    <w:p>
      <w:pPr>
        <w:pStyle w:val="TextBody"/>
        <w:bidi w:val="0"/>
        <w:spacing w:before="0" w:after="0"/>
        <w:jc w:val="left"/>
        <w:rPr/>
      </w:pPr>
      <w:r>
        <w:rPr/>
      </w:r>
    </w:p>
    <w:tbl>
      <w:tblPr>
        <w:tblW w:w="6798" w:type="dxa"/>
        <w:jc w:val="left"/>
        <w:tblInd w:w="0" w:type="dxa"/>
        <w:tblLayout w:type="fixed"/>
        <w:tblCellMar>
          <w:top w:w="0" w:type="dxa"/>
          <w:left w:w="0" w:type="dxa"/>
          <w:bottom w:w="0" w:type="dxa"/>
          <w:right w:w="0" w:type="dxa"/>
        </w:tblCellMar>
      </w:tblPr>
      <w:tblGrid>
        <w:gridCol w:w="38"/>
        <w:gridCol w:w="110"/>
        <w:gridCol w:w="66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650" w:type="dxa"/>
            <w:tcBorders/>
            <w:vAlign w:val="center"/>
          </w:tcPr>
          <w:p>
            <w:pPr>
              <w:pStyle w:val="TableContents"/>
              <w:bidi w:val="0"/>
              <w:spacing w:before="0" w:after="0"/>
              <w:jc w:val="both"/>
              <w:rPr>
                <w:color w:val="000000"/>
              </w:rPr>
            </w:pPr>
            <w:r>
              <w:rPr>
                <w:color w:val="000000"/>
              </w:rPr>
              <w:t>fees and expenses payable under any underwriting agreements, if any;</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r>
        <w:rPr>
          <w:rFonts w:ascii="Times New Roman;Times;serif" w:hAnsi="Times New Roman;Times;serif"/>
          <w:color w:val="000000"/>
          <w:sz w:val="20"/>
          <w:shd w:fill="FFFFFF" w:val="clear"/>
        </w:rPr>
        <w:t xml:space="preserve"> </w:t>
      </w:r>
    </w:p>
    <w:tbl>
      <w:tblPr>
        <w:tblW w:w="7293" w:type="dxa"/>
        <w:jc w:val="left"/>
        <w:tblInd w:w="0" w:type="dxa"/>
        <w:tblLayout w:type="fixed"/>
        <w:tblCellMar>
          <w:top w:w="0" w:type="dxa"/>
          <w:left w:w="0" w:type="dxa"/>
          <w:bottom w:w="0" w:type="dxa"/>
          <w:right w:w="0" w:type="dxa"/>
        </w:tblCellMar>
      </w:tblPr>
      <w:tblGrid>
        <w:gridCol w:w="38"/>
        <w:gridCol w:w="110"/>
        <w:gridCol w:w="71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145" w:type="dxa"/>
            <w:tcBorders/>
            <w:vAlign w:val="center"/>
          </w:tcPr>
          <w:p>
            <w:pPr>
              <w:pStyle w:val="TableContents"/>
              <w:bidi w:val="0"/>
              <w:spacing w:before="0" w:after="0"/>
              <w:jc w:val="both"/>
              <w:rPr>
                <w:color w:val="000000"/>
              </w:rPr>
            </w:pPr>
            <w:r>
              <w:rPr>
                <w:color w:val="000000"/>
              </w:rPr>
              <w:t>debt service and other costs of borrowings or other financing arrangements;</w:t>
            </w:r>
          </w:p>
        </w:tc>
      </w:tr>
    </w:tbl>
    <w:p>
      <w:pPr>
        <w:pStyle w:val="TextBody"/>
        <w:bidi w:val="0"/>
        <w:spacing w:before="0" w:after="0"/>
        <w:jc w:val="left"/>
        <w:rPr/>
      </w:pPr>
      <w:r>
        <w:rPr/>
      </w:r>
    </w:p>
    <w:tbl>
      <w:tblPr>
        <w:tblW w:w="1788" w:type="dxa"/>
        <w:jc w:val="left"/>
        <w:tblInd w:w="0" w:type="dxa"/>
        <w:tblLayout w:type="fixed"/>
        <w:tblCellMar>
          <w:top w:w="0" w:type="dxa"/>
          <w:left w:w="0" w:type="dxa"/>
          <w:bottom w:w="0" w:type="dxa"/>
          <w:right w:w="0" w:type="dxa"/>
        </w:tblCellMar>
      </w:tblPr>
      <w:tblGrid>
        <w:gridCol w:w="38"/>
        <w:gridCol w:w="110"/>
        <w:gridCol w:w="16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640" w:type="dxa"/>
            <w:tcBorders/>
            <w:vAlign w:val="center"/>
          </w:tcPr>
          <w:p>
            <w:pPr>
              <w:pStyle w:val="TableContents"/>
              <w:bidi w:val="0"/>
              <w:spacing w:before="0" w:after="0"/>
              <w:jc w:val="both"/>
              <w:rPr>
                <w:color w:val="000000"/>
              </w:rPr>
            </w:pPr>
            <w:r>
              <w:rPr>
                <w:color w:val="000000"/>
              </w:rPr>
              <w:t>costs of hedging;</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expenses, including travel expenses, incurred by the Adviser, or members of the investment team, or payable to third-parties, performing due diligence on prospective portfolio companies and, if necessary, enforcing our rights;</w:t>
            </w:r>
          </w:p>
        </w:tc>
      </w:tr>
    </w:tbl>
    <w:p>
      <w:pPr>
        <w:pStyle w:val="TextBody"/>
        <w:bidi w:val="0"/>
        <w:spacing w:before="0" w:after="0"/>
        <w:jc w:val="left"/>
        <w:rPr/>
      </w:pPr>
      <w:r>
        <w:rPr/>
      </w:r>
    </w:p>
    <w:tbl>
      <w:tblPr>
        <w:tblW w:w="8598" w:type="dxa"/>
        <w:jc w:val="left"/>
        <w:tblInd w:w="0" w:type="dxa"/>
        <w:tblLayout w:type="fixed"/>
        <w:tblCellMar>
          <w:top w:w="0" w:type="dxa"/>
          <w:left w:w="0" w:type="dxa"/>
          <w:bottom w:w="0" w:type="dxa"/>
          <w:right w:w="0" w:type="dxa"/>
        </w:tblCellMar>
      </w:tblPr>
      <w:tblGrid>
        <w:gridCol w:w="38"/>
        <w:gridCol w:w="110"/>
        <w:gridCol w:w="84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450" w:type="dxa"/>
            <w:tcBorders/>
            <w:vAlign w:val="center"/>
          </w:tcPr>
          <w:p>
            <w:pPr>
              <w:pStyle w:val="TableContents"/>
              <w:bidi w:val="0"/>
              <w:spacing w:before="0" w:after="0"/>
              <w:jc w:val="both"/>
              <w:rPr>
                <w:color w:val="000000"/>
              </w:rPr>
            </w:pPr>
            <w:r>
              <w:rPr>
                <w:color w:val="000000"/>
              </w:rPr>
              <w:t>management and incentive fees payable pursuant to the Investment Advisory Agreement;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fees payable to third-parties relating to, or associated with, making investments and valuing investments (including third-party valuation firms);</w:t>
            </w:r>
          </w:p>
        </w:tc>
      </w:tr>
    </w:tbl>
    <w:p>
      <w:pPr>
        <w:pStyle w:val="TextBody"/>
        <w:bidi w:val="0"/>
        <w:spacing w:before="0" w:after="0"/>
        <w:jc w:val="left"/>
        <w:rPr/>
      </w:pPr>
      <w:r>
        <w:rPr/>
      </w:r>
    </w:p>
    <w:tbl>
      <w:tblPr>
        <w:tblW w:w="7338" w:type="dxa"/>
        <w:jc w:val="left"/>
        <w:tblInd w:w="0" w:type="dxa"/>
        <w:tblLayout w:type="fixed"/>
        <w:tblCellMar>
          <w:top w:w="0" w:type="dxa"/>
          <w:left w:w="0" w:type="dxa"/>
          <w:bottom w:w="0" w:type="dxa"/>
          <w:right w:w="0" w:type="dxa"/>
        </w:tblCellMar>
      </w:tblPr>
      <w:tblGrid>
        <w:gridCol w:w="38"/>
        <w:gridCol w:w="110"/>
        <w:gridCol w:w="71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190" w:type="dxa"/>
            <w:tcBorders/>
            <w:vAlign w:val="center"/>
          </w:tcPr>
          <w:p>
            <w:pPr>
              <w:pStyle w:val="TableContents"/>
              <w:bidi w:val="0"/>
              <w:spacing w:before="0" w:after="0"/>
              <w:jc w:val="both"/>
              <w:rPr>
                <w:color w:val="000000"/>
              </w:rPr>
            </w:pPr>
            <w:r>
              <w:rPr>
                <w:color w:val="000000"/>
              </w:rPr>
              <w:t>costs, including legal fees, associated with compliance under cannabis laws;</w:t>
            </w:r>
          </w:p>
        </w:tc>
      </w:tr>
    </w:tbl>
    <w:p>
      <w:pPr>
        <w:pStyle w:val="TextBody"/>
        <w:bidi w:val="0"/>
        <w:spacing w:before="0" w:after="0"/>
        <w:jc w:val="left"/>
        <w:rPr/>
      </w:pPr>
      <w:r>
        <w:rPr/>
      </w:r>
    </w:p>
    <w:tbl>
      <w:tblPr>
        <w:tblW w:w="3258" w:type="dxa"/>
        <w:jc w:val="left"/>
        <w:tblInd w:w="0" w:type="dxa"/>
        <w:tblLayout w:type="fixed"/>
        <w:tblCellMar>
          <w:top w:w="0" w:type="dxa"/>
          <w:left w:w="0" w:type="dxa"/>
          <w:bottom w:w="0" w:type="dxa"/>
          <w:right w:w="0" w:type="dxa"/>
        </w:tblCellMar>
      </w:tblPr>
      <w:tblGrid>
        <w:gridCol w:w="38"/>
        <w:gridCol w:w="110"/>
        <w:gridCol w:w="31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110" w:type="dxa"/>
            <w:tcBorders/>
            <w:vAlign w:val="center"/>
          </w:tcPr>
          <w:p>
            <w:pPr>
              <w:pStyle w:val="TableContents"/>
              <w:bidi w:val="0"/>
              <w:spacing w:before="0" w:after="0"/>
              <w:jc w:val="both"/>
              <w:rPr>
                <w:color w:val="000000"/>
              </w:rPr>
            </w:pPr>
            <w:r>
              <w:rPr>
                <w:color w:val="000000"/>
              </w:rPr>
              <w:t>transfer agent and custodial fees;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fees and expenses associated with marketing efforts (including attendance at industry and investor conferences and similar events);</w:t>
            </w:r>
          </w:p>
        </w:tc>
      </w:tr>
    </w:tbl>
    <w:p>
      <w:pPr>
        <w:pStyle w:val="TextBody"/>
        <w:bidi w:val="0"/>
        <w:spacing w:before="0" w:after="0"/>
        <w:jc w:val="left"/>
        <w:rPr/>
      </w:pPr>
      <w:r>
        <w:rPr/>
      </w:r>
    </w:p>
    <w:tbl>
      <w:tblPr>
        <w:tblW w:w="3318" w:type="dxa"/>
        <w:jc w:val="left"/>
        <w:tblInd w:w="0" w:type="dxa"/>
        <w:tblLayout w:type="fixed"/>
        <w:tblCellMar>
          <w:top w:w="0" w:type="dxa"/>
          <w:left w:w="0" w:type="dxa"/>
          <w:bottom w:w="0" w:type="dxa"/>
          <w:right w:w="0" w:type="dxa"/>
        </w:tblCellMar>
      </w:tblPr>
      <w:tblGrid>
        <w:gridCol w:w="38"/>
        <w:gridCol w:w="110"/>
        <w:gridCol w:w="31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170" w:type="dxa"/>
            <w:tcBorders/>
            <w:vAlign w:val="center"/>
          </w:tcPr>
          <w:p>
            <w:pPr>
              <w:pStyle w:val="TableContents"/>
              <w:bidi w:val="0"/>
              <w:spacing w:before="0" w:after="0"/>
              <w:jc w:val="both"/>
              <w:rPr>
                <w:color w:val="000000"/>
              </w:rPr>
            </w:pPr>
            <w:r>
              <w:rPr>
                <w:color w:val="000000"/>
              </w:rPr>
              <w:t>federal and state registration fees;</w:t>
            </w:r>
          </w:p>
        </w:tc>
      </w:tr>
    </w:tbl>
    <w:p>
      <w:pPr>
        <w:pStyle w:val="TextBody"/>
        <w:bidi w:val="0"/>
        <w:spacing w:before="0" w:after="0"/>
        <w:jc w:val="left"/>
        <w:rPr/>
      </w:pPr>
      <w:r>
        <w:rPr/>
      </w:r>
    </w:p>
    <w:tbl>
      <w:tblPr>
        <w:tblW w:w="5958" w:type="dxa"/>
        <w:jc w:val="left"/>
        <w:tblInd w:w="0" w:type="dxa"/>
        <w:tblLayout w:type="fixed"/>
        <w:tblCellMar>
          <w:top w:w="0" w:type="dxa"/>
          <w:left w:w="0" w:type="dxa"/>
          <w:bottom w:w="0" w:type="dxa"/>
          <w:right w:w="0" w:type="dxa"/>
        </w:tblCellMar>
      </w:tblPr>
      <w:tblGrid>
        <w:gridCol w:w="38"/>
        <w:gridCol w:w="110"/>
        <w:gridCol w:w="58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810" w:type="dxa"/>
            <w:tcBorders/>
            <w:vAlign w:val="center"/>
          </w:tcPr>
          <w:p>
            <w:pPr>
              <w:pStyle w:val="TableContents"/>
              <w:bidi w:val="0"/>
              <w:spacing w:before="0" w:after="0"/>
              <w:jc w:val="both"/>
              <w:rPr>
                <w:color w:val="000000"/>
              </w:rPr>
            </w:pPr>
            <w:r>
              <w:rPr>
                <w:color w:val="000000"/>
              </w:rPr>
              <w:t>any exchange listing fees and fees payable to rating agencies;</w:t>
            </w:r>
          </w:p>
        </w:tc>
      </w:tr>
    </w:tbl>
    <w:p>
      <w:pPr>
        <w:pStyle w:val="TextBody"/>
        <w:bidi w:val="0"/>
        <w:spacing w:before="0" w:after="0"/>
        <w:jc w:val="left"/>
        <w:rPr/>
      </w:pPr>
      <w:r>
        <w:rPr/>
      </w:r>
    </w:p>
    <w:tbl>
      <w:tblPr>
        <w:tblW w:w="2883" w:type="dxa"/>
        <w:jc w:val="left"/>
        <w:tblInd w:w="0" w:type="dxa"/>
        <w:tblLayout w:type="fixed"/>
        <w:tblCellMar>
          <w:top w:w="0" w:type="dxa"/>
          <w:left w:w="0" w:type="dxa"/>
          <w:bottom w:w="0" w:type="dxa"/>
          <w:right w:w="0" w:type="dxa"/>
        </w:tblCellMar>
      </w:tblPr>
      <w:tblGrid>
        <w:gridCol w:w="38"/>
        <w:gridCol w:w="110"/>
        <w:gridCol w:w="27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2735" w:type="dxa"/>
            <w:tcBorders/>
            <w:vAlign w:val="center"/>
          </w:tcPr>
          <w:p>
            <w:pPr>
              <w:pStyle w:val="TableContents"/>
              <w:bidi w:val="0"/>
              <w:spacing w:before="0" w:after="0"/>
              <w:jc w:val="both"/>
              <w:rPr>
                <w:color w:val="000000"/>
              </w:rPr>
            </w:pPr>
            <w:r>
              <w:rPr>
                <w:color w:val="000000"/>
              </w:rPr>
              <w:t>federal, state and local taxes;</w:t>
            </w:r>
          </w:p>
        </w:tc>
      </w:tr>
    </w:tbl>
    <w:p>
      <w:pPr>
        <w:pStyle w:val="TextBody"/>
        <w:bidi w:val="0"/>
        <w:spacing w:before="0" w:after="0"/>
        <w:jc w:val="left"/>
        <w:rPr/>
      </w:pPr>
      <w:r>
        <w:rPr/>
      </w:r>
    </w:p>
    <w:tbl>
      <w:tblPr>
        <w:tblW w:w="6603" w:type="dxa"/>
        <w:jc w:val="left"/>
        <w:tblInd w:w="0" w:type="dxa"/>
        <w:tblLayout w:type="fixed"/>
        <w:tblCellMar>
          <w:top w:w="0" w:type="dxa"/>
          <w:left w:w="0" w:type="dxa"/>
          <w:bottom w:w="0" w:type="dxa"/>
          <w:right w:w="0" w:type="dxa"/>
        </w:tblCellMar>
      </w:tblPr>
      <w:tblGrid>
        <w:gridCol w:w="38"/>
        <w:gridCol w:w="110"/>
        <w:gridCol w:w="64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455" w:type="dxa"/>
            <w:tcBorders/>
            <w:vAlign w:val="center"/>
          </w:tcPr>
          <w:p>
            <w:pPr>
              <w:pStyle w:val="TableContents"/>
              <w:bidi w:val="0"/>
              <w:spacing w:before="0" w:after="0"/>
              <w:jc w:val="both"/>
              <w:rPr>
                <w:color w:val="000000"/>
              </w:rPr>
            </w:pPr>
            <w:r>
              <w:rPr>
                <w:color w:val="000000"/>
              </w:rPr>
              <w:t>independent directors’ fees and expenses, including travel expenses;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cost of preparing financial statements and maintaining books and records and filing reports or other documents with the SEC (or other regulatory bodies) and other reporting and compliance costs, and the compensation of professionals responsible for the preparation of the foregoing;</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cost of any reports, proxy statements or other notices to our stockholders (including printing and mailing costs), the costs of any stockholder or director meetings and the compensation of investor relations personnel responsible for the preparation of the foregoing and related matters;</w:t>
            </w:r>
          </w:p>
        </w:tc>
      </w:tr>
    </w:tbl>
    <w:p>
      <w:pPr>
        <w:pStyle w:val="TextBody"/>
        <w:bidi w:val="0"/>
        <w:spacing w:before="0" w:after="0"/>
        <w:jc w:val="left"/>
        <w:rPr/>
      </w:pPr>
      <w:r>
        <w:rPr/>
      </w:r>
    </w:p>
    <w:tbl>
      <w:tblPr>
        <w:tblW w:w="7548" w:type="dxa"/>
        <w:jc w:val="left"/>
        <w:tblInd w:w="0" w:type="dxa"/>
        <w:tblLayout w:type="fixed"/>
        <w:tblCellMar>
          <w:top w:w="0" w:type="dxa"/>
          <w:left w:w="0" w:type="dxa"/>
          <w:bottom w:w="0" w:type="dxa"/>
          <w:right w:w="0" w:type="dxa"/>
        </w:tblCellMar>
      </w:tblPr>
      <w:tblGrid>
        <w:gridCol w:w="38"/>
        <w:gridCol w:w="110"/>
        <w:gridCol w:w="74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400" w:type="dxa"/>
            <w:tcBorders/>
            <w:vAlign w:val="center"/>
          </w:tcPr>
          <w:p>
            <w:pPr>
              <w:pStyle w:val="TableContents"/>
              <w:bidi w:val="0"/>
              <w:spacing w:before="0" w:after="0"/>
              <w:jc w:val="both"/>
              <w:rPr>
                <w:color w:val="000000"/>
              </w:rPr>
            </w:pPr>
            <w:r>
              <w:rPr>
                <w:color w:val="000000"/>
              </w:rPr>
              <w:t>brokerage commissions and other compensation payable to brokers or dealers;</w:t>
            </w:r>
          </w:p>
        </w:tc>
      </w:tr>
    </w:tbl>
    <w:p>
      <w:pPr>
        <w:pStyle w:val="TextBody"/>
        <w:bidi w:val="0"/>
        <w:spacing w:before="0" w:after="0"/>
        <w:jc w:val="left"/>
        <w:rPr/>
      </w:pPr>
      <w:r>
        <w:rPr/>
      </w:r>
    </w:p>
    <w:tbl>
      <w:tblPr>
        <w:tblW w:w="2583" w:type="dxa"/>
        <w:jc w:val="left"/>
        <w:tblInd w:w="0" w:type="dxa"/>
        <w:tblLayout w:type="fixed"/>
        <w:tblCellMar>
          <w:top w:w="0" w:type="dxa"/>
          <w:left w:w="0" w:type="dxa"/>
          <w:bottom w:w="0" w:type="dxa"/>
          <w:right w:w="0" w:type="dxa"/>
        </w:tblCellMar>
      </w:tblPr>
      <w:tblGrid>
        <w:gridCol w:w="38"/>
        <w:gridCol w:w="110"/>
        <w:gridCol w:w="24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2435" w:type="dxa"/>
            <w:tcBorders/>
            <w:vAlign w:val="center"/>
          </w:tcPr>
          <w:p>
            <w:pPr>
              <w:pStyle w:val="TableContents"/>
              <w:bidi w:val="0"/>
              <w:spacing w:before="0" w:after="0"/>
              <w:jc w:val="both"/>
              <w:rPr>
                <w:color w:val="000000"/>
              </w:rPr>
            </w:pPr>
            <w:r>
              <w:rPr>
                <w:color w:val="000000"/>
              </w:rPr>
              <w:t>research and market data;</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fidelity bond, directors’ and officers’ errors and omissions liability insurance and other insurance premiums;</w:t>
            </w:r>
          </w:p>
        </w:tc>
      </w:tr>
    </w:tbl>
    <w:p>
      <w:pPr>
        <w:pStyle w:val="TextBody"/>
        <w:bidi w:val="0"/>
        <w:spacing w:before="0" w:after="0"/>
        <w:jc w:val="left"/>
        <w:rPr/>
      </w:pPr>
      <w:r>
        <w:rPr/>
      </w:r>
    </w:p>
    <w:tbl>
      <w:tblPr>
        <w:tblW w:w="7758" w:type="dxa"/>
        <w:jc w:val="left"/>
        <w:tblInd w:w="0" w:type="dxa"/>
        <w:tblLayout w:type="fixed"/>
        <w:tblCellMar>
          <w:top w:w="0" w:type="dxa"/>
          <w:left w:w="0" w:type="dxa"/>
          <w:bottom w:w="0" w:type="dxa"/>
          <w:right w:w="0" w:type="dxa"/>
        </w:tblCellMar>
      </w:tblPr>
      <w:tblGrid>
        <w:gridCol w:w="38"/>
        <w:gridCol w:w="110"/>
        <w:gridCol w:w="76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610" w:type="dxa"/>
            <w:tcBorders/>
            <w:vAlign w:val="center"/>
          </w:tcPr>
          <w:p>
            <w:pPr>
              <w:pStyle w:val="TableContents"/>
              <w:bidi w:val="0"/>
              <w:spacing w:before="0" w:after="0"/>
              <w:jc w:val="both"/>
              <w:rPr>
                <w:color w:val="000000"/>
              </w:rPr>
            </w:pPr>
            <w:r>
              <w:rPr>
                <w:color w:val="000000"/>
              </w:rPr>
              <w:t>direct costs and expenses of administration, including printing, mailing and staff;</w:t>
            </w:r>
          </w:p>
        </w:tc>
      </w:tr>
    </w:tbl>
    <w:p>
      <w:pPr>
        <w:pStyle w:val="TextBody"/>
        <w:bidi w:val="0"/>
        <w:spacing w:before="0" w:after="0"/>
        <w:jc w:val="left"/>
        <w:rPr/>
      </w:pPr>
      <w:r>
        <w:rPr/>
      </w:r>
    </w:p>
    <w:tbl>
      <w:tblPr>
        <w:tblW w:w="8943" w:type="dxa"/>
        <w:jc w:val="left"/>
        <w:tblInd w:w="0" w:type="dxa"/>
        <w:tblLayout w:type="fixed"/>
        <w:tblCellMar>
          <w:top w:w="0" w:type="dxa"/>
          <w:left w:w="0" w:type="dxa"/>
          <w:bottom w:w="0" w:type="dxa"/>
          <w:right w:w="0" w:type="dxa"/>
        </w:tblCellMar>
      </w:tblPr>
      <w:tblGrid>
        <w:gridCol w:w="38"/>
        <w:gridCol w:w="110"/>
        <w:gridCol w:w="87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795" w:type="dxa"/>
            <w:tcBorders/>
            <w:vAlign w:val="center"/>
          </w:tcPr>
          <w:p>
            <w:pPr>
              <w:pStyle w:val="TableContents"/>
              <w:bidi w:val="0"/>
              <w:spacing w:before="0" w:after="0"/>
              <w:jc w:val="both"/>
              <w:rPr>
                <w:color w:val="000000"/>
              </w:rPr>
            </w:pPr>
            <w:r>
              <w:rPr>
                <w:color w:val="000000"/>
              </w:rPr>
              <w:t>fees and expenses associated with independent audits, and outside legal and consulting costs;</w:t>
            </w:r>
          </w:p>
        </w:tc>
      </w:tr>
    </w:tbl>
    <w:p>
      <w:pPr>
        <w:pStyle w:val="TextBody"/>
        <w:bidi w:val="0"/>
        <w:spacing w:before="0" w:after="0"/>
        <w:jc w:val="left"/>
        <w:rPr/>
      </w:pPr>
      <w:r>
        <w:rPr/>
      </w:r>
    </w:p>
    <w:tbl>
      <w:tblPr>
        <w:tblW w:w="2103" w:type="dxa"/>
        <w:jc w:val="left"/>
        <w:tblInd w:w="0" w:type="dxa"/>
        <w:tblLayout w:type="fixed"/>
        <w:tblCellMar>
          <w:top w:w="0" w:type="dxa"/>
          <w:left w:w="0" w:type="dxa"/>
          <w:bottom w:w="0" w:type="dxa"/>
          <w:right w:w="0" w:type="dxa"/>
        </w:tblCellMar>
      </w:tblPr>
      <w:tblGrid>
        <w:gridCol w:w="38"/>
        <w:gridCol w:w="110"/>
        <w:gridCol w:w="19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955" w:type="dxa"/>
            <w:tcBorders/>
            <w:vAlign w:val="center"/>
          </w:tcPr>
          <w:p>
            <w:pPr>
              <w:pStyle w:val="TableContents"/>
              <w:bidi w:val="0"/>
              <w:spacing w:before="0" w:after="0"/>
              <w:jc w:val="both"/>
              <w:rPr>
                <w:color w:val="000000"/>
              </w:rPr>
            </w:pPr>
            <w:r>
              <w:rPr>
                <w:color w:val="000000"/>
              </w:rPr>
              <w:t>costs of winding up;</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costs incurred in connection with the formation or maintenance of entities or vehicles to hold our assets for tax or other purposes;</w:t>
            </w:r>
          </w:p>
        </w:tc>
      </w:tr>
    </w:tbl>
    <w:p>
      <w:pPr>
        <w:pStyle w:val="TextBody"/>
        <w:bidi w:val="0"/>
        <w:spacing w:before="0" w:after="0"/>
        <w:jc w:val="left"/>
        <w:rPr/>
      </w:pPr>
      <w:r>
        <w:rPr/>
      </w:r>
    </w:p>
    <w:tbl>
      <w:tblPr>
        <w:tblW w:w="6393" w:type="dxa"/>
        <w:jc w:val="left"/>
        <w:tblInd w:w="0" w:type="dxa"/>
        <w:tblLayout w:type="fixed"/>
        <w:tblCellMar>
          <w:top w:w="0" w:type="dxa"/>
          <w:left w:w="0" w:type="dxa"/>
          <w:bottom w:w="0" w:type="dxa"/>
          <w:right w:w="0" w:type="dxa"/>
        </w:tblCellMar>
      </w:tblPr>
      <w:tblGrid>
        <w:gridCol w:w="38"/>
        <w:gridCol w:w="110"/>
        <w:gridCol w:w="62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245" w:type="dxa"/>
            <w:tcBorders/>
            <w:vAlign w:val="center"/>
          </w:tcPr>
          <w:p>
            <w:pPr>
              <w:pStyle w:val="TableContents"/>
              <w:bidi w:val="0"/>
              <w:spacing w:before="0" w:after="0"/>
              <w:jc w:val="both"/>
              <w:rPr>
                <w:color w:val="000000"/>
              </w:rPr>
            </w:pPr>
            <w:r>
              <w:rPr>
                <w:color w:val="000000"/>
              </w:rPr>
              <w:t>extraordinary expenses (such as litigation or indemnification);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costs associated with reporting and compliance obligations under the 1940 Act and applicable federal and state securities laws.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expect, but cannot assure, that our general and administrative expenses will increase in dollar terms during periods of asset growth, but will decline as a percentage of total assets during such periods.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Hedging</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To the extent that any of our investments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futures, options, swaps and forward contracts. Costs incurred in entering into such contracts or in connection with settling them will be borne by us.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r>
        <w:rPr>
          <w:rFonts w:ascii="Times New Roman;Times;serif" w:hAnsi="Times New Roman;Times;serif"/>
          <w:color w:val="000000"/>
          <w:sz w:val="20"/>
          <w:shd w:fill="FFFFFF" w:val="clear"/>
        </w:rPr>
        <w:t xml:space="preserve"> </w:t>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Portfolio Composition and Investment Activity</w:t>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Portfolio Composition</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June 30, 2024, our investment portfolio had an aggregate fair value of approximately $53.4 million and was comprised of approximately $44.3 million in first lien, senior secured loans, approximately $8.3 million in senior secured notes and approximately $0.8 million in equity securities across six portfolio companies. As of December 31, 2023, our investment portfolio had an aggregate fair value of approximately $54.1 million and was comprised of approximately $46.0 million in first lien, senior secured loans, and approximately $8.1 million in senior secured notes across five portfolio companies. During the three month period ended June 30, 2024, we began making investments in equity securities.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 summary of the composition of our investment portfolio at amortized cost and fair value as a percentage of total investments are shown in the following tables as of June 30, 2024 and December 31, 2023.</w:t>
      </w:r>
    </w:p>
    <w:p>
      <w:pPr>
        <w:pStyle w:val="TextBody"/>
        <w:bidi w:val="0"/>
        <w:spacing w:before="0" w:after="0"/>
        <w:jc w:val="left"/>
        <w:rPr/>
      </w:pPr>
      <w:r>
        <w:rPr/>
      </w:r>
    </w:p>
    <w:tbl>
      <w:tblPr>
        <w:tblW w:w="6968" w:type="dxa"/>
        <w:jc w:val="left"/>
        <w:tblInd w:w="0" w:type="dxa"/>
        <w:tblLayout w:type="fixed"/>
        <w:tblCellMar>
          <w:top w:w="0" w:type="dxa"/>
          <w:left w:w="0" w:type="dxa"/>
          <w:bottom w:w="0" w:type="dxa"/>
          <w:right w:w="0" w:type="dxa"/>
        </w:tblCellMar>
      </w:tblPr>
      <w:tblGrid>
        <w:gridCol w:w="3665"/>
        <w:gridCol w:w="60"/>
        <w:gridCol w:w="156"/>
        <w:gridCol w:w="1468"/>
        <w:gridCol w:w="215"/>
        <w:gridCol w:w="60"/>
        <w:gridCol w:w="107"/>
        <w:gridCol w:w="1007"/>
        <w:gridCol w:w="230"/>
      </w:tblGrid>
      <w:tr>
        <w:trPr/>
        <w:tc>
          <w:tcPr>
            <w:tcW w:w="36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3"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2024</w:t>
            </w:r>
          </w:p>
        </w:tc>
        <w:tc>
          <w:tcPr>
            <w:tcW w:w="230" w:type="dxa"/>
            <w:tcBorders/>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before="0" w:after="0"/>
              <w:ind w:left="144" w:right="0" w:hanging="144"/>
              <w:jc w:val="left"/>
              <w:rPr>
                <w:b/>
                <w:color w:val="000000"/>
              </w:rPr>
            </w:pPr>
            <w:r>
              <w:rPr>
                <w:b/>
                <w:color w:val="000000"/>
              </w:rPr>
              <w:t>Type</w:t>
            </w:r>
          </w:p>
        </w:tc>
        <w:tc>
          <w:tcPr>
            <w:tcW w:w="60" w:type="dxa"/>
            <w:tcBorders/>
            <w:vAlign w:val="bottom"/>
          </w:tcPr>
          <w:p>
            <w:pPr>
              <w:pStyle w:val="TableContents"/>
              <w:bidi w:val="0"/>
              <w:spacing w:before="0" w:after="283"/>
              <w:jc w:val="left"/>
              <w:rPr/>
            </w:pPr>
            <w:r>
              <w:rPr/>
              <w:t> </w:t>
            </w:r>
          </w:p>
        </w:tc>
        <w:tc>
          <w:tcPr>
            <w:tcW w:w="162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230"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before="0" w:after="0"/>
              <w:ind w:left="144" w:right="0" w:hanging="144"/>
              <w:jc w:val="left"/>
              <w:rPr>
                <w:color w:val="000000"/>
              </w:rPr>
            </w:pPr>
            <w:r>
              <w:rPr>
                <w:color w:val="000000"/>
              </w:rPr>
              <w:t>Senior Secured First Lien Term Loans</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0"/>
              <w:jc w:val="right"/>
              <w:rPr>
                <w:color w:val="000000"/>
              </w:rPr>
            </w:pPr>
            <w:r>
              <w:rPr>
                <w:color w:val="000000"/>
              </w:rPr>
              <w:t>82.9</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color w:val="000000"/>
              </w:rPr>
            </w:pPr>
            <w:r>
              <w:rPr>
                <w:color w:val="000000"/>
              </w:rPr>
              <w:t>83.0</w:t>
            </w:r>
          </w:p>
        </w:tc>
        <w:tc>
          <w:tcPr>
            <w:tcW w:w="230" w:type="dxa"/>
            <w:tcBorders/>
            <w:shd w:fill="CCEEFF" w:val="clear"/>
            <w:vAlign w:val="bottom"/>
          </w:tcPr>
          <w:p>
            <w:pPr>
              <w:pStyle w:val="TableContents"/>
              <w:bidi w:val="0"/>
              <w:spacing w:before="0" w:after="0"/>
              <w:jc w:val="left"/>
              <w:rPr>
                <w:color w:val="000000"/>
              </w:rPr>
            </w:pPr>
            <w:r>
              <w:rPr>
                <w:color w:val="000000"/>
              </w:rPr>
              <w:t>%</w:t>
            </w:r>
          </w:p>
        </w:tc>
      </w:tr>
      <w:tr>
        <w:trPr/>
        <w:tc>
          <w:tcPr>
            <w:tcW w:w="3665" w:type="dxa"/>
            <w:tcBorders/>
            <w:vAlign w:val="bottom"/>
          </w:tcPr>
          <w:p>
            <w:pPr>
              <w:pStyle w:val="TableContents"/>
              <w:bidi w:val="0"/>
              <w:spacing w:before="0" w:after="0"/>
              <w:ind w:left="144" w:right="0" w:hanging="144"/>
              <w:jc w:val="left"/>
              <w:rPr>
                <w:color w:val="000000"/>
              </w:rPr>
            </w:pPr>
            <w:r>
              <w:rPr>
                <w:color w:val="000000"/>
              </w:rPr>
              <w:t>Senior Secured Notes</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0"/>
              <w:jc w:val="right"/>
              <w:rPr>
                <w:color w:val="000000"/>
              </w:rPr>
            </w:pPr>
            <w:r>
              <w:rPr>
                <w:color w:val="000000"/>
              </w:rPr>
              <w:t>15.7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color w:val="000000"/>
              </w:rPr>
            </w:pPr>
            <w:r>
              <w:rPr>
                <w:color w:val="000000"/>
              </w:rPr>
              <w:t>15.5</w:t>
            </w:r>
          </w:p>
        </w:tc>
        <w:tc>
          <w:tcPr>
            <w:tcW w:w="230"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before="0" w:after="0"/>
              <w:ind w:left="144" w:right="0" w:hanging="144"/>
              <w:jc w:val="left"/>
              <w:rPr>
                <w:color w:val="000000"/>
              </w:rPr>
            </w:pPr>
            <w:r>
              <w:rPr>
                <w:color w:val="000000"/>
              </w:rPr>
              <w:t>Equity</w:t>
            </w:r>
          </w:p>
        </w:tc>
        <w:tc>
          <w:tcPr>
            <w:tcW w:w="60"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6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w:t>
            </w:r>
          </w:p>
        </w:tc>
        <w:tc>
          <w:tcPr>
            <w:tcW w:w="230" w:type="dxa"/>
            <w:tcBorders/>
            <w:shd w:fill="CCEEFF" w:val="clear"/>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before="0" w:after="0"/>
              <w:ind w:left="324" w:right="0" w:hanging="144"/>
              <w:jc w:val="left"/>
              <w:rPr>
                <w:color w:val="000000"/>
              </w:rPr>
            </w:pPr>
            <w:r>
              <w:rPr>
                <w:color w:val="000000"/>
              </w:rPr>
              <w:t>Total</w:t>
            </w:r>
          </w:p>
        </w:tc>
        <w:tc>
          <w:tcPr>
            <w:tcW w:w="60" w:type="dxa"/>
            <w:tcBorders/>
            <w:vAlign w:val="bottom"/>
          </w:tcPr>
          <w:p>
            <w:pPr>
              <w:pStyle w:val="TableContents"/>
              <w:bidi w:val="0"/>
              <w:spacing w:before="0" w:after="283"/>
              <w:jc w:val="left"/>
              <w:rPr/>
            </w:pPr>
            <w:r>
              <w:rPr/>
              <w:t> </w:t>
            </w:r>
          </w:p>
        </w:tc>
        <w:tc>
          <w:tcPr>
            <w:tcW w:w="156" w:type="dxa"/>
            <w:tcBorders>
              <w:bottom w:val="double" w:sz="8" w:space="0" w:color="000000"/>
            </w:tcBorders>
            <w:tcMar>
              <w:bottom w:w="28" w:type="dxa"/>
            </w:tcMar>
            <w:vAlign w:val="bottom"/>
          </w:tcPr>
          <w:p>
            <w:pPr>
              <w:pStyle w:val="TableContents"/>
              <w:bidi w:val="0"/>
              <w:spacing w:before="0" w:after="283"/>
              <w:jc w:val="left"/>
              <w:rPr/>
            </w:pPr>
            <w:r>
              <w:rPr/>
              <w:t> </w:t>
            </w:r>
          </w:p>
        </w:tc>
        <w:tc>
          <w:tcPr>
            <w:tcW w:w="146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07" w:type="dxa"/>
            <w:tcBorders>
              <w:bottom w:val="double" w:sz="8" w:space="0" w:color="000000"/>
            </w:tcBorders>
            <w:tcMar>
              <w:bottom w:w="28" w:type="dxa"/>
            </w:tcMar>
            <w:vAlign w:val="bottom"/>
          </w:tcPr>
          <w:p>
            <w:pPr>
              <w:pStyle w:val="TableContents"/>
              <w:bidi w:val="0"/>
              <w:spacing w:before="0" w:after="283"/>
              <w:jc w:val="left"/>
              <w:rPr/>
            </w:pPr>
            <w:r>
              <w:rPr/>
              <w:t> </w:t>
            </w:r>
          </w:p>
        </w:tc>
        <w:tc>
          <w:tcPr>
            <w:tcW w:w="100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3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tbl>
      <w:tblPr>
        <w:tblW w:w="7017" w:type="dxa"/>
        <w:jc w:val="left"/>
        <w:tblInd w:w="0" w:type="dxa"/>
        <w:tblLayout w:type="fixed"/>
        <w:tblCellMar>
          <w:top w:w="0" w:type="dxa"/>
          <w:left w:w="0" w:type="dxa"/>
          <w:bottom w:w="0" w:type="dxa"/>
          <w:right w:w="0" w:type="dxa"/>
        </w:tblCellMar>
      </w:tblPr>
      <w:tblGrid>
        <w:gridCol w:w="3650"/>
        <w:gridCol w:w="60"/>
        <w:gridCol w:w="156"/>
        <w:gridCol w:w="1468"/>
        <w:gridCol w:w="277"/>
        <w:gridCol w:w="77"/>
        <w:gridCol w:w="107"/>
        <w:gridCol w:w="1007"/>
        <w:gridCol w:w="215"/>
      </w:tblGrid>
      <w:tr>
        <w:trPr/>
        <w:tc>
          <w:tcPr>
            <w:tcW w:w="36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9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2023</w:t>
            </w:r>
          </w:p>
        </w:tc>
        <w:tc>
          <w:tcPr>
            <w:tcW w:w="215" w:type="dxa"/>
            <w:tcBorders/>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44" w:right="0" w:hanging="144"/>
              <w:jc w:val="left"/>
              <w:rPr>
                <w:b/>
                <w:color w:val="000000"/>
              </w:rPr>
            </w:pPr>
            <w:r>
              <w:rPr>
                <w:b/>
                <w:color w:val="000000"/>
              </w:rPr>
              <w:t>Type</w:t>
            </w:r>
          </w:p>
        </w:tc>
        <w:tc>
          <w:tcPr>
            <w:tcW w:w="60" w:type="dxa"/>
            <w:tcBorders/>
            <w:vAlign w:val="bottom"/>
          </w:tcPr>
          <w:p>
            <w:pPr>
              <w:pStyle w:val="TableContents"/>
              <w:bidi w:val="0"/>
              <w:spacing w:before="0" w:after="283"/>
              <w:jc w:val="left"/>
              <w:rPr/>
            </w:pPr>
            <w:r>
              <w:rPr/>
              <w:t> </w:t>
            </w:r>
          </w:p>
        </w:tc>
        <w:tc>
          <w:tcPr>
            <w:tcW w:w="162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215"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44" w:right="0" w:hanging="144"/>
              <w:jc w:val="left"/>
              <w:rPr>
                <w:color w:val="000000"/>
              </w:rPr>
            </w:pPr>
            <w:r>
              <w:rPr>
                <w:color w:val="000000"/>
              </w:rPr>
              <w:t>Senior Secured First Lien Term Loans</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0"/>
              <w:jc w:val="right"/>
              <w:rPr>
                <w:color w:val="000000"/>
              </w:rPr>
            </w:pPr>
            <w:r>
              <w:rPr>
                <w:color w:val="000000"/>
              </w:rPr>
              <w:t>84.9</w:t>
            </w:r>
          </w:p>
        </w:tc>
        <w:tc>
          <w:tcPr>
            <w:tcW w:w="277" w:type="dxa"/>
            <w:tcBorders/>
            <w:shd w:fill="CCEEFF" w:val="clear"/>
            <w:vAlign w:val="bottom"/>
          </w:tcPr>
          <w:p>
            <w:pPr>
              <w:pStyle w:val="TableContents"/>
              <w:bidi w:val="0"/>
              <w:spacing w:before="0" w:after="0"/>
              <w:jc w:val="left"/>
              <w:rPr>
                <w:color w:val="000000"/>
              </w:rPr>
            </w:pPr>
            <w:r>
              <w:rPr>
                <w:color w:val="000000"/>
              </w:rPr>
              <w:t>%</w:t>
            </w:r>
          </w:p>
        </w:tc>
        <w:tc>
          <w:tcPr>
            <w:tcW w:w="7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color w:val="000000"/>
              </w:rPr>
            </w:pPr>
            <w:r>
              <w:rPr>
                <w:color w:val="000000"/>
              </w:rPr>
              <w:t>85.0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650" w:type="dxa"/>
            <w:tcBorders/>
            <w:vAlign w:val="bottom"/>
          </w:tcPr>
          <w:p>
            <w:pPr>
              <w:pStyle w:val="TableContents"/>
              <w:bidi w:val="0"/>
              <w:spacing w:before="0" w:after="0"/>
              <w:ind w:left="144" w:right="0" w:hanging="144"/>
              <w:jc w:val="left"/>
              <w:rPr>
                <w:color w:val="000000"/>
              </w:rPr>
            </w:pPr>
            <w:r>
              <w:rPr>
                <w:color w:val="000000"/>
              </w:rPr>
              <w:t>Senior Secured Notes</w:t>
            </w:r>
          </w:p>
        </w:tc>
        <w:tc>
          <w:tcPr>
            <w:tcW w:w="60"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146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15.1</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15.0</w:t>
            </w:r>
          </w:p>
        </w:tc>
        <w:tc>
          <w:tcPr>
            <w:tcW w:w="215"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324" w:right="0" w:hanging="144"/>
              <w:jc w:val="left"/>
              <w:rPr>
                <w:color w:val="000000"/>
              </w:rPr>
            </w:pPr>
            <w:r>
              <w:rPr>
                <w:color w:val="000000"/>
              </w:rPr>
              <w:t>Total</w:t>
            </w:r>
          </w:p>
        </w:tc>
        <w:tc>
          <w:tcPr>
            <w:tcW w:w="60" w:type="dxa"/>
            <w:tcBorders/>
            <w:shd w:fill="CCEEFF" w:val="clear"/>
            <w:vAlign w:val="bottom"/>
          </w:tcPr>
          <w:p>
            <w:pPr>
              <w:pStyle w:val="TableContents"/>
              <w:bidi w:val="0"/>
              <w:spacing w:before="0" w:after="283"/>
              <w:jc w:val="left"/>
              <w:rPr/>
            </w:pPr>
            <w:r>
              <w:rPr/>
              <w:t> </w:t>
            </w:r>
          </w:p>
        </w:tc>
        <w:tc>
          <w:tcPr>
            <w:tcW w:w="15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46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77" w:type="dxa"/>
            <w:tcBorders/>
            <w:shd w:fill="CCEEFF" w:val="clear"/>
            <w:vAlign w:val="bottom"/>
          </w:tcPr>
          <w:p>
            <w:pPr>
              <w:pStyle w:val="TableContents"/>
              <w:bidi w:val="0"/>
              <w:spacing w:before="0" w:after="0"/>
              <w:jc w:val="left"/>
              <w:rPr>
                <w:color w:val="000000"/>
              </w:rPr>
            </w:pPr>
            <w:r>
              <w:rPr>
                <w:color w:val="000000"/>
              </w:rPr>
              <w:t>%</w:t>
            </w:r>
          </w:p>
        </w:tc>
        <w:tc>
          <w:tcPr>
            <w:tcW w:w="77" w:type="dxa"/>
            <w:tcBorders/>
            <w:shd w:fill="CCEEFF" w:val="clear"/>
            <w:vAlign w:val="bottom"/>
          </w:tcPr>
          <w:p>
            <w:pPr>
              <w:pStyle w:val="TableContents"/>
              <w:bidi w:val="0"/>
              <w:spacing w:before="0" w:after="283"/>
              <w:jc w:val="left"/>
              <w:rPr/>
            </w:pPr>
            <w:r>
              <w:rPr/>
              <w:t> </w:t>
            </w:r>
          </w:p>
        </w:tc>
        <w:tc>
          <w:tcPr>
            <w:tcW w:w="10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1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tables show the composition of our investment portfolio by geographic region of the United States at amortized cost and fair value as a percentage of total investments as of June 30, 2024 and December 31, 2023. The geographic composition is determined by the location of the headquarters of the portfolio company.</w:t>
      </w:r>
    </w:p>
    <w:p>
      <w:pPr>
        <w:pStyle w:val="TextBody"/>
        <w:bidi w:val="0"/>
        <w:spacing w:before="0" w:after="0"/>
        <w:jc w:val="left"/>
        <w:rPr/>
      </w:pPr>
      <w:r>
        <w:rPr/>
      </w:r>
    </w:p>
    <w:tbl>
      <w:tblPr>
        <w:tblW w:w="5303" w:type="dxa"/>
        <w:jc w:val="left"/>
        <w:tblInd w:w="0" w:type="dxa"/>
        <w:tblLayout w:type="fixed"/>
        <w:tblCellMar>
          <w:top w:w="0" w:type="dxa"/>
          <w:left w:w="0" w:type="dxa"/>
          <w:bottom w:w="0" w:type="dxa"/>
          <w:right w:w="0" w:type="dxa"/>
        </w:tblCellMar>
      </w:tblPr>
      <w:tblGrid>
        <w:gridCol w:w="2000"/>
        <w:gridCol w:w="60"/>
        <w:gridCol w:w="156"/>
        <w:gridCol w:w="1468"/>
        <w:gridCol w:w="215"/>
        <w:gridCol w:w="60"/>
        <w:gridCol w:w="107"/>
        <w:gridCol w:w="1007"/>
        <w:gridCol w:w="230"/>
      </w:tblGrid>
      <w:tr>
        <w:trPr/>
        <w:tc>
          <w:tcPr>
            <w:tcW w:w="20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3"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2024</w:t>
            </w:r>
          </w:p>
        </w:tc>
        <w:tc>
          <w:tcPr>
            <w:tcW w:w="230" w:type="dxa"/>
            <w:tcBorders/>
            <w:vAlign w:val="bottom"/>
          </w:tcPr>
          <w:p>
            <w:pPr>
              <w:pStyle w:val="TableContents"/>
              <w:bidi w:val="0"/>
              <w:spacing w:before="0" w:after="283"/>
              <w:jc w:val="left"/>
              <w:rPr/>
            </w:pPr>
            <w:r>
              <w:rPr/>
              <w:t> </w:t>
            </w:r>
          </w:p>
        </w:tc>
      </w:tr>
      <w:tr>
        <w:trPr/>
        <w:tc>
          <w:tcPr>
            <w:tcW w:w="2000" w:type="dxa"/>
            <w:tcBorders/>
            <w:vAlign w:val="bottom"/>
          </w:tcPr>
          <w:p>
            <w:pPr>
              <w:pStyle w:val="TableContents"/>
              <w:bidi w:val="0"/>
              <w:spacing w:before="0" w:after="0"/>
              <w:ind w:left="144" w:right="0" w:hanging="144"/>
              <w:jc w:val="left"/>
              <w:rPr>
                <w:b/>
                <w:color w:val="000000"/>
              </w:rPr>
            </w:pPr>
            <w:r>
              <w:rPr>
                <w:b/>
                <w:color w:val="000000"/>
              </w:rPr>
              <w:t>Geographic Region</w:t>
            </w:r>
          </w:p>
        </w:tc>
        <w:tc>
          <w:tcPr>
            <w:tcW w:w="60" w:type="dxa"/>
            <w:tcBorders/>
            <w:vAlign w:val="bottom"/>
          </w:tcPr>
          <w:p>
            <w:pPr>
              <w:pStyle w:val="TableContents"/>
              <w:bidi w:val="0"/>
              <w:spacing w:before="0" w:after="283"/>
              <w:jc w:val="left"/>
              <w:rPr/>
            </w:pPr>
            <w:r>
              <w:rPr/>
              <w:t> </w:t>
            </w:r>
          </w:p>
        </w:tc>
        <w:tc>
          <w:tcPr>
            <w:tcW w:w="162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230" w:type="dxa"/>
            <w:tcBorders/>
            <w:vAlign w:val="bottom"/>
          </w:tcPr>
          <w:p>
            <w:pPr>
              <w:pStyle w:val="TableContents"/>
              <w:bidi w:val="0"/>
              <w:spacing w:before="0" w:after="283"/>
              <w:jc w:val="left"/>
              <w:rPr/>
            </w:pPr>
            <w:r>
              <w:rPr/>
              <w:t> </w:t>
            </w:r>
          </w:p>
        </w:tc>
      </w:tr>
      <w:tr>
        <w:trPr/>
        <w:tc>
          <w:tcPr>
            <w:tcW w:w="2000" w:type="dxa"/>
            <w:tcBorders/>
            <w:shd w:fill="CCEEFF" w:val="clear"/>
            <w:vAlign w:val="bottom"/>
          </w:tcPr>
          <w:p>
            <w:pPr>
              <w:pStyle w:val="TableContents"/>
              <w:bidi w:val="0"/>
              <w:spacing w:before="0" w:after="0"/>
              <w:ind w:left="144" w:right="0" w:hanging="144"/>
              <w:jc w:val="left"/>
              <w:rPr>
                <w:color w:val="000000"/>
              </w:rPr>
            </w:pPr>
            <w:r>
              <w:rPr>
                <w:color w:val="000000"/>
              </w:rPr>
              <w:t>West</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0"/>
              <w:jc w:val="right"/>
              <w:rPr>
                <w:color w:val="000000"/>
              </w:rPr>
            </w:pPr>
            <w:r>
              <w:rPr>
                <w:color w:val="000000"/>
              </w:rPr>
              <w:t>47.9</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color w:val="000000"/>
              </w:rPr>
            </w:pPr>
            <w:r>
              <w:rPr>
                <w:color w:val="000000"/>
              </w:rPr>
              <w:t>47.5</w:t>
            </w:r>
          </w:p>
        </w:tc>
        <w:tc>
          <w:tcPr>
            <w:tcW w:w="230" w:type="dxa"/>
            <w:tcBorders/>
            <w:shd w:fill="CCEEFF" w:val="clear"/>
            <w:vAlign w:val="bottom"/>
          </w:tcPr>
          <w:p>
            <w:pPr>
              <w:pStyle w:val="TableContents"/>
              <w:bidi w:val="0"/>
              <w:spacing w:before="0" w:after="0"/>
              <w:jc w:val="left"/>
              <w:rPr>
                <w:color w:val="000000"/>
              </w:rPr>
            </w:pPr>
            <w:r>
              <w:rPr>
                <w:color w:val="000000"/>
              </w:rPr>
              <w:t>%</w:t>
            </w:r>
          </w:p>
        </w:tc>
      </w:tr>
      <w:tr>
        <w:trPr/>
        <w:tc>
          <w:tcPr>
            <w:tcW w:w="2000" w:type="dxa"/>
            <w:tcBorders/>
            <w:vAlign w:val="bottom"/>
          </w:tcPr>
          <w:p>
            <w:pPr>
              <w:pStyle w:val="TableContents"/>
              <w:bidi w:val="0"/>
              <w:spacing w:before="0" w:after="0"/>
              <w:ind w:left="144" w:right="0" w:hanging="144"/>
              <w:jc w:val="left"/>
              <w:rPr>
                <w:color w:val="000000"/>
              </w:rPr>
            </w:pPr>
            <w:r>
              <w:rPr>
                <w:color w:val="000000"/>
              </w:rPr>
              <w:t>Midwest</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0"/>
              <w:jc w:val="right"/>
              <w:rPr>
                <w:color w:val="000000"/>
              </w:rPr>
            </w:pPr>
            <w:r>
              <w:rPr>
                <w:color w:val="000000"/>
              </w:rPr>
              <w:t>44.3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color w:val="000000"/>
              </w:rPr>
            </w:pPr>
            <w:r>
              <w:rPr>
                <w:color w:val="000000"/>
              </w:rPr>
              <w:t>44.6</w:t>
            </w:r>
          </w:p>
        </w:tc>
        <w:tc>
          <w:tcPr>
            <w:tcW w:w="230" w:type="dxa"/>
            <w:tcBorders/>
            <w:vAlign w:val="bottom"/>
          </w:tcPr>
          <w:p>
            <w:pPr>
              <w:pStyle w:val="TableContents"/>
              <w:bidi w:val="0"/>
              <w:spacing w:before="0" w:after="283"/>
              <w:jc w:val="left"/>
              <w:rPr/>
            </w:pPr>
            <w:r>
              <w:rPr/>
              <w:t> </w:t>
            </w:r>
          </w:p>
        </w:tc>
      </w:tr>
      <w:tr>
        <w:trPr/>
        <w:tc>
          <w:tcPr>
            <w:tcW w:w="2000" w:type="dxa"/>
            <w:tcBorders/>
            <w:shd w:fill="CCEEFF" w:val="clear"/>
            <w:vAlign w:val="bottom"/>
          </w:tcPr>
          <w:p>
            <w:pPr>
              <w:pStyle w:val="TableContents"/>
              <w:bidi w:val="0"/>
              <w:spacing w:before="0" w:after="0"/>
              <w:ind w:left="144" w:right="0" w:hanging="144"/>
              <w:jc w:val="left"/>
              <w:rPr>
                <w:color w:val="000000"/>
              </w:rPr>
            </w:pPr>
            <w:r>
              <w:rPr>
                <w:color w:val="000000"/>
              </w:rPr>
              <w:t>Northeast</w:t>
            </w:r>
          </w:p>
        </w:tc>
        <w:tc>
          <w:tcPr>
            <w:tcW w:w="60"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6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7.9</w:t>
            </w:r>
          </w:p>
        </w:tc>
        <w:tc>
          <w:tcPr>
            <w:tcW w:w="230" w:type="dxa"/>
            <w:tcBorders/>
            <w:shd w:fill="CCEEFF" w:val="clear"/>
            <w:vAlign w:val="bottom"/>
          </w:tcPr>
          <w:p>
            <w:pPr>
              <w:pStyle w:val="TableContents"/>
              <w:bidi w:val="0"/>
              <w:spacing w:before="0" w:after="283"/>
              <w:jc w:val="left"/>
              <w:rPr/>
            </w:pPr>
            <w:r>
              <w:rPr/>
              <w:t> </w:t>
            </w:r>
          </w:p>
        </w:tc>
      </w:tr>
      <w:tr>
        <w:trPr/>
        <w:tc>
          <w:tcPr>
            <w:tcW w:w="2000" w:type="dxa"/>
            <w:tcBorders/>
            <w:shd w:fill="FFFFFF" w:val="clear"/>
            <w:vAlign w:val="bottom"/>
          </w:tcPr>
          <w:p>
            <w:pPr>
              <w:pStyle w:val="TableContents"/>
              <w:bidi w:val="0"/>
              <w:spacing w:before="0" w:after="0"/>
              <w:ind w:left="324" w:right="0" w:hanging="144"/>
              <w:jc w:val="left"/>
              <w:rPr>
                <w:color w:val="000000"/>
              </w:rPr>
            </w:pPr>
            <w:r>
              <w:rPr>
                <w:color w:val="000000"/>
              </w:rPr>
              <w:t>Total</w:t>
            </w:r>
          </w:p>
        </w:tc>
        <w:tc>
          <w:tcPr>
            <w:tcW w:w="60" w:type="dxa"/>
            <w:tcBorders/>
            <w:vAlign w:val="bottom"/>
          </w:tcPr>
          <w:p>
            <w:pPr>
              <w:pStyle w:val="TableContents"/>
              <w:bidi w:val="0"/>
              <w:spacing w:before="0" w:after="283"/>
              <w:jc w:val="left"/>
              <w:rPr/>
            </w:pPr>
            <w:r>
              <w:rPr/>
              <w:t> </w:t>
            </w:r>
          </w:p>
        </w:tc>
        <w:tc>
          <w:tcPr>
            <w:tcW w:w="156" w:type="dxa"/>
            <w:tcBorders>
              <w:bottom w:val="double" w:sz="8" w:space="0" w:color="000000"/>
            </w:tcBorders>
            <w:tcMar>
              <w:bottom w:w="28" w:type="dxa"/>
            </w:tcMar>
            <w:vAlign w:val="bottom"/>
          </w:tcPr>
          <w:p>
            <w:pPr>
              <w:pStyle w:val="TableContents"/>
              <w:bidi w:val="0"/>
              <w:spacing w:before="0" w:after="283"/>
              <w:jc w:val="left"/>
              <w:rPr/>
            </w:pPr>
            <w:r>
              <w:rPr/>
              <w:t> </w:t>
            </w:r>
          </w:p>
        </w:tc>
        <w:tc>
          <w:tcPr>
            <w:tcW w:w="146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07" w:type="dxa"/>
            <w:tcBorders>
              <w:bottom w:val="double" w:sz="8" w:space="0" w:color="000000"/>
            </w:tcBorders>
            <w:tcMar>
              <w:bottom w:w="28" w:type="dxa"/>
            </w:tcMar>
            <w:vAlign w:val="bottom"/>
          </w:tcPr>
          <w:p>
            <w:pPr>
              <w:pStyle w:val="TableContents"/>
              <w:bidi w:val="0"/>
              <w:spacing w:before="0" w:after="283"/>
              <w:jc w:val="left"/>
              <w:rPr/>
            </w:pPr>
            <w:r>
              <w:rPr/>
              <w:t> </w:t>
            </w:r>
          </w:p>
        </w:tc>
        <w:tc>
          <w:tcPr>
            <w:tcW w:w="100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3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tbl>
      <w:tblPr>
        <w:tblW w:w="5352" w:type="dxa"/>
        <w:jc w:val="left"/>
        <w:tblInd w:w="0" w:type="dxa"/>
        <w:tblLayout w:type="fixed"/>
        <w:tblCellMar>
          <w:top w:w="0" w:type="dxa"/>
          <w:left w:w="0" w:type="dxa"/>
          <w:bottom w:w="0" w:type="dxa"/>
          <w:right w:w="0" w:type="dxa"/>
        </w:tblCellMar>
      </w:tblPr>
      <w:tblGrid>
        <w:gridCol w:w="1985"/>
        <w:gridCol w:w="60"/>
        <w:gridCol w:w="156"/>
        <w:gridCol w:w="1468"/>
        <w:gridCol w:w="277"/>
        <w:gridCol w:w="77"/>
        <w:gridCol w:w="107"/>
        <w:gridCol w:w="1007"/>
        <w:gridCol w:w="215"/>
      </w:tblGrid>
      <w:tr>
        <w:trPr/>
        <w:tc>
          <w:tcPr>
            <w:tcW w:w="1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9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2023</w:t>
            </w:r>
          </w:p>
        </w:tc>
        <w:tc>
          <w:tcPr>
            <w:tcW w:w="215" w:type="dxa"/>
            <w:tcBorders/>
            <w:vAlign w:val="bottom"/>
          </w:tcPr>
          <w:p>
            <w:pPr>
              <w:pStyle w:val="TableContents"/>
              <w:bidi w:val="0"/>
              <w:spacing w:before="0" w:after="283"/>
              <w:jc w:val="left"/>
              <w:rPr/>
            </w:pPr>
            <w:r>
              <w:rPr/>
              <w:t> </w:t>
            </w:r>
          </w:p>
        </w:tc>
      </w:tr>
      <w:tr>
        <w:trPr/>
        <w:tc>
          <w:tcPr>
            <w:tcW w:w="1985" w:type="dxa"/>
            <w:tcBorders/>
            <w:vAlign w:val="bottom"/>
          </w:tcPr>
          <w:p>
            <w:pPr>
              <w:pStyle w:val="TableContents"/>
              <w:bidi w:val="0"/>
              <w:spacing w:before="0" w:after="0"/>
              <w:ind w:left="144" w:right="0" w:hanging="144"/>
              <w:jc w:val="left"/>
              <w:rPr>
                <w:b/>
                <w:color w:val="000000"/>
              </w:rPr>
            </w:pPr>
            <w:r>
              <w:rPr>
                <w:b/>
                <w:color w:val="000000"/>
              </w:rPr>
              <w:t>Geographic Region</w:t>
            </w:r>
          </w:p>
        </w:tc>
        <w:tc>
          <w:tcPr>
            <w:tcW w:w="60" w:type="dxa"/>
            <w:tcBorders/>
            <w:vAlign w:val="bottom"/>
          </w:tcPr>
          <w:p>
            <w:pPr>
              <w:pStyle w:val="TableContents"/>
              <w:bidi w:val="0"/>
              <w:spacing w:before="0" w:after="283"/>
              <w:jc w:val="left"/>
              <w:rPr/>
            </w:pPr>
            <w:r>
              <w:rPr/>
              <w:t> </w:t>
            </w:r>
          </w:p>
        </w:tc>
        <w:tc>
          <w:tcPr>
            <w:tcW w:w="162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215" w:type="dxa"/>
            <w:tcBorders/>
            <w:vAlign w:val="bottom"/>
          </w:tcPr>
          <w:p>
            <w:pPr>
              <w:pStyle w:val="TableContents"/>
              <w:bidi w:val="0"/>
              <w:spacing w:before="0" w:after="283"/>
              <w:jc w:val="left"/>
              <w:rPr/>
            </w:pPr>
            <w:r>
              <w:rPr/>
              <w:t> </w:t>
            </w:r>
          </w:p>
        </w:tc>
      </w:tr>
      <w:tr>
        <w:trPr/>
        <w:tc>
          <w:tcPr>
            <w:tcW w:w="1985" w:type="dxa"/>
            <w:tcBorders/>
            <w:shd w:fill="CCEEFF" w:val="clear"/>
            <w:vAlign w:val="bottom"/>
          </w:tcPr>
          <w:p>
            <w:pPr>
              <w:pStyle w:val="TableContents"/>
              <w:bidi w:val="0"/>
              <w:spacing w:before="0" w:after="0"/>
              <w:ind w:left="144" w:right="0" w:hanging="144"/>
              <w:jc w:val="left"/>
              <w:rPr>
                <w:color w:val="000000"/>
              </w:rPr>
            </w:pPr>
            <w:r>
              <w:rPr>
                <w:color w:val="000000"/>
              </w:rPr>
              <w:t>West</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0"/>
              <w:jc w:val="right"/>
              <w:rPr>
                <w:color w:val="000000"/>
              </w:rPr>
            </w:pPr>
            <w:r>
              <w:rPr>
                <w:color w:val="000000"/>
              </w:rPr>
              <w:t>46.5</w:t>
            </w:r>
          </w:p>
        </w:tc>
        <w:tc>
          <w:tcPr>
            <w:tcW w:w="277" w:type="dxa"/>
            <w:tcBorders/>
            <w:shd w:fill="CCEEFF" w:val="clear"/>
            <w:vAlign w:val="bottom"/>
          </w:tcPr>
          <w:p>
            <w:pPr>
              <w:pStyle w:val="TableContents"/>
              <w:bidi w:val="0"/>
              <w:spacing w:before="0" w:after="0"/>
              <w:jc w:val="left"/>
              <w:rPr>
                <w:color w:val="000000"/>
              </w:rPr>
            </w:pPr>
            <w:r>
              <w:rPr>
                <w:color w:val="000000"/>
              </w:rPr>
              <w:t>%</w:t>
            </w:r>
          </w:p>
        </w:tc>
        <w:tc>
          <w:tcPr>
            <w:tcW w:w="7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color w:val="000000"/>
              </w:rPr>
            </w:pPr>
            <w:r>
              <w:rPr>
                <w:color w:val="000000"/>
              </w:rPr>
              <w:t>46.4</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1985" w:type="dxa"/>
            <w:tcBorders/>
            <w:vAlign w:val="bottom"/>
          </w:tcPr>
          <w:p>
            <w:pPr>
              <w:pStyle w:val="TableContents"/>
              <w:bidi w:val="0"/>
              <w:spacing w:before="0" w:after="0"/>
              <w:ind w:left="144" w:right="0" w:hanging="144"/>
              <w:jc w:val="left"/>
              <w:rPr>
                <w:color w:val="000000"/>
              </w:rPr>
            </w:pPr>
            <w:r>
              <w:rPr>
                <w:color w:val="000000"/>
              </w:rPr>
              <w:t>Midwest</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0"/>
              <w:jc w:val="right"/>
              <w:rPr>
                <w:color w:val="000000"/>
              </w:rPr>
            </w:pPr>
            <w:r>
              <w:rPr>
                <w:color w:val="000000"/>
              </w:rPr>
              <w:t>46.0</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color w:val="000000"/>
              </w:rPr>
            </w:pPr>
            <w:r>
              <w:rPr>
                <w:color w:val="000000"/>
              </w:rPr>
              <w:t>46.0</w:t>
            </w:r>
          </w:p>
        </w:tc>
        <w:tc>
          <w:tcPr>
            <w:tcW w:w="215" w:type="dxa"/>
            <w:tcBorders/>
            <w:vAlign w:val="bottom"/>
          </w:tcPr>
          <w:p>
            <w:pPr>
              <w:pStyle w:val="TableContents"/>
              <w:bidi w:val="0"/>
              <w:spacing w:before="0" w:after="283"/>
              <w:jc w:val="left"/>
              <w:rPr/>
            </w:pPr>
            <w:r>
              <w:rPr/>
              <w:t> </w:t>
            </w:r>
          </w:p>
        </w:tc>
      </w:tr>
      <w:tr>
        <w:trPr/>
        <w:tc>
          <w:tcPr>
            <w:tcW w:w="1985" w:type="dxa"/>
            <w:tcBorders/>
            <w:shd w:fill="CCEEFF" w:val="clear"/>
            <w:vAlign w:val="bottom"/>
          </w:tcPr>
          <w:p>
            <w:pPr>
              <w:pStyle w:val="TableContents"/>
              <w:bidi w:val="0"/>
              <w:spacing w:before="0" w:after="0"/>
              <w:ind w:left="144" w:right="0" w:hanging="144"/>
              <w:jc w:val="left"/>
              <w:rPr>
                <w:color w:val="000000"/>
              </w:rPr>
            </w:pPr>
            <w:r>
              <w:rPr>
                <w:color w:val="000000"/>
              </w:rPr>
              <w:t>Northeast</w:t>
            </w:r>
          </w:p>
        </w:tc>
        <w:tc>
          <w:tcPr>
            <w:tcW w:w="60"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6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7.5</w:t>
            </w:r>
          </w:p>
        </w:tc>
        <w:tc>
          <w:tcPr>
            <w:tcW w:w="2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7.6</w:t>
            </w:r>
          </w:p>
        </w:tc>
        <w:tc>
          <w:tcPr>
            <w:tcW w:w="215" w:type="dxa"/>
            <w:tcBorders/>
            <w:shd w:fill="CCEEFF" w:val="clear"/>
            <w:vAlign w:val="bottom"/>
          </w:tcPr>
          <w:p>
            <w:pPr>
              <w:pStyle w:val="TableContents"/>
              <w:bidi w:val="0"/>
              <w:spacing w:before="0" w:after="283"/>
              <w:jc w:val="left"/>
              <w:rPr/>
            </w:pPr>
            <w:r>
              <w:rPr/>
              <w:t> </w:t>
            </w:r>
          </w:p>
        </w:tc>
      </w:tr>
      <w:tr>
        <w:trPr/>
        <w:tc>
          <w:tcPr>
            <w:tcW w:w="1985" w:type="dxa"/>
            <w:tcBorders/>
            <w:vAlign w:val="bottom"/>
          </w:tcPr>
          <w:p>
            <w:pPr>
              <w:pStyle w:val="TableContents"/>
              <w:bidi w:val="0"/>
              <w:spacing w:before="0" w:after="0"/>
              <w:ind w:left="324" w:right="0" w:hanging="144"/>
              <w:jc w:val="left"/>
              <w:rPr>
                <w:color w:val="000000"/>
              </w:rPr>
            </w:pPr>
            <w:r>
              <w:rPr>
                <w:color w:val="000000"/>
              </w:rPr>
              <w:t>Total</w:t>
            </w:r>
          </w:p>
        </w:tc>
        <w:tc>
          <w:tcPr>
            <w:tcW w:w="60" w:type="dxa"/>
            <w:tcBorders/>
            <w:vAlign w:val="bottom"/>
          </w:tcPr>
          <w:p>
            <w:pPr>
              <w:pStyle w:val="TableContents"/>
              <w:bidi w:val="0"/>
              <w:spacing w:before="0" w:after="283"/>
              <w:jc w:val="left"/>
              <w:rPr/>
            </w:pPr>
            <w:r>
              <w:rPr/>
              <w:t> </w:t>
            </w:r>
          </w:p>
        </w:tc>
        <w:tc>
          <w:tcPr>
            <w:tcW w:w="156" w:type="dxa"/>
            <w:tcBorders>
              <w:bottom w:val="double" w:sz="8" w:space="0" w:color="000000"/>
            </w:tcBorders>
            <w:tcMar>
              <w:bottom w:w="28" w:type="dxa"/>
            </w:tcMar>
            <w:vAlign w:val="bottom"/>
          </w:tcPr>
          <w:p>
            <w:pPr>
              <w:pStyle w:val="TableContents"/>
              <w:bidi w:val="0"/>
              <w:spacing w:before="0" w:after="283"/>
              <w:jc w:val="left"/>
              <w:rPr/>
            </w:pPr>
            <w:r>
              <w:rPr/>
              <w:t> </w:t>
            </w:r>
          </w:p>
        </w:tc>
        <w:tc>
          <w:tcPr>
            <w:tcW w:w="146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77" w:type="dxa"/>
            <w:tcBorders/>
            <w:vAlign w:val="bottom"/>
          </w:tcPr>
          <w:p>
            <w:pPr>
              <w:pStyle w:val="TableContents"/>
              <w:bidi w:val="0"/>
              <w:spacing w:before="0" w:after="0"/>
              <w:jc w:val="left"/>
              <w:rPr>
                <w:color w:val="000000"/>
              </w:rPr>
            </w:pPr>
            <w:r>
              <w:rPr>
                <w:color w:val="000000"/>
              </w:rPr>
              <w:t>%</w:t>
            </w:r>
          </w:p>
        </w:tc>
        <w:tc>
          <w:tcPr>
            <w:tcW w:w="77" w:type="dxa"/>
            <w:tcBorders/>
            <w:vAlign w:val="bottom"/>
          </w:tcPr>
          <w:p>
            <w:pPr>
              <w:pStyle w:val="TableContents"/>
              <w:bidi w:val="0"/>
              <w:spacing w:before="0" w:after="283"/>
              <w:jc w:val="left"/>
              <w:rPr/>
            </w:pPr>
            <w:r>
              <w:rPr/>
              <w:t> </w:t>
            </w:r>
          </w:p>
        </w:tc>
        <w:tc>
          <w:tcPr>
            <w:tcW w:w="107" w:type="dxa"/>
            <w:tcBorders>
              <w:bottom w:val="double" w:sz="8" w:space="0" w:color="000000"/>
            </w:tcBorders>
            <w:tcMar>
              <w:bottom w:w="28" w:type="dxa"/>
            </w:tcMar>
            <w:vAlign w:val="bottom"/>
          </w:tcPr>
          <w:p>
            <w:pPr>
              <w:pStyle w:val="TableContents"/>
              <w:bidi w:val="0"/>
              <w:spacing w:before="0" w:after="283"/>
              <w:jc w:val="left"/>
              <w:rPr/>
            </w:pPr>
            <w:r>
              <w:rPr/>
              <w:t> </w:t>
            </w:r>
          </w:p>
        </w:tc>
        <w:tc>
          <w:tcPr>
            <w:tcW w:w="100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15"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Set forth below are tables showing the industry composition of our investment portfolio at amortized cost and fair value as a percentage of total investments as of June 30, 2024 and December 31, 2023.</w:t>
      </w:r>
    </w:p>
    <w:p>
      <w:pPr>
        <w:pStyle w:val="TextBody"/>
        <w:bidi w:val="0"/>
        <w:spacing w:before="0" w:after="0"/>
        <w:jc w:val="left"/>
        <w:rPr/>
      </w:pPr>
      <w:r>
        <w:rPr/>
      </w:r>
    </w:p>
    <w:tbl>
      <w:tblPr>
        <w:tblW w:w="5228" w:type="dxa"/>
        <w:jc w:val="left"/>
        <w:tblInd w:w="0" w:type="dxa"/>
        <w:tblLayout w:type="fixed"/>
        <w:tblCellMar>
          <w:top w:w="0" w:type="dxa"/>
          <w:left w:w="0" w:type="dxa"/>
          <w:bottom w:w="0" w:type="dxa"/>
          <w:right w:w="0" w:type="dxa"/>
        </w:tblCellMar>
      </w:tblPr>
      <w:tblGrid>
        <w:gridCol w:w="1940"/>
        <w:gridCol w:w="60"/>
        <w:gridCol w:w="156"/>
        <w:gridCol w:w="1468"/>
        <w:gridCol w:w="215"/>
        <w:gridCol w:w="60"/>
        <w:gridCol w:w="107"/>
        <w:gridCol w:w="1007"/>
        <w:gridCol w:w="215"/>
      </w:tblGrid>
      <w:tr>
        <w:trPr/>
        <w:tc>
          <w:tcPr>
            <w:tcW w:w="19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3"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2024</w:t>
            </w:r>
          </w:p>
        </w:tc>
        <w:tc>
          <w:tcPr>
            <w:tcW w:w="215" w:type="dxa"/>
            <w:tcBorders/>
            <w:vAlign w:val="bottom"/>
          </w:tcPr>
          <w:p>
            <w:pPr>
              <w:pStyle w:val="TableContents"/>
              <w:bidi w:val="0"/>
              <w:spacing w:before="0" w:after="283"/>
              <w:jc w:val="left"/>
              <w:rPr/>
            </w:pPr>
            <w:r>
              <w:rPr/>
              <w:t> </w:t>
            </w:r>
          </w:p>
        </w:tc>
      </w:tr>
      <w:tr>
        <w:trPr/>
        <w:tc>
          <w:tcPr>
            <w:tcW w:w="1940" w:type="dxa"/>
            <w:tcBorders/>
            <w:vAlign w:val="bottom"/>
          </w:tcPr>
          <w:p>
            <w:pPr>
              <w:pStyle w:val="TableContents"/>
              <w:bidi w:val="0"/>
              <w:spacing w:before="0" w:after="0"/>
              <w:ind w:left="144" w:right="0" w:hanging="144"/>
              <w:jc w:val="left"/>
              <w:rPr>
                <w:b/>
                <w:color w:val="000000"/>
              </w:rPr>
            </w:pPr>
            <w:r>
              <w:rPr>
                <w:b/>
                <w:color w:val="000000"/>
              </w:rPr>
              <w:t>Industry</w:t>
            </w:r>
          </w:p>
        </w:tc>
        <w:tc>
          <w:tcPr>
            <w:tcW w:w="60" w:type="dxa"/>
            <w:tcBorders/>
            <w:vAlign w:val="bottom"/>
          </w:tcPr>
          <w:p>
            <w:pPr>
              <w:pStyle w:val="TableContents"/>
              <w:bidi w:val="0"/>
              <w:spacing w:before="0" w:after="283"/>
              <w:jc w:val="left"/>
              <w:rPr/>
            </w:pPr>
            <w:r>
              <w:rPr/>
              <w:t> </w:t>
            </w:r>
          </w:p>
        </w:tc>
        <w:tc>
          <w:tcPr>
            <w:tcW w:w="162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215" w:type="dxa"/>
            <w:tcBorders/>
            <w:vAlign w:val="bottom"/>
          </w:tcPr>
          <w:p>
            <w:pPr>
              <w:pStyle w:val="TableContents"/>
              <w:bidi w:val="0"/>
              <w:spacing w:before="0" w:after="283"/>
              <w:jc w:val="left"/>
              <w:rPr/>
            </w:pPr>
            <w:r>
              <w:rPr/>
              <w:t> </w:t>
            </w:r>
          </w:p>
        </w:tc>
      </w:tr>
      <w:tr>
        <w:trPr/>
        <w:tc>
          <w:tcPr>
            <w:tcW w:w="1940" w:type="dxa"/>
            <w:tcBorders/>
            <w:shd w:fill="CCEEFF" w:val="clear"/>
            <w:vAlign w:val="bottom"/>
          </w:tcPr>
          <w:p>
            <w:pPr>
              <w:pStyle w:val="TableContents"/>
              <w:bidi w:val="0"/>
              <w:spacing w:before="0" w:after="0"/>
              <w:ind w:left="144" w:right="0" w:hanging="144"/>
              <w:jc w:val="left"/>
              <w:rPr>
                <w:color w:val="000000"/>
              </w:rPr>
            </w:pPr>
            <w:r>
              <w:rPr>
                <w:color w:val="000000"/>
              </w:rPr>
              <w:t>Wholesale Trade</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0"/>
              <w:jc w:val="right"/>
              <w:rPr>
                <w:color w:val="000000"/>
              </w:rPr>
            </w:pPr>
            <w:r>
              <w:rPr>
                <w:color w:val="000000"/>
              </w:rPr>
              <w:t>97.0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color w:val="000000"/>
              </w:rPr>
            </w:pPr>
            <w:r>
              <w:rPr>
                <w:color w:val="000000"/>
              </w:rPr>
              <w:t>96.7</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1940" w:type="dxa"/>
            <w:tcBorders/>
            <w:vAlign w:val="bottom"/>
          </w:tcPr>
          <w:p>
            <w:pPr>
              <w:pStyle w:val="TableContents"/>
              <w:bidi w:val="0"/>
              <w:spacing w:before="0" w:after="0"/>
              <w:ind w:left="144" w:right="0" w:hanging="144"/>
              <w:jc w:val="left"/>
              <w:rPr>
                <w:color w:val="000000"/>
              </w:rPr>
            </w:pPr>
            <w:r>
              <w:rPr>
                <w:color w:val="000000"/>
              </w:rPr>
              <w:t>Real Estate Services</w:t>
            </w:r>
          </w:p>
        </w:tc>
        <w:tc>
          <w:tcPr>
            <w:tcW w:w="60"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146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w:t>
            </w:r>
          </w:p>
        </w:tc>
        <w:tc>
          <w:tcPr>
            <w:tcW w:w="215" w:type="dxa"/>
            <w:tcBorders/>
            <w:vAlign w:val="bottom"/>
          </w:tcPr>
          <w:p>
            <w:pPr>
              <w:pStyle w:val="TableContents"/>
              <w:bidi w:val="0"/>
              <w:spacing w:before="0" w:after="283"/>
              <w:jc w:val="left"/>
              <w:rPr/>
            </w:pPr>
            <w:r>
              <w:rPr/>
              <w:t> </w:t>
            </w:r>
          </w:p>
        </w:tc>
      </w:tr>
      <w:tr>
        <w:trPr/>
        <w:tc>
          <w:tcPr>
            <w:tcW w:w="1940" w:type="dxa"/>
            <w:tcBorders/>
            <w:shd w:fill="CCEEFF" w:val="clear"/>
            <w:vAlign w:val="bottom"/>
          </w:tcPr>
          <w:p>
            <w:pPr>
              <w:pStyle w:val="TableContents"/>
              <w:bidi w:val="0"/>
              <w:spacing w:before="0" w:after="0"/>
              <w:ind w:left="324" w:right="0" w:hanging="144"/>
              <w:jc w:val="left"/>
              <w:rPr>
                <w:color w:val="000000"/>
              </w:rPr>
            </w:pPr>
            <w:r>
              <w:rPr>
                <w:color w:val="000000"/>
              </w:rPr>
              <w:t>Total</w:t>
            </w:r>
          </w:p>
        </w:tc>
        <w:tc>
          <w:tcPr>
            <w:tcW w:w="60" w:type="dxa"/>
            <w:tcBorders/>
            <w:shd w:fill="CCEEFF" w:val="clear"/>
            <w:vAlign w:val="bottom"/>
          </w:tcPr>
          <w:p>
            <w:pPr>
              <w:pStyle w:val="TableContents"/>
              <w:bidi w:val="0"/>
              <w:spacing w:before="0" w:after="283"/>
              <w:jc w:val="left"/>
              <w:rPr/>
            </w:pPr>
            <w:r>
              <w:rPr/>
              <w:t> </w:t>
            </w:r>
          </w:p>
        </w:tc>
        <w:tc>
          <w:tcPr>
            <w:tcW w:w="15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46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0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1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r>
        <w:rPr>
          <w:rFonts w:ascii="Times New Roman;Times;serif" w:hAnsi="Times New Roman;Times;serif"/>
          <w:color w:val="000000"/>
          <w:sz w:val="20"/>
          <w:shd w:fill="FFFFFF" w:val="clear"/>
        </w:rPr>
        <w:t xml:space="preserve"> </w:t>
      </w:r>
    </w:p>
    <w:tbl>
      <w:tblPr>
        <w:tblW w:w="4992" w:type="dxa"/>
        <w:jc w:val="left"/>
        <w:tblInd w:w="0" w:type="dxa"/>
        <w:tblLayout w:type="fixed"/>
        <w:tblCellMar>
          <w:top w:w="0" w:type="dxa"/>
          <w:left w:w="0" w:type="dxa"/>
          <w:bottom w:w="0" w:type="dxa"/>
          <w:right w:w="0" w:type="dxa"/>
        </w:tblCellMar>
      </w:tblPr>
      <w:tblGrid>
        <w:gridCol w:w="1625"/>
        <w:gridCol w:w="60"/>
        <w:gridCol w:w="156"/>
        <w:gridCol w:w="1468"/>
        <w:gridCol w:w="277"/>
        <w:gridCol w:w="77"/>
        <w:gridCol w:w="107"/>
        <w:gridCol w:w="1007"/>
        <w:gridCol w:w="215"/>
      </w:tblGrid>
      <w:tr>
        <w:trPr/>
        <w:tc>
          <w:tcPr>
            <w:tcW w:w="16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9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2023</w:t>
            </w:r>
          </w:p>
        </w:tc>
        <w:tc>
          <w:tcPr>
            <w:tcW w:w="215" w:type="dxa"/>
            <w:tcBorders/>
            <w:vAlign w:val="bottom"/>
          </w:tcPr>
          <w:p>
            <w:pPr>
              <w:pStyle w:val="TableContents"/>
              <w:bidi w:val="0"/>
              <w:spacing w:before="0" w:after="283"/>
              <w:jc w:val="left"/>
              <w:rPr/>
            </w:pPr>
            <w:r>
              <w:rPr/>
              <w:t> </w:t>
            </w:r>
          </w:p>
        </w:tc>
      </w:tr>
      <w:tr>
        <w:trPr/>
        <w:tc>
          <w:tcPr>
            <w:tcW w:w="1625" w:type="dxa"/>
            <w:tcBorders/>
            <w:vAlign w:val="bottom"/>
          </w:tcPr>
          <w:p>
            <w:pPr>
              <w:pStyle w:val="TableContents"/>
              <w:bidi w:val="0"/>
              <w:spacing w:before="0" w:after="0"/>
              <w:ind w:left="144" w:right="0" w:hanging="144"/>
              <w:jc w:val="left"/>
              <w:rPr>
                <w:b/>
                <w:color w:val="000000"/>
              </w:rPr>
            </w:pPr>
            <w:r>
              <w:rPr>
                <w:b/>
                <w:color w:val="000000"/>
              </w:rPr>
              <w:t>Industry</w:t>
            </w:r>
          </w:p>
        </w:tc>
        <w:tc>
          <w:tcPr>
            <w:tcW w:w="60" w:type="dxa"/>
            <w:tcBorders/>
            <w:vAlign w:val="bottom"/>
          </w:tcPr>
          <w:p>
            <w:pPr>
              <w:pStyle w:val="TableContents"/>
              <w:bidi w:val="0"/>
              <w:spacing w:before="0" w:after="283"/>
              <w:jc w:val="left"/>
              <w:rPr/>
            </w:pPr>
            <w:r>
              <w:rPr/>
              <w:t> </w:t>
            </w:r>
          </w:p>
        </w:tc>
        <w:tc>
          <w:tcPr>
            <w:tcW w:w="162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215" w:type="dxa"/>
            <w:tcBorders/>
            <w:vAlign w:val="bottom"/>
          </w:tcPr>
          <w:p>
            <w:pPr>
              <w:pStyle w:val="TableContents"/>
              <w:bidi w:val="0"/>
              <w:spacing w:before="0" w:after="283"/>
              <w:jc w:val="left"/>
              <w:rPr/>
            </w:pPr>
            <w:r>
              <w:rPr/>
              <w:t> </w:t>
            </w:r>
          </w:p>
        </w:tc>
      </w:tr>
      <w:tr>
        <w:trPr/>
        <w:tc>
          <w:tcPr>
            <w:tcW w:w="1625" w:type="dxa"/>
            <w:tcBorders/>
            <w:shd w:fill="CCEEFF" w:val="clear"/>
            <w:vAlign w:val="bottom"/>
          </w:tcPr>
          <w:p>
            <w:pPr>
              <w:pStyle w:val="TableContents"/>
              <w:bidi w:val="0"/>
              <w:spacing w:before="0" w:after="0"/>
              <w:ind w:left="144" w:right="0" w:hanging="144"/>
              <w:jc w:val="left"/>
              <w:rPr>
                <w:color w:val="000000"/>
              </w:rPr>
            </w:pPr>
            <w:r>
              <w:rPr>
                <w:color w:val="000000"/>
              </w:rPr>
              <w:t>Wholesale Trade</w:t>
            </w:r>
          </w:p>
        </w:tc>
        <w:tc>
          <w:tcPr>
            <w:tcW w:w="60"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6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77" w:type="dxa"/>
            <w:tcBorders/>
            <w:shd w:fill="CCEEFF" w:val="clear"/>
            <w:vAlign w:val="bottom"/>
          </w:tcPr>
          <w:p>
            <w:pPr>
              <w:pStyle w:val="TableContents"/>
              <w:bidi w:val="0"/>
              <w:spacing w:before="0" w:after="0"/>
              <w:jc w:val="left"/>
              <w:rPr>
                <w:color w:val="000000"/>
              </w:rPr>
            </w:pPr>
            <w:r>
              <w:rPr>
                <w:color w:val="000000"/>
              </w:rPr>
              <w:t>%</w:t>
            </w:r>
          </w:p>
        </w:tc>
        <w:tc>
          <w:tcPr>
            <w:tcW w:w="77" w:type="dxa"/>
            <w:tcBorders/>
            <w:shd w:fill="CCEEFF" w:val="clear"/>
            <w:vAlign w:val="bottom"/>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1625" w:type="dxa"/>
            <w:tcBorders/>
            <w:vAlign w:val="bottom"/>
          </w:tcPr>
          <w:p>
            <w:pPr>
              <w:pStyle w:val="TableContents"/>
              <w:bidi w:val="0"/>
              <w:spacing w:before="0" w:after="0"/>
              <w:ind w:left="324" w:right="0" w:hanging="144"/>
              <w:jc w:val="left"/>
              <w:rPr>
                <w:color w:val="000000"/>
              </w:rPr>
            </w:pPr>
            <w:r>
              <w:rPr>
                <w:color w:val="000000"/>
              </w:rPr>
              <w:t>Total</w:t>
            </w:r>
          </w:p>
        </w:tc>
        <w:tc>
          <w:tcPr>
            <w:tcW w:w="60" w:type="dxa"/>
            <w:tcBorders/>
            <w:vAlign w:val="bottom"/>
          </w:tcPr>
          <w:p>
            <w:pPr>
              <w:pStyle w:val="TableContents"/>
              <w:bidi w:val="0"/>
              <w:spacing w:before="0" w:after="283"/>
              <w:jc w:val="left"/>
              <w:rPr/>
            </w:pPr>
            <w:r>
              <w:rPr/>
              <w:t> </w:t>
            </w:r>
          </w:p>
        </w:tc>
        <w:tc>
          <w:tcPr>
            <w:tcW w:w="156" w:type="dxa"/>
            <w:tcBorders>
              <w:bottom w:val="double" w:sz="8" w:space="0" w:color="000000"/>
            </w:tcBorders>
            <w:tcMar>
              <w:bottom w:w="28" w:type="dxa"/>
            </w:tcMar>
            <w:vAlign w:val="bottom"/>
          </w:tcPr>
          <w:p>
            <w:pPr>
              <w:pStyle w:val="TableContents"/>
              <w:bidi w:val="0"/>
              <w:spacing w:before="0" w:after="283"/>
              <w:jc w:val="left"/>
              <w:rPr/>
            </w:pPr>
            <w:r>
              <w:rPr/>
              <w:t> </w:t>
            </w:r>
          </w:p>
        </w:tc>
        <w:tc>
          <w:tcPr>
            <w:tcW w:w="146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77" w:type="dxa"/>
            <w:tcBorders/>
            <w:vAlign w:val="bottom"/>
          </w:tcPr>
          <w:p>
            <w:pPr>
              <w:pStyle w:val="TableContents"/>
              <w:bidi w:val="0"/>
              <w:spacing w:before="0" w:after="0"/>
              <w:jc w:val="left"/>
              <w:rPr>
                <w:color w:val="000000"/>
              </w:rPr>
            </w:pPr>
            <w:r>
              <w:rPr>
                <w:color w:val="000000"/>
              </w:rPr>
              <w:t>%</w:t>
            </w:r>
          </w:p>
        </w:tc>
        <w:tc>
          <w:tcPr>
            <w:tcW w:w="77" w:type="dxa"/>
            <w:tcBorders/>
            <w:vAlign w:val="bottom"/>
          </w:tcPr>
          <w:p>
            <w:pPr>
              <w:pStyle w:val="TableContents"/>
              <w:bidi w:val="0"/>
              <w:spacing w:before="0" w:after="283"/>
              <w:jc w:val="left"/>
              <w:rPr/>
            </w:pPr>
            <w:r>
              <w:rPr/>
              <w:t> </w:t>
            </w:r>
          </w:p>
        </w:tc>
        <w:tc>
          <w:tcPr>
            <w:tcW w:w="107" w:type="dxa"/>
            <w:tcBorders>
              <w:bottom w:val="double" w:sz="8" w:space="0" w:color="000000"/>
            </w:tcBorders>
            <w:tcMar>
              <w:bottom w:w="28" w:type="dxa"/>
            </w:tcMar>
            <w:vAlign w:val="bottom"/>
          </w:tcPr>
          <w:p>
            <w:pPr>
              <w:pStyle w:val="TableContents"/>
              <w:bidi w:val="0"/>
              <w:spacing w:before="0" w:after="283"/>
              <w:jc w:val="left"/>
              <w:rPr/>
            </w:pPr>
            <w:r>
              <w:rPr/>
              <w:t> </w:t>
            </w:r>
          </w:p>
        </w:tc>
        <w:tc>
          <w:tcPr>
            <w:tcW w:w="100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15"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Concentrations of Credit Risk</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Credit risk is the risk of default or non-performance by portfolio companies, equivalent to the investment’s carrying amount. Industry and sector concentrations will vary from period to period based on portfolio activity.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June 30, 2024 and December 31, 2023, we had two portfolio companies that represented 73.1% and 77.0% respectively, of the fair values of our portfolio. As of June 30, 2024 and December 31, 2023, our largest portfolio company represented 39.5% and 38.7%, respectively, of the total fair values of our investments in portfolio companies.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Investment Activity</w:t>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 provides a summary of the changes in the investment portfolio for the six months ended June 30, 2024 and 2023:</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138"/>
        <w:gridCol w:w="60"/>
        <w:gridCol w:w="210"/>
        <w:gridCol w:w="1659"/>
        <w:gridCol w:w="95"/>
        <w:gridCol w:w="60"/>
        <w:gridCol w:w="210"/>
        <w:gridCol w:w="1659"/>
        <w:gridCol w:w="114"/>
      </w:tblGrid>
      <w:tr>
        <w:trPr/>
        <w:tc>
          <w:tcPr>
            <w:tcW w:w="6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9" w:type="dxa"/>
            <w:gridSpan w:val="2"/>
            <w:tcBorders/>
            <w:vAlign w:val="bottom"/>
          </w:tcPr>
          <w:p>
            <w:pPr>
              <w:pStyle w:val="TableContents"/>
              <w:bidi w:val="0"/>
              <w:spacing w:before="0" w:after="0"/>
              <w:jc w:val="center"/>
              <w:rPr>
                <w:b/>
                <w:color w:val="000000"/>
              </w:rPr>
            </w:pPr>
            <w:r>
              <w:rPr>
                <w:b/>
                <w:color w:val="000000"/>
              </w:rPr>
              <w:t>Six Months Ended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9" w:type="dxa"/>
            <w:gridSpan w:val="2"/>
            <w:tcBorders/>
            <w:vAlign w:val="bottom"/>
          </w:tcPr>
          <w:p>
            <w:pPr>
              <w:pStyle w:val="TableContents"/>
              <w:bidi w:val="0"/>
              <w:spacing w:before="0" w:after="0"/>
              <w:jc w:val="center"/>
              <w:rPr>
                <w:b/>
                <w:color w:val="000000"/>
              </w:rPr>
            </w:pPr>
            <w:r>
              <w:rPr>
                <w:b/>
                <w:color w:val="000000"/>
              </w:rPr>
              <w:t>Six Months Ended</w:t>
            </w:r>
          </w:p>
        </w:tc>
        <w:tc>
          <w:tcPr>
            <w:tcW w:w="114" w:type="dxa"/>
            <w:tcBorders/>
            <w:vAlign w:val="bottom"/>
          </w:tcPr>
          <w:p>
            <w:pPr>
              <w:pStyle w:val="TableContents"/>
              <w:bidi w:val="0"/>
              <w:spacing w:before="0" w:after="283"/>
              <w:jc w:val="left"/>
              <w:rPr/>
            </w:pPr>
            <w:r>
              <w:rPr/>
              <w:t> </w:t>
            </w:r>
          </w:p>
        </w:tc>
      </w:tr>
      <w:tr>
        <w:trPr/>
        <w:tc>
          <w:tcPr>
            <w:tcW w:w="6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2023</w:t>
            </w:r>
          </w:p>
        </w:tc>
        <w:tc>
          <w:tcPr>
            <w:tcW w:w="114" w:type="dxa"/>
            <w:tcBorders/>
            <w:vAlign w:val="bottom"/>
          </w:tcPr>
          <w:p>
            <w:pPr>
              <w:pStyle w:val="TableContents"/>
              <w:bidi w:val="0"/>
              <w:spacing w:before="0" w:after="283"/>
              <w:jc w:val="left"/>
              <w:rPr/>
            </w:pPr>
            <w:r>
              <w:rPr/>
              <w:t> </w:t>
            </w:r>
          </w:p>
        </w:tc>
      </w:tr>
      <w:tr>
        <w:trPr/>
        <w:tc>
          <w:tcPr>
            <w:tcW w:w="6138" w:type="dxa"/>
            <w:tcBorders/>
            <w:shd w:fill="CCEEFF" w:val="clear"/>
            <w:vAlign w:val="bottom"/>
          </w:tcPr>
          <w:p>
            <w:pPr>
              <w:pStyle w:val="TableContents"/>
              <w:bidi w:val="0"/>
              <w:spacing w:before="0" w:after="0"/>
              <w:ind w:left="144" w:right="0" w:hanging="144"/>
              <w:jc w:val="left"/>
              <w:rPr>
                <w:b/>
                <w:color w:val="000000"/>
              </w:rPr>
            </w:pPr>
            <w:r>
              <w:rPr>
                <w:b/>
                <w:color w:val="000000"/>
              </w:rPr>
              <w:t>Beginning Portfolio, at fair value</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color w:val="000000"/>
              </w:rPr>
            </w:pPr>
            <w:r>
              <w:rPr>
                <w:color w:val="000000"/>
              </w:rPr>
              <w:t>$</w:t>
            </w:r>
          </w:p>
        </w:tc>
        <w:tc>
          <w:tcPr>
            <w:tcW w:w="1659" w:type="dxa"/>
            <w:tcBorders/>
            <w:shd w:fill="CCEEFF" w:val="clear"/>
            <w:vAlign w:val="bottom"/>
          </w:tcPr>
          <w:p>
            <w:pPr>
              <w:pStyle w:val="TableContents"/>
              <w:bidi w:val="0"/>
              <w:spacing w:before="0" w:after="0"/>
              <w:jc w:val="right"/>
              <w:rPr>
                <w:color w:val="000000"/>
              </w:rPr>
            </w:pPr>
            <w:r>
              <w:rPr>
                <w:color w:val="000000"/>
              </w:rPr>
              <w:t>54,120,000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color w:val="000000"/>
              </w:rPr>
            </w:pPr>
            <w:r>
              <w:rPr>
                <w:color w:val="000000"/>
              </w:rPr>
              <w:t>$</w:t>
            </w:r>
          </w:p>
        </w:tc>
        <w:tc>
          <w:tcPr>
            <w:tcW w:w="1659" w:type="dxa"/>
            <w:tcBorders/>
            <w:shd w:fill="CCEEFF" w:val="clear"/>
            <w:vAlign w:val="bottom"/>
          </w:tcPr>
          <w:p>
            <w:pPr>
              <w:pStyle w:val="TableContents"/>
              <w:bidi w:val="0"/>
              <w:spacing w:before="0" w:after="0"/>
              <w:jc w:val="right"/>
              <w:rPr>
                <w:color w:val="000000"/>
              </w:rPr>
            </w:pPr>
            <w:r>
              <w:rPr>
                <w:color w:val="000000"/>
              </w:rPr>
              <w:t>50,254,550</w:t>
            </w:r>
          </w:p>
        </w:tc>
        <w:tc>
          <w:tcPr>
            <w:tcW w:w="114" w:type="dxa"/>
            <w:tcBorders/>
            <w:shd w:fill="CCEEFF" w:val="clear"/>
            <w:vAlign w:val="bottom"/>
          </w:tcPr>
          <w:p>
            <w:pPr>
              <w:pStyle w:val="TableContents"/>
              <w:bidi w:val="0"/>
              <w:spacing w:before="0" w:after="283"/>
              <w:jc w:val="left"/>
              <w:rPr/>
            </w:pPr>
            <w:r>
              <w:rPr/>
              <w:t> </w:t>
            </w:r>
          </w:p>
        </w:tc>
      </w:tr>
      <w:tr>
        <w:trPr/>
        <w:tc>
          <w:tcPr>
            <w:tcW w:w="6138" w:type="dxa"/>
            <w:tcBorders/>
            <w:vAlign w:val="bottom"/>
          </w:tcPr>
          <w:p>
            <w:pPr>
              <w:pStyle w:val="TableContents"/>
              <w:bidi w:val="0"/>
              <w:spacing w:before="0" w:after="0"/>
              <w:ind w:left="144" w:right="0" w:hanging="144"/>
              <w:jc w:val="left"/>
              <w:rPr>
                <w:color w:val="000000"/>
              </w:rPr>
            </w:pPr>
            <w:r>
              <w:rPr>
                <w:color w:val="000000"/>
              </w:rPr>
              <w:t>Purchases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659" w:type="dxa"/>
            <w:tcBorders/>
            <w:vAlign w:val="bottom"/>
          </w:tcPr>
          <w:p>
            <w:pPr>
              <w:pStyle w:val="TableContents"/>
              <w:bidi w:val="0"/>
              <w:spacing w:before="0" w:after="0"/>
              <w:jc w:val="right"/>
              <w:rPr>
                <w:color w:val="000000"/>
              </w:rPr>
            </w:pPr>
            <w:r>
              <w:rPr>
                <w:color w:val="000000"/>
              </w:rPr>
              <w:t>1,575,000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659" w:type="dxa"/>
            <w:tcBorders/>
            <w:vAlign w:val="bottom"/>
          </w:tcPr>
          <w:p>
            <w:pPr>
              <w:pStyle w:val="TableContents"/>
              <w:bidi w:val="0"/>
              <w:spacing w:before="0" w:after="0"/>
              <w:jc w:val="right"/>
              <w:rPr>
                <w:color w:val="000000"/>
              </w:rPr>
            </w:pPr>
            <w:r>
              <w:rPr>
                <w:color w:val="000000"/>
              </w:rPr>
              <w:t>8,442,000</w:t>
            </w:r>
          </w:p>
        </w:tc>
        <w:tc>
          <w:tcPr>
            <w:tcW w:w="114" w:type="dxa"/>
            <w:tcBorders/>
            <w:vAlign w:val="bottom"/>
          </w:tcPr>
          <w:p>
            <w:pPr>
              <w:pStyle w:val="TableContents"/>
              <w:bidi w:val="0"/>
              <w:spacing w:before="0" w:after="283"/>
              <w:jc w:val="left"/>
              <w:rPr/>
            </w:pPr>
            <w:r>
              <w:rPr/>
              <w:t> </w:t>
            </w:r>
          </w:p>
        </w:tc>
      </w:tr>
      <w:tr>
        <w:trPr/>
        <w:tc>
          <w:tcPr>
            <w:tcW w:w="6138" w:type="dxa"/>
            <w:tcBorders/>
            <w:shd w:fill="CCEEFF" w:val="clear"/>
            <w:vAlign w:val="bottom"/>
          </w:tcPr>
          <w:p>
            <w:pPr>
              <w:pStyle w:val="TableContents"/>
              <w:bidi w:val="0"/>
              <w:spacing w:before="0" w:after="0"/>
              <w:ind w:left="144" w:right="0" w:hanging="144"/>
              <w:jc w:val="left"/>
              <w:rPr>
                <w:color w:val="000000"/>
              </w:rPr>
            </w:pPr>
            <w:r>
              <w:rPr>
                <w:color w:val="000000"/>
              </w:rPr>
              <w:t>Accretion of discount and fees (amortization of premium), net</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659" w:type="dxa"/>
            <w:tcBorders/>
            <w:shd w:fill="CCEEFF" w:val="clear"/>
            <w:vAlign w:val="bottom"/>
          </w:tcPr>
          <w:p>
            <w:pPr>
              <w:pStyle w:val="TableContents"/>
              <w:bidi w:val="0"/>
              <w:spacing w:before="0" w:after="0"/>
              <w:jc w:val="right"/>
              <w:rPr>
                <w:color w:val="000000"/>
              </w:rPr>
            </w:pPr>
            <w:r>
              <w:rPr>
                <w:color w:val="000000"/>
              </w:rPr>
              <w:t>349,179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659" w:type="dxa"/>
            <w:tcBorders/>
            <w:shd w:fill="CCEEFF" w:val="clear"/>
            <w:vAlign w:val="bottom"/>
          </w:tcPr>
          <w:p>
            <w:pPr>
              <w:pStyle w:val="TableContents"/>
              <w:bidi w:val="0"/>
              <w:spacing w:before="0" w:after="0"/>
              <w:jc w:val="right"/>
              <w:rPr>
                <w:color w:val="000000"/>
              </w:rPr>
            </w:pPr>
            <w:r>
              <w:rPr>
                <w:color w:val="000000"/>
              </w:rPr>
              <w:t>301,558</w:t>
            </w:r>
          </w:p>
        </w:tc>
        <w:tc>
          <w:tcPr>
            <w:tcW w:w="114" w:type="dxa"/>
            <w:tcBorders/>
            <w:shd w:fill="CCEEFF" w:val="clear"/>
            <w:vAlign w:val="bottom"/>
          </w:tcPr>
          <w:p>
            <w:pPr>
              <w:pStyle w:val="TableContents"/>
              <w:bidi w:val="0"/>
              <w:spacing w:before="0" w:after="283"/>
              <w:jc w:val="left"/>
              <w:rPr/>
            </w:pPr>
            <w:r>
              <w:rPr/>
              <w:t> </w:t>
            </w:r>
          </w:p>
        </w:tc>
      </w:tr>
      <w:tr>
        <w:trPr/>
        <w:tc>
          <w:tcPr>
            <w:tcW w:w="6138" w:type="dxa"/>
            <w:tcBorders/>
            <w:vAlign w:val="bottom"/>
          </w:tcPr>
          <w:p>
            <w:pPr>
              <w:pStyle w:val="TableContents"/>
              <w:bidi w:val="0"/>
              <w:spacing w:before="0" w:after="0"/>
              <w:ind w:left="144" w:right="0" w:hanging="144"/>
              <w:jc w:val="left"/>
              <w:rPr>
                <w:color w:val="000000"/>
              </w:rPr>
            </w:pPr>
            <w:r>
              <w:rPr>
                <w:color w:val="000000"/>
              </w:rPr>
              <w:t>PIK interest</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659" w:type="dxa"/>
            <w:tcBorders/>
            <w:vAlign w:val="bottom"/>
          </w:tcPr>
          <w:p>
            <w:pPr>
              <w:pStyle w:val="TableContents"/>
              <w:bidi w:val="0"/>
              <w:spacing w:before="0" w:after="0"/>
              <w:jc w:val="right"/>
              <w:rPr>
                <w:color w:val="000000"/>
              </w:rPr>
            </w:pPr>
            <w:r>
              <w:rPr>
                <w:color w:val="000000"/>
              </w:rPr>
              <w:t>113,137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659" w:type="dxa"/>
            <w:tcBorders/>
            <w:vAlign w:val="bottom"/>
          </w:tcPr>
          <w:p>
            <w:pPr>
              <w:pStyle w:val="TableContents"/>
              <w:bidi w:val="0"/>
              <w:spacing w:before="0" w:after="0"/>
              <w:jc w:val="right"/>
              <w:rPr>
                <w:color w:val="000000"/>
              </w:rPr>
            </w:pPr>
            <w:r>
              <w:rPr>
                <w:color w:val="000000"/>
              </w:rPr>
              <w:t>62,587</w:t>
            </w:r>
          </w:p>
        </w:tc>
        <w:tc>
          <w:tcPr>
            <w:tcW w:w="114" w:type="dxa"/>
            <w:tcBorders/>
            <w:vAlign w:val="bottom"/>
          </w:tcPr>
          <w:p>
            <w:pPr>
              <w:pStyle w:val="TableContents"/>
              <w:bidi w:val="0"/>
              <w:spacing w:before="0" w:after="283"/>
              <w:jc w:val="left"/>
              <w:rPr/>
            </w:pPr>
            <w:r>
              <w:rPr/>
              <w:t> </w:t>
            </w:r>
          </w:p>
        </w:tc>
      </w:tr>
      <w:tr>
        <w:trPr/>
        <w:tc>
          <w:tcPr>
            <w:tcW w:w="6138" w:type="dxa"/>
            <w:tcBorders/>
            <w:shd w:fill="CCEEFF" w:val="clear"/>
            <w:vAlign w:val="bottom"/>
          </w:tcPr>
          <w:p>
            <w:pPr>
              <w:pStyle w:val="TableContents"/>
              <w:bidi w:val="0"/>
              <w:spacing w:before="0" w:after="0"/>
              <w:ind w:left="144" w:right="0" w:hanging="144"/>
              <w:jc w:val="left"/>
              <w:rPr>
                <w:color w:val="000000"/>
              </w:rPr>
            </w:pPr>
            <w:r>
              <w:rPr>
                <w:color w:val="000000"/>
              </w:rPr>
              <w:t>Proceeds from sales of investments and principal repayments</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6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(3,126,000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659" w:type="dxa"/>
            <w:tcBorders/>
            <w:shd w:fill="CCEEFF" w:val="clear"/>
            <w:vAlign w:val="bottom"/>
          </w:tcPr>
          <w:p>
            <w:pPr>
              <w:pStyle w:val="TableContents"/>
              <w:bidi w:val="0"/>
              <w:spacing w:before="0" w:after="0"/>
              <w:jc w:val="right"/>
              <w:rPr>
                <w:color w:val="000000"/>
              </w:rPr>
            </w:pPr>
            <w:r>
              <w:rPr>
                <w:color w:val="000000"/>
              </w:rPr>
              <w:t>(1,690,000</w:t>
            </w:r>
          </w:p>
        </w:tc>
        <w:tc>
          <w:tcPr>
            <w:tcW w:w="114" w:type="dxa"/>
            <w:tcBorders/>
            <w:shd w:fill="CCEEFF" w:val="clear"/>
            <w:vAlign w:val="bottom"/>
          </w:tcPr>
          <w:p>
            <w:pPr>
              <w:pStyle w:val="TableContents"/>
              <w:bidi w:val="0"/>
              <w:spacing w:before="0" w:after="0"/>
              <w:jc w:val="left"/>
              <w:rPr>
                <w:color w:val="000000"/>
              </w:rPr>
            </w:pPr>
            <w:r>
              <w:rPr>
                <w:color w:val="000000"/>
              </w:rPr>
              <w:t>)</w:t>
            </w:r>
          </w:p>
        </w:tc>
      </w:tr>
      <w:tr>
        <w:trPr/>
        <w:tc>
          <w:tcPr>
            <w:tcW w:w="6138" w:type="dxa"/>
            <w:tcBorders/>
            <w:vAlign w:val="bottom"/>
          </w:tcPr>
          <w:p>
            <w:pPr>
              <w:pStyle w:val="TableContents"/>
              <w:bidi w:val="0"/>
              <w:spacing w:before="0" w:after="0"/>
              <w:ind w:left="144" w:right="0" w:hanging="144"/>
              <w:jc w:val="left"/>
              <w:rPr>
                <w:color w:val="000000"/>
              </w:rPr>
            </w:pPr>
            <w:r>
              <w:rPr>
                <w:color w:val="000000"/>
              </w:rPr>
              <w:t>Net realized gain/(loss) on investments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659"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659" w:type="dxa"/>
            <w:tcBorders/>
            <w:vAlign w:val="bottom"/>
          </w:tcPr>
          <w:p>
            <w:pPr>
              <w:pStyle w:val="TableContents"/>
              <w:bidi w:val="0"/>
              <w:spacing w:before="0" w:after="0"/>
              <w:jc w:val="right"/>
              <w:rPr>
                <w:color w:val="000000"/>
              </w:rPr>
            </w:pPr>
            <w:r>
              <w:rPr>
                <w:color w:val="000000"/>
              </w:rPr>
              <w:t>(210,767</w:t>
            </w:r>
          </w:p>
        </w:tc>
        <w:tc>
          <w:tcPr>
            <w:tcW w:w="114" w:type="dxa"/>
            <w:tcBorders/>
            <w:vAlign w:val="bottom"/>
          </w:tcPr>
          <w:p>
            <w:pPr>
              <w:pStyle w:val="TableContents"/>
              <w:bidi w:val="0"/>
              <w:spacing w:before="0" w:after="0"/>
              <w:jc w:val="left"/>
              <w:rPr>
                <w:color w:val="000000"/>
              </w:rPr>
            </w:pPr>
            <w:r>
              <w:rPr>
                <w:color w:val="000000"/>
              </w:rPr>
              <w:t>)</w:t>
            </w:r>
          </w:p>
        </w:tc>
      </w:tr>
      <w:tr>
        <w:trPr/>
        <w:tc>
          <w:tcPr>
            <w:tcW w:w="6138" w:type="dxa"/>
            <w:tcBorders/>
            <w:shd w:fill="CCEEFF" w:val="clear"/>
            <w:vAlign w:val="bottom"/>
          </w:tcPr>
          <w:p>
            <w:pPr>
              <w:pStyle w:val="TableContents"/>
              <w:bidi w:val="0"/>
              <w:spacing w:before="0" w:after="0"/>
              <w:ind w:left="144" w:right="0" w:hanging="144"/>
              <w:jc w:val="left"/>
              <w:rPr>
                <w:color w:val="000000"/>
              </w:rPr>
            </w:pPr>
            <w:r>
              <w:rPr>
                <w:color w:val="000000"/>
              </w:rPr>
              <w:t>Net change in unrealized appreciation/(depreciation) on investments</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5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366,848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5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509,116</w:t>
            </w:r>
          </w:p>
        </w:tc>
        <w:tc>
          <w:tcPr>
            <w:tcW w:w="114" w:type="dxa"/>
            <w:tcBorders/>
            <w:shd w:fill="CCEEFF" w:val="clear"/>
            <w:vAlign w:val="bottom"/>
          </w:tcPr>
          <w:p>
            <w:pPr>
              <w:pStyle w:val="TableContents"/>
              <w:bidi w:val="0"/>
              <w:spacing w:before="0" w:after="283"/>
              <w:jc w:val="left"/>
              <w:rPr/>
            </w:pPr>
            <w:r>
              <w:rPr/>
              <w:t> </w:t>
            </w:r>
          </w:p>
        </w:tc>
      </w:tr>
      <w:tr>
        <w:trPr/>
        <w:tc>
          <w:tcPr>
            <w:tcW w:w="6138" w:type="dxa"/>
            <w:tcBorders/>
            <w:vAlign w:val="bottom"/>
          </w:tcPr>
          <w:p>
            <w:pPr>
              <w:pStyle w:val="TableContents"/>
              <w:bidi w:val="0"/>
              <w:spacing w:before="0" w:after="0"/>
              <w:ind w:left="144" w:right="0" w:hanging="144"/>
              <w:jc w:val="left"/>
              <w:rPr>
                <w:b/>
                <w:color w:val="000000"/>
              </w:rPr>
            </w:pPr>
            <w:r>
              <w:rPr>
                <w:b/>
                <w:color w:val="000000"/>
              </w:rPr>
              <w:t>Ending Portfolio, at fair value</w:t>
            </w:r>
          </w:p>
        </w:tc>
        <w:tc>
          <w:tcPr>
            <w:tcW w:w="60" w:type="dxa"/>
            <w:tcBorders/>
            <w:vAlign w:val="bottom"/>
          </w:tcPr>
          <w:p>
            <w:pPr>
              <w:pStyle w:val="TableContents"/>
              <w:bidi w:val="0"/>
              <w:spacing w:before="0" w:after="283"/>
              <w:jc w:val="left"/>
              <w:rPr/>
            </w:pPr>
            <w:r>
              <w:rPr/>
              <w:t> </w:t>
            </w:r>
          </w:p>
        </w:tc>
        <w:tc>
          <w:tcPr>
            <w:tcW w:w="21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65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53,398,164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65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57,669,044</w:t>
            </w:r>
          </w:p>
        </w:tc>
        <w:tc>
          <w:tcPr>
            <w:tcW w:w="114"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Portfolio Asset Quality</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portfolio management team uses an ongoing investment risk rating system to characterize and monitor our outstanding investments. Our portfolio management team monitors and, when appropriate, recommends changes to the investment risk ratings. Our Adviser’s Valuation Committee reviews the recommendations and/or changes to the investment risk ratings, which are submitted on a quarterly basis to the Board of Directors and its Audit Committee.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220"/>
        <w:gridCol w:w="60"/>
        <w:gridCol w:w="8925"/>
      </w:tblGrid>
      <w:tr>
        <w:trPr/>
        <w:tc>
          <w:tcPr>
            <w:tcW w:w="1220" w:type="dxa"/>
            <w:tcBorders>
              <w:bottom w:val="single" w:sz="12" w:space="0" w:color="000000"/>
            </w:tcBorders>
            <w:vAlign w:val="center"/>
          </w:tcPr>
          <w:p>
            <w:pPr>
              <w:pStyle w:val="TableContents"/>
              <w:bidi w:val="0"/>
              <w:spacing w:before="0" w:after="0"/>
              <w:jc w:val="left"/>
              <w:rPr>
                <w:color w:val="000000"/>
              </w:rPr>
            </w:pPr>
            <w:r>
              <w:rPr>
                <w:color w:val="000000"/>
              </w:rPr>
              <w:t>Investment</w:t>
            </w:r>
          </w:p>
          <w:p>
            <w:pPr>
              <w:pStyle w:val="TableContents"/>
              <w:bidi w:val="0"/>
              <w:spacing w:before="0" w:after="0"/>
              <w:jc w:val="left"/>
              <w:rPr>
                <w:color w:val="000000"/>
              </w:rPr>
            </w:pPr>
            <w:r>
              <w:rPr>
                <w:color w:val="000000"/>
              </w:rPr>
              <w:t>Performance</w:t>
            </w:r>
          </w:p>
          <w:p>
            <w:pPr>
              <w:pStyle w:val="TableContents"/>
              <w:bidi w:val="0"/>
              <w:spacing w:before="0" w:after="0"/>
              <w:jc w:val="left"/>
              <w:rPr>
                <w:color w:val="000000"/>
              </w:rPr>
            </w:pPr>
            <w:r>
              <w:rPr>
                <w:color w:val="000000"/>
              </w:rPr>
              <w:t>Risk Rating</w:t>
            </w:r>
          </w:p>
        </w:tc>
        <w:tc>
          <w:tcPr>
            <w:tcW w:w="60" w:type="dxa"/>
            <w:tcBorders/>
            <w:tcMar>
              <w:bottom w:w="0" w:type="dxa"/>
            </w:tcMar>
            <w:vAlign w:val="center"/>
          </w:tcPr>
          <w:p>
            <w:pPr>
              <w:pStyle w:val="TableContents"/>
              <w:bidi w:val="0"/>
              <w:spacing w:before="0" w:after="283"/>
              <w:jc w:val="left"/>
              <w:rPr/>
            </w:pPr>
            <w:r>
              <w:rPr/>
              <w:t> </w:t>
            </w:r>
          </w:p>
        </w:tc>
        <w:tc>
          <w:tcPr>
            <w:tcW w:w="8925" w:type="dxa"/>
            <w:tcBorders>
              <w:bottom w:val="single" w:sz="12" w:space="0" w:color="000000"/>
            </w:tcBorders>
            <w:vAlign w:val="center"/>
          </w:tcPr>
          <w:p>
            <w:pPr>
              <w:pStyle w:val="TableContents"/>
              <w:bidi w:val="0"/>
              <w:spacing w:before="0" w:after="0"/>
              <w:jc w:val="left"/>
              <w:rPr>
                <w:color w:val="000000"/>
              </w:rPr>
            </w:pPr>
            <w:r>
              <w:rPr>
                <w:color w:val="000000"/>
              </w:rPr>
              <w:t>Summary Description</w:t>
            </w:r>
          </w:p>
        </w:tc>
      </w:tr>
      <w:tr>
        <w:trPr/>
        <w:tc>
          <w:tcPr>
            <w:tcW w:w="1220" w:type="dxa"/>
            <w:tcBorders/>
            <w:shd w:fill="CCEEFF" w:val="clear"/>
            <w:tcMar>
              <w:bottom w:w="0" w:type="dxa"/>
            </w:tcMar>
            <w:vAlign w:val="center"/>
          </w:tcPr>
          <w:p>
            <w:pPr>
              <w:pStyle w:val="TableContents"/>
              <w:bidi w:val="0"/>
              <w:spacing w:before="0" w:after="0"/>
              <w:jc w:val="left"/>
              <w:rPr>
                <w:color w:val="000000"/>
              </w:rPr>
            </w:pPr>
            <w:r>
              <w:rPr>
                <w:color w:val="000000"/>
              </w:rPr>
              <w:t>Grade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25" w:type="dxa"/>
            <w:tcBorders/>
            <w:shd w:fill="CCEEFF" w:val="clear"/>
            <w:tcMar>
              <w:bottom w:w="0" w:type="dxa"/>
            </w:tcMar>
            <w:vAlign w:val="center"/>
          </w:tcPr>
          <w:p>
            <w:pPr>
              <w:pStyle w:val="TableContents"/>
              <w:bidi w:val="0"/>
              <w:spacing w:before="0" w:after="0"/>
              <w:jc w:val="left"/>
              <w:rPr>
                <w:color w:val="000000"/>
              </w:rPr>
            </w:pPr>
            <w:r>
              <w:rPr>
                <w:color w:val="000000"/>
              </w:rPr>
              <w:t>Investments rated 1 involve the least amount of risk to our initial cost basis. The borrower is performing above expectations, and the trends and risk factors for this investment since origination or acquisition are generally favorable.  Full return of principal, interest and dividend income is expected.</w:t>
            </w:r>
          </w:p>
        </w:tc>
      </w:tr>
      <w:tr>
        <w:trPr/>
        <w:tc>
          <w:tcPr>
            <w:tcW w:w="1220" w:type="dxa"/>
            <w:tcBorders/>
            <w:tcMar>
              <w:bottom w:w="0" w:type="dxa"/>
            </w:tcMar>
            <w:vAlign w:val="center"/>
          </w:tcPr>
          <w:p>
            <w:pPr>
              <w:pStyle w:val="TableContents"/>
              <w:bidi w:val="0"/>
              <w:spacing w:before="0" w:after="0"/>
              <w:jc w:val="left"/>
              <w:rPr>
                <w:color w:val="000000"/>
              </w:rPr>
            </w:pPr>
            <w:r>
              <w:rPr>
                <w:color w:val="000000"/>
              </w:rPr>
              <w:t>Grade 2</w:t>
            </w:r>
          </w:p>
        </w:tc>
        <w:tc>
          <w:tcPr>
            <w:tcW w:w="60" w:type="dxa"/>
            <w:tcBorders/>
            <w:tcMar>
              <w:bottom w:w="0" w:type="dxa"/>
            </w:tcMar>
            <w:vAlign w:val="center"/>
          </w:tcPr>
          <w:p>
            <w:pPr>
              <w:pStyle w:val="TableContents"/>
              <w:bidi w:val="0"/>
              <w:spacing w:before="0" w:after="283"/>
              <w:jc w:val="left"/>
              <w:rPr/>
            </w:pPr>
            <w:r>
              <w:rPr/>
              <w:t> </w:t>
            </w:r>
          </w:p>
        </w:tc>
        <w:tc>
          <w:tcPr>
            <w:tcW w:w="8925" w:type="dxa"/>
            <w:tcBorders/>
            <w:tcMar>
              <w:bottom w:w="0" w:type="dxa"/>
            </w:tcMar>
            <w:vAlign w:val="center"/>
          </w:tcPr>
          <w:p>
            <w:pPr>
              <w:pStyle w:val="TableContents"/>
              <w:bidi w:val="0"/>
              <w:spacing w:before="0" w:after="0"/>
              <w:jc w:val="left"/>
              <w:rPr>
                <w:color w:val="000000"/>
              </w:rPr>
            </w:pPr>
            <w:r>
              <w:rPr>
                <w:color w:val="000000"/>
              </w:rPr>
              <w:t>Investment is performing in-line with expectations. Investments rated 2 involve an acceptable level of risk that is similar to the risk at the time of origination or acquisition. Risk factors remain neutral or favorable compared with initial underwriting. All investments or acquired investments in new portfolio companies are initially assessed a rating of 2.</w:t>
            </w:r>
          </w:p>
        </w:tc>
      </w:tr>
      <w:tr>
        <w:trPr/>
        <w:tc>
          <w:tcPr>
            <w:tcW w:w="1220" w:type="dxa"/>
            <w:tcBorders/>
            <w:shd w:fill="CCEEFF" w:val="clear"/>
            <w:tcMar>
              <w:bottom w:w="0" w:type="dxa"/>
            </w:tcMar>
            <w:vAlign w:val="center"/>
          </w:tcPr>
          <w:p>
            <w:pPr>
              <w:pStyle w:val="TableContents"/>
              <w:bidi w:val="0"/>
              <w:spacing w:before="0" w:after="0"/>
              <w:jc w:val="left"/>
              <w:rPr>
                <w:color w:val="000000"/>
              </w:rPr>
            </w:pPr>
            <w:r>
              <w:rPr>
                <w:color w:val="000000"/>
              </w:rPr>
              <w:t>Grade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25" w:type="dxa"/>
            <w:tcBorders/>
            <w:shd w:fill="CCEEFF" w:val="clear"/>
            <w:tcMar>
              <w:bottom w:w="0" w:type="dxa"/>
            </w:tcMar>
            <w:vAlign w:val="center"/>
          </w:tcPr>
          <w:p>
            <w:pPr>
              <w:pStyle w:val="TableContents"/>
              <w:bidi w:val="0"/>
              <w:spacing w:before="0" w:after="0"/>
              <w:jc w:val="left"/>
              <w:rPr>
                <w:color w:val="000000"/>
              </w:rPr>
            </w:pPr>
            <w:r>
              <w:rPr>
                <w:color w:val="000000"/>
              </w:rPr>
              <w:t>Investments rated 3 involve a borrower performing below expectations and indicates that the loan’s risk has increased somewhat since origination or acquisition. Capital impairment or payment delinquency is not anticipated. The investment may also be out of compliance with certain financial covenants.</w:t>
            </w:r>
          </w:p>
        </w:tc>
      </w:tr>
      <w:tr>
        <w:trPr/>
        <w:tc>
          <w:tcPr>
            <w:tcW w:w="1220" w:type="dxa"/>
            <w:tcBorders/>
            <w:tcMar>
              <w:bottom w:w="0" w:type="dxa"/>
            </w:tcMar>
            <w:vAlign w:val="center"/>
          </w:tcPr>
          <w:p>
            <w:pPr>
              <w:pStyle w:val="TableContents"/>
              <w:bidi w:val="0"/>
              <w:spacing w:before="0" w:after="0"/>
              <w:jc w:val="left"/>
              <w:rPr>
                <w:color w:val="000000"/>
              </w:rPr>
            </w:pPr>
            <w:r>
              <w:rPr>
                <w:color w:val="000000"/>
              </w:rPr>
              <w:t>Grade 4</w:t>
            </w:r>
          </w:p>
        </w:tc>
        <w:tc>
          <w:tcPr>
            <w:tcW w:w="60" w:type="dxa"/>
            <w:tcBorders/>
            <w:tcMar>
              <w:bottom w:w="0" w:type="dxa"/>
            </w:tcMar>
            <w:vAlign w:val="center"/>
          </w:tcPr>
          <w:p>
            <w:pPr>
              <w:pStyle w:val="TableContents"/>
              <w:bidi w:val="0"/>
              <w:spacing w:before="0" w:after="283"/>
              <w:jc w:val="left"/>
              <w:rPr/>
            </w:pPr>
            <w:r>
              <w:rPr/>
              <w:t> </w:t>
            </w:r>
          </w:p>
        </w:tc>
        <w:tc>
          <w:tcPr>
            <w:tcW w:w="8925" w:type="dxa"/>
            <w:tcBorders/>
            <w:tcMar>
              <w:bottom w:w="0" w:type="dxa"/>
            </w:tcMar>
            <w:vAlign w:val="center"/>
          </w:tcPr>
          <w:p>
            <w:pPr>
              <w:pStyle w:val="TableContents"/>
              <w:bidi w:val="0"/>
              <w:spacing w:before="0" w:after="0"/>
              <w:jc w:val="left"/>
              <w:rPr>
                <w:color w:val="000000"/>
              </w:rPr>
            </w:pPr>
            <w:r>
              <w:rPr>
                <w:color w:val="000000"/>
              </w:rPr>
              <w:t>Investments rated 4 involve a borrower performing materially below expectations and indicates that the loan’s risk has increased materially since origination or acquisition. In addition to the borrower being generally out of compliance with debt covenants, loan payments may be past due (but generally not more than 120 days past due). Delinquency of interest and / or dividend payments in anticipated. No loss of principal is anticipated.</w:t>
            </w:r>
          </w:p>
        </w:tc>
      </w:tr>
      <w:tr>
        <w:trPr/>
        <w:tc>
          <w:tcPr>
            <w:tcW w:w="1220" w:type="dxa"/>
            <w:tcBorders/>
            <w:shd w:fill="CCEEFF" w:val="clear"/>
            <w:tcMar>
              <w:bottom w:w="0" w:type="dxa"/>
            </w:tcMar>
            <w:vAlign w:val="center"/>
          </w:tcPr>
          <w:p>
            <w:pPr>
              <w:pStyle w:val="TableContents"/>
              <w:bidi w:val="0"/>
              <w:spacing w:before="0" w:after="0"/>
              <w:jc w:val="left"/>
              <w:rPr>
                <w:color w:val="000000"/>
              </w:rPr>
            </w:pPr>
            <w:r>
              <w:rPr>
                <w:color w:val="000000"/>
              </w:rPr>
              <w:t>Grade 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25" w:type="dxa"/>
            <w:tcBorders/>
            <w:shd w:fill="CCEEFF" w:val="clear"/>
            <w:tcMar>
              <w:bottom w:w="0" w:type="dxa"/>
            </w:tcMar>
            <w:vAlign w:val="center"/>
          </w:tcPr>
          <w:p>
            <w:pPr>
              <w:pStyle w:val="TableContents"/>
              <w:bidi w:val="0"/>
              <w:spacing w:before="0" w:after="0"/>
              <w:jc w:val="left"/>
              <w:rPr>
                <w:color w:val="000000"/>
              </w:rPr>
            </w:pPr>
            <w:r>
              <w:rPr>
                <w:color w:val="000000"/>
              </w:rPr>
              <w:t>Investments rated 5 involve a borrower performing substantially below expectations and indicates that the loan’s risk has increased substantially since origination or acquisition. It is anticipated that the Company will not recoup its initial cost and may realize a loss upon exit. Most or all of the debt covenants are out of compliance and payments are substantially delinquent. Loans rated 5 are not anticipated to be repaid in full and we will reduce the fair market value of the loan to the amount we anticipate will be recovered.</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tables show the distribution of our investments on the 1 to 5 investment risk rating scale at fair value as of June 30, 2024 and December 31, 2023:</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r>
        <w:rPr>
          <w:rFonts w:ascii="Times New Roman;Times;serif" w:hAnsi="Times New Roman;Times;serif"/>
          <w:color w:val="000000"/>
          <w:sz w:val="20"/>
          <w:shd w:fill="FFFFFF" w:val="clear"/>
        </w:rPr>
        <w:t xml:space="preserve"> </w:t>
      </w:r>
    </w:p>
    <w:tbl>
      <w:tblPr>
        <w:tblW w:w="8237" w:type="dxa"/>
        <w:jc w:val="left"/>
        <w:tblInd w:w="0" w:type="dxa"/>
        <w:tblLayout w:type="fixed"/>
        <w:tblCellMar>
          <w:top w:w="0" w:type="dxa"/>
          <w:left w:w="0" w:type="dxa"/>
          <w:bottom w:w="0" w:type="dxa"/>
          <w:right w:w="0" w:type="dxa"/>
        </w:tblCellMar>
      </w:tblPr>
      <w:tblGrid>
        <w:gridCol w:w="394"/>
        <w:gridCol w:w="3405"/>
        <w:gridCol w:w="60"/>
        <w:gridCol w:w="60"/>
        <w:gridCol w:w="253"/>
        <w:gridCol w:w="1731"/>
        <w:gridCol w:w="60"/>
        <w:gridCol w:w="60"/>
        <w:gridCol w:w="161"/>
        <w:gridCol w:w="1838"/>
        <w:gridCol w:w="215"/>
      </w:tblGrid>
      <w:tr>
        <w:trPr/>
        <w:tc>
          <w:tcPr>
            <w:tcW w:w="379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3"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2024</w:t>
            </w:r>
          </w:p>
        </w:tc>
        <w:tc>
          <w:tcPr>
            <w:tcW w:w="215" w:type="dxa"/>
            <w:tcBorders/>
            <w:vAlign w:val="bottom"/>
          </w:tcPr>
          <w:p>
            <w:pPr>
              <w:pStyle w:val="TableContents"/>
              <w:bidi w:val="0"/>
              <w:spacing w:before="0" w:after="283"/>
              <w:jc w:val="left"/>
              <w:rPr/>
            </w:pPr>
            <w:r>
              <w:rPr/>
              <w:t> </w:t>
            </w:r>
          </w:p>
        </w:tc>
      </w:tr>
      <w:tr>
        <w:trPr/>
        <w:tc>
          <w:tcPr>
            <w:tcW w:w="3799" w:type="dxa"/>
            <w:gridSpan w:val="2"/>
            <w:tcBorders>
              <w:bottom w:val="single" w:sz="12" w:space="0" w:color="000000"/>
            </w:tcBorders>
            <w:tcMar>
              <w:bottom w:w="28" w:type="dxa"/>
            </w:tcMar>
            <w:vAlign w:val="bottom"/>
          </w:tcPr>
          <w:p>
            <w:pPr>
              <w:pStyle w:val="TableContents"/>
              <w:bidi w:val="0"/>
              <w:spacing w:before="0" w:after="0"/>
              <w:jc w:val="left"/>
              <w:rPr/>
            </w:pPr>
            <w:r>
              <w:rPr/>
              <w:t xml:space="preserve">  </w:t>
            </w:r>
          </w:p>
          <w:p>
            <w:pPr>
              <w:pStyle w:val="TableContents"/>
              <w:bidi w:val="0"/>
              <w:spacing w:before="0" w:after="0"/>
              <w:jc w:val="left"/>
              <w:rPr>
                <w:b/>
                <w:color w:val="000000"/>
              </w:rPr>
            </w:pPr>
            <w:r>
              <w:rPr>
                <w:b/>
                <w:color w:val="000000"/>
              </w:rPr>
              <w:t>Investment Performance Risk Rating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Investments at Fair</w:t>
            </w:r>
          </w:p>
          <w:p>
            <w:pPr>
              <w:pStyle w:val="TableContents"/>
              <w:bidi w:val="0"/>
              <w:spacing w:before="0" w:after="0"/>
              <w:jc w:val="center"/>
              <w:rPr>
                <w:b/>
                <w:color w:val="000000"/>
              </w:rPr>
            </w:pPr>
            <w:r>
              <w:rPr>
                <w:b/>
                <w:color w:val="00000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Percentage of Total</w:t>
            </w:r>
          </w:p>
          <w:p>
            <w:pPr>
              <w:pStyle w:val="TableContents"/>
              <w:bidi w:val="0"/>
              <w:spacing w:before="0" w:after="0"/>
              <w:jc w:val="center"/>
              <w:rPr>
                <w:b/>
                <w:color w:val="000000"/>
              </w:rPr>
            </w:pPr>
            <w:r>
              <w:rPr>
                <w:b/>
                <w:color w:val="000000"/>
              </w:rPr>
              <w:t>Investments</w:t>
            </w:r>
          </w:p>
        </w:tc>
        <w:tc>
          <w:tcPr>
            <w:tcW w:w="215" w:type="dxa"/>
            <w:tcBorders/>
            <w:vAlign w:val="bottom"/>
          </w:tcPr>
          <w:p>
            <w:pPr>
              <w:pStyle w:val="TableContents"/>
              <w:bidi w:val="0"/>
              <w:spacing w:before="0" w:after="283"/>
              <w:jc w:val="left"/>
              <w:rPr/>
            </w:pPr>
            <w:r>
              <w:rPr/>
              <w:t> </w:t>
            </w:r>
          </w:p>
        </w:tc>
      </w:tr>
      <w:tr>
        <w:trPr/>
        <w:tc>
          <w:tcPr>
            <w:tcW w:w="394" w:type="dxa"/>
            <w:tcBorders/>
            <w:shd w:fill="CCEEFF" w:val="clear"/>
            <w:vAlign w:val="bottom"/>
          </w:tcPr>
          <w:p>
            <w:pPr>
              <w:pStyle w:val="TableContents"/>
              <w:bidi w:val="0"/>
              <w:spacing w:before="0" w:after="283"/>
              <w:jc w:val="right"/>
              <w:rPr/>
            </w:pPr>
            <w:r>
              <w:rPr/>
              <w:t> </w:t>
            </w:r>
          </w:p>
        </w:tc>
        <w:tc>
          <w:tcPr>
            <w:tcW w:w="3405" w:type="dxa"/>
            <w:tcBorders/>
            <w:shd w:fill="CCEEFF" w:val="clear"/>
            <w:vAlign w:val="bottom"/>
          </w:tcPr>
          <w:p>
            <w:pPr>
              <w:pStyle w:val="TableContents"/>
              <w:bidi w:val="0"/>
              <w:spacing w:before="0" w:after="0"/>
              <w:jc w:val="left"/>
              <w:rPr>
                <w:color w:val="000000"/>
              </w:rPr>
            </w:pPr>
            <w:r>
              <w:rPr>
                <w:color w:val="000000"/>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0"/>
              <w:jc w:val="left"/>
              <w:rPr>
                <w:color w:val="000000"/>
              </w:rPr>
            </w:pPr>
            <w:r>
              <w:rPr>
                <w:color w:val="000000"/>
              </w:rPr>
              <w:t>$</w:t>
            </w:r>
          </w:p>
        </w:tc>
        <w:tc>
          <w:tcPr>
            <w:tcW w:w="173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0"/>
              <w:jc w:val="right"/>
              <w:rPr>
                <w:color w:val="000000"/>
              </w:rPr>
            </w:pPr>
            <w:r>
              <w:rPr>
                <w:color w:val="000000"/>
              </w:rPr>
              <w:t>-</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94" w:type="dxa"/>
            <w:tcBorders/>
            <w:vAlign w:val="bottom"/>
          </w:tcPr>
          <w:p>
            <w:pPr>
              <w:pStyle w:val="TableContents"/>
              <w:bidi w:val="0"/>
              <w:spacing w:before="0" w:after="283"/>
              <w:jc w:val="right"/>
              <w:rPr/>
            </w:pPr>
            <w:r>
              <w:rPr/>
              <w:t> </w:t>
            </w:r>
          </w:p>
        </w:tc>
        <w:tc>
          <w:tcPr>
            <w:tcW w:w="3405" w:type="dxa"/>
            <w:tcBorders/>
            <w:vAlign w:val="bottom"/>
          </w:tcPr>
          <w:p>
            <w:pPr>
              <w:pStyle w:val="TableContents"/>
              <w:bidi w:val="0"/>
              <w:spacing w:before="0" w:after="0"/>
              <w:jc w:val="left"/>
              <w:rPr>
                <w:color w:val="000000"/>
              </w:rPr>
            </w:pPr>
            <w:r>
              <w:rPr>
                <w:color w:val="000000"/>
              </w:rP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73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53,398,164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0"/>
              <w:jc w:val="right"/>
              <w:rPr>
                <w:color w:val="000000"/>
              </w:rPr>
            </w:pPr>
            <w:r>
              <w:rPr>
                <w:color w:val="000000"/>
              </w:rPr>
              <w:t>100.00</w:t>
            </w:r>
          </w:p>
        </w:tc>
        <w:tc>
          <w:tcPr>
            <w:tcW w:w="215" w:type="dxa"/>
            <w:tcBorders/>
            <w:vAlign w:val="bottom"/>
          </w:tcPr>
          <w:p>
            <w:pPr>
              <w:pStyle w:val="TableContents"/>
              <w:bidi w:val="0"/>
              <w:spacing w:before="0" w:after="283"/>
              <w:jc w:val="left"/>
              <w:rPr/>
            </w:pPr>
            <w:r>
              <w:rPr/>
              <w:t> </w:t>
            </w:r>
          </w:p>
        </w:tc>
      </w:tr>
      <w:tr>
        <w:trPr/>
        <w:tc>
          <w:tcPr>
            <w:tcW w:w="394" w:type="dxa"/>
            <w:tcBorders/>
            <w:shd w:fill="CCEEFF" w:val="clear"/>
            <w:vAlign w:val="bottom"/>
          </w:tcPr>
          <w:p>
            <w:pPr>
              <w:pStyle w:val="TableContents"/>
              <w:bidi w:val="0"/>
              <w:spacing w:before="0" w:after="283"/>
              <w:jc w:val="right"/>
              <w:rPr/>
            </w:pPr>
            <w:r>
              <w:rPr/>
              <w:t> </w:t>
            </w:r>
          </w:p>
        </w:tc>
        <w:tc>
          <w:tcPr>
            <w:tcW w:w="3405" w:type="dxa"/>
            <w:tcBorders/>
            <w:shd w:fill="CCEEFF" w:val="clear"/>
            <w:vAlign w:val="bottom"/>
          </w:tcPr>
          <w:p>
            <w:pPr>
              <w:pStyle w:val="TableContents"/>
              <w:bidi w:val="0"/>
              <w:spacing w:before="0" w:after="0"/>
              <w:jc w:val="left"/>
              <w:rPr>
                <w:color w:val="000000"/>
              </w:rPr>
            </w:pPr>
            <w:r>
              <w:rPr>
                <w:color w:val="000000"/>
              </w:rPr>
              <w:t>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73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0"/>
              <w:jc w:val="right"/>
              <w:rPr>
                <w:color w:val="000000"/>
              </w:rPr>
            </w:pPr>
            <w:r>
              <w:rPr>
                <w:color w:val="000000"/>
              </w:rPr>
              <w:t>-</w:t>
            </w:r>
          </w:p>
        </w:tc>
        <w:tc>
          <w:tcPr>
            <w:tcW w:w="215" w:type="dxa"/>
            <w:tcBorders/>
            <w:shd w:fill="CCEEFF" w:val="clear"/>
            <w:vAlign w:val="bottom"/>
          </w:tcPr>
          <w:p>
            <w:pPr>
              <w:pStyle w:val="TableContents"/>
              <w:bidi w:val="0"/>
              <w:spacing w:before="0" w:after="283"/>
              <w:jc w:val="left"/>
              <w:rPr/>
            </w:pPr>
            <w:r>
              <w:rPr/>
              <w:t> </w:t>
            </w:r>
          </w:p>
        </w:tc>
      </w:tr>
      <w:tr>
        <w:trPr/>
        <w:tc>
          <w:tcPr>
            <w:tcW w:w="394" w:type="dxa"/>
            <w:tcBorders/>
            <w:vAlign w:val="bottom"/>
          </w:tcPr>
          <w:p>
            <w:pPr>
              <w:pStyle w:val="TableContents"/>
              <w:bidi w:val="0"/>
              <w:spacing w:before="0" w:after="283"/>
              <w:jc w:val="right"/>
              <w:rPr/>
            </w:pPr>
            <w:r>
              <w:rPr/>
              <w:t> </w:t>
            </w:r>
          </w:p>
        </w:tc>
        <w:tc>
          <w:tcPr>
            <w:tcW w:w="3405" w:type="dxa"/>
            <w:tcBorders/>
            <w:vAlign w:val="bottom"/>
          </w:tcPr>
          <w:p>
            <w:pPr>
              <w:pStyle w:val="TableContents"/>
              <w:bidi w:val="0"/>
              <w:spacing w:before="0" w:after="0"/>
              <w:jc w:val="left"/>
              <w:rPr>
                <w:color w:val="000000"/>
              </w:rPr>
            </w:pPr>
            <w:r>
              <w:rPr>
                <w:color w:val="000000"/>
              </w:rP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73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0"/>
              <w:jc w:val="right"/>
              <w:rPr>
                <w:color w:val="000000"/>
              </w:rPr>
            </w:pPr>
            <w:r>
              <w:rPr>
                <w:color w:val="000000"/>
              </w:rPr>
              <w:t>-</w:t>
            </w:r>
          </w:p>
        </w:tc>
        <w:tc>
          <w:tcPr>
            <w:tcW w:w="215" w:type="dxa"/>
            <w:tcBorders/>
            <w:vAlign w:val="bottom"/>
          </w:tcPr>
          <w:p>
            <w:pPr>
              <w:pStyle w:val="TableContents"/>
              <w:bidi w:val="0"/>
              <w:spacing w:before="0" w:after="283"/>
              <w:jc w:val="left"/>
              <w:rPr/>
            </w:pPr>
            <w:r>
              <w:rPr/>
              <w:t> </w:t>
            </w:r>
          </w:p>
        </w:tc>
      </w:tr>
      <w:tr>
        <w:trPr/>
        <w:tc>
          <w:tcPr>
            <w:tcW w:w="394" w:type="dxa"/>
            <w:tcBorders/>
            <w:shd w:fill="CCEEFF" w:val="clear"/>
            <w:vAlign w:val="bottom"/>
          </w:tcPr>
          <w:p>
            <w:pPr>
              <w:pStyle w:val="TableContents"/>
              <w:bidi w:val="0"/>
              <w:spacing w:before="0" w:after="283"/>
              <w:jc w:val="right"/>
              <w:rPr/>
            </w:pPr>
            <w:r>
              <w:rPr/>
              <w:t> </w:t>
            </w:r>
          </w:p>
        </w:tc>
        <w:tc>
          <w:tcPr>
            <w:tcW w:w="3405" w:type="dxa"/>
            <w:tcBorders/>
            <w:shd w:fill="CCEEFF" w:val="clear"/>
            <w:vAlign w:val="bottom"/>
          </w:tcPr>
          <w:p>
            <w:pPr>
              <w:pStyle w:val="TableContents"/>
              <w:bidi w:val="0"/>
              <w:spacing w:before="0" w:after="0"/>
              <w:jc w:val="left"/>
              <w:rPr>
                <w:color w:val="000000"/>
              </w:rPr>
            </w:pPr>
            <w:r>
              <w:rPr>
                <w:color w:val="000000"/>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3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215" w:type="dxa"/>
            <w:tcBorders/>
            <w:shd w:fill="CCEEFF" w:val="clear"/>
            <w:vAlign w:val="bottom"/>
          </w:tcPr>
          <w:p>
            <w:pPr>
              <w:pStyle w:val="TableContents"/>
              <w:bidi w:val="0"/>
              <w:spacing w:before="0" w:after="283"/>
              <w:jc w:val="left"/>
              <w:rPr/>
            </w:pPr>
            <w:r>
              <w:rPr/>
              <w:t> </w:t>
            </w:r>
          </w:p>
        </w:tc>
      </w:tr>
      <w:tr>
        <w:trPr/>
        <w:tc>
          <w:tcPr>
            <w:tcW w:w="394"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0"/>
              <w:ind w:left="180" w:right="0" w:hanging="0"/>
              <w:jc w:val="left"/>
              <w:rPr>
                <w:color w:val="000000"/>
              </w:rPr>
            </w:pPr>
            <w:r>
              <w:rPr>
                <w:color w:val="000000"/>
              </w:rPr>
              <w:t>Total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73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53,398,164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bottom w:val="double" w:sz="8" w:space="0" w:color="000000"/>
            </w:tcBorders>
            <w:tcMar>
              <w:bottom w:w="28" w:type="dxa"/>
            </w:tcMar>
            <w:vAlign w:val="bottom"/>
          </w:tcPr>
          <w:p>
            <w:pPr>
              <w:pStyle w:val="TableContents"/>
              <w:bidi w:val="0"/>
              <w:spacing w:before="0" w:after="283"/>
              <w:jc w:val="left"/>
              <w:rPr/>
            </w:pPr>
            <w:r>
              <w:rPr/>
              <w:t> </w:t>
            </w:r>
          </w:p>
        </w:tc>
        <w:tc>
          <w:tcPr>
            <w:tcW w:w="183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100.00</w:t>
            </w:r>
          </w:p>
        </w:tc>
        <w:tc>
          <w:tcPr>
            <w:tcW w:w="215"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tbl>
      <w:tblPr>
        <w:tblW w:w="8297" w:type="dxa"/>
        <w:jc w:val="left"/>
        <w:tblInd w:w="0" w:type="dxa"/>
        <w:tblLayout w:type="fixed"/>
        <w:tblCellMar>
          <w:top w:w="0" w:type="dxa"/>
          <w:left w:w="0" w:type="dxa"/>
          <w:bottom w:w="0" w:type="dxa"/>
          <w:right w:w="0" w:type="dxa"/>
        </w:tblCellMar>
      </w:tblPr>
      <w:tblGrid>
        <w:gridCol w:w="394"/>
        <w:gridCol w:w="3405"/>
        <w:gridCol w:w="60"/>
        <w:gridCol w:w="60"/>
        <w:gridCol w:w="230"/>
        <w:gridCol w:w="1814"/>
        <w:gridCol w:w="60"/>
        <w:gridCol w:w="60"/>
        <w:gridCol w:w="161"/>
        <w:gridCol w:w="1838"/>
        <w:gridCol w:w="215"/>
      </w:tblGrid>
      <w:tr>
        <w:trPr/>
        <w:tc>
          <w:tcPr>
            <w:tcW w:w="379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63"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2023</w:t>
            </w:r>
          </w:p>
        </w:tc>
        <w:tc>
          <w:tcPr>
            <w:tcW w:w="215" w:type="dxa"/>
            <w:tcBorders/>
            <w:vAlign w:val="bottom"/>
          </w:tcPr>
          <w:p>
            <w:pPr>
              <w:pStyle w:val="TableContents"/>
              <w:bidi w:val="0"/>
              <w:spacing w:before="0" w:after="283"/>
              <w:jc w:val="left"/>
              <w:rPr/>
            </w:pPr>
            <w:r>
              <w:rPr/>
              <w:t> </w:t>
            </w:r>
          </w:p>
        </w:tc>
      </w:tr>
      <w:tr>
        <w:trPr/>
        <w:tc>
          <w:tcPr>
            <w:tcW w:w="3799" w:type="dxa"/>
            <w:gridSpan w:val="2"/>
            <w:tcBorders>
              <w:bottom w:val="single" w:sz="12" w:space="0" w:color="000000"/>
            </w:tcBorders>
            <w:tcMar>
              <w:bottom w:w="28" w:type="dxa"/>
            </w:tcMar>
            <w:vAlign w:val="bottom"/>
          </w:tcPr>
          <w:p>
            <w:pPr>
              <w:pStyle w:val="TableContents"/>
              <w:bidi w:val="0"/>
              <w:spacing w:before="0" w:after="0"/>
              <w:jc w:val="left"/>
              <w:rPr/>
            </w:pPr>
            <w:r>
              <w:rPr/>
              <w:t xml:space="preserve">  </w:t>
            </w:r>
          </w:p>
          <w:p>
            <w:pPr>
              <w:pStyle w:val="TableContents"/>
              <w:bidi w:val="0"/>
              <w:spacing w:before="0" w:after="0"/>
              <w:jc w:val="left"/>
              <w:rPr>
                <w:b/>
                <w:color w:val="000000"/>
              </w:rPr>
            </w:pPr>
            <w:r>
              <w:rPr>
                <w:b/>
                <w:color w:val="000000"/>
              </w:rPr>
              <w:t>Investment Performance Risk Rating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Investments at Fair </w:t>
            </w:r>
          </w:p>
          <w:p>
            <w:pPr>
              <w:pStyle w:val="TableContents"/>
              <w:bidi w:val="0"/>
              <w:spacing w:before="0" w:after="0"/>
              <w:jc w:val="center"/>
              <w:rPr>
                <w:b/>
                <w:color w:val="000000"/>
              </w:rPr>
            </w:pPr>
            <w:r>
              <w:rPr>
                <w:b/>
                <w:color w:val="00000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Percentage of Total</w:t>
            </w:r>
          </w:p>
          <w:p>
            <w:pPr>
              <w:pStyle w:val="TableContents"/>
              <w:bidi w:val="0"/>
              <w:spacing w:before="0" w:after="0"/>
              <w:jc w:val="center"/>
              <w:rPr>
                <w:b/>
                <w:color w:val="000000"/>
              </w:rPr>
            </w:pPr>
            <w:r>
              <w:rPr>
                <w:b/>
                <w:color w:val="000000"/>
              </w:rPr>
              <w:t>Investments</w:t>
            </w:r>
          </w:p>
        </w:tc>
        <w:tc>
          <w:tcPr>
            <w:tcW w:w="215" w:type="dxa"/>
            <w:tcBorders/>
            <w:vAlign w:val="bottom"/>
          </w:tcPr>
          <w:p>
            <w:pPr>
              <w:pStyle w:val="TableContents"/>
              <w:bidi w:val="0"/>
              <w:spacing w:before="0" w:after="283"/>
              <w:jc w:val="left"/>
              <w:rPr/>
            </w:pPr>
            <w:r>
              <w:rPr/>
              <w:t> </w:t>
            </w:r>
          </w:p>
        </w:tc>
      </w:tr>
      <w:tr>
        <w:trPr/>
        <w:tc>
          <w:tcPr>
            <w:tcW w:w="394" w:type="dxa"/>
            <w:tcBorders/>
            <w:shd w:fill="CCEEFF" w:val="clear"/>
            <w:vAlign w:val="bottom"/>
          </w:tcPr>
          <w:p>
            <w:pPr>
              <w:pStyle w:val="TableContents"/>
              <w:bidi w:val="0"/>
              <w:spacing w:before="0" w:after="283"/>
              <w:jc w:val="right"/>
              <w:rPr/>
            </w:pPr>
            <w:r>
              <w:rPr/>
              <w:t> </w:t>
            </w:r>
          </w:p>
        </w:tc>
        <w:tc>
          <w:tcPr>
            <w:tcW w:w="3405" w:type="dxa"/>
            <w:tcBorders/>
            <w:shd w:fill="CCEEFF" w:val="clear"/>
            <w:vAlign w:val="bottom"/>
          </w:tcPr>
          <w:p>
            <w:pPr>
              <w:pStyle w:val="TableContents"/>
              <w:bidi w:val="0"/>
              <w:spacing w:before="0" w:after="0"/>
              <w:jc w:val="left"/>
              <w:rPr>
                <w:color w:val="000000"/>
              </w:rPr>
            </w:pPr>
            <w:r>
              <w:rPr>
                <w:color w:val="000000"/>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0"/>
              <w:jc w:val="left"/>
              <w:rPr>
                <w:color w:val="000000"/>
              </w:rPr>
            </w:pPr>
            <w:r>
              <w:rPr>
                <w:color w:val="000000"/>
              </w:rPr>
              <w:t>$</w:t>
            </w:r>
          </w:p>
        </w:tc>
        <w:tc>
          <w:tcPr>
            <w:tcW w:w="181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0"/>
              <w:jc w:val="right"/>
              <w:rPr>
                <w:color w:val="000000"/>
              </w:rPr>
            </w:pPr>
            <w:r>
              <w:rPr>
                <w:color w:val="000000"/>
              </w:rPr>
              <w:t>-</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94" w:type="dxa"/>
            <w:tcBorders/>
            <w:vAlign w:val="bottom"/>
          </w:tcPr>
          <w:p>
            <w:pPr>
              <w:pStyle w:val="TableContents"/>
              <w:bidi w:val="0"/>
              <w:spacing w:before="0" w:after="283"/>
              <w:jc w:val="right"/>
              <w:rPr/>
            </w:pPr>
            <w:r>
              <w:rPr/>
              <w:t> </w:t>
            </w:r>
          </w:p>
        </w:tc>
        <w:tc>
          <w:tcPr>
            <w:tcW w:w="3405" w:type="dxa"/>
            <w:tcBorders/>
            <w:vAlign w:val="bottom"/>
          </w:tcPr>
          <w:p>
            <w:pPr>
              <w:pStyle w:val="TableContents"/>
              <w:bidi w:val="0"/>
              <w:spacing w:before="0" w:after="0"/>
              <w:jc w:val="left"/>
              <w:rPr>
                <w:color w:val="000000"/>
              </w:rPr>
            </w:pPr>
            <w:r>
              <w:rPr>
                <w:color w:val="000000"/>
              </w:rP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814" w:type="dxa"/>
            <w:tcBorders/>
            <w:vAlign w:val="bottom"/>
          </w:tcPr>
          <w:p>
            <w:pPr>
              <w:pStyle w:val="TableContents"/>
              <w:bidi w:val="0"/>
              <w:spacing w:before="0" w:after="0"/>
              <w:jc w:val="right"/>
              <w:rPr>
                <w:color w:val="000000"/>
              </w:rPr>
            </w:pPr>
            <w:r>
              <w:rPr>
                <w:color w:val="000000"/>
              </w:rPr>
              <w:t>54,120,000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0"/>
              <w:jc w:val="right"/>
              <w:rPr>
                <w:color w:val="000000"/>
              </w:rPr>
            </w:pPr>
            <w:r>
              <w:rPr>
                <w:color w:val="000000"/>
              </w:rPr>
              <w:t>100.00</w:t>
            </w:r>
          </w:p>
        </w:tc>
        <w:tc>
          <w:tcPr>
            <w:tcW w:w="215" w:type="dxa"/>
            <w:tcBorders/>
            <w:vAlign w:val="bottom"/>
          </w:tcPr>
          <w:p>
            <w:pPr>
              <w:pStyle w:val="TableContents"/>
              <w:bidi w:val="0"/>
              <w:spacing w:before="0" w:after="283"/>
              <w:jc w:val="left"/>
              <w:rPr/>
            </w:pPr>
            <w:r>
              <w:rPr/>
              <w:t> </w:t>
            </w:r>
          </w:p>
        </w:tc>
      </w:tr>
      <w:tr>
        <w:trPr/>
        <w:tc>
          <w:tcPr>
            <w:tcW w:w="394" w:type="dxa"/>
            <w:tcBorders/>
            <w:shd w:fill="CCEEFF" w:val="clear"/>
            <w:vAlign w:val="bottom"/>
          </w:tcPr>
          <w:p>
            <w:pPr>
              <w:pStyle w:val="TableContents"/>
              <w:bidi w:val="0"/>
              <w:spacing w:before="0" w:after="283"/>
              <w:jc w:val="right"/>
              <w:rPr/>
            </w:pPr>
            <w:r>
              <w:rPr/>
              <w:t> </w:t>
            </w:r>
          </w:p>
        </w:tc>
        <w:tc>
          <w:tcPr>
            <w:tcW w:w="3405" w:type="dxa"/>
            <w:tcBorders/>
            <w:shd w:fill="CCEEFF" w:val="clear"/>
            <w:vAlign w:val="bottom"/>
          </w:tcPr>
          <w:p>
            <w:pPr>
              <w:pStyle w:val="TableContents"/>
              <w:bidi w:val="0"/>
              <w:spacing w:before="0" w:after="0"/>
              <w:jc w:val="left"/>
              <w:rPr>
                <w:color w:val="000000"/>
              </w:rPr>
            </w:pPr>
            <w:r>
              <w:rPr>
                <w:color w:val="000000"/>
              </w:rPr>
              <w:t>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81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0"/>
              <w:jc w:val="right"/>
              <w:rPr>
                <w:color w:val="000000"/>
              </w:rPr>
            </w:pPr>
            <w:r>
              <w:rPr>
                <w:color w:val="000000"/>
              </w:rPr>
              <w:t>-</w:t>
            </w:r>
          </w:p>
        </w:tc>
        <w:tc>
          <w:tcPr>
            <w:tcW w:w="215" w:type="dxa"/>
            <w:tcBorders/>
            <w:shd w:fill="CCEEFF" w:val="clear"/>
            <w:vAlign w:val="bottom"/>
          </w:tcPr>
          <w:p>
            <w:pPr>
              <w:pStyle w:val="TableContents"/>
              <w:bidi w:val="0"/>
              <w:spacing w:before="0" w:after="283"/>
              <w:jc w:val="left"/>
              <w:rPr/>
            </w:pPr>
            <w:r>
              <w:rPr/>
              <w:t> </w:t>
            </w:r>
          </w:p>
        </w:tc>
      </w:tr>
      <w:tr>
        <w:trPr/>
        <w:tc>
          <w:tcPr>
            <w:tcW w:w="394" w:type="dxa"/>
            <w:tcBorders/>
            <w:vAlign w:val="bottom"/>
          </w:tcPr>
          <w:p>
            <w:pPr>
              <w:pStyle w:val="TableContents"/>
              <w:bidi w:val="0"/>
              <w:spacing w:before="0" w:after="283"/>
              <w:jc w:val="right"/>
              <w:rPr/>
            </w:pPr>
            <w:r>
              <w:rPr/>
              <w:t> </w:t>
            </w:r>
          </w:p>
        </w:tc>
        <w:tc>
          <w:tcPr>
            <w:tcW w:w="3405" w:type="dxa"/>
            <w:tcBorders/>
            <w:vAlign w:val="bottom"/>
          </w:tcPr>
          <w:p>
            <w:pPr>
              <w:pStyle w:val="TableContents"/>
              <w:bidi w:val="0"/>
              <w:spacing w:before="0" w:after="0"/>
              <w:jc w:val="left"/>
              <w:rPr>
                <w:color w:val="000000"/>
              </w:rPr>
            </w:pPr>
            <w:r>
              <w:rPr>
                <w:color w:val="000000"/>
              </w:rP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81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0"/>
              <w:jc w:val="right"/>
              <w:rPr>
                <w:color w:val="000000"/>
              </w:rPr>
            </w:pPr>
            <w:r>
              <w:rPr>
                <w:color w:val="000000"/>
              </w:rPr>
              <w:t>-</w:t>
            </w:r>
          </w:p>
        </w:tc>
        <w:tc>
          <w:tcPr>
            <w:tcW w:w="215" w:type="dxa"/>
            <w:tcBorders/>
            <w:vAlign w:val="bottom"/>
          </w:tcPr>
          <w:p>
            <w:pPr>
              <w:pStyle w:val="TableContents"/>
              <w:bidi w:val="0"/>
              <w:spacing w:before="0" w:after="283"/>
              <w:jc w:val="left"/>
              <w:rPr/>
            </w:pPr>
            <w:r>
              <w:rPr/>
              <w:t> </w:t>
            </w:r>
          </w:p>
        </w:tc>
      </w:tr>
      <w:tr>
        <w:trPr/>
        <w:tc>
          <w:tcPr>
            <w:tcW w:w="394" w:type="dxa"/>
            <w:tcBorders/>
            <w:shd w:fill="CCEEFF" w:val="clear"/>
            <w:vAlign w:val="bottom"/>
          </w:tcPr>
          <w:p>
            <w:pPr>
              <w:pStyle w:val="TableContents"/>
              <w:bidi w:val="0"/>
              <w:spacing w:before="0" w:after="283"/>
              <w:jc w:val="right"/>
              <w:rPr/>
            </w:pPr>
            <w:r>
              <w:rPr/>
              <w:t> </w:t>
            </w:r>
          </w:p>
        </w:tc>
        <w:tc>
          <w:tcPr>
            <w:tcW w:w="3405" w:type="dxa"/>
            <w:tcBorders/>
            <w:shd w:fill="CCEEFF" w:val="clear"/>
            <w:vAlign w:val="bottom"/>
          </w:tcPr>
          <w:p>
            <w:pPr>
              <w:pStyle w:val="TableContents"/>
              <w:bidi w:val="0"/>
              <w:spacing w:before="0" w:after="0"/>
              <w:jc w:val="left"/>
              <w:rPr>
                <w:color w:val="000000"/>
              </w:rPr>
            </w:pPr>
            <w:r>
              <w:rPr>
                <w:color w:val="000000"/>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1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215" w:type="dxa"/>
            <w:tcBorders/>
            <w:shd w:fill="CCEEFF" w:val="clear"/>
            <w:vAlign w:val="bottom"/>
          </w:tcPr>
          <w:p>
            <w:pPr>
              <w:pStyle w:val="TableContents"/>
              <w:bidi w:val="0"/>
              <w:spacing w:before="0" w:after="283"/>
              <w:jc w:val="left"/>
              <w:rPr/>
            </w:pPr>
            <w:r>
              <w:rPr/>
              <w:t> </w:t>
            </w:r>
          </w:p>
        </w:tc>
      </w:tr>
      <w:tr>
        <w:trPr/>
        <w:tc>
          <w:tcPr>
            <w:tcW w:w="394"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0"/>
              <w:ind w:left="180" w:right="0" w:hanging="0"/>
              <w:jc w:val="left"/>
              <w:rPr>
                <w:color w:val="000000"/>
              </w:rPr>
            </w:pPr>
            <w:r>
              <w:rPr>
                <w:color w:val="000000"/>
              </w:rPr>
              <w:t>Total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81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54,120,000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bottom w:val="double" w:sz="8" w:space="0" w:color="000000"/>
            </w:tcBorders>
            <w:tcMar>
              <w:bottom w:w="28" w:type="dxa"/>
            </w:tcMar>
            <w:vAlign w:val="bottom"/>
          </w:tcPr>
          <w:p>
            <w:pPr>
              <w:pStyle w:val="TableContents"/>
              <w:bidi w:val="0"/>
              <w:spacing w:before="0" w:after="283"/>
              <w:jc w:val="left"/>
              <w:rPr/>
            </w:pPr>
            <w:r>
              <w:rPr/>
              <w:t> </w:t>
            </w:r>
          </w:p>
        </w:tc>
        <w:tc>
          <w:tcPr>
            <w:tcW w:w="183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100.00</w:t>
            </w:r>
          </w:p>
        </w:tc>
        <w:tc>
          <w:tcPr>
            <w:tcW w:w="215"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Debt Investments on Non-Accrual Status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June 30, 2024 and December 31, 2023, there were no loans in our portfolio placed on non-accrual status.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discussion and analysis of our results of operations encompasses our results for the three and six months ended June 30, 2024 and 2023.</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Investment Income</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 sets forth the components of investment income for the three and six months ended June 30, 2024 and 2023:</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417"/>
        <w:gridCol w:w="60"/>
        <w:gridCol w:w="206"/>
        <w:gridCol w:w="1443"/>
        <w:gridCol w:w="60"/>
        <w:gridCol w:w="60"/>
        <w:gridCol w:w="206"/>
        <w:gridCol w:w="1443"/>
        <w:gridCol w:w="60"/>
        <w:gridCol w:w="60"/>
        <w:gridCol w:w="187"/>
        <w:gridCol w:w="1316"/>
        <w:gridCol w:w="60"/>
        <w:gridCol w:w="60"/>
        <w:gridCol w:w="187"/>
        <w:gridCol w:w="1316"/>
        <w:gridCol w:w="64"/>
      </w:tblGrid>
      <w:tr>
        <w:trPr/>
        <w:tc>
          <w:tcPr>
            <w:tcW w:w="3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9" w:type="dxa"/>
            <w:gridSpan w:val="2"/>
            <w:tcBorders/>
            <w:vAlign w:val="bottom"/>
          </w:tcPr>
          <w:p>
            <w:pPr>
              <w:pStyle w:val="TableContents"/>
              <w:bidi w:val="0"/>
              <w:spacing w:before="0" w:after="0"/>
              <w:jc w:val="center"/>
              <w:rPr>
                <w:b/>
                <w:color w:val="000000"/>
              </w:rPr>
            </w:pPr>
            <w:r>
              <w:rPr>
                <w:b/>
                <w:color w:val="000000"/>
              </w:rPr>
              <w:t>Three 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9" w:type="dxa"/>
            <w:gridSpan w:val="2"/>
            <w:tcBorders/>
            <w:vAlign w:val="bottom"/>
          </w:tcPr>
          <w:p>
            <w:pPr>
              <w:pStyle w:val="TableContents"/>
              <w:bidi w:val="0"/>
              <w:spacing w:before="0" w:after="0"/>
              <w:jc w:val="center"/>
              <w:rPr>
                <w:b/>
                <w:color w:val="000000"/>
              </w:rPr>
            </w:pPr>
            <w:r>
              <w:rPr>
                <w:b/>
                <w:color w:val="000000"/>
              </w:rPr>
              <w:t>Three 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3" w:type="dxa"/>
            <w:gridSpan w:val="2"/>
            <w:tcBorders/>
            <w:vAlign w:val="bottom"/>
          </w:tcPr>
          <w:p>
            <w:pPr>
              <w:pStyle w:val="TableContents"/>
              <w:bidi w:val="0"/>
              <w:spacing w:before="0" w:after="0"/>
              <w:jc w:val="center"/>
              <w:rPr>
                <w:b/>
                <w:color w:val="000000"/>
              </w:rPr>
            </w:pPr>
            <w:r>
              <w:rPr>
                <w:b/>
                <w:color w:val="000000"/>
              </w:rPr>
              <w:t>Six 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3" w:type="dxa"/>
            <w:gridSpan w:val="2"/>
            <w:tcBorders/>
            <w:vAlign w:val="bottom"/>
          </w:tcPr>
          <w:p>
            <w:pPr>
              <w:pStyle w:val="TableContents"/>
              <w:bidi w:val="0"/>
              <w:spacing w:before="0" w:after="0"/>
              <w:jc w:val="center"/>
              <w:rPr>
                <w:b/>
                <w:color w:val="000000"/>
              </w:rPr>
            </w:pPr>
            <w:r>
              <w:rPr>
                <w:b/>
                <w:color w:val="000000"/>
              </w:rPr>
              <w:t>Six Months Ended</w:t>
            </w:r>
          </w:p>
        </w:tc>
        <w:tc>
          <w:tcPr>
            <w:tcW w:w="64" w:type="dxa"/>
            <w:tcBorders/>
            <w:vAlign w:val="bottom"/>
          </w:tcPr>
          <w:p>
            <w:pPr>
              <w:pStyle w:val="TableContents"/>
              <w:bidi w:val="0"/>
              <w:spacing w:before="0" w:after="283"/>
              <w:jc w:val="left"/>
              <w:rPr/>
            </w:pPr>
            <w:r>
              <w:rPr/>
              <w:t> </w:t>
            </w:r>
          </w:p>
        </w:tc>
      </w:tr>
      <w:tr>
        <w:trPr/>
        <w:tc>
          <w:tcPr>
            <w:tcW w:w="3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2023</w:t>
            </w:r>
          </w:p>
        </w:tc>
        <w:tc>
          <w:tcPr>
            <w:tcW w:w="64" w:type="dxa"/>
            <w:tcBorders/>
            <w:vAlign w:val="bottom"/>
          </w:tcPr>
          <w:p>
            <w:pPr>
              <w:pStyle w:val="TableContents"/>
              <w:bidi w:val="0"/>
              <w:spacing w:before="0" w:after="283"/>
              <w:jc w:val="left"/>
              <w:rPr/>
            </w:pPr>
            <w:r>
              <w:rPr/>
              <w:t> </w:t>
            </w:r>
          </w:p>
        </w:tc>
      </w:tr>
      <w:tr>
        <w:trPr/>
        <w:tc>
          <w:tcPr>
            <w:tcW w:w="3417" w:type="dxa"/>
            <w:tcBorders/>
            <w:shd w:fill="CCEEFF" w:val="clear"/>
            <w:vAlign w:val="bottom"/>
          </w:tcPr>
          <w:p>
            <w:pPr>
              <w:pStyle w:val="TableContents"/>
              <w:bidi w:val="0"/>
              <w:spacing w:before="0" w:after="0"/>
              <w:ind w:left="144" w:right="0" w:hanging="144"/>
              <w:jc w:val="left"/>
              <w:rPr>
                <w:color w:val="000000"/>
              </w:rPr>
            </w:pPr>
            <w:r>
              <w:rPr>
                <w:color w:val="000000"/>
              </w:rPr>
              <w:t>Stated interest income</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color w:val="000000"/>
              </w:rPr>
            </w:pPr>
            <w:r>
              <w:rPr>
                <w:color w:val="000000"/>
              </w:rPr>
              <w:t>$</w:t>
            </w:r>
          </w:p>
        </w:tc>
        <w:tc>
          <w:tcPr>
            <w:tcW w:w="1443" w:type="dxa"/>
            <w:tcBorders/>
            <w:shd w:fill="CCEEFF" w:val="clear"/>
            <w:vAlign w:val="bottom"/>
          </w:tcPr>
          <w:p>
            <w:pPr>
              <w:pStyle w:val="TableContents"/>
              <w:bidi w:val="0"/>
              <w:spacing w:before="0" w:after="0"/>
              <w:jc w:val="right"/>
              <w:rPr>
                <w:color w:val="000000"/>
              </w:rPr>
            </w:pPr>
            <w:r>
              <w:rPr>
                <w:color w:val="000000"/>
              </w:rPr>
              <w:t>2,522,397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color w:val="000000"/>
              </w:rPr>
            </w:pPr>
            <w:r>
              <w:rPr>
                <w:color w:val="000000"/>
              </w:rPr>
              <w:t>$</w:t>
            </w:r>
          </w:p>
        </w:tc>
        <w:tc>
          <w:tcPr>
            <w:tcW w:w="1443" w:type="dxa"/>
            <w:tcBorders/>
            <w:shd w:fill="CCEEFF" w:val="clear"/>
            <w:vAlign w:val="bottom"/>
          </w:tcPr>
          <w:p>
            <w:pPr>
              <w:pStyle w:val="TableContents"/>
              <w:bidi w:val="0"/>
              <w:spacing w:before="0" w:after="0"/>
              <w:jc w:val="right"/>
              <w:rPr>
                <w:color w:val="000000"/>
              </w:rPr>
            </w:pPr>
            <w:r>
              <w:rPr>
                <w:color w:val="000000"/>
              </w:rPr>
              <w:t>2,550,696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color w:val="000000"/>
              </w:rPr>
            </w:pPr>
            <w:r>
              <w:rPr>
                <w:color w:val="000000"/>
              </w:rPr>
              <w:t>$</w:t>
            </w:r>
          </w:p>
        </w:tc>
        <w:tc>
          <w:tcPr>
            <w:tcW w:w="1316" w:type="dxa"/>
            <w:tcBorders/>
            <w:shd w:fill="CCEEFF" w:val="clear"/>
            <w:vAlign w:val="bottom"/>
          </w:tcPr>
          <w:p>
            <w:pPr>
              <w:pStyle w:val="TableContents"/>
              <w:bidi w:val="0"/>
              <w:spacing w:before="0" w:after="0"/>
              <w:jc w:val="right"/>
              <w:rPr>
                <w:color w:val="000000"/>
              </w:rPr>
            </w:pPr>
            <w:r>
              <w:rPr>
                <w:color w:val="000000"/>
              </w:rPr>
              <w:t>5,054,514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color w:val="000000"/>
              </w:rPr>
            </w:pPr>
            <w:r>
              <w:rPr>
                <w:color w:val="000000"/>
              </w:rPr>
              <w:t>$</w:t>
            </w:r>
          </w:p>
        </w:tc>
        <w:tc>
          <w:tcPr>
            <w:tcW w:w="1316" w:type="dxa"/>
            <w:tcBorders/>
            <w:shd w:fill="CCEEFF" w:val="clear"/>
            <w:vAlign w:val="bottom"/>
          </w:tcPr>
          <w:p>
            <w:pPr>
              <w:pStyle w:val="TableContents"/>
              <w:bidi w:val="0"/>
              <w:spacing w:before="0" w:after="0"/>
              <w:jc w:val="right"/>
              <w:rPr>
                <w:color w:val="000000"/>
              </w:rPr>
            </w:pPr>
            <w:r>
              <w:rPr>
                <w:color w:val="000000"/>
              </w:rPr>
              <w:t>4,856,143</w:t>
            </w:r>
          </w:p>
        </w:tc>
        <w:tc>
          <w:tcPr>
            <w:tcW w:w="64" w:type="dxa"/>
            <w:tcBorders/>
            <w:shd w:fill="CCEEFF" w:val="clear"/>
            <w:vAlign w:val="bottom"/>
          </w:tcPr>
          <w:p>
            <w:pPr>
              <w:pStyle w:val="TableContents"/>
              <w:bidi w:val="0"/>
              <w:spacing w:before="0" w:after="283"/>
              <w:jc w:val="left"/>
              <w:rPr/>
            </w:pPr>
            <w:r>
              <w:rPr/>
              <w:t> </w:t>
            </w:r>
          </w:p>
        </w:tc>
      </w:tr>
      <w:tr>
        <w:trPr/>
        <w:tc>
          <w:tcPr>
            <w:tcW w:w="3417" w:type="dxa"/>
            <w:tcBorders/>
            <w:vAlign w:val="bottom"/>
          </w:tcPr>
          <w:p>
            <w:pPr>
              <w:pStyle w:val="TableContents"/>
              <w:bidi w:val="0"/>
              <w:spacing w:before="0" w:after="0"/>
              <w:ind w:left="144" w:right="0" w:hanging="144"/>
              <w:jc w:val="left"/>
              <w:rPr>
                <w:color w:val="000000"/>
              </w:rPr>
            </w:pPr>
            <w:r>
              <w:rPr>
                <w:color w:val="000000"/>
              </w:rPr>
              <w:t>Accretion of discount and fees (amortization of premium), net</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0"/>
              <w:jc w:val="right"/>
              <w:rPr>
                <w:color w:val="000000"/>
              </w:rPr>
            </w:pPr>
            <w:r>
              <w:rPr>
                <w:color w:val="000000"/>
              </w:rPr>
              <w:t>207,750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0"/>
              <w:jc w:val="right"/>
              <w:rPr>
                <w:color w:val="000000"/>
              </w:rPr>
            </w:pPr>
            <w:r>
              <w:rPr>
                <w:color w:val="000000"/>
              </w:rPr>
              <w:t>160,739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0"/>
              <w:jc w:val="right"/>
              <w:rPr>
                <w:color w:val="000000"/>
              </w:rPr>
            </w:pPr>
            <w:r>
              <w:rPr>
                <w:color w:val="000000"/>
              </w:rPr>
              <w:t>349,179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0"/>
              <w:jc w:val="right"/>
              <w:rPr>
                <w:color w:val="000000"/>
              </w:rPr>
            </w:pPr>
            <w:r>
              <w:rPr>
                <w:color w:val="000000"/>
              </w:rPr>
              <w:t>301,558</w:t>
            </w:r>
          </w:p>
        </w:tc>
        <w:tc>
          <w:tcPr>
            <w:tcW w:w="64" w:type="dxa"/>
            <w:tcBorders/>
            <w:vAlign w:val="bottom"/>
          </w:tcPr>
          <w:p>
            <w:pPr>
              <w:pStyle w:val="TableContents"/>
              <w:bidi w:val="0"/>
              <w:spacing w:before="0" w:after="283"/>
              <w:jc w:val="left"/>
              <w:rPr/>
            </w:pPr>
            <w:r>
              <w:rPr/>
              <w:t> </w:t>
            </w:r>
          </w:p>
        </w:tc>
      </w:tr>
      <w:tr>
        <w:trPr/>
        <w:tc>
          <w:tcPr>
            <w:tcW w:w="3417" w:type="dxa"/>
            <w:tcBorders/>
            <w:shd w:fill="CCEEFF" w:val="clear"/>
            <w:vAlign w:val="bottom"/>
          </w:tcPr>
          <w:p>
            <w:pPr>
              <w:pStyle w:val="TableContents"/>
              <w:bidi w:val="0"/>
              <w:spacing w:before="0" w:after="0"/>
              <w:ind w:left="144" w:right="0" w:hanging="144"/>
              <w:jc w:val="left"/>
              <w:rPr>
                <w:color w:val="000000"/>
              </w:rPr>
            </w:pPr>
            <w:r>
              <w:rPr>
                <w:color w:val="000000"/>
              </w:rPr>
              <w:t>Payment in-kind interest</w:t>
            </w:r>
          </w:p>
        </w:tc>
        <w:tc>
          <w:tcPr>
            <w:tcW w:w="60" w:type="dxa"/>
            <w:tcBorders/>
            <w:shd w:fill="CCEEFF" w:val="clear"/>
            <w:vAlign w:val="bottom"/>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4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60,186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4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51,014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1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113,137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1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62,587</w:t>
            </w:r>
          </w:p>
        </w:tc>
        <w:tc>
          <w:tcPr>
            <w:tcW w:w="64" w:type="dxa"/>
            <w:tcBorders/>
            <w:shd w:fill="CCEEFF" w:val="clear"/>
            <w:vAlign w:val="bottom"/>
          </w:tcPr>
          <w:p>
            <w:pPr>
              <w:pStyle w:val="TableContents"/>
              <w:bidi w:val="0"/>
              <w:spacing w:before="0" w:after="283"/>
              <w:jc w:val="left"/>
              <w:rPr/>
            </w:pPr>
            <w:r>
              <w:rPr/>
              <w:t> </w:t>
            </w:r>
          </w:p>
        </w:tc>
      </w:tr>
      <w:tr>
        <w:trPr/>
        <w:tc>
          <w:tcPr>
            <w:tcW w:w="3417" w:type="dxa"/>
            <w:tcBorders/>
            <w:vAlign w:val="bottom"/>
          </w:tcPr>
          <w:p>
            <w:pPr>
              <w:pStyle w:val="TableContents"/>
              <w:bidi w:val="0"/>
              <w:spacing w:before="0" w:after="0"/>
              <w:ind w:left="324" w:right="0" w:hanging="144"/>
              <w:jc w:val="left"/>
              <w:rPr>
                <w:color w:val="000000"/>
              </w:rPr>
            </w:pPr>
            <w:r>
              <w:rPr>
                <w:color w:val="000000"/>
              </w:rPr>
              <w:t>Total interest income</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0"/>
              <w:jc w:val="right"/>
              <w:rPr>
                <w:color w:val="000000"/>
              </w:rPr>
            </w:pPr>
            <w:r>
              <w:rPr>
                <w:color w:val="000000"/>
              </w:rPr>
              <w:t>2,790,333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0"/>
              <w:jc w:val="right"/>
              <w:rPr>
                <w:color w:val="000000"/>
              </w:rPr>
            </w:pPr>
            <w:r>
              <w:rPr>
                <w:color w:val="000000"/>
              </w:rPr>
              <w:t>2,762,449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0"/>
              <w:jc w:val="right"/>
              <w:rPr>
                <w:color w:val="000000"/>
              </w:rPr>
            </w:pPr>
            <w:r>
              <w:rPr>
                <w:color w:val="000000"/>
              </w:rPr>
              <w:t>5,516,830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0"/>
              <w:jc w:val="right"/>
              <w:rPr>
                <w:color w:val="000000"/>
              </w:rPr>
            </w:pPr>
            <w:r>
              <w:rPr>
                <w:color w:val="000000"/>
              </w:rPr>
              <w:t>5,220,288</w:t>
            </w:r>
          </w:p>
        </w:tc>
        <w:tc>
          <w:tcPr>
            <w:tcW w:w="64" w:type="dxa"/>
            <w:tcBorders/>
            <w:vAlign w:val="bottom"/>
          </w:tcPr>
          <w:p>
            <w:pPr>
              <w:pStyle w:val="TableContents"/>
              <w:bidi w:val="0"/>
              <w:spacing w:before="0" w:after="283"/>
              <w:jc w:val="left"/>
              <w:rPr/>
            </w:pPr>
            <w:r>
              <w:rPr/>
              <w:t> </w:t>
            </w:r>
          </w:p>
        </w:tc>
      </w:tr>
      <w:tr>
        <w:trPr/>
        <w:tc>
          <w:tcPr>
            <w:tcW w:w="3417" w:type="dxa"/>
            <w:tcBorders/>
            <w:shd w:fill="CCEEFF" w:val="clear"/>
            <w:vAlign w:val="bottom"/>
          </w:tcPr>
          <w:p>
            <w:pPr>
              <w:pStyle w:val="TableContents"/>
              <w:bidi w:val="0"/>
              <w:spacing w:before="0" w:after="0"/>
              <w:ind w:left="144" w:right="0" w:hanging="144"/>
              <w:jc w:val="left"/>
              <w:rPr>
                <w:color w:val="000000"/>
              </w:rPr>
            </w:pPr>
            <w:r>
              <w:rPr>
                <w:color w:val="000000"/>
              </w:rPr>
              <w:t>Other fee income</w:t>
            </w:r>
          </w:p>
        </w:tc>
        <w:tc>
          <w:tcPr>
            <w:tcW w:w="60" w:type="dxa"/>
            <w:tcBorders/>
            <w:shd w:fill="CCEEFF" w:val="clear"/>
            <w:vAlign w:val="bottom"/>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4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291,000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4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131,250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1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324,750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1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131,250</w:t>
            </w:r>
          </w:p>
        </w:tc>
        <w:tc>
          <w:tcPr>
            <w:tcW w:w="64" w:type="dxa"/>
            <w:tcBorders/>
            <w:shd w:fill="CCEEFF" w:val="clear"/>
            <w:vAlign w:val="bottom"/>
          </w:tcPr>
          <w:p>
            <w:pPr>
              <w:pStyle w:val="TableContents"/>
              <w:bidi w:val="0"/>
              <w:spacing w:before="0" w:after="283"/>
              <w:jc w:val="left"/>
              <w:rPr/>
            </w:pPr>
            <w:r>
              <w:rPr/>
              <w:t> </w:t>
            </w:r>
          </w:p>
        </w:tc>
      </w:tr>
      <w:tr>
        <w:trPr/>
        <w:tc>
          <w:tcPr>
            <w:tcW w:w="3417" w:type="dxa"/>
            <w:tcBorders/>
            <w:vAlign w:val="bottom"/>
          </w:tcPr>
          <w:p>
            <w:pPr>
              <w:pStyle w:val="TableContents"/>
              <w:bidi w:val="0"/>
              <w:spacing w:before="0" w:after="0"/>
              <w:ind w:left="324" w:right="0" w:hanging="144"/>
              <w:jc w:val="left"/>
              <w:rPr>
                <w:color w:val="000000"/>
              </w:rPr>
            </w:pPr>
            <w:r>
              <w:rPr>
                <w:color w:val="000000"/>
              </w:rPr>
              <w:t>Total investment income</w:t>
            </w:r>
          </w:p>
        </w:tc>
        <w:tc>
          <w:tcPr>
            <w:tcW w:w="60" w:type="dxa"/>
            <w:tcBorders/>
            <w:vAlign w:val="bottom"/>
          </w:tcPr>
          <w:p>
            <w:pPr>
              <w:pStyle w:val="TableContents"/>
              <w:bidi w:val="0"/>
              <w:spacing w:before="0" w:after="283"/>
              <w:jc w:val="left"/>
              <w:rPr/>
            </w:pPr>
            <w:r>
              <w:rPr/>
              <w:t> </w:t>
            </w:r>
          </w:p>
        </w:tc>
        <w:tc>
          <w:tcPr>
            <w:tcW w:w="20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44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3,081,333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44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2,893,699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1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5,841,580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1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5,351,538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generate revenues primarily in the form of investment income from the investments we hold, generally in the form of interest income from our debt securities. We also generate revenues in the form of investment income from the cash we hold, generally in the form of interest income from our investment in a money market fund. Stated interest income represents interest income recognized as earned in accordance with the contractual terms of the loan agreement. Stated interest income from original issue discount (“OID”) and market discount represent the accretion into interest income over the term of the loan as a yield enhancement. Interest income from payment-in-kind (“PIK”) represents contractually deferred interest added to the loan balance recorded on an accrual basis to the extent such amounts are expected to be collected.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also recognizes certain fees as one-time fee income, including, but not limited to, advisory and commitment fees.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 the three and six months ended June 30, 2024, total investment income was approximately $3.1 million and $5.8 million, which is attributable to $0.3 million and $0.3 million of fee income related to commitment fees, advisory fees, and administrative fees and $2.8 million and $5.5 million of interest income, respectively. For the three and six months ended June 30, 2023, total investment income was approximately $2.9 million and $5.3 million, which is attributable to $0.1 million and $0.1 million of fee income related to administrative and amendment fees and $2.8 million and $5.2 million of interest income,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$0.2 million and $0.5 million increase in investment income during the three and six months ended June 30, 2024 in comparison to the three and six months ended June 30, 2023, respectively, is due to a prepayment premium and one-time fee income with respect to the three months ended June 30, 2024 and an increase in interest income driven by the increase in interest rates with respect to the six months ended June 30, 2024.</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r>
        <w:rPr>
          <w:rFonts w:ascii="Times New Roman;Times;serif" w:hAnsi="Times New Roman;Times;serif"/>
          <w:color w:val="000000"/>
          <w:sz w:val="20"/>
          <w:shd w:fill="FFFFFF" w:val="clear"/>
        </w:rPr>
        <w:t xml:space="preserve"> </w:t>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Operating Expenses</w:t>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table below provides a detailed breakdown of the operating expenses for the three and six months ended June 30, 2024 and 2023:</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593"/>
        <w:gridCol w:w="60"/>
        <w:gridCol w:w="168"/>
        <w:gridCol w:w="1184"/>
        <w:gridCol w:w="60"/>
        <w:gridCol w:w="60"/>
        <w:gridCol w:w="168"/>
        <w:gridCol w:w="1184"/>
        <w:gridCol w:w="60"/>
        <w:gridCol w:w="60"/>
        <w:gridCol w:w="140"/>
        <w:gridCol w:w="980"/>
        <w:gridCol w:w="95"/>
        <w:gridCol w:w="60"/>
        <w:gridCol w:w="119"/>
        <w:gridCol w:w="996"/>
        <w:gridCol w:w="218"/>
      </w:tblGrid>
      <w:tr>
        <w:trPr/>
        <w:tc>
          <w:tcPr>
            <w:tcW w:w="4593" w:type="dxa"/>
            <w:tcBorders/>
            <w:vAlign w:val="bottom"/>
          </w:tcPr>
          <w:p>
            <w:pPr>
              <w:pStyle w:val="TableContents"/>
              <w:bidi w:val="0"/>
              <w:spacing w:before="0" w:after="0"/>
              <w:ind w:left="144" w:right="0" w:hanging="144"/>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bidi w:val="0"/>
              <w:spacing w:before="0" w:after="0"/>
              <w:jc w:val="center"/>
              <w:rPr>
                <w:b/>
                <w:color w:val="000000"/>
              </w:rPr>
            </w:pPr>
            <w:r>
              <w:rPr>
                <w:b/>
                <w:color w:val="000000"/>
              </w:rPr>
              <w:t>For the six</w:t>
              <w:br/>
              <w:t>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bidi w:val="0"/>
              <w:spacing w:before="0" w:after="0"/>
              <w:jc w:val="center"/>
              <w:rPr>
                <w:b/>
                <w:color w:val="000000"/>
              </w:rPr>
            </w:pPr>
            <w:r>
              <w:rPr>
                <w:b/>
                <w:color w:val="000000"/>
              </w:rPr>
              <w:t>For the six</w:t>
              <w:br/>
              <w:t>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r>
      <w:tr>
        <w:trPr/>
        <w:tc>
          <w:tcPr>
            <w:tcW w:w="4593" w:type="dxa"/>
            <w:tcBorders/>
            <w:vAlign w:val="bottom"/>
          </w:tcPr>
          <w:p>
            <w:pPr>
              <w:pStyle w:val="TableContents"/>
              <w:bidi w:val="0"/>
              <w:spacing w:before="0" w:after="0"/>
              <w:ind w:left="144" w:right="0" w:hanging="144"/>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35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Change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Change</w:t>
            </w:r>
          </w:p>
        </w:tc>
        <w:tc>
          <w:tcPr>
            <w:tcW w:w="218" w:type="dxa"/>
            <w:tcBorders/>
            <w:vAlign w:val="bottom"/>
          </w:tcPr>
          <w:p>
            <w:pPr>
              <w:pStyle w:val="TableContents"/>
              <w:bidi w:val="0"/>
              <w:spacing w:before="0" w:after="283"/>
              <w:jc w:val="left"/>
              <w:rPr/>
            </w:pPr>
            <w:r>
              <w:rPr/>
              <w:t> </w:t>
            </w:r>
          </w:p>
        </w:tc>
      </w:tr>
      <w:tr>
        <w:trPr/>
        <w:tc>
          <w:tcPr>
            <w:tcW w:w="4593" w:type="dxa"/>
            <w:tcBorders/>
            <w:shd w:fill="CCEEFF" w:val="clear"/>
            <w:vAlign w:val="bottom"/>
          </w:tcPr>
          <w:p>
            <w:pPr>
              <w:pStyle w:val="TableContents"/>
              <w:bidi w:val="0"/>
              <w:spacing w:before="0" w:after="0"/>
              <w:ind w:left="144" w:right="0" w:hanging="144"/>
              <w:jc w:val="left"/>
              <w:rPr>
                <w:color w:val="000000"/>
              </w:rPr>
            </w:pPr>
            <w:r>
              <w:rPr>
                <w:color w:val="000000"/>
              </w:rPr>
              <w:t>Transaction expenses related to the Loan Portfolio Acquisition</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0"/>
              <w:jc w:val="left"/>
              <w:rPr>
                <w:color w:val="000000"/>
              </w:rPr>
            </w:pPr>
            <w:r>
              <w:rPr>
                <w:color w:val="000000"/>
              </w:rPr>
              <w:t>$</w:t>
            </w:r>
          </w:p>
        </w:tc>
        <w:tc>
          <w:tcPr>
            <w:tcW w:w="1184" w:type="dxa"/>
            <w:tcBorders/>
            <w:shd w:fill="CCEEFF" w:val="clear"/>
            <w:vAlign w:val="bottom"/>
          </w:tcPr>
          <w:p>
            <w:pPr>
              <w:pStyle w:val="TableContents"/>
              <w:bidi w:val="0"/>
              <w:spacing w:before="0" w:after="0"/>
              <w:jc w:val="right"/>
              <w:rPr>
                <w:color w:val="000000"/>
              </w:rPr>
            </w:pPr>
            <w:r>
              <w:rPr>
                <w:color w:val="000000"/>
              </w:rPr>
              <w:t>2,639,069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0"/>
              <w:jc w:val="left"/>
              <w:rPr>
                <w:color w:val="000000"/>
              </w:rPr>
            </w:pPr>
            <w:r>
              <w:rPr>
                <w:color w:val="000000"/>
              </w:rPr>
              <w:t>$</w:t>
            </w:r>
          </w:p>
        </w:tc>
        <w:tc>
          <w:tcPr>
            <w:tcW w:w="118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2,639,069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color w:val="000000"/>
              </w:rPr>
            </w:pPr>
            <w:r>
              <w:rPr>
                <w:color w:val="000000"/>
              </w:rPr>
              <w:t>100</w:t>
            </w:r>
          </w:p>
        </w:tc>
        <w:tc>
          <w:tcPr>
            <w:tcW w:w="218" w:type="dxa"/>
            <w:tcBorders/>
            <w:shd w:fill="CCEEFF" w:val="clear"/>
            <w:vAlign w:val="bottom"/>
          </w:tcPr>
          <w:p>
            <w:pPr>
              <w:pStyle w:val="TableContents"/>
              <w:bidi w:val="0"/>
              <w:spacing w:before="0" w:after="0"/>
              <w:jc w:val="left"/>
              <w:rPr>
                <w:color w:val="000000"/>
              </w:rPr>
            </w:pPr>
            <w:r>
              <w:rPr>
                <w:color w:val="000000"/>
              </w:rPr>
              <w:t>%</w:t>
            </w:r>
          </w:p>
        </w:tc>
      </w:tr>
      <w:tr>
        <w:trPr/>
        <w:tc>
          <w:tcPr>
            <w:tcW w:w="4593" w:type="dxa"/>
            <w:tcBorders/>
            <w:vAlign w:val="bottom"/>
          </w:tcPr>
          <w:p>
            <w:pPr>
              <w:pStyle w:val="TableContents"/>
              <w:bidi w:val="0"/>
              <w:spacing w:before="0" w:after="0"/>
              <w:ind w:left="144" w:right="0" w:hanging="144"/>
              <w:jc w:val="left"/>
              <w:rPr>
                <w:color w:val="000000"/>
              </w:rPr>
            </w:pPr>
            <w:r>
              <w:rPr>
                <w:color w:val="000000"/>
              </w:rPr>
              <w:t>Management fee</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0"/>
              <w:jc w:val="right"/>
              <w:rPr>
                <w:color w:val="000000"/>
              </w:rPr>
            </w:pPr>
            <w:r>
              <w:rPr>
                <w:color w:val="000000"/>
              </w:rPr>
              <w:t>492,455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0"/>
              <w:jc w:val="right"/>
              <w:rPr>
                <w:color w:val="000000"/>
              </w:rPr>
            </w:pPr>
            <w:r>
              <w:rPr>
                <w:color w:val="000000"/>
              </w:rPr>
              <w:t>495,908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(3,453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color w:val="000000"/>
              </w:rPr>
            </w:pPr>
            <w:r>
              <w:rPr>
                <w:color w:val="000000"/>
              </w:rPr>
              <w:t>-1</w:t>
            </w:r>
          </w:p>
        </w:tc>
        <w:tc>
          <w:tcPr>
            <w:tcW w:w="218" w:type="dxa"/>
            <w:tcBorders/>
            <w:vAlign w:val="bottom"/>
          </w:tcPr>
          <w:p>
            <w:pPr>
              <w:pStyle w:val="TableContents"/>
              <w:bidi w:val="0"/>
              <w:spacing w:before="0" w:after="0"/>
              <w:jc w:val="left"/>
              <w:rPr>
                <w:color w:val="000000"/>
              </w:rPr>
            </w:pPr>
            <w:r>
              <w:rPr>
                <w:color w:val="000000"/>
              </w:rPr>
              <w:t>%</w:t>
            </w:r>
          </w:p>
        </w:tc>
      </w:tr>
      <w:tr>
        <w:trPr/>
        <w:tc>
          <w:tcPr>
            <w:tcW w:w="4593" w:type="dxa"/>
            <w:tcBorders/>
            <w:shd w:fill="CCEEFF" w:val="clear"/>
            <w:vAlign w:val="bottom"/>
          </w:tcPr>
          <w:p>
            <w:pPr>
              <w:pStyle w:val="TableContents"/>
              <w:bidi w:val="0"/>
              <w:spacing w:before="0" w:after="0"/>
              <w:ind w:left="144" w:right="0" w:hanging="144"/>
              <w:jc w:val="left"/>
              <w:rPr>
                <w:color w:val="000000"/>
              </w:rPr>
            </w:pPr>
            <w:r>
              <w:rPr>
                <w:color w:val="000000"/>
              </w:rPr>
              <w:t>Income-based incentive fees</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0"/>
              <w:jc w:val="right"/>
              <w:rPr>
                <w:color w:val="000000"/>
              </w:rPr>
            </w:pPr>
            <w:r>
              <w:rPr>
                <w:color w:val="000000"/>
              </w:rPr>
              <w:t>328,503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0"/>
              <w:jc w:val="right"/>
              <w:rPr>
                <w:color w:val="000000"/>
              </w:rPr>
            </w:pPr>
            <w:r>
              <w:rPr>
                <w:color w:val="000000"/>
              </w:rPr>
              <w:t>646,494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(317,991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color w:val="000000"/>
              </w:rPr>
            </w:pPr>
            <w:r>
              <w:rPr>
                <w:color w:val="000000"/>
              </w:rPr>
              <w:t>-49</w:t>
            </w:r>
          </w:p>
        </w:tc>
        <w:tc>
          <w:tcPr>
            <w:tcW w:w="218" w:type="dxa"/>
            <w:tcBorders/>
            <w:shd w:fill="CCEEFF" w:val="clear"/>
            <w:vAlign w:val="bottom"/>
          </w:tcPr>
          <w:p>
            <w:pPr>
              <w:pStyle w:val="TableContents"/>
              <w:bidi w:val="0"/>
              <w:spacing w:before="0" w:after="0"/>
              <w:jc w:val="left"/>
              <w:rPr>
                <w:color w:val="000000"/>
              </w:rPr>
            </w:pPr>
            <w:r>
              <w:rPr>
                <w:color w:val="000000"/>
              </w:rPr>
              <w:t>%</w:t>
            </w:r>
          </w:p>
        </w:tc>
      </w:tr>
      <w:tr>
        <w:trPr/>
        <w:tc>
          <w:tcPr>
            <w:tcW w:w="4593" w:type="dxa"/>
            <w:tcBorders/>
            <w:vAlign w:val="bottom"/>
          </w:tcPr>
          <w:p>
            <w:pPr>
              <w:pStyle w:val="TableContents"/>
              <w:bidi w:val="0"/>
              <w:spacing w:before="0" w:after="0"/>
              <w:ind w:left="144" w:right="0" w:hanging="144"/>
              <w:jc w:val="left"/>
              <w:rPr>
                <w:color w:val="000000"/>
              </w:rPr>
            </w:pPr>
            <w:r>
              <w:rPr>
                <w:color w:val="000000"/>
              </w:rPr>
              <w:t>Audit expense</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0"/>
              <w:jc w:val="right"/>
              <w:rPr>
                <w:color w:val="000000"/>
              </w:rPr>
            </w:pPr>
            <w:r>
              <w:rPr>
                <w:color w:val="000000"/>
              </w:rPr>
              <w:t>203,550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0"/>
              <w:jc w:val="right"/>
              <w:rPr>
                <w:color w:val="000000"/>
              </w:rPr>
            </w:pPr>
            <w:r>
              <w:rPr>
                <w:color w:val="000000"/>
              </w:rPr>
              <w:t>185,383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18,167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color w:val="000000"/>
              </w:rPr>
            </w:pPr>
            <w:r>
              <w:rPr>
                <w:color w:val="000000"/>
              </w:rPr>
              <w:t>10</w:t>
            </w:r>
          </w:p>
        </w:tc>
        <w:tc>
          <w:tcPr>
            <w:tcW w:w="218" w:type="dxa"/>
            <w:tcBorders/>
            <w:vAlign w:val="bottom"/>
          </w:tcPr>
          <w:p>
            <w:pPr>
              <w:pStyle w:val="TableContents"/>
              <w:bidi w:val="0"/>
              <w:spacing w:before="0" w:after="0"/>
              <w:jc w:val="left"/>
              <w:rPr>
                <w:color w:val="000000"/>
              </w:rPr>
            </w:pPr>
            <w:r>
              <w:rPr>
                <w:color w:val="000000"/>
              </w:rPr>
              <w:t>%</w:t>
            </w:r>
          </w:p>
        </w:tc>
      </w:tr>
      <w:tr>
        <w:trPr/>
        <w:tc>
          <w:tcPr>
            <w:tcW w:w="4593" w:type="dxa"/>
            <w:tcBorders/>
            <w:shd w:fill="CCEEFF" w:val="clear"/>
            <w:vAlign w:val="bottom"/>
          </w:tcPr>
          <w:p>
            <w:pPr>
              <w:pStyle w:val="TableContents"/>
              <w:bidi w:val="0"/>
              <w:spacing w:before="0" w:after="0"/>
              <w:ind w:left="144" w:right="0" w:hanging="144"/>
              <w:jc w:val="left"/>
              <w:rPr>
                <w:color w:val="000000"/>
              </w:rPr>
            </w:pPr>
            <w:r>
              <w:rPr>
                <w:color w:val="000000"/>
              </w:rPr>
              <w:t>Administrator fees</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0"/>
              <w:jc w:val="right"/>
              <w:rPr>
                <w:color w:val="000000"/>
              </w:rPr>
            </w:pPr>
            <w:r>
              <w:rPr>
                <w:color w:val="000000"/>
              </w:rPr>
              <w:t>199,643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0"/>
              <w:jc w:val="right"/>
              <w:rPr>
                <w:color w:val="000000"/>
              </w:rPr>
            </w:pPr>
            <w:r>
              <w:rPr>
                <w:color w:val="000000"/>
              </w:rPr>
              <w:t>165,697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33,946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color w:val="000000"/>
              </w:rPr>
            </w:pPr>
            <w:r>
              <w:rPr>
                <w:color w:val="000000"/>
              </w:rPr>
              <w:t>20</w:t>
            </w:r>
          </w:p>
        </w:tc>
        <w:tc>
          <w:tcPr>
            <w:tcW w:w="218" w:type="dxa"/>
            <w:tcBorders/>
            <w:shd w:fill="CCEEFF" w:val="clear"/>
            <w:vAlign w:val="bottom"/>
          </w:tcPr>
          <w:p>
            <w:pPr>
              <w:pStyle w:val="TableContents"/>
              <w:bidi w:val="0"/>
              <w:spacing w:before="0" w:after="0"/>
              <w:jc w:val="left"/>
              <w:rPr>
                <w:color w:val="000000"/>
              </w:rPr>
            </w:pPr>
            <w:r>
              <w:rPr>
                <w:color w:val="000000"/>
              </w:rPr>
              <w:t>%</w:t>
            </w:r>
          </w:p>
        </w:tc>
      </w:tr>
      <w:tr>
        <w:trPr/>
        <w:tc>
          <w:tcPr>
            <w:tcW w:w="4593" w:type="dxa"/>
            <w:tcBorders/>
            <w:vAlign w:val="bottom"/>
          </w:tcPr>
          <w:p>
            <w:pPr>
              <w:pStyle w:val="TableContents"/>
              <w:bidi w:val="0"/>
              <w:spacing w:before="0" w:after="0"/>
              <w:ind w:left="144" w:right="0" w:hanging="144"/>
              <w:jc w:val="left"/>
              <w:rPr>
                <w:color w:val="000000"/>
              </w:rPr>
            </w:pPr>
            <w:r>
              <w:rPr>
                <w:color w:val="000000"/>
              </w:rPr>
              <w:t>Legal expenses</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0"/>
              <w:jc w:val="right"/>
              <w:rPr>
                <w:color w:val="000000"/>
              </w:rPr>
            </w:pPr>
            <w:r>
              <w:rPr>
                <w:color w:val="000000"/>
              </w:rPr>
              <w:t>139,873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0"/>
              <w:jc w:val="right"/>
              <w:rPr>
                <w:color w:val="000000"/>
              </w:rPr>
            </w:pPr>
            <w:r>
              <w:rPr>
                <w:color w:val="000000"/>
              </w:rPr>
              <w:t>186,016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(46,143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color w:val="000000"/>
              </w:rPr>
            </w:pPr>
            <w:r>
              <w:rPr>
                <w:color w:val="000000"/>
              </w:rPr>
              <w:t>-25</w:t>
            </w:r>
          </w:p>
        </w:tc>
        <w:tc>
          <w:tcPr>
            <w:tcW w:w="218" w:type="dxa"/>
            <w:tcBorders/>
            <w:vAlign w:val="bottom"/>
          </w:tcPr>
          <w:p>
            <w:pPr>
              <w:pStyle w:val="TableContents"/>
              <w:bidi w:val="0"/>
              <w:spacing w:before="0" w:after="0"/>
              <w:jc w:val="left"/>
              <w:rPr>
                <w:color w:val="000000"/>
              </w:rPr>
            </w:pPr>
            <w:r>
              <w:rPr>
                <w:color w:val="000000"/>
              </w:rPr>
              <w:t>%</w:t>
            </w:r>
          </w:p>
        </w:tc>
      </w:tr>
      <w:tr>
        <w:trPr/>
        <w:tc>
          <w:tcPr>
            <w:tcW w:w="4593" w:type="dxa"/>
            <w:tcBorders/>
            <w:shd w:fill="CCEEFF" w:val="clear"/>
            <w:vAlign w:val="bottom"/>
          </w:tcPr>
          <w:p>
            <w:pPr>
              <w:pStyle w:val="TableContents"/>
              <w:bidi w:val="0"/>
              <w:spacing w:before="0" w:after="0"/>
              <w:ind w:left="144" w:right="0" w:hanging="144"/>
              <w:jc w:val="left"/>
              <w:rPr>
                <w:color w:val="000000"/>
              </w:rPr>
            </w:pPr>
            <w:r>
              <w:rPr>
                <w:color w:val="000000"/>
              </w:rPr>
              <w:t>Insurance expense</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0"/>
              <w:jc w:val="right"/>
              <w:rPr>
                <w:color w:val="000000"/>
              </w:rPr>
            </w:pPr>
            <w:r>
              <w:rPr>
                <w:color w:val="000000"/>
              </w:rPr>
              <w:t>132,491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0"/>
              <w:jc w:val="right"/>
              <w:rPr>
                <w:color w:val="000000"/>
              </w:rPr>
            </w:pPr>
            <w:r>
              <w:rPr>
                <w:color w:val="000000"/>
              </w:rPr>
              <w:t>135,475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(2,984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color w:val="000000"/>
              </w:rPr>
            </w:pPr>
            <w:r>
              <w:rPr>
                <w:color w:val="000000"/>
              </w:rPr>
              <w:t>-2</w:t>
            </w:r>
          </w:p>
        </w:tc>
        <w:tc>
          <w:tcPr>
            <w:tcW w:w="218" w:type="dxa"/>
            <w:tcBorders/>
            <w:shd w:fill="CCEEFF" w:val="clear"/>
            <w:vAlign w:val="bottom"/>
          </w:tcPr>
          <w:p>
            <w:pPr>
              <w:pStyle w:val="TableContents"/>
              <w:bidi w:val="0"/>
              <w:spacing w:before="0" w:after="0"/>
              <w:jc w:val="left"/>
              <w:rPr>
                <w:color w:val="000000"/>
              </w:rPr>
            </w:pPr>
            <w:r>
              <w:rPr>
                <w:color w:val="000000"/>
              </w:rPr>
              <w:t>%</w:t>
            </w:r>
          </w:p>
        </w:tc>
      </w:tr>
      <w:tr>
        <w:trPr/>
        <w:tc>
          <w:tcPr>
            <w:tcW w:w="4593" w:type="dxa"/>
            <w:tcBorders/>
            <w:vAlign w:val="bottom"/>
          </w:tcPr>
          <w:p>
            <w:pPr>
              <w:pStyle w:val="TableContents"/>
              <w:bidi w:val="0"/>
              <w:spacing w:before="0" w:after="0"/>
              <w:ind w:left="144" w:right="0" w:hanging="144"/>
              <w:jc w:val="left"/>
              <w:rPr>
                <w:color w:val="000000"/>
              </w:rPr>
            </w:pPr>
            <w:r>
              <w:rPr>
                <w:color w:val="000000"/>
              </w:rPr>
              <w:t>Capital gains incentive fees</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0"/>
              <w:jc w:val="right"/>
              <w:rPr>
                <w:color w:val="000000"/>
              </w:rPr>
            </w:pPr>
            <w:r>
              <w:rPr>
                <w:color w:val="000000"/>
              </w:rPr>
              <w:t>73,369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0"/>
              <w:jc w:val="right"/>
              <w:rPr>
                <w:color w:val="000000"/>
              </w:rPr>
            </w:pPr>
            <w:r>
              <w:rPr>
                <w:color w:val="000000"/>
              </w:rPr>
              <w:t>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68,369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color w:val="000000"/>
              </w:rPr>
            </w:pPr>
            <w:r>
              <w:rPr>
                <w:color w:val="000000"/>
              </w:rPr>
              <w:t>1367</w:t>
            </w:r>
          </w:p>
        </w:tc>
        <w:tc>
          <w:tcPr>
            <w:tcW w:w="218" w:type="dxa"/>
            <w:tcBorders/>
            <w:vAlign w:val="bottom"/>
          </w:tcPr>
          <w:p>
            <w:pPr>
              <w:pStyle w:val="TableContents"/>
              <w:bidi w:val="0"/>
              <w:spacing w:before="0" w:after="0"/>
              <w:jc w:val="left"/>
              <w:rPr>
                <w:color w:val="000000"/>
              </w:rPr>
            </w:pPr>
            <w:r>
              <w:rPr>
                <w:color w:val="000000"/>
              </w:rPr>
              <w:t>%</w:t>
            </w:r>
          </w:p>
        </w:tc>
      </w:tr>
      <w:tr>
        <w:trPr/>
        <w:tc>
          <w:tcPr>
            <w:tcW w:w="4593" w:type="dxa"/>
            <w:tcBorders/>
            <w:shd w:fill="CCEEFF" w:val="clear"/>
            <w:vAlign w:val="bottom"/>
          </w:tcPr>
          <w:p>
            <w:pPr>
              <w:pStyle w:val="TableContents"/>
              <w:bidi w:val="0"/>
              <w:spacing w:before="0" w:after="0"/>
              <w:ind w:left="144" w:right="0" w:hanging="144"/>
              <w:jc w:val="left"/>
              <w:rPr>
                <w:color w:val="000000"/>
              </w:rPr>
            </w:pPr>
            <w:r>
              <w:rPr>
                <w:color w:val="000000"/>
              </w:rPr>
              <w:t>Other expenses</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0"/>
              <w:jc w:val="right"/>
              <w:rPr>
                <w:color w:val="000000"/>
              </w:rPr>
            </w:pPr>
            <w:r>
              <w:rPr>
                <w:color w:val="000000"/>
              </w:rPr>
              <w:t>66,667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0"/>
              <w:jc w:val="right"/>
              <w:rPr>
                <w:color w:val="000000"/>
              </w:rPr>
            </w:pPr>
            <w:r>
              <w:rPr>
                <w:color w:val="000000"/>
              </w:rPr>
              <w:t>39,708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26,959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color w:val="000000"/>
              </w:rPr>
            </w:pPr>
            <w:r>
              <w:rPr>
                <w:color w:val="000000"/>
              </w:rPr>
              <w:t>68</w:t>
            </w:r>
          </w:p>
        </w:tc>
        <w:tc>
          <w:tcPr>
            <w:tcW w:w="218" w:type="dxa"/>
            <w:tcBorders/>
            <w:shd w:fill="CCEEFF" w:val="clear"/>
            <w:vAlign w:val="bottom"/>
          </w:tcPr>
          <w:p>
            <w:pPr>
              <w:pStyle w:val="TableContents"/>
              <w:bidi w:val="0"/>
              <w:spacing w:before="0" w:after="0"/>
              <w:jc w:val="left"/>
              <w:rPr>
                <w:color w:val="000000"/>
              </w:rPr>
            </w:pPr>
            <w:r>
              <w:rPr>
                <w:color w:val="000000"/>
              </w:rPr>
              <w:t>%</w:t>
            </w:r>
          </w:p>
        </w:tc>
      </w:tr>
      <w:tr>
        <w:trPr/>
        <w:tc>
          <w:tcPr>
            <w:tcW w:w="4593" w:type="dxa"/>
            <w:tcBorders/>
            <w:vAlign w:val="bottom"/>
          </w:tcPr>
          <w:p>
            <w:pPr>
              <w:pStyle w:val="TableContents"/>
              <w:bidi w:val="0"/>
              <w:spacing w:before="0" w:after="0"/>
              <w:ind w:left="144" w:right="0" w:hanging="144"/>
              <w:jc w:val="left"/>
              <w:rPr>
                <w:color w:val="000000"/>
              </w:rPr>
            </w:pPr>
            <w:r>
              <w:rPr>
                <w:color w:val="000000"/>
              </w:rPr>
              <w:t>Director expenses</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0"/>
              <w:jc w:val="right"/>
              <w:rPr>
                <w:color w:val="000000"/>
              </w:rPr>
            </w:pPr>
            <w:r>
              <w:rPr>
                <w:color w:val="000000"/>
              </w:rPr>
              <w:t>54,319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0"/>
              <w:jc w:val="right"/>
              <w:rPr>
                <w:color w:val="000000"/>
              </w:rPr>
            </w:pPr>
            <w:r>
              <w:rPr>
                <w:color w:val="000000"/>
              </w:rPr>
              <w:t>67,690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(13,371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color w:val="000000"/>
              </w:rPr>
            </w:pPr>
            <w:r>
              <w:rPr>
                <w:color w:val="000000"/>
              </w:rPr>
              <w:t>-20</w:t>
            </w:r>
          </w:p>
        </w:tc>
        <w:tc>
          <w:tcPr>
            <w:tcW w:w="218" w:type="dxa"/>
            <w:tcBorders/>
            <w:vAlign w:val="bottom"/>
          </w:tcPr>
          <w:p>
            <w:pPr>
              <w:pStyle w:val="TableContents"/>
              <w:bidi w:val="0"/>
              <w:spacing w:before="0" w:after="0"/>
              <w:jc w:val="left"/>
              <w:rPr>
                <w:color w:val="000000"/>
              </w:rPr>
            </w:pPr>
            <w:r>
              <w:rPr>
                <w:color w:val="000000"/>
              </w:rPr>
              <w:t>%</w:t>
            </w:r>
          </w:p>
        </w:tc>
      </w:tr>
      <w:tr>
        <w:trPr/>
        <w:tc>
          <w:tcPr>
            <w:tcW w:w="4593" w:type="dxa"/>
            <w:tcBorders/>
            <w:shd w:fill="CCEEFF" w:val="clear"/>
            <w:vAlign w:val="bottom"/>
          </w:tcPr>
          <w:p>
            <w:pPr>
              <w:pStyle w:val="TableContents"/>
              <w:bidi w:val="0"/>
              <w:spacing w:before="0" w:after="0"/>
              <w:ind w:left="144" w:right="0" w:hanging="144"/>
              <w:jc w:val="left"/>
              <w:rPr>
                <w:color w:val="000000"/>
              </w:rPr>
            </w:pPr>
            <w:r>
              <w:rPr>
                <w:color w:val="000000"/>
              </w:rPr>
              <w:t>Valuation fees</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0"/>
              <w:jc w:val="right"/>
              <w:rPr>
                <w:color w:val="000000"/>
              </w:rPr>
            </w:pPr>
            <w:r>
              <w:rPr>
                <w:color w:val="000000"/>
              </w:rPr>
              <w:t>27,053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0"/>
              <w:jc w:val="right"/>
              <w:rPr>
                <w:color w:val="000000"/>
              </w:rPr>
            </w:pPr>
            <w:r>
              <w:rPr>
                <w:color w:val="000000"/>
              </w:rPr>
              <w:t>94,065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(67,012</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color w:val="000000"/>
              </w:rPr>
            </w:pPr>
            <w:r>
              <w:rPr>
                <w:color w:val="000000"/>
              </w:rPr>
              <w:t>-71</w:t>
            </w:r>
          </w:p>
        </w:tc>
        <w:tc>
          <w:tcPr>
            <w:tcW w:w="218" w:type="dxa"/>
            <w:tcBorders/>
            <w:shd w:fill="CCEEFF" w:val="clear"/>
            <w:vAlign w:val="bottom"/>
          </w:tcPr>
          <w:p>
            <w:pPr>
              <w:pStyle w:val="TableContents"/>
              <w:bidi w:val="0"/>
              <w:spacing w:before="0" w:after="0"/>
              <w:jc w:val="left"/>
              <w:rPr>
                <w:color w:val="000000"/>
              </w:rPr>
            </w:pPr>
            <w:r>
              <w:rPr>
                <w:color w:val="000000"/>
              </w:rPr>
              <w:t>%</w:t>
            </w:r>
          </w:p>
        </w:tc>
      </w:tr>
      <w:tr>
        <w:trPr/>
        <w:tc>
          <w:tcPr>
            <w:tcW w:w="4593" w:type="dxa"/>
            <w:tcBorders/>
            <w:vAlign w:val="bottom"/>
          </w:tcPr>
          <w:p>
            <w:pPr>
              <w:pStyle w:val="TableContents"/>
              <w:bidi w:val="0"/>
              <w:spacing w:before="0" w:after="0"/>
              <w:ind w:left="144" w:right="0" w:hanging="144"/>
              <w:jc w:val="left"/>
              <w:rPr>
                <w:color w:val="000000"/>
              </w:rPr>
            </w:pPr>
            <w:r>
              <w:rPr>
                <w:color w:val="000000"/>
              </w:rPr>
              <w:t>Custodian fees</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0"/>
              <w:jc w:val="right"/>
              <w:rPr>
                <w:color w:val="000000"/>
              </w:rPr>
            </w:pPr>
            <w:r>
              <w:rPr>
                <w:color w:val="000000"/>
              </w:rPr>
              <w:t>23,850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0"/>
              <w:jc w:val="right"/>
              <w:rPr>
                <w:color w:val="000000"/>
              </w:rPr>
            </w:pPr>
            <w:r>
              <w:rPr>
                <w:color w:val="000000"/>
              </w:rPr>
              <w:t>24,000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(150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color w:val="000000"/>
              </w:rPr>
            </w:pPr>
            <w:r>
              <w:rPr>
                <w:color w:val="000000"/>
              </w:rPr>
              <w:t>-1</w:t>
            </w:r>
          </w:p>
        </w:tc>
        <w:tc>
          <w:tcPr>
            <w:tcW w:w="218" w:type="dxa"/>
            <w:tcBorders/>
            <w:vAlign w:val="bottom"/>
          </w:tcPr>
          <w:p>
            <w:pPr>
              <w:pStyle w:val="TableContents"/>
              <w:bidi w:val="0"/>
              <w:spacing w:before="0" w:after="0"/>
              <w:jc w:val="left"/>
              <w:rPr>
                <w:color w:val="000000"/>
              </w:rPr>
            </w:pPr>
            <w:r>
              <w:rPr>
                <w:color w:val="000000"/>
              </w:rPr>
              <w:t>%</w:t>
            </w:r>
          </w:p>
        </w:tc>
      </w:tr>
      <w:tr>
        <w:trPr/>
        <w:tc>
          <w:tcPr>
            <w:tcW w:w="4593" w:type="dxa"/>
            <w:tcBorders/>
            <w:shd w:fill="CCEEFF" w:val="clear"/>
            <w:vAlign w:val="bottom"/>
          </w:tcPr>
          <w:p>
            <w:pPr>
              <w:pStyle w:val="TableContents"/>
              <w:bidi w:val="0"/>
              <w:spacing w:before="0" w:after="0"/>
              <w:ind w:left="144" w:right="0" w:hanging="144"/>
              <w:jc w:val="left"/>
              <w:rPr>
                <w:color w:val="000000"/>
              </w:rPr>
            </w:pPr>
            <w:r>
              <w:rPr>
                <w:color w:val="000000"/>
              </w:rPr>
              <w:t>Professional fees</w:t>
            </w:r>
          </w:p>
        </w:tc>
        <w:tc>
          <w:tcPr>
            <w:tcW w:w="60" w:type="dxa"/>
            <w:tcBorders/>
            <w:shd w:fill="CCEEFF" w:val="clear"/>
            <w:vAlign w:val="bottom"/>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14,914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35,967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(21,053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-59</w:t>
            </w:r>
          </w:p>
        </w:tc>
        <w:tc>
          <w:tcPr>
            <w:tcW w:w="218" w:type="dxa"/>
            <w:tcBorders/>
            <w:shd w:fill="CCEEFF" w:val="clear"/>
            <w:vAlign w:val="bottom"/>
          </w:tcPr>
          <w:p>
            <w:pPr>
              <w:pStyle w:val="TableContents"/>
              <w:bidi w:val="0"/>
              <w:spacing w:before="0" w:after="0"/>
              <w:jc w:val="left"/>
              <w:rPr>
                <w:color w:val="000000"/>
              </w:rPr>
            </w:pPr>
            <w:r>
              <w:rPr>
                <w:color w:val="000000"/>
              </w:rPr>
              <w:t>%</w:t>
            </w:r>
          </w:p>
        </w:tc>
      </w:tr>
      <w:tr>
        <w:trPr/>
        <w:tc>
          <w:tcPr>
            <w:tcW w:w="4593" w:type="dxa"/>
            <w:tcBorders/>
            <w:vAlign w:val="bottom"/>
          </w:tcPr>
          <w:p>
            <w:pPr>
              <w:pStyle w:val="TableContents"/>
              <w:bidi w:val="0"/>
              <w:spacing w:before="0" w:after="0"/>
              <w:ind w:left="324" w:right="0" w:hanging="144"/>
              <w:jc w:val="left"/>
              <w:rPr>
                <w:color w:val="000000"/>
              </w:rPr>
            </w:pPr>
            <w:r>
              <w:rPr>
                <w:color w:val="000000"/>
              </w:rPr>
              <w:t>Total expenses</w:t>
            </w:r>
          </w:p>
        </w:tc>
        <w:tc>
          <w:tcPr>
            <w:tcW w:w="60" w:type="dxa"/>
            <w:tcBorders/>
            <w:vAlign w:val="bottom"/>
          </w:tcPr>
          <w:p>
            <w:pPr>
              <w:pStyle w:val="TableContents"/>
              <w:bidi w:val="0"/>
              <w:spacing w:before="0" w:after="283"/>
              <w:jc w:val="left"/>
              <w:rPr/>
            </w:pPr>
            <w:r>
              <w:rPr/>
              <w:t> </w:t>
            </w:r>
          </w:p>
        </w:tc>
        <w:tc>
          <w:tcPr>
            <w:tcW w:w="16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8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4,395,756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8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2,081,403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2,314,353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bottom w:val="double" w:sz="8" w:space="0" w:color="000000"/>
            </w:tcBorders>
            <w:tcMar>
              <w:bottom w:w="28" w:type="dxa"/>
            </w:tcMar>
            <w:vAlign w:val="bottom"/>
          </w:tcPr>
          <w:p>
            <w:pPr>
              <w:pStyle w:val="TableContents"/>
              <w:bidi w:val="0"/>
              <w:spacing w:before="0" w:after="283"/>
              <w:jc w:val="left"/>
              <w:rPr/>
            </w:pPr>
            <w:r>
              <w:rPr/>
              <w:t> </w:t>
            </w:r>
          </w:p>
        </w:tc>
        <w:tc>
          <w:tcPr>
            <w:tcW w:w="99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111</w:t>
            </w:r>
          </w:p>
        </w:tc>
        <w:tc>
          <w:tcPr>
            <w:tcW w:w="218"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Net Investment Income</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investment income was approximately $1.5 million and $1.4 million for the three and six months ended June 30, 2024, as compared to approximately $1.9 million and $3.3 million for the three and six months ended June 30, 2023, respectively. The fluctuation in net investment income is primarily due to transaction fees of $0.5 million and $2.6 million incurred in connection with the Loan Portfolio Acquisition during the three and six months ended June 30, 2024, although the impact of such fees was partially offset by the increases in investment income during the three and six months ended June 30, 2024 as compared to the three and six months ended June 30, 2023, as discussed above. While we consider these fees to be largely non-recurring and anticipate less transaction fees going forward, we acknowledge the possibility of unforeseen transaction-related costs in future periods.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Net Realized Gains and Losses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Realized gains or losses are measured by the difference between the net proceeds from the sale or redemption of an investment or a financial instrument and the amortized cost basis of the investment or financial instrument, without regard to unrealized appreciation or depreciation previously recognized, and includes investments written-off during the period. There were no sales or redemptions of investments during the three and six months ended June 30, 2024. There was $210,767 and $210,767 in net realized losses from the sale of an investment during the three and six months ended June 30, 2023, respectively.</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Net Change in Unrealized Appreciation (Depreciation) from Investments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Net change in unrealized appreciation (depreciation) from investments primarily reflects the net change in the fair value as of the last business day of the reporting period, including the reversal of previously recorded unrealized gains or losses with respect to investments realized during the period. We record current-period changes in fair value of investments that are measured at fair value as a component of the net change in unrealized appreciation (depreciation) on investments on the Statements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Net unrealized appreciation and depreciation on investments for the three and six months ended June 30, 2024 and 2023 is comprised of the following:</w:t>
      </w:r>
    </w:p>
    <w:p>
      <w:pPr>
        <w:pStyle w:val="TextBody"/>
        <w:bidi w:val="0"/>
        <w:spacing w:before="0" w:after="0"/>
        <w:jc w:val="both"/>
        <w:rPr>
          <w:color w:val="000000"/>
        </w:rPr>
      </w:pPr>
      <w:r>
        <w:rPr>
          <w:color w:val="000000"/>
        </w:rPr>
      </w:r>
    </w:p>
    <w:tbl>
      <w:tblPr>
        <w:tblW w:w="10205" w:type="dxa"/>
        <w:jc w:val="left"/>
        <w:tblInd w:w="0" w:type="dxa"/>
        <w:tblLayout w:type="fixed"/>
        <w:tblCellMar>
          <w:top w:w="0" w:type="dxa"/>
          <w:left w:w="0" w:type="dxa"/>
          <w:bottom w:w="0" w:type="dxa"/>
          <w:right w:w="0" w:type="dxa"/>
        </w:tblCellMar>
      </w:tblPr>
      <w:tblGrid>
        <w:gridCol w:w="3780"/>
        <w:gridCol w:w="60"/>
        <w:gridCol w:w="211"/>
        <w:gridCol w:w="1322"/>
        <w:gridCol w:w="95"/>
        <w:gridCol w:w="60"/>
        <w:gridCol w:w="211"/>
        <w:gridCol w:w="1322"/>
        <w:gridCol w:w="95"/>
        <w:gridCol w:w="60"/>
        <w:gridCol w:w="202"/>
        <w:gridCol w:w="1158"/>
        <w:gridCol w:w="95"/>
        <w:gridCol w:w="60"/>
        <w:gridCol w:w="202"/>
        <w:gridCol w:w="1158"/>
        <w:gridCol w:w="114"/>
      </w:tblGrid>
      <w:tr>
        <w:trPr/>
        <w:tc>
          <w:tcPr>
            <w:tcW w:w="37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3" w:type="dxa"/>
            <w:gridSpan w:val="2"/>
            <w:tcBorders/>
            <w:vAlign w:val="bottom"/>
          </w:tcPr>
          <w:p>
            <w:pPr>
              <w:pStyle w:val="TableContents"/>
              <w:bidi w:val="0"/>
              <w:spacing w:before="0" w:after="0"/>
              <w:jc w:val="center"/>
              <w:rPr>
                <w:b/>
                <w:color w:val="000000"/>
              </w:rPr>
            </w:pPr>
            <w:r>
              <w:rPr>
                <w:b/>
                <w:color w:val="000000"/>
              </w:rPr>
              <w:t>Three Months Ended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3" w:type="dxa"/>
            <w:gridSpan w:val="2"/>
            <w:tcBorders/>
            <w:vAlign w:val="bottom"/>
          </w:tcPr>
          <w:p>
            <w:pPr>
              <w:pStyle w:val="TableContents"/>
              <w:bidi w:val="0"/>
              <w:spacing w:before="0" w:after="0"/>
              <w:jc w:val="center"/>
              <w:rPr>
                <w:b/>
                <w:color w:val="000000"/>
              </w:rPr>
            </w:pPr>
            <w:r>
              <w:rPr>
                <w:b/>
                <w:color w:val="000000"/>
              </w:rPr>
              <w:t>Three Months Ended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0"/>
              <w:jc w:val="center"/>
              <w:rPr>
                <w:b/>
                <w:color w:val="000000"/>
              </w:rPr>
            </w:pPr>
            <w:r>
              <w:rPr>
                <w:b/>
                <w:color w:val="000000"/>
              </w:rPr>
              <w:t>Six Months Ended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0"/>
              <w:jc w:val="center"/>
              <w:rPr>
                <w:b/>
                <w:color w:val="000000"/>
              </w:rPr>
            </w:pPr>
            <w:r>
              <w:rPr>
                <w:b/>
                <w:color w:val="000000"/>
              </w:rPr>
              <w:t>Six Months Ended</w:t>
            </w:r>
          </w:p>
        </w:tc>
        <w:tc>
          <w:tcPr>
            <w:tcW w:w="114" w:type="dxa"/>
            <w:tcBorders/>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2023</w:t>
            </w:r>
          </w:p>
        </w:tc>
        <w:tc>
          <w:tcPr>
            <w:tcW w:w="114" w:type="dxa"/>
            <w:tcBorders/>
            <w:vAlign w:val="bottom"/>
          </w:tcPr>
          <w:p>
            <w:pPr>
              <w:pStyle w:val="TableContents"/>
              <w:bidi w:val="0"/>
              <w:spacing w:before="0" w:after="283"/>
              <w:jc w:val="left"/>
              <w:rPr/>
            </w:pPr>
            <w:r>
              <w:rPr/>
              <w:t> </w:t>
            </w:r>
          </w:p>
        </w:tc>
      </w:tr>
      <w:tr>
        <w:trPr/>
        <w:tc>
          <w:tcPr>
            <w:tcW w:w="3780" w:type="dxa"/>
            <w:tcBorders/>
            <w:shd w:fill="CCEEFF" w:val="clear"/>
            <w:vAlign w:val="bottom"/>
          </w:tcPr>
          <w:p>
            <w:pPr>
              <w:pStyle w:val="TableContents"/>
              <w:bidi w:val="0"/>
              <w:spacing w:before="0" w:after="0"/>
              <w:ind w:left="144" w:right="0" w:hanging="144"/>
              <w:jc w:val="left"/>
              <w:rPr>
                <w:color w:val="000000"/>
              </w:rPr>
            </w:pPr>
            <w:r>
              <w:rPr>
                <w:color w:val="000000"/>
              </w:rPr>
              <w:t>Gross unrealized appreciation</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color w:val="000000"/>
              </w:rPr>
            </w:pPr>
            <w:r>
              <w:rPr>
                <w:color w:val="000000"/>
              </w:rPr>
              <w:t>$</w:t>
            </w:r>
          </w:p>
        </w:tc>
        <w:tc>
          <w:tcPr>
            <w:tcW w:w="1322" w:type="dxa"/>
            <w:tcBorders/>
            <w:shd w:fill="CCEEFF" w:val="clear"/>
            <w:vAlign w:val="bottom"/>
          </w:tcPr>
          <w:p>
            <w:pPr>
              <w:pStyle w:val="TableContents"/>
              <w:bidi w:val="0"/>
              <w:spacing w:before="0" w:after="0"/>
              <w:jc w:val="right"/>
              <w:rPr>
                <w:color w:val="000000"/>
              </w:rPr>
            </w:pPr>
            <w:r>
              <w:rPr>
                <w:color w:val="000000"/>
              </w:rPr>
              <w:t>190,134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color w:val="000000"/>
              </w:rPr>
            </w:pPr>
            <w:r>
              <w:rPr>
                <w:color w:val="000000"/>
              </w:rPr>
              <w:t>$</w:t>
            </w:r>
          </w:p>
        </w:tc>
        <w:tc>
          <w:tcPr>
            <w:tcW w:w="1322" w:type="dxa"/>
            <w:tcBorders/>
            <w:shd w:fill="CCEEFF" w:val="clear"/>
            <w:vAlign w:val="bottom"/>
          </w:tcPr>
          <w:p>
            <w:pPr>
              <w:pStyle w:val="TableContents"/>
              <w:bidi w:val="0"/>
              <w:spacing w:before="0" w:after="0"/>
              <w:jc w:val="right"/>
              <w:rPr>
                <w:color w:val="000000"/>
              </w:rPr>
            </w:pPr>
            <w:r>
              <w:rPr>
                <w:color w:val="000000"/>
              </w:rPr>
              <w:t>99,357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color w:val="000000"/>
              </w:rPr>
            </w:pPr>
            <w:r>
              <w:rPr>
                <w:color w:val="000000"/>
              </w:rPr>
              <w:t>$</w:t>
            </w:r>
          </w:p>
        </w:tc>
        <w:tc>
          <w:tcPr>
            <w:tcW w:w="1158" w:type="dxa"/>
            <w:tcBorders/>
            <w:shd w:fill="CCEEFF" w:val="clear"/>
            <w:vAlign w:val="bottom"/>
          </w:tcPr>
          <w:p>
            <w:pPr>
              <w:pStyle w:val="TableContents"/>
              <w:bidi w:val="0"/>
              <w:spacing w:before="0" w:after="0"/>
              <w:jc w:val="right"/>
              <w:rPr>
                <w:color w:val="000000"/>
              </w:rPr>
            </w:pPr>
            <w:r>
              <w:rPr>
                <w:color w:val="000000"/>
              </w:rPr>
              <w:t>389,573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color w:val="000000"/>
              </w:rPr>
            </w:pPr>
            <w:r>
              <w:rPr>
                <w:color w:val="000000"/>
              </w:rPr>
              <w:t>$</w:t>
            </w:r>
          </w:p>
        </w:tc>
        <w:tc>
          <w:tcPr>
            <w:tcW w:w="1158" w:type="dxa"/>
            <w:tcBorders/>
            <w:shd w:fill="CCEEFF" w:val="clear"/>
            <w:vAlign w:val="bottom"/>
          </w:tcPr>
          <w:p>
            <w:pPr>
              <w:pStyle w:val="TableContents"/>
              <w:bidi w:val="0"/>
              <w:spacing w:before="0" w:after="0"/>
              <w:jc w:val="right"/>
              <w:rPr>
                <w:color w:val="000000"/>
              </w:rPr>
            </w:pPr>
            <w:r>
              <w:rPr>
                <w:color w:val="000000"/>
              </w:rPr>
              <w:t>605,659</w:t>
            </w:r>
          </w:p>
        </w:tc>
        <w:tc>
          <w:tcPr>
            <w:tcW w:w="114" w:type="dxa"/>
            <w:tcBorders/>
            <w:shd w:fill="CCEEFF" w:val="clear"/>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0"/>
              <w:ind w:left="144" w:right="0" w:hanging="144"/>
              <w:jc w:val="left"/>
              <w:rPr>
                <w:color w:val="000000"/>
              </w:rPr>
            </w:pPr>
            <w:r>
              <w:rPr>
                <w:color w:val="000000"/>
              </w:rPr>
              <w:t>Gross unrealized depreciation</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(422,906</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(576,598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(22,725</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(96,543</w:t>
            </w:r>
          </w:p>
        </w:tc>
        <w:tc>
          <w:tcPr>
            <w:tcW w:w="114" w:type="dxa"/>
            <w:tcBorders/>
            <w:vAlign w:val="bottom"/>
          </w:tcPr>
          <w:p>
            <w:pPr>
              <w:pStyle w:val="TableContents"/>
              <w:bidi w:val="0"/>
              <w:spacing w:before="0" w:after="0"/>
              <w:jc w:val="left"/>
              <w:rPr>
                <w:color w:val="000000"/>
              </w:rPr>
            </w:pPr>
            <w:r>
              <w:rPr>
                <w:color w:val="000000"/>
              </w:rPr>
              <w:t>)</w:t>
            </w:r>
          </w:p>
        </w:tc>
      </w:tr>
      <w:tr>
        <w:trPr/>
        <w:tc>
          <w:tcPr>
            <w:tcW w:w="3780" w:type="dxa"/>
            <w:tcBorders/>
            <w:shd w:fill="CCEEFF" w:val="clear"/>
            <w:vAlign w:val="bottom"/>
          </w:tcPr>
          <w:p>
            <w:pPr>
              <w:pStyle w:val="TableContents"/>
              <w:bidi w:val="0"/>
              <w:spacing w:before="0" w:after="0"/>
              <w:ind w:left="324" w:right="0" w:hanging="144"/>
              <w:jc w:val="left"/>
              <w:rPr>
                <w:color w:val="000000"/>
              </w:rPr>
            </w:pPr>
            <w:r>
              <w:rPr>
                <w:color w:val="000000"/>
              </w:rPr>
              <w:t>Total net change in unrealized appreciation (depreciation) from investments</w:t>
            </w:r>
          </w:p>
        </w:tc>
        <w:tc>
          <w:tcPr>
            <w:tcW w:w="60" w:type="dxa"/>
            <w:tcBorders/>
            <w:shd w:fill="CCEEFF" w:val="clear"/>
            <w:vAlign w:val="bottom"/>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2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(232,772</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2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(477,241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0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5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366,848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5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509,116</w:t>
            </w:r>
          </w:p>
        </w:tc>
        <w:tc>
          <w:tcPr>
            <w:tcW w:w="11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r>
        <w:rPr>
          <w:rFonts w:ascii="Times New Roman;Times;serif" w:hAnsi="Times New Roman;Times;serif"/>
          <w:color w:val="000000"/>
          <w:sz w:val="20"/>
          <w:shd w:fill="FFFFFF" w:val="clear"/>
        </w:rPr>
        <w:t xml:space="preserve"> </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 details net change in unrealized appreciation (depreciation) for our portfolio for the three and six months ended June 30, 2024 and 2023:</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741"/>
        <w:gridCol w:w="60"/>
        <w:gridCol w:w="212"/>
        <w:gridCol w:w="1331"/>
        <w:gridCol w:w="95"/>
        <w:gridCol w:w="60"/>
        <w:gridCol w:w="212"/>
        <w:gridCol w:w="1331"/>
        <w:gridCol w:w="95"/>
        <w:gridCol w:w="60"/>
        <w:gridCol w:w="203"/>
        <w:gridCol w:w="1165"/>
        <w:gridCol w:w="95"/>
        <w:gridCol w:w="60"/>
        <w:gridCol w:w="203"/>
        <w:gridCol w:w="1165"/>
        <w:gridCol w:w="117"/>
      </w:tblGrid>
      <w:tr>
        <w:trPr/>
        <w:tc>
          <w:tcPr>
            <w:tcW w:w="37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3" w:type="dxa"/>
            <w:gridSpan w:val="2"/>
            <w:tcBorders/>
            <w:vAlign w:val="bottom"/>
          </w:tcPr>
          <w:p>
            <w:pPr>
              <w:pStyle w:val="TableContents"/>
              <w:bidi w:val="0"/>
              <w:spacing w:before="0" w:after="0"/>
              <w:jc w:val="center"/>
              <w:rPr>
                <w:b/>
                <w:color w:val="000000"/>
              </w:rPr>
            </w:pPr>
            <w:r>
              <w:rPr>
                <w:b/>
                <w:color w:val="000000"/>
              </w:rPr>
              <w:t>Three Months Ended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3" w:type="dxa"/>
            <w:gridSpan w:val="2"/>
            <w:tcBorders/>
            <w:vAlign w:val="bottom"/>
          </w:tcPr>
          <w:p>
            <w:pPr>
              <w:pStyle w:val="TableContents"/>
              <w:bidi w:val="0"/>
              <w:spacing w:before="0" w:after="0"/>
              <w:jc w:val="center"/>
              <w:rPr>
                <w:b/>
                <w:color w:val="000000"/>
              </w:rPr>
            </w:pPr>
            <w:r>
              <w:rPr>
                <w:b/>
                <w:color w:val="000000"/>
              </w:rPr>
              <w:t>Three Months Ended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8" w:type="dxa"/>
            <w:gridSpan w:val="2"/>
            <w:tcBorders/>
            <w:vAlign w:val="bottom"/>
          </w:tcPr>
          <w:p>
            <w:pPr>
              <w:pStyle w:val="TableContents"/>
              <w:bidi w:val="0"/>
              <w:spacing w:before="0" w:after="0"/>
              <w:jc w:val="center"/>
              <w:rPr>
                <w:b/>
                <w:color w:val="000000"/>
              </w:rPr>
            </w:pPr>
            <w:r>
              <w:rPr>
                <w:b/>
                <w:color w:val="000000"/>
              </w:rPr>
              <w:t>Six Months Ended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8" w:type="dxa"/>
            <w:gridSpan w:val="2"/>
            <w:tcBorders/>
            <w:vAlign w:val="bottom"/>
          </w:tcPr>
          <w:p>
            <w:pPr>
              <w:pStyle w:val="TableContents"/>
              <w:bidi w:val="0"/>
              <w:spacing w:before="0" w:after="0"/>
              <w:jc w:val="center"/>
              <w:rPr>
                <w:b/>
                <w:color w:val="000000"/>
              </w:rPr>
            </w:pPr>
            <w:r>
              <w:rPr>
                <w:b/>
                <w:color w:val="000000"/>
              </w:rPr>
              <w:t>Six Months Ended</w:t>
            </w:r>
          </w:p>
        </w:tc>
        <w:tc>
          <w:tcPr>
            <w:tcW w:w="117" w:type="dxa"/>
            <w:tcBorders/>
            <w:vAlign w:val="bottom"/>
          </w:tcPr>
          <w:p>
            <w:pPr>
              <w:pStyle w:val="TableContents"/>
              <w:bidi w:val="0"/>
              <w:spacing w:before="0" w:after="283"/>
              <w:jc w:val="left"/>
              <w:rPr/>
            </w:pPr>
            <w:r>
              <w:rPr/>
              <w:t> </w:t>
            </w:r>
          </w:p>
        </w:tc>
      </w:tr>
      <w:tr>
        <w:trPr/>
        <w:tc>
          <w:tcPr>
            <w:tcW w:w="37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2023</w:t>
            </w:r>
          </w:p>
        </w:tc>
        <w:tc>
          <w:tcPr>
            <w:tcW w:w="117" w:type="dxa"/>
            <w:tcBorders/>
            <w:vAlign w:val="bottom"/>
          </w:tcPr>
          <w:p>
            <w:pPr>
              <w:pStyle w:val="TableContents"/>
              <w:bidi w:val="0"/>
              <w:spacing w:before="0" w:after="283"/>
              <w:jc w:val="left"/>
              <w:rPr/>
            </w:pPr>
            <w:r>
              <w:rPr/>
              <w:t> </w:t>
            </w:r>
          </w:p>
        </w:tc>
      </w:tr>
      <w:tr>
        <w:trPr/>
        <w:tc>
          <w:tcPr>
            <w:tcW w:w="3741" w:type="dxa"/>
            <w:tcBorders/>
            <w:shd w:fill="CCEEFF" w:val="clear"/>
            <w:vAlign w:val="bottom"/>
          </w:tcPr>
          <w:p>
            <w:pPr>
              <w:pStyle w:val="TableContents"/>
              <w:bidi w:val="0"/>
              <w:spacing w:before="0" w:after="0"/>
              <w:ind w:left="144" w:right="0" w:hanging="144"/>
              <w:jc w:val="left"/>
              <w:rPr>
                <w:color w:val="000000"/>
              </w:rPr>
            </w:pPr>
            <w:r>
              <w:rPr>
                <w:color w:val="000000"/>
              </w:rPr>
              <w:t>Verano Holdings Corp.</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color w:val="000000"/>
              </w:rPr>
            </w:pPr>
            <w:r>
              <w:rPr>
                <w:color w:val="000000"/>
              </w:rPr>
              <w:t>$</w:t>
            </w:r>
          </w:p>
        </w:tc>
        <w:tc>
          <w:tcPr>
            <w:tcW w:w="1331" w:type="dxa"/>
            <w:tcBorders/>
            <w:shd w:fill="CCEEFF" w:val="clear"/>
            <w:vAlign w:val="bottom"/>
          </w:tcPr>
          <w:p>
            <w:pPr>
              <w:pStyle w:val="TableContents"/>
              <w:bidi w:val="0"/>
              <w:spacing w:before="0" w:after="0"/>
              <w:jc w:val="right"/>
              <w:rPr>
                <w:color w:val="000000"/>
              </w:rPr>
            </w:pPr>
            <w:r>
              <w:rPr>
                <w:color w:val="000000"/>
              </w:rPr>
              <w:t>(125,424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color w:val="000000"/>
              </w:rPr>
            </w:pPr>
            <w:r>
              <w:rPr>
                <w:color w:val="000000"/>
              </w:rPr>
              <w:t>$</w:t>
            </w:r>
          </w:p>
        </w:tc>
        <w:tc>
          <w:tcPr>
            <w:tcW w:w="1331" w:type="dxa"/>
            <w:tcBorders/>
            <w:shd w:fill="CCEEFF" w:val="clear"/>
            <w:vAlign w:val="bottom"/>
          </w:tcPr>
          <w:p>
            <w:pPr>
              <w:pStyle w:val="TableContents"/>
              <w:bidi w:val="0"/>
              <w:spacing w:before="0" w:after="0"/>
              <w:jc w:val="right"/>
              <w:rPr>
                <w:color w:val="000000"/>
              </w:rPr>
            </w:pPr>
            <w:r>
              <w:rPr>
                <w:color w:val="000000"/>
              </w:rPr>
              <w:t>(340,337</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0"/>
              <w:jc w:val="left"/>
              <w:rPr>
                <w:color w:val="000000"/>
              </w:rPr>
            </w:pPr>
            <w:r>
              <w:rPr>
                <w:color w:val="000000"/>
              </w:rPr>
              <w:t>$</w:t>
            </w:r>
          </w:p>
        </w:tc>
        <w:tc>
          <w:tcPr>
            <w:tcW w:w="1165" w:type="dxa"/>
            <w:tcBorders/>
            <w:shd w:fill="CCEEFF" w:val="clear"/>
            <w:vAlign w:val="bottom"/>
          </w:tcPr>
          <w:p>
            <w:pPr>
              <w:pStyle w:val="TableContents"/>
              <w:bidi w:val="0"/>
              <w:spacing w:before="0" w:after="0"/>
              <w:jc w:val="right"/>
              <w:rPr>
                <w:color w:val="000000"/>
              </w:rPr>
            </w:pPr>
            <w:r>
              <w:rPr>
                <w:color w:val="000000"/>
              </w:rPr>
              <w:t>47,611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0"/>
              <w:jc w:val="left"/>
              <w:rPr>
                <w:color w:val="000000"/>
              </w:rPr>
            </w:pPr>
            <w:r>
              <w:rPr>
                <w:color w:val="000000"/>
              </w:rPr>
              <w:t>$</w:t>
            </w:r>
          </w:p>
        </w:tc>
        <w:tc>
          <w:tcPr>
            <w:tcW w:w="1165" w:type="dxa"/>
            <w:tcBorders/>
            <w:shd w:fill="CCEEFF" w:val="clear"/>
            <w:vAlign w:val="bottom"/>
          </w:tcPr>
          <w:p>
            <w:pPr>
              <w:pStyle w:val="TableContents"/>
              <w:bidi w:val="0"/>
              <w:spacing w:before="0" w:after="0"/>
              <w:jc w:val="right"/>
              <w:rPr>
                <w:color w:val="000000"/>
              </w:rPr>
            </w:pPr>
            <w:r>
              <w:rPr>
                <w:color w:val="000000"/>
              </w:rPr>
              <w:t>124,811</w:t>
            </w:r>
          </w:p>
        </w:tc>
        <w:tc>
          <w:tcPr>
            <w:tcW w:w="117" w:type="dxa"/>
            <w:tcBorders/>
            <w:shd w:fill="CCEEFF" w:val="clear"/>
            <w:vAlign w:val="bottom"/>
          </w:tcPr>
          <w:p>
            <w:pPr>
              <w:pStyle w:val="TableContents"/>
              <w:bidi w:val="0"/>
              <w:spacing w:before="0" w:after="283"/>
              <w:jc w:val="left"/>
              <w:rPr/>
            </w:pPr>
            <w:r>
              <w:rPr/>
              <w:t> </w:t>
            </w:r>
          </w:p>
        </w:tc>
      </w:tr>
      <w:tr>
        <w:trPr/>
        <w:tc>
          <w:tcPr>
            <w:tcW w:w="3741" w:type="dxa"/>
            <w:tcBorders/>
            <w:vAlign w:val="bottom"/>
          </w:tcPr>
          <w:p>
            <w:pPr>
              <w:pStyle w:val="TableContents"/>
              <w:bidi w:val="0"/>
              <w:spacing w:before="0" w:after="283"/>
              <w:jc w:val="left"/>
              <w:rPr/>
            </w:pPr>
            <w:r>
              <w:rPr/>
              <w:t>Workbox Holdings Inc.</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169,000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169,000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w:t>
            </w:r>
          </w:p>
        </w:tc>
        <w:tc>
          <w:tcPr>
            <w:tcW w:w="117" w:type="dxa"/>
            <w:tcBorders/>
            <w:vAlign w:val="bottom"/>
          </w:tcPr>
          <w:p>
            <w:pPr>
              <w:pStyle w:val="TableContents"/>
              <w:bidi w:val="0"/>
              <w:spacing w:before="0" w:after="283"/>
              <w:jc w:val="left"/>
              <w:rPr/>
            </w:pPr>
            <w:r>
              <w:rPr/>
              <w:t> </w:t>
            </w:r>
          </w:p>
        </w:tc>
      </w:tr>
      <w:tr>
        <w:trPr/>
        <w:tc>
          <w:tcPr>
            <w:tcW w:w="3741" w:type="dxa"/>
            <w:tcBorders/>
            <w:shd w:fill="CCEEFF" w:val="clear"/>
            <w:vAlign w:val="bottom"/>
          </w:tcPr>
          <w:p>
            <w:pPr>
              <w:pStyle w:val="TableContents"/>
              <w:bidi w:val="0"/>
              <w:spacing w:before="0" w:after="0"/>
              <w:ind w:left="144" w:right="0" w:hanging="144"/>
              <w:jc w:val="left"/>
              <w:rPr>
                <w:color w:val="000000"/>
              </w:rPr>
            </w:pPr>
            <w:r>
              <w:rPr>
                <w:color w:val="000000"/>
              </w:rPr>
              <w:t>STIIIZY, Inc. (f/k/a Shryne Group Inc.)</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0"/>
              <w:jc w:val="right"/>
              <w:rPr>
                <w:color w:val="000000"/>
              </w:rPr>
            </w:pPr>
            <w:r>
              <w:rPr>
                <w:color w:val="000000"/>
              </w:rPr>
              <w:t>(251,788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0"/>
              <w:jc w:val="right"/>
              <w:rPr>
                <w:color w:val="000000"/>
              </w:rPr>
            </w:pPr>
            <w:r>
              <w:rPr>
                <w:color w:val="000000"/>
              </w:rPr>
              <w:t>68,415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0"/>
              <w:jc w:val="right"/>
              <w:rPr>
                <w:color w:val="000000"/>
              </w:rPr>
            </w:pPr>
            <w:r>
              <w:rPr>
                <w:color w:val="000000"/>
              </w:rPr>
              <w:t>131,680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0"/>
              <w:jc w:val="right"/>
              <w:rPr>
                <w:color w:val="000000"/>
              </w:rPr>
            </w:pPr>
            <w:r>
              <w:rPr>
                <w:color w:val="000000"/>
              </w:rPr>
              <w:t>341,831</w:t>
            </w:r>
          </w:p>
        </w:tc>
        <w:tc>
          <w:tcPr>
            <w:tcW w:w="117" w:type="dxa"/>
            <w:tcBorders/>
            <w:shd w:fill="CCEEFF" w:val="clear"/>
            <w:vAlign w:val="bottom"/>
          </w:tcPr>
          <w:p>
            <w:pPr>
              <w:pStyle w:val="TableContents"/>
              <w:bidi w:val="0"/>
              <w:spacing w:before="0" w:after="283"/>
              <w:jc w:val="left"/>
              <w:rPr/>
            </w:pPr>
            <w:r>
              <w:rPr/>
              <w:t> </w:t>
            </w:r>
          </w:p>
        </w:tc>
      </w:tr>
      <w:tr>
        <w:trPr/>
        <w:tc>
          <w:tcPr>
            <w:tcW w:w="3741" w:type="dxa"/>
            <w:tcBorders/>
            <w:vAlign w:val="bottom"/>
          </w:tcPr>
          <w:p>
            <w:pPr>
              <w:pStyle w:val="TableContents"/>
              <w:bidi w:val="0"/>
              <w:spacing w:before="0" w:after="0"/>
              <w:ind w:left="144" w:right="0" w:hanging="144"/>
              <w:jc w:val="left"/>
              <w:rPr>
                <w:color w:val="000000"/>
              </w:rPr>
            </w:pPr>
            <w:r>
              <w:rPr>
                <w:color w:val="000000"/>
              </w:rPr>
              <w:t>Curaleaf Holdings, Inc.</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0"/>
              <w:jc w:val="right"/>
              <w:rPr>
                <w:color w:val="000000"/>
              </w:rPr>
            </w:pPr>
            <w:r>
              <w:rPr>
                <w:color w:val="000000"/>
              </w:rPr>
              <w:t>(36,964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0"/>
              <w:jc w:val="right"/>
              <w:rPr>
                <w:color w:val="000000"/>
              </w:rPr>
            </w:pPr>
            <w:r>
              <w:rPr>
                <w:color w:val="000000"/>
              </w:rPr>
              <w:t>(48,917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0"/>
              <w:jc w:val="right"/>
              <w:rPr>
                <w:color w:val="000000"/>
              </w:rPr>
            </w:pPr>
            <w:r>
              <w:rPr>
                <w:color w:val="000000"/>
              </w:rPr>
              <w:t>(5,519</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0"/>
              <w:jc w:val="right"/>
              <w:rPr>
                <w:color w:val="000000"/>
              </w:rPr>
            </w:pPr>
            <w:r>
              <w:rPr>
                <w:color w:val="000000"/>
              </w:rPr>
              <w:t>108,076</w:t>
            </w:r>
          </w:p>
        </w:tc>
        <w:tc>
          <w:tcPr>
            <w:tcW w:w="117" w:type="dxa"/>
            <w:tcBorders/>
            <w:vAlign w:val="bottom"/>
          </w:tcPr>
          <w:p>
            <w:pPr>
              <w:pStyle w:val="TableContents"/>
              <w:bidi w:val="0"/>
              <w:spacing w:before="0" w:after="283"/>
              <w:jc w:val="left"/>
              <w:rPr/>
            </w:pPr>
            <w:r>
              <w:rPr/>
              <w:t> </w:t>
            </w:r>
          </w:p>
        </w:tc>
      </w:tr>
      <w:tr>
        <w:trPr/>
        <w:tc>
          <w:tcPr>
            <w:tcW w:w="3741" w:type="dxa"/>
            <w:tcBorders/>
            <w:shd w:fill="CCEEFF" w:val="clear"/>
            <w:vAlign w:val="bottom"/>
          </w:tcPr>
          <w:p>
            <w:pPr>
              <w:pStyle w:val="TableContents"/>
              <w:bidi w:val="0"/>
              <w:spacing w:before="0" w:after="0"/>
              <w:ind w:left="144" w:right="0" w:hanging="144"/>
              <w:jc w:val="left"/>
              <w:rPr>
                <w:color w:val="000000"/>
              </w:rPr>
            </w:pPr>
            <w:r>
              <w:rPr>
                <w:color w:val="000000"/>
              </w:rPr>
              <w:t>MariMed Inc.</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0"/>
              <w:jc w:val="right"/>
              <w:rPr>
                <w:color w:val="000000"/>
              </w:rPr>
            </w:pPr>
            <w:r>
              <w:rPr>
                <w:color w:val="000000"/>
              </w:rPr>
              <w:t>30,864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0"/>
              <w:jc w:val="right"/>
              <w:rPr>
                <w:color w:val="000000"/>
              </w:rPr>
            </w:pPr>
            <w:r>
              <w:rPr>
                <w:color w:val="000000"/>
              </w:rPr>
              <w:t>30,863</w:t>
            </w:r>
          </w:p>
        </w:tc>
        <w:tc>
          <w:tcPr>
            <w:tcW w:w="117" w:type="dxa"/>
            <w:tcBorders/>
            <w:shd w:fill="CCEEFF" w:val="clear"/>
            <w:vAlign w:val="bottom"/>
          </w:tcPr>
          <w:p>
            <w:pPr>
              <w:pStyle w:val="TableContents"/>
              <w:bidi w:val="0"/>
              <w:spacing w:before="0" w:after="283"/>
              <w:jc w:val="left"/>
              <w:rPr/>
            </w:pPr>
            <w:r>
              <w:rPr/>
              <w:t> </w:t>
            </w:r>
          </w:p>
        </w:tc>
      </w:tr>
      <w:tr>
        <w:trPr/>
        <w:tc>
          <w:tcPr>
            <w:tcW w:w="3741" w:type="dxa"/>
            <w:tcBorders/>
            <w:vAlign w:val="bottom"/>
          </w:tcPr>
          <w:p>
            <w:pPr>
              <w:pStyle w:val="TableContents"/>
              <w:bidi w:val="0"/>
              <w:spacing w:before="0" w:after="0"/>
              <w:ind w:left="144" w:right="0" w:hanging="144"/>
              <w:jc w:val="left"/>
              <w:rPr>
                <w:color w:val="000000"/>
              </w:rPr>
            </w:pPr>
            <w:r>
              <w:rPr>
                <w:color w:val="000000"/>
              </w:rPr>
              <w:t>Dreamfields Brands, Inc.  (d/b/a Jeeter)</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0"/>
              <w:jc w:val="right"/>
              <w:rPr>
                <w:color w:val="000000"/>
              </w:rPr>
            </w:pPr>
            <w:r>
              <w:rPr>
                <w:color w:val="000000"/>
              </w:rPr>
              <w:t>(8,730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0"/>
              <w:jc w:val="right"/>
              <w:rPr>
                <w:color w:val="000000"/>
              </w:rPr>
            </w:pPr>
            <w:r>
              <w:rPr>
                <w:color w:val="000000"/>
              </w:rPr>
              <w:t>78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0"/>
              <w:jc w:val="right"/>
              <w:rPr>
                <w:color w:val="000000"/>
              </w:rPr>
            </w:pPr>
            <w:r>
              <w:rPr>
                <w:color w:val="000000"/>
              </w:rPr>
              <w:t>(17,206</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0"/>
              <w:jc w:val="right"/>
              <w:rPr>
                <w:color w:val="000000"/>
              </w:rPr>
            </w:pPr>
            <w:r>
              <w:rPr>
                <w:color w:val="000000"/>
              </w:rPr>
              <w:t>78</w:t>
            </w:r>
          </w:p>
        </w:tc>
        <w:tc>
          <w:tcPr>
            <w:tcW w:w="117" w:type="dxa"/>
            <w:tcBorders/>
            <w:vAlign w:val="bottom"/>
          </w:tcPr>
          <w:p>
            <w:pPr>
              <w:pStyle w:val="TableContents"/>
              <w:bidi w:val="0"/>
              <w:spacing w:before="0" w:after="283"/>
              <w:jc w:val="left"/>
              <w:rPr/>
            </w:pPr>
            <w:r>
              <w:rPr/>
              <w:t> </w:t>
            </w:r>
          </w:p>
        </w:tc>
      </w:tr>
      <w:tr>
        <w:trPr/>
        <w:tc>
          <w:tcPr>
            <w:tcW w:w="3741" w:type="dxa"/>
            <w:tcBorders/>
            <w:shd w:fill="CCEEFF" w:val="clear"/>
            <w:vAlign w:val="bottom"/>
          </w:tcPr>
          <w:p>
            <w:pPr>
              <w:pStyle w:val="TableContents"/>
              <w:bidi w:val="0"/>
              <w:spacing w:before="0" w:after="0"/>
              <w:ind w:left="144" w:right="0" w:hanging="144"/>
              <w:jc w:val="left"/>
              <w:rPr>
                <w:color w:val="000000"/>
              </w:rPr>
            </w:pPr>
            <w:r>
              <w:rPr>
                <w:color w:val="000000"/>
              </w:rPr>
              <w:t>PharmaCann, Inc.</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0"/>
              <w:jc w:val="right"/>
              <w:rPr>
                <w:color w:val="000000"/>
              </w:rPr>
            </w:pPr>
            <w:r>
              <w:rPr>
                <w:color w:val="000000"/>
              </w:rPr>
              <w:t>21,134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0"/>
              <w:jc w:val="right"/>
              <w:rPr>
                <w:color w:val="000000"/>
              </w:rPr>
            </w:pPr>
            <w:r>
              <w:rPr>
                <w:color w:val="000000"/>
              </w:rPr>
              <w:t>(180,757</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0"/>
              <w:jc w:val="right"/>
              <w:rPr>
                <w:color w:val="000000"/>
              </w:rPr>
            </w:pPr>
            <w:r>
              <w:rPr>
                <w:color w:val="000000"/>
              </w:rPr>
              <w:t>41,282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0"/>
              <w:jc w:val="right"/>
              <w:rPr>
                <w:color w:val="000000"/>
              </w:rPr>
            </w:pPr>
            <w:r>
              <w:rPr>
                <w:color w:val="000000"/>
              </w:rPr>
              <w:t>(96,543</w:t>
            </w:r>
          </w:p>
        </w:tc>
        <w:tc>
          <w:tcPr>
            <w:tcW w:w="117" w:type="dxa"/>
            <w:tcBorders/>
            <w:shd w:fill="CCEEFF" w:val="clear"/>
            <w:vAlign w:val="bottom"/>
          </w:tcPr>
          <w:p>
            <w:pPr>
              <w:pStyle w:val="TableContents"/>
              <w:bidi w:val="0"/>
              <w:spacing w:before="0" w:after="0"/>
              <w:jc w:val="left"/>
              <w:rPr>
                <w:color w:val="000000"/>
              </w:rPr>
            </w:pPr>
            <w:r>
              <w:rPr>
                <w:color w:val="000000"/>
              </w:rPr>
              <w:t>)</w:t>
            </w:r>
          </w:p>
        </w:tc>
      </w:tr>
      <w:tr>
        <w:trPr/>
        <w:tc>
          <w:tcPr>
            <w:tcW w:w="3741" w:type="dxa"/>
            <w:tcBorders/>
            <w:vAlign w:val="bottom"/>
          </w:tcPr>
          <w:p>
            <w:pPr>
              <w:pStyle w:val="TableContents"/>
              <w:bidi w:val="0"/>
              <w:spacing w:before="0" w:after="0"/>
              <w:ind w:left="144" w:right="0" w:hanging="144"/>
              <w:jc w:val="left"/>
              <w:rPr>
                <w:color w:val="000000"/>
              </w:rPr>
            </w:pPr>
            <w:r>
              <w:rPr>
                <w:color w:val="000000"/>
              </w:rPr>
              <w:t>AYR Wellness, Inc.</w:t>
            </w:r>
          </w:p>
        </w:tc>
        <w:tc>
          <w:tcPr>
            <w:tcW w:w="6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133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133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(6,587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17" w:type="dxa"/>
            <w:tcBorders/>
            <w:vAlign w:val="bottom"/>
          </w:tcPr>
          <w:p>
            <w:pPr>
              <w:pStyle w:val="TableContents"/>
              <w:bidi w:val="0"/>
              <w:spacing w:before="0" w:after="283"/>
              <w:jc w:val="left"/>
              <w:rPr/>
            </w:pPr>
            <w:r>
              <w:rPr/>
              <w:t> </w:t>
            </w:r>
          </w:p>
        </w:tc>
      </w:tr>
      <w:tr>
        <w:trPr/>
        <w:tc>
          <w:tcPr>
            <w:tcW w:w="3741" w:type="dxa"/>
            <w:tcBorders/>
            <w:shd w:fill="CCEEFF" w:val="clear"/>
            <w:vAlign w:val="bottom"/>
          </w:tcPr>
          <w:p>
            <w:pPr>
              <w:pStyle w:val="TableContents"/>
              <w:bidi w:val="0"/>
              <w:spacing w:before="0" w:after="0"/>
              <w:ind w:left="324" w:right="0" w:hanging="144"/>
              <w:jc w:val="left"/>
              <w:rPr>
                <w:color w:val="000000"/>
              </w:rPr>
            </w:pPr>
            <w:r>
              <w:rPr>
                <w:color w:val="000000"/>
              </w:rPr>
              <w:t>Total net change in unrealized appreciation (depreciation) on investments</w:t>
            </w:r>
          </w:p>
        </w:tc>
        <w:tc>
          <w:tcPr>
            <w:tcW w:w="60" w:type="dxa"/>
            <w:tcBorders/>
            <w:shd w:fill="CCEEFF" w:val="clear"/>
            <w:vAlign w:val="bottom"/>
          </w:tcPr>
          <w:p>
            <w:pPr>
              <w:pStyle w:val="TableContents"/>
              <w:bidi w:val="0"/>
              <w:spacing w:before="0" w:after="283"/>
              <w:jc w:val="left"/>
              <w:rPr/>
            </w:pPr>
            <w:r>
              <w:rPr/>
              <w:t> </w:t>
            </w:r>
          </w:p>
        </w:tc>
        <w:tc>
          <w:tcPr>
            <w:tcW w:w="21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3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(232,772</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1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3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(477,241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0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6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366,848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6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509,116</w:t>
            </w:r>
          </w:p>
        </w:tc>
        <w:tc>
          <w:tcPr>
            <w:tcW w:w="11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Financial Condition, Liquidity and Capital Resources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generate cash primarily from the net proceeds of offerings of securities and cash flows from operations, including interest earned from the temporary investment of cash in U.S. government securities.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we expect to enter into a credit facility in the future. The amount of leverage that we employ will depend on our assessment of market conditions and other factors at the time of any proposed borrowing, such as the maturity, covenant package and rate structure of the proposed borrowings, our ability to raise funds through the issuance of shares of our common stock and the risks of such borrowings within the context of our investment outlook. Ultimately, we only intend to use leverage if the expected returns from borrowing to make investments will exceed the cost of such borrowing.</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primary use of funds will be investments in debt and equity securities, dividend payments to holders of our common stock who opt out of the DRIP, and the payment of operating expenses. As of June 30, 2024 and December 31, 2023, we had cash resources of approximately $34.0 million and $32.6 million, respectively, and no indebtedness.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To maintain its tax treatment as a RIC, the Company must meet specified source-of-income requirements and timely distribute to its stockholders for each taxable year at least 90% of its investment company taxable income. Additionally,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 (iii) any net ordinary income and capital gains in excess of capital losses for preceding years that were not distributed during such years.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Dividends may also be distributed in accordance with the Company’s dividend reinvestment plan (“DRIP”), which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U.S. Federal Income Taxes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elected to be treated, and intend to qualify annually to be treated, as a RIC under Subchapter M of the Code for federal income tax purposes. As a RIC, we generally will not have to pay corporate-level federal income taxes on any ordinary income or capital gains that we distribute to our stockholders from our tax earnings and profits. To obtain and maintain our RIC tax treatment, we must, among other things, meet specified source-of-income and asset diversification requirements and distribute annually at least 90% of our ordinary income and realized net short-term capital gains in excess of realized net long-term capital losses, if any.</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Critical Accounting Estimates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Basis of Presentation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Company’s financial statements are prepared in accordance with generally accepted accounting principles in the United States of America (“U.S. GAAP”) and pursuant to Regulation S-X under the Securities Act of 1933, as amended (the “Securities Act”). The Company follows accounting and reporting guidance as determined by the Financial Accounting Standards Board (“FASB”) Topic 946 Financial Services – Investment Companies.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r>
        <w:rPr>
          <w:rFonts w:ascii="Times New Roman;Times;serif" w:hAnsi="Times New Roman;Times;serif"/>
          <w:color w:val="000000"/>
          <w:sz w:val="20"/>
          <w:shd w:fill="FFFFFF" w:val="clear"/>
        </w:rPr>
        <w:t xml:space="preserve"> </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preparation of financial statements in accordance with U.S. GAAP requires management to make certain estimates and assumptions affecting amounts reported in our financial statements. We will continuously evaluate our estimates, including those related to the matters described below. These estimates will be based on the information that is currently available to us and on various other assumptions that we believe to be reasonable under the circumstances. Actual results could differ materially from those estimates under different assumptions or conditions. For additional information, please refer to “Note 2 – Significant Accounting Policies” in the notes to the financial statements included with this quarterly report on Form 10-Q. Valuation of investments is considered to be our critical accounting policy and estimates. A discussion of our critical accounting estimates follows.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Investment Valuation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Investments for which market quotations are readily available will typically be valued at the bid price of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Effective September 8, 2022, pursuant to Rule 2a-5 under the 1940 Act, the Board designated the Adviser as the Valuation Designee to perform the fair value determinations for the Company, subject to the oversight of the Board and certain Board reporting and other requirements.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Adviser considers whether the pricing indicated by the external event corroborates its valuation</w:t>
      </w:r>
      <w:r>
        <w:rPr>
          <w:rFonts w:ascii="Times New Roman;Times;serif" w:hAnsi="Times New Roman;Times;serif"/>
          <w:color w:val="00B050"/>
          <w:sz w:val="20"/>
          <w:shd w:fill="FFFFFF" w:val="clear"/>
        </w:rPr>
        <w: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Adviser undertakes a multi-step valuation process, which includes, among other procedures, the following:</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With respect to investments for which market quotations are readily available, those investments will typically be valued at the bid price of those market quotations;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Preliminary valuations  are documented and discussed by the Adviser’s valuation committee and, where appropriate, the independent valuation firm(s); and</w:t>
            </w:r>
          </w:p>
        </w:tc>
      </w:tr>
    </w:tbl>
    <w:p>
      <w:pPr>
        <w:pStyle w:val="TextBody"/>
        <w:bidi w:val="0"/>
        <w:spacing w:before="0" w:after="0"/>
        <w:jc w:val="left"/>
        <w:rPr/>
      </w:pPr>
      <w:r>
        <w:rPr/>
      </w:r>
    </w:p>
    <w:tbl>
      <w:tblPr>
        <w:tblW w:w="5628" w:type="dxa"/>
        <w:jc w:val="left"/>
        <w:tblInd w:w="0" w:type="dxa"/>
        <w:tblLayout w:type="fixed"/>
        <w:tblCellMar>
          <w:top w:w="0" w:type="dxa"/>
          <w:left w:w="0" w:type="dxa"/>
          <w:bottom w:w="0" w:type="dxa"/>
          <w:right w:w="0" w:type="dxa"/>
        </w:tblCellMar>
      </w:tblPr>
      <w:tblGrid>
        <w:gridCol w:w="38"/>
        <w:gridCol w:w="110"/>
        <w:gridCol w:w="54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480" w:type="dxa"/>
            <w:tcBorders/>
            <w:vAlign w:val="center"/>
          </w:tcPr>
          <w:p>
            <w:pPr>
              <w:pStyle w:val="TableContents"/>
              <w:bidi w:val="0"/>
              <w:spacing w:before="0" w:after="0"/>
              <w:jc w:val="both"/>
              <w:rPr>
                <w:color w:val="000000"/>
              </w:rPr>
            </w:pPr>
            <w:r>
              <w:rPr>
                <w:color w:val="000000"/>
              </w:rPr>
              <w:t>The Adviser determines the fair value of each investment.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conduct this valuation process on a quarterly basis.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apply Financial Accounting Standards Board Accounting Standards Codification 820, Fair Value Measurement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Level 1 – Valuations based on quoted prices in active markets for identical assets or liabilities that we have the ability to access at the measurement date;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Level 3 – Valuations based on inputs that are unobservable and significant to the overall fair value measurement.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r>
        <w:rPr>
          <w:rFonts w:ascii="Times New Roman;Times;serif" w:hAnsi="Times New Roman;Times;serif"/>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All of our investments as of June 30, 2024 and December 31, 2023 are categorized at Level 3, and therefore, 100% of our portfolio requires significant estimates. 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Significant unobservable inputs create uncertainty in the measurement of fair value as of the reporting date. The significant unobservable inputs used in the fair value measurement of the Company’s debt investments may vary and may include yield and volatility fluctuations. Significant increases (decreases) in discount rate in isolation would result in a significantly lower (higher) fair value assessment. Significant increases (decreases) in volatility in isolation would result in a significantly lower (higher) fair value assessment. The significant unobservable inputs used in the fair value measurement of the Company’s equity and warrant investments may vary and may include EBITDA multiples, revenue multiples and asset multiples. Significant increases (decreases) in EBITDA, revenue and asset multiple inputs in isolation would result in a significantly higher (lower) fair value assessment.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Assumptions, or unobservable inputs, fluctuate based on both market and company specific factors. Please refer to “Note 4 – Fair Value of Financial Instruments” in the notes to the financial statements included with this quarterly report on Form 10-Q for specific unobservable inputs.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Other Contractual Obligations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will have certain commitments pursuant to our Investment Advisory Agreement that we have entered into with SSC. We have agreed to pay a fee for investment advisory services consisting of two components: a base management fee and an incentive fee. Payments under the Investment Advisory Agreement will be equal to (1) a percentage of the value of our average gross assets and (2) a two-part incentive fee. See “Item 1. Business—Investment Advisory Agreement.” We have also entered into a contract with SSC to serve as our administrator. Payments under the Administration Agreement will be reimbursements to SSC for the costs and expenses incurred by SSC in performing its obligations, including but not limited to maintaining and keeping all books and records and providing personnel and facilities. This includes costs and expenses incurred by SSC in connection with the delegation of its obligations to a sub-administrator. The Company is not responsible for the compensation of SSC’s employees and overhead expenses. See “Item 1. Business—Administration Agreement.”</w:t>
      </w:r>
    </w:p>
    <w:p>
      <w:pPr>
        <w:pStyle w:val="TextBody"/>
        <w:bidi w:val="0"/>
        <w:spacing w:before="0" w:after="0"/>
        <w:jc w:val="both"/>
        <w:rPr>
          <w:color w:val="000000"/>
        </w:rPr>
      </w:pPr>
      <w:r>
        <w:rPr>
          <w:color w:val="00000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Unfunded Commitments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commitments and contingencies include unfunded commitments to extend credit in the form of loans to the Company’s portfolio companies. A portion of these unfunded contractual commitments are generally dependent upon the portfolio company reaching certain milestones before the debt commitment becomes available. Furthermore, the Company’s credit agreements with its portfolio companies generally contain customary lending provisions that allow the Company relief from funding obligations for previously made commitments in instances where the underlying portfolio company experiences materially adverse events that affect the financial condition or business outlook of the company. Since a portion of these commitments may expire without being drawn, unfunded contractual commitments do not necessarily represent future cash requirements. As such, the Company’s disclosure of unfunded contractual commitments as of June 30, 2024 includes only those commitments that are available at the request of the portfolio company and are unencumbered by milestones or additional lending provisions. As of June 30, 2024, the Company had outstanding commitments to fund investments totaling $1.75 million. The Company has identified no unfunded commitments as of December 31, 2023.</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did not have any other off-balance sheet financings or liabilities as of June 30, 2024 or December 31, 2023. The Company will fund its unfunded commitments, if any, from the same sources it uses to fund its investment commitments that are funded at the time they are made (which are typically through existing cash and cash equivalents) and maintains adequate liquidity to fund its unfunded commitments through these sources.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normal course of business, the Company enters into contracts that provide a variety of representations and warranties, and general indemnifications. Such contracts include those with certain service providers, brokers and trading counterparties. Any exposure to the Company under these arrangements is unknown as it would involve future claims that may be made against the Company; however, based on the Company’s experience, the risk of loss is remote and no such claims are expected to occur. As such, the Company has not accrued any liability in connection with such indemnifications.</w:t>
      </w:r>
    </w:p>
    <w:p>
      <w:pPr>
        <w:pStyle w:val="TextBody"/>
        <w:bidi w:val="0"/>
        <w:spacing w:before="0" w:after="0"/>
        <w:jc w:val="both"/>
        <w:rPr>
          <w:color w:val="000000"/>
        </w:rPr>
      </w:pPr>
      <w:r>
        <w:rPr>
          <w:color w:val="000000"/>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Common Stock</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common stock began trading on the Nasdaq Global Market on February 4, 2022 under the symbol “SSIC” in connection with our IPO of shares of our common stock.</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 lists the net asset value per share of our common stock, the range of high and low closing sales prices of our common stock reported on the Nasdaq Global Market, the closing sale prices as a premium (or discount) to our net asset value per share and dividends per share for each fiscal quarter since our common stock began trading on the Nasdaq Global Market. On August 6, 2024, the last reported closing sales price of our common stock on the Nasdaq Global Market was $11.97 per share, which represented a discount of approximately 11.7% to our net asset value per share of $13.56 as of June 30, 2024.</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r>
        <w:rPr>
          <w:rFonts w:ascii="Times New Roman;Times;serif" w:hAnsi="Times New Roman;Times;serif"/>
          <w:color w:val="000000"/>
          <w:sz w:val="20"/>
          <w:shd w:fill="FFFFFF" w:val="clear"/>
        </w:rPr>
        <w:t xml:space="preserve"> </w:t>
      </w:r>
    </w:p>
    <w:tbl>
      <w:tblPr>
        <w:tblW w:w="10205" w:type="dxa"/>
        <w:jc w:val="left"/>
        <w:tblInd w:w="0" w:type="dxa"/>
        <w:tblLayout w:type="fixed"/>
        <w:tblCellMar>
          <w:top w:w="0" w:type="dxa"/>
          <w:left w:w="0" w:type="dxa"/>
          <w:bottom w:w="0" w:type="dxa"/>
          <w:right w:w="0" w:type="dxa"/>
        </w:tblCellMar>
      </w:tblPr>
      <w:tblGrid>
        <w:gridCol w:w="2576"/>
        <w:gridCol w:w="60"/>
        <w:gridCol w:w="171"/>
        <w:gridCol w:w="685"/>
        <w:gridCol w:w="60"/>
        <w:gridCol w:w="60"/>
        <w:gridCol w:w="140"/>
        <w:gridCol w:w="560"/>
        <w:gridCol w:w="60"/>
        <w:gridCol w:w="60"/>
        <w:gridCol w:w="173"/>
        <w:gridCol w:w="560"/>
        <w:gridCol w:w="60"/>
        <w:gridCol w:w="60"/>
        <w:gridCol w:w="150"/>
        <w:gridCol w:w="1296"/>
        <w:gridCol w:w="215"/>
        <w:gridCol w:w="60"/>
        <w:gridCol w:w="150"/>
        <w:gridCol w:w="1296"/>
        <w:gridCol w:w="215"/>
        <w:gridCol w:w="60"/>
        <w:gridCol w:w="285"/>
        <w:gridCol w:w="898"/>
        <w:gridCol w:w="295"/>
      </w:tblGrid>
      <w:tr>
        <w:trPr/>
        <w:tc>
          <w:tcPr>
            <w:tcW w:w="25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3"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Price Range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6"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6"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3" w:type="dxa"/>
            <w:gridSpan w:val="2"/>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r>
      <w:tr>
        <w:trPr/>
        <w:tc>
          <w:tcPr>
            <w:tcW w:w="2576" w:type="dxa"/>
            <w:tcBorders>
              <w:bottom w:val="single" w:sz="12" w:space="0" w:color="000000"/>
            </w:tcBorders>
            <w:tcMar>
              <w:bottom w:w="28" w:type="dxa"/>
            </w:tcMar>
            <w:vAlign w:val="bottom"/>
          </w:tcPr>
          <w:p>
            <w:pPr>
              <w:pStyle w:val="TableContents"/>
              <w:bidi w:val="0"/>
              <w:spacing w:before="0" w:after="0"/>
              <w:ind w:left="144" w:right="0" w:hanging="144"/>
              <w:jc w:val="left"/>
              <w:rPr>
                <w:b/>
                <w:color w:val="000000"/>
              </w:rPr>
            </w:pPr>
            <w:r>
              <w:rPr>
                <w:b/>
                <w:color w:val="000000"/>
              </w:rPr>
              <w:t>Class and Period</w:t>
            </w:r>
          </w:p>
        </w:tc>
        <w:tc>
          <w:tcPr>
            <w:tcW w:w="60" w:type="dxa"/>
            <w:tcBorders/>
            <w:vAlign w:val="bottom"/>
          </w:tcPr>
          <w:p>
            <w:pPr>
              <w:pStyle w:val="TableContents"/>
              <w:bidi w:val="0"/>
              <w:spacing w:before="0" w:after="283"/>
              <w:jc w:val="left"/>
              <w:rPr/>
            </w:pPr>
            <w:r>
              <w:rPr/>
              <w:t> </w:t>
            </w:r>
          </w:p>
        </w:tc>
        <w:tc>
          <w:tcPr>
            <w:tcW w:w="85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Net Asset</w:t>
            </w:r>
          </w:p>
          <w:p>
            <w:pPr>
              <w:pStyle w:val="TableContents"/>
              <w:bidi w:val="0"/>
              <w:spacing w:lineRule="auto" w:line="240" w:before="0" w:after="0"/>
              <w:jc w:val="center"/>
              <w:rPr>
                <w:b/>
                <w:color w:val="000000"/>
              </w:rPr>
            </w:pPr>
            <w:r>
              <w:rPr>
                <w:b/>
                <w:color w:val="000000"/>
              </w:rPr>
              <w:t>Value(1)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High</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Low</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High Sales Price</w:t>
            </w:r>
          </w:p>
          <w:p>
            <w:pPr>
              <w:pStyle w:val="TableContents"/>
              <w:bidi w:val="0"/>
              <w:spacing w:before="0" w:after="0"/>
              <w:jc w:val="center"/>
              <w:rPr>
                <w:b/>
                <w:color w:val="000000"/>
              </w:rPr>
            </w:pPr>
            <w:r>
              <w:rPr>
                <w:b/>
                <w:color w:val="000000"/>
              </w:rPr>
              <w:t>Premium</w:t>
            </w:r>
          </w:p>
          <w:p>
            <w:pPr>
              <w:pStyle w:val="TableContents"/>
              <w:bidi w:val="0"/>
              <w:spacing w:before="0" w:after="0"/>
              <w:jc w:val="center"/>
              <w:rPr>
                <w:b/>
                <w:color w:val="000000"/>
              </w:rPr>
            </w:pPr>
            <w:r>
              <w:rPr>
                <w:b/>
                <w:color w:val="000000"/>
              </w:rPr>
              <w:t>(Discount) to Net</w:t>
            </w:r>
          </w:p>
          <w:p>
            <w:pPr>
              <w:pStyle w:val="TableContents"/>
              <w:bidi w:val="0"/>
              <w:spacing w:lineRule="auto" w:line="240" w:before="0" w:after="0"/>
              <w:jc w:val="center"/>
              <w:rPr>
                <w:b/>
                <w:color w:val="000000"/>
              </w:rPr>
            </w:pPr>
            <w:r>
              <w:rPr>
                <w:b/>
                <w:color w:val="000000"/>
              </w:rPr>
              <w:t>Asset Value(2)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Low Sales Price</w:t>
            </w:r>
          </w:p>
          <w:p>
            <w:pPr>
              <w:pStyle w:val="TableContents"/>
              <w:bidi w:val="0"/>
              <w:spacing w:before="0" w:after="0"/>
              <w:jc w:val="center"/>
              <w:rPr>
                <w:b/>
                <w:color w:val="000000"/>
              </w:rPr>
            </w:pPr>
            <w:r>
              <w:rPr>
                <w:b/>
                <w:color w:val="000000"/>
              </w:rPr>
              <w:t>Premium</w:t>
            </w:r>
          </w:p>
          <w:p>
            <w:pPr>
              <w:pStyle w:val="TableContents"/>
              <w:bidi w:val="0"/>
              <w:spacing w:before="0" w:after="0"/>
              <w:jc w:val="center"/>
              <w:rPr>
                <w:b/>
                <w:color w:val="000000"/>
              </w:rPr>
            </w:pPr>
            <w:r>
              <w:rPr>
                <w:b/>
                <w:color w:val="000000"/>
              </w:rPr>
              <w:t>(Discount) to Net</w:t>
            </w:r>
          </w:p>
          <w:p>
            <w:pPr>
              <w:pStyle w:val="TableContents"/>
              <w:bidi w:val="0"/>
              <w:spacing w:lineRule="auto" w:line="240" w:before="0" w:after="0"/>
              <w:jc w:val="center"/>
              <w:rPr>
                <w:b/>
                <w:color w:val="000000"/>
              </w:rPr>
            </w:pPr>
            <w:r>
              <w:rPr>
                <w:b/>
                <w:color w:val="000000"/>
              </w:rPr>
              <w:t>Asset Value(2)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Cash</w:t>
            </w:r>
          </w:p>
          <w:p>
            <w:pPr>
              <w:pStyle w:val="TableContents"/>
              <w:bidi w:val="0"/>
              <w:spacing w:before="0" w:after="0"/>
              <w:jc w:val="center"/>
              <w:rPr>
                <w:b/>
                <w:color w:val="000000"/>
              </w:rPr>
            </w:pPr>
            <w:r>
              <w:rPr>
                <w:b/>
                <w:color w:val="000000"/>
              </w:rPr>
              <w:t>Dividend Per</w:t>
            </w:r>
          </w:p>
          <w:p>
            <w:pPr>
              <w:pStyle w:val="TableContents"/>
              <w:bidi w:val="0"/>
              <w:spacing w:lineRule="auto" w:line="240" w:before="0" w:after="0"/>
              <w:jc w:val="center"/>
              <w:rPr>
                <w:b/>
                <w:color w:val="000000"/>
              </w:rPr>
            </w:pPr>
            <w:r>
              <w:rPr>
                <w:b/>
                <w:color w:val="000000"/>
              </w:rPr>
              <w:t>Share(3)</w:t>
            </w:r>
          </w:p>
        </w:tc>
        <w:tc>
          <w:tcPr>
            <w:tcW w:w="295" w:type="dxa"/>
            <w:tcBorders/>
            <w:vAlign w:val="bottom"/>
          </w:tcPr>
          <w:p>
            <w:pPr>
              <w:pStyle w:val="TableContents"/>
              <w:bidi w:val="0"/>
              <w:spacing w:before="0" w:after="283"/>
              <w:jc w:val="left"/>
              <w:rPr/>
            </w:pPr>
            <w:r>
              <w:rPr/>
              <w:t> </w:t>
            </w:r>
          </w:p>
        </w:tc>
      </w:tr>
      <w:tr>
        <w:trPr/>
        <w:tc>
          <w:tcPr>
            <w:tcW w:w="2576" w:type="dxa"/>
            <w:tcBorders/>
            <w:vAlign w:val="bottom"/>
          </w:tcPr>
          <w:p>
            <w:pPr>
              <w:pStyle w:val="TableContents"/>
              <w:bidi w:val="0"/>
              <w:spacing w:before="0" w:after="0"/>
              <w:ind w:left="144" w:right="0" w:hanging="144"/>
              <w:jc w:val="left"/>
              <w:rPr>
                <w:b/>
                <w:color w:val="000000"/>
              </w:rPr>
            </w:pPr>
            <w:r>
              <w:rPr>
                <w:b/>
                <w:color w:val="000000"/>
              </w:rPr>
              <w:t>Year Ended December 31, 2024</w:t>
            </w:r>
          </w:p>
        </w:tc>
        <w:tc>
          <w:tcPr>
            <w:tcW w:w="60" w:type="dxa"/>
            <w:tcBorders/>
            <w:vAlign w:val="bottom"/>
          </w:tcPr>
          <w:p>
            <w:pPr>
              <w:pStyle w:val="TableContents"/>
              <w:bidi w:val="0"/>
              <w:spacing w:before="0" w:after="283"/>
              <w:jc w:val="left"/>
              <w:rPr/>
            </w:pPr>
            <w:r>
              <w:rPr/>
              <w:t> </w:t>
            </w:r>
          </w:p>
        </w:tc>
        <w:tc>
          <w:tcPr>
            <w:tcW w:w="85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6"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6"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3" w:type="dxa"/>
            <w:gridSpan w:val="2"/>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r>
      <w:tr>
        <w:trPr/>
        <w:tc>
          <w:tcPr>
            <w:tcW w:w="2576" w:type="dxa"/>
            <w:tcBorders/>
            <w:shd w:fill="CCEEFF" w:val="clear"/>
            <w:vAlign w:val="bottom"/>
          </w:tcPr>
          <w:p>
            <w:pPr>
              <w:pStyle w:val="TableContents"/>
              <w:bidi w:val="0"/>
              <w:spacing w:before="0" w:after="0"/>
              <w:ind w:left="144" w:right="0" w:hanging="144"/>
              <w:jc w:val="left"/>
              <w:rPr>
                <w:color w:val="000000"/>
              </w:rPr>
            </w:pPr>
            <w:r>
              <w:rPr>
                <w:color w:val="000000"/>
              </w:rPr>
              <w:t>Third Quarter (Through August 6, 2024)</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0"/>
              <w:jc w:val="right"/>
              <w:rPr>
                <w:color w:val="000000"/>
              </w:rPr>
            </w:pPr>
            <w:r>
              <w:rPr>
                <w:color w:val="000000"/>
              </w:rPr>
              <w:t>12.00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 xml:space="preserve">$ </w:t>
            </w:r>
          </w:p>
        </w:tc>
        <w:tc>
          <w:tcPr>
            <w:tcW w:w="560" w:type="dxa"/>
            <w:tcBorders/>
            <w:shd w:fill="CCEEFF" w:val="clear"/>
            <w:vAlign w:val="bottom"/>
          </w:tcPr>
          <w:p>
            <w:pPr>
              <w:pStyle w:val="TableContents"/>
              <w:bidi w:val="0"/>
              <w:spacing w:before="0" w:after="283"/>
              <w:jc w:val="right"/>
              <w:rPr/>
            </w:pPr>
            <w:r>
              <w:rPr/>
              <w:t>11.27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0"/>
              <w:jc w:val="right"/>
              <w:rPr>
                <w:color w:val="000000"/>
              </w:rPr>
            </w:pPr>
            <w:r>
              <w:rPr>
                <w:color w:val="000000"/>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0"/>
              <w:jc w:val="right"/>
              <w:rPr>
                <w:color w:val="000000"/>
              </w:rPr>
            </w:pPr>
            <w:r>
              <w:rPr>
                <w:color w:val="000000"/>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color w:val="000000"/>
              </w:rPr>
            </w:pPr>
            <w:r>
              <w:rPr>
                <w:color w:val="000000"/>
              </w:rPr>
              <w:t>*</w:t>
            </w:r>
          </w:p>
        </w:tc>
        <w:tc>
          <w:tcPr>
            <w:tcW w:w="295" w:type="dxa"/>
            <w:tcBorders/>
            <w:shd w:fill="CCEEFF" w:val="clear"/>
            <w:vAlign w:val="bottom"/>
          </w:tcPr>
          <w:p>
            <w:pPr>
              <w:pStyle w:val="TableContents"/>
              <w:bidi w:val="0"/>
              <w:spacing w:before="0" w:after="283"/>
              <w:jc w:val="left"/>
              <w:rPr/>
            </w:pPr>
            <w:r>
              <w:rPr/>
              <w:t> </w:t>
            </w:r>
          </w:p>
        </w:tc>
      </w:tr>
      <w:tr>
        <w:trPr/>
        <w:tc>
          <w:tcPr>
            <w:tcW w:w="2576" w:type="dxa"/>
            <w:tcBorders/>
            <w:vAlign w:val="bottom"/>
          </w:tcPr>
          <w:p>
            <w:pPr>
              <w:pStyle w:val="TableContents"/>
              <w:bidi w:val="0"/>
              <w:spacing w:before="0" w:after="0"/>
              <w:ind w:left="144" w:right="0" w:hanging="144"/>
              <w:jc w:val="left"/>
              <w:rPr>
                <w:color w:val="000000"/>
              </w:rPr>
            </w:pPr>
            <w:r>
              <w:rPr>
                <w:color w:val="000000"/>
              </w:rPr>
              <w:t>Second Quarter</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0"/>
              <w:jc w:val="left"/>
              <w:rPr>
                <w:color w:val="000000"/>
              </w:rPr>
            </w:pPr>
            <w:r>
              <w:rPr>
                <w:color w:val="000000"/>
              </w:rPr>
              <w:t>$</w:t>
            </w:r>
          </w:p>
        </w:tc>
        <w:tc>
          <w:tcPr>
            <w:tcW w:w="685" w:type="dxa"/>
            <w:tcBorders/>
            <w:vAlign w:val="bottom"/>
          </w:tcPr>
          <w:p>
            <w:pPr>
              <w:pStyle w:val="TableContents"/>
              <w:bidi w:val="0"/>
              <w:spacing w:before="0" w:after="0"/>
              <w:jc w:val="right"/>
              <w:rPr>
                <w:color w:val="000000"/>
              </w:rPr>
            </w:pPr>
            <w:r>
              <w:rPr>
                <w:color w:val="000000"/>
              </w:rPr>
              <w:t>13.56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12.38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9.61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0"/>
              <w:jc w:val="right"/>
              <w:rPr>
                <w:color w:val="000000"/>
              </w:rPr>
            </w:pPr>
            <w:r>
              <w:rPr>
                <w:color w:val="000000"/>
              </w:rPr>
              <w:t>-8.7</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0"/>
              <w:jc w:val="right"/>
              <w:rPr>
                <w:color w:val="000000"/>
              </w:rPr>
            </w:pPr>
            <w:r>
              <w:rPr>
                <w:color w:val="000000"/>
              </w:rPr>
              <w:t>-29.1</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0"/>
              <w:jc w:val="left"/>
              <w:rPr>
                <w:color w:val="000000"/>
              </w:rPr>
            </w:pPr>
            <w:r>
              <w:rPr>
                <w:color w:val="000000"/>
              </w:rPr>
              <w:t>$</w:t>
            </w:r>
          </w:p>
        </w:tc>
        <w:tc>
          <w:tcPr>
            <w:tcW w:w="898" w:type="dxa"/>
            <w:tcBorders/>
            <w:vAlign w:val="bottom"/>
          </w:tcPr>
          <w:p>
            <w:pPr>
              <w:pStyle w:val="TableContents"/>
              <w:bidi w:val="0"/>
              <w:spacing w:before="0" w:after="0"/>
              <w:jc w:val="right"/>
              <w:rPr>
                <w:color w:val="000000"/>
              </w:rPr>
            </w:pPr>
            <w:r>
              <w:rPr>
                <w:color w:val="000000"/>
              </w:rPr>
              <w:t>0.25</w:t>
            </w:r>
          </w:p>
        </w:tc>
        <w:tc>
          <w:tcPr>
            <w:tcW w:w="295" w:type="dxa"/>
            <w:tcBorders/>
            <w:vAlign w:val="bottom"/>
          </w:tcPr>
          <w:p>
            <w:pPr>
              <w:pStyle w:val="TableContents"/>
              <w:bidi w:val="0"/>
              <w:spacing w:before="0" w:after="283"/>
              <w:jc w:val="left"/>
              <w:rPr/>
            </w:pPr>
            <w:r>
              <w:rPr/>
              <w:t> </w:t>
            </w:r>
          </w:p>
        </w:tc>
      </w:tr>
      <w:tr>
        <w:trPr/>
        <w:tc>
          <w:tcPr>
            <w:tcW w:w="2576" w:type="dxa"/>
            <w:tcBorders/>
            <w:shd w:fill="CCEEFF" w:val="clear"/>
            <w:vAlign w:val="bottom"/>
          </w:tcPr>
          <w:p>
            <w:pPr>
              <w:pStyle w:val="TableContents"/>
              <w:bidi w:val="0"/>
              <w:spacing w:before="0" w:after="0"/>
              <w:ind w:left="144" w:right="0" w:hanging="144"/>
              <w:jc w:val="left"/>
              <w:rPr>
                <w:color w:val="000000"/>
              </w:rPr>
            </w:pPr>
            <w:r>
              <w:rPr>
                <w:color w:val="000000"/>
              </w:rPr>
              <w:t>First Quarter</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685" w:type="dxa"/>
            <w:tcBorders/>
            <w:shd w:fill="CCEEFF" w:val="clear"/>
            <w:vAlign w:val="bottom"/>
          </w:tcPr>
          <w:p>
            <w:pPr>
              <w:pStyle w:val="TableContents"/>
              <w:bidi w:val="0"/>
              <w:spacing w:before="0" w:after="0"/>
              <w:jc w:val="right"/>
              <w:rPr>
                <w:color w:val="000000"/>
              </w:rPr>
            </w:pPr>
            <w:r>
              <w:rPr>
                <w:color w:val="000000"/>
              </w:rPr>
              <w:t>13.60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10.28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7.65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0"/>
              <w:jc w:val="right"/>
              <w:rPr>
                <w:color w:val="000000"/>
              </w:rPr>
            </w:pPr>
            <w:r>
              <w:rPr>
                <w:color w:val="000000"/>
              </w:rPr>
              <w:t>-24.4</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0"/>
              <w:jc w:val="right"/>
              <w:rPr>
                <w:color w:val="000000"/>
              </w:rPr>
            </w:pPr>
            <w:r>
              <w:rPr>
                <w:color w:val="000000"/>
              </w:rPr>
              <w:t>-43.8</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0"/>
              <w:jc w:val="left"/>
              <w:rPr>
                <w:color w:val="000000"/>
              </w:rPr>
            </w:pPr>
            <w:r>
              <w:rPr>
                <w:color w:val="000000"/>
              </w:rPr>
              <w:t>$</w:t>
            </w:r>
          </w:p>
        </w:tc>
        <w:tc>
          <w:tcPr>
            <w:tcW w:w="898" w:type="dxa"/>
            <w:tcBorders/>
            <w:shd w:fill="CCEEFF" w:val="clear"/>
            <w:vAlign w:val="bottom"/>
          </w:tcPr>
          <w:p>
            <w:pPr>
              <w:pStyle w:val="TableContents"/>
              <w:bidi w:val="0"/>
              <w:spacing w:before="0" w:after="0"/>
              <w:jc w:val="right"/>
              <w:rPr>
                <w:color w:val="000000"/>
              </w:rPr>
            </w:pPr>
            <w:r>
              <w:rPr>
                <w:color w:val="000000"/>
              </w:rPr>
              <w:t>0.25</w:t>
            </w:r>
          </w:p>
        </w:tc>
        <w:tc>
          <w:tcPr>
            <w:tcW w:w="295" w:type="dxa"/>
            <w:tcBorders/>
            <w:shd w:fill="CCEEFF" w:val="clear"/>
            <w:vAlign w:val="bottom"/>
          </w:tcPr>
          <w:p>
            <w:pPr>
              <w:pStyle w:val="TableContents"/>
              <w:bidi w:val="0"/>
              <w:spacing w:before="0" w:after="283"/>
              <w:jc w:val="left"/>
              <w:rPr/>
            </w:pPr>
            <w:r>
              <w:rPr/>
              <w:t> </w:t>
            </w:r>
          </w:p>
        </w:tc>
      </w:tr>
      <w:tr>
        <w:trPr/>
        <w:tc>
          <w:tcPr>
            <w:tcW w:w="2576" w:type="dxa"/>
            <w:tcBorders/>
            <w:vAlign w:val="bottom"/>
          </w:tcPr>
          <w:p>
            <w:pPr>
              <w:pStyle w:val="TableContents"/>
              <w:bidi w:val="0"/>
              <w:spacing w:before="0" w:after="0"/>
              <w:ind w:left="144" w:right="0" w:hanging="144"/>
              <w:jc w:val="left"/>
              <w:rPr>
                <w:b/>
                <w:color w:val="000000"/>
              </w:rPr>
            </w:pPr>
            <w:r>
              <w:rPr>
                <w:b/>
                <w:color w:val="000000"/>
              </w:rPr>
              <w:t>Year Ended December 31, 2023</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 </w:t>
            </w:r>
          </w:p>
        </w:tc>
        <w:tc>
          <w:tcPr>
            <w:tcW w:w="295" w:type="dxa"/>
            <w:tcBorders/>
            <w:vAlign w:val="bottom"/>
          </w:tcPr>
          <w:p>
            <w:pPr>
              <w:pStyle w:val="TableContents"/>
              <w:bidi w:val="0"/>
              <w:spacing w:before="0" w:after="283"/>
              <w:jc w:val="left"/>
              <w:rPr/>
            </w:pPr>
            <w:r>
              <w:rPr/>
              <w:t> </w:t>
            </w:r>
          </w:p>
        </w:tc>
      </w:tr>
      <w:tr>
        <w:trPr/>
        <w:tc>
          <w:tcPr>
            <w:tcW w:w="2576" w:type="dxa"/>
            <w:tcBorders/>
            <w:shd w:fill="CCEEFF" w:val="clear"/>
            <w:vAlign w:val="bottom"/>
          </w:tcPr>
          <w:p>
            <w:pPr>
              <w:pStyle w:val="TableContents"/>
              <w:bidi w:val="0"/>
              <w:spacing w:before="0" w:after="0"/>
              <w:ind w:left="144" w:right="0" w:hanging="144"/>
              <w:jc w:val="left"/>
              <w:rPr>
                <w:color w:val="000000"/>
              </w:rPr>
            </w:pPr>
            <w:r>
              <w:rPr>
                <w:color w:val="000000"/>
              </w:rPr>
              <w:t>Fourth Quarter</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685" w:type="dxa"/>
            <w:tcBorders/>
            <w:shd w:fill="CCEEFF" w:val="clear"/>
            <w:vAlign w:val="bottom"/>
          </w:tcPr>
          <w:p>
            <w:pPr>
              <w:pStyle w:val="TableContents"/>
              <w:bidi w:val="0"/>
              <w:spacing w:before="0" w:after="0"/>
              <w:jc w:val="right"/>
              <w:rPr>
                <w:color w:val="000000"/>
              </w:rPr>
            </w:pPr>
            <w:r>
              <w:rPr>
                <w:color w:val="000000"/>
              </w:rPr>
              <w:t>13.77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9.81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8.32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0"/>
              <w:jc w:val="right"/>
              <w:rPr>
                <w:color w:val="000000"/>
              </w:rPr>
            </w:pPr>
            <w:r>
              <w:rPr>
                <w:color w:val="000000"/>
              </w:rPr>
              <w:t>-28.8</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0"/>
              <w:jc w:val="right"/>
              <w:rPr>
                <w:color w:val="000000"/>
              </w:rPr>
            </w:pPr>
            <w:r>
              <w:rPr>
                <w:color w:val="000000"/>
              </w:rPr>
              <w:t>-39.6</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0"/>
              <w:jc w:val="left"/>
              <w:rPr>
                <w:color w:val="000000"/>
              </w:rPr>
            </w:pPr>
            <w:r>
              <w:rPr>
                <w:color w:val="000000"/>
              </w:rPr>
              <w:t>$</w:t>
            </w:r>
          </w:p>
        </w:tc>
        <w:tc>
          <w:tcPr>
            <w:tcW w:w="898" w:type="dxa"/>
            <w:tcBorders/>
            <w:shd w:fill="CCEEFF" w:val="clear"/>
            <w:vAlign w:val="bottom"/>
          </w:tcPr>
          <w:p>
            <w:pPr>
              <w:pStyle w:val="TableContents"/>
              <w:bidi w:val="0"/>
              <w:spacing w:before="0" w:after="0"/>
              <w:jc w:val="right"/>
              <w:rPr>
                <w:color w:val="000000"/>
              </w:rPr>
            </w:pPr>
            <w:r>
              <w:rPr>
                <w:color w:val="000000"/>
              </w:rPr>
              <w:t>0.70</w:t>
            </w:r>
          </w:p>
        </w:tc>
        <w:tc>
          <w:tcPr>
            <w:tcW w:w="295" w:type="dxa"/>
            <w:tcBorders/>
            <w:shd w:fill="CCEEFF" w:val="clear"/>
            <w:vAlign w:val="bottom"/>
          </w:tcPr>
          <w:p>
            <w:pPr>
              <w:pStyle w:val="TableContents"/>
              <w:bidi w:val="0"/>
              <w:spacing w:lineRule="auto" w:line="240" w:before="0" w:after="0"/>
              <w:jc w:val="left"/>
              <w:rPr>
                <w:color w:val="000000"/>
              </w:rPr>
            </w:pPr>
            <w:r>
              <w:rPr>
                <w:color w:val="000000"/>
              </w:rPr>
              <w:t>(6) </w:t>
            </w:r>
          </w:p>
        </w:tc>
      </w:tr>
      <w:tr>
        <w:trPr/>
        <w:tc>
          <w:tcPr>
            <w:tcW w:w="2576" w:type="dxa"/>
            <w:tcBorders/>
            <w:vAlign w:val="bottom"/>
          </w:tcPr>
          <w:p>
            <w:pPr>
              <w:pStyle w:val="TableContents"/>
              <w:bidi w:val="0"/>
              <w:spacing w:before="0" w:after="0"/>
              <w:ind w:left="144" w:right="0" w:hanging="144"/>
              <w:jc w:val="left"/>
              <w:rPr>
                <w:color w:val="000000"/>
              </w:rPr>
            </w:pPr>
            <w:r>
              <w:rPr>
                <w:color w:val="000000"/>
              </w:rPr>
              <w:t>Third Quarter</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0"/>
              <w:jc w:val="left"/>
              <w:rPr>
                <w:color w:val="000000"/>
              </w:rPr>
            </w:pPr>
            <w:r>
              <w:rPr>
                <w:color w:val="000000"/>
              </w:rPr>
              <w:t>$</w:t>
            </w:r>
          </w:p>
        </w:tc>
        <w:tc>
          <w:tcPr>
            <w:tcW w:w="685" w:type="dxa"/>
            <w:tcBorders/>
            <w:vAlign w:val="bottom"/>
          </w:tcPr>
          <w:p>
            <w:pPr>
              <w:pStyle w:val="TableContents"/>
              <w:bidi w:val="0"/>
              <w:spacing w:before="0" w:after="0"/>
              <w:jc w:val="right"/>
              <w:rPr>
                <w:color w:val="000000"/>
              </w:rPr>
            </w:pPr>
            <w:r>
              <w:rPr>
                <w:color w:val="000000"/>
              </w:rPr>
              <w:t>14.06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10.37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7.65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0"/>
              <w:jc w:val="right"/>
              <w:rPr>
                <w:color w:val="000000"/>
              </w:rPr>
            </w:pPr>
            <w:r>
              <w:rPr>
                <w:color w:val="000000"/>
              </w:rPr>
              <w:t>-26.3</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0"/>
              <w:jc w:val="right"/>
              <w:rPr>
                <w:color w:val="000000"/>
              </w:rPr>
            </w:pPr>
            <w:r>
              <w:rPr>
                <w:color w:val="000000"/>
              </w:rPr>
              <w:t>-45.6</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0"/>
              <w:jc w:val="left"/>
              <w:rPr>
                <w:color w:val="000000"/>
              </w:rPr>
            </w:pPr>
            <w:r>
              <w:rPr>
                <w:color w:val="000000"/>
              </w:rPr>
              <w:t>$</w:t>
            </w:r>
          </w:p>
        </w:tc>
        <w:tc>
          <w:tcPr>
            <w:tcW w:w="898" w:type="dxa"/>
            <w:tcBorders/>
            <w:vAlign w:val="bottom"/>
          </w:tcPr>
          <w:p>
            <w:pPr>
              <w:pStyle w:val="TableContents"/>
              <w:bidi w:val="0"/>
              <w:spacing w:before="0" w:after="0"/>
              <w:jc w:val="right"/>
              <w:rPr>
                <w:color w:val="000000"/>
              </w:rPr>
            </w:pPr>
            <w:r>
              <w:rPr>
                <w:color w:val="000000"/>
              </w:rPr>
              <w:t>0.63</w:t>
            </w:r>
          </w:p>
        </w:tc>
        <w:tc>
          <w:tcPr>
            <w:tcW w:w="295" w:type="dxa"/>
            <w:tcBorders/>
            <w:vAlign w:val="bottom"/>
          </w:tcPr>
          <w:p>
            <w:pPr>
              <w:pStyle w:val="TableContents"/>
              <w:bidi w:val="0"/>
              <w:spacing w:lineRule="auto" w:line="240" w:before="0" w:after="0"/>
              <w:jc w:val="left"/>
              <w:rPr>
                <w:color w:val="000000"/>
              </w:rPr>
            </w:pPr>
            <w:r>
              <w:rPr>
                <w:color w:val="000000"/>
              </w:rPr>
              <w:t>(6) </w:t>
            </w:r>
          </w:p>
        </w:tc>
      </w:tr>
      <w:tr>
        <w:trPr/>
        <w:tc>
          <w:tcPr>
            <w:tcW w:w="2576" w:type="dxa"/>
            <w:tcBorders/>
            <w:shd w:fill="CCEEFF" w:val="clear"/>
            <w:vAlign w:val="bottom"/>
          </w:tcPr>
          <w:p>
            <w:pPr>
              <w:pStyle w:val="TableContents"/>
              <w:bidi w:val="0"/>
              <w:spacing w:before="0" w:after="0"/>
              <w:ind w:left="144" w:right="0" w:hanging="144"/>
              <w:jc w:val="left"/>
              <w:rPr>
                <w:color w:val="000000"/>
              </w:rPr>
            </w:pPr>
            <w:r>
              <w:rPr>
                <w:color w:val="000000"/>
              </w:rPr>
              <w:t>Second Quarter</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685" w:type="dxa"/>
            <w:tcBorders/>
            <w:shd w:fill="CCEEFF" w:val="clear"/>
            <w:vAlign w:val="bottom"/>
          </w:tcPr>
          <w:p>
            <w:pPr>
              <w:pStyle w:val="TableContents"/>
              <w:bidi w:val="0"/>
              <w:spacing w:before="0" w:after="0"/>
              <w:jc w:val="right"/>
              <w:rPr>
                <w:color w:val="000000"/>
              </w:rPr>
            </w:pPr>
            <w:r>
              <w:rPr>
                <w:color w:val="000000"/>
              </w:rPr>
              <w:t>14.49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9.19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7.82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0"/>
              <w:jc w:val="right"/>
              <w:rPr>
                <w:color w:val="000000"/>
              </w:rPr>
            </w:pPr>
            <w:r>
              <w:rPr>
                <w:color w:val="000000"/>
              </w:rPr>
              <w:t>-36.3</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0"/>
              <w:jc w:val="right"/>
              <w:rPr>
                <w:color w:val="000000"/>
              </w:rPr>
            </w:pPr>
            <w:r>
              <w:rPr>
                <w:color w:val="000000"/>
              </w:rPr>
              <w:t>-45.8</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color w:val="000000"/>
              </w:rPr>
            </w:pPr>
            <w:r>
              <w:rPr>
                <w:color w:val="000000"/>
              </w:rPr>
              <w:t>-</w:t>
            </w:r>
          </w:p>
        </w:tc>
        <w:tc>
          <w:tcPr>
            <w:tcW w:w="295" w:type="dxa"/>
            <w:tcBorders/>
            <w:shd w:fill="CCEEFF" w:val="clear"/>
            <w:vAlign w:val="bottom"/>
          </w:tcPr>
          <w:p>
            <w:pPr>
              <w:pStyle w:val="TableContents"/>
              <w:bidi w:val="0"/>
              <w:spacing w:before="0" w:after="283"/>
              <w:jc w:val="left"/>
              <w:rPr/>
            </w:pPr>
            <w:r>
              <w:rPr/>
              <w:t> </w:t>
            </w:r>
          </w:p>
        </w:tc>
      </w:tr>
      <w:tr>
        <w:trPr/>
        <w:tc>
          <w:tcPr>
            <w:tcW w:w="2576" w:type="dxa"/>
            <w:tcBorders/>
            <w:vAlign w:val="bottom"/>
          </w:tcPr>
          <w:p>
            <w:pPr>
              <w:pStyle w:val="TableContents"/>
              <w:bidi w:val="0"/>
              <w:spacing w:before="0" w:after="0"/>
              <w:ind w:left="144" w:right="0" w:hanging="144"/>
              <w:jc w:val="left"/>
              <w:rPr>
                <w:color w:val="000000"/>
              </w:rPr>
            </w:pPr>
            <w:r>
              <w:rPr>
                <w:color w:val="000000"/>
              </w:rPr>
              <w:t>First Quarter</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0"/>
              <w:jc w:val="left"/>
              <w:rPr>
                <w:color w:val="000000"/>
              </w:rPr>
            </w:pPr>
            <w:r>
              <w:rPr>
                <w:color w:val="000000"/>
              </w:rPr>
              <w:t>$</w:t>
            </w:r>
          </w:p>
        </w:tc>
        <w:tc>
          <w:tcPr>
            <w:tcW w:w="685" w:type="dxa"/>
            <w:tcBorders/>
            <w:vAlign w:val="bottom"/>
          </w:tcPr>
          <w:p>
            <w:pPr>
              <w:pStyle w:val="TableContents"/>
              <w:bidi w:val="0"/>
              <w:spacing w:before="0" w:after="0"/>
              <w:jc w:val="right"/>
              <w:rPr>
                <w:color w:val="000000"/>
              </w:rPr>
            </w:pPr>
            <w:r>
              <w:rPr>
                <w:color w:val="000000"/>
              </w:rPr>
              <w:t>14.29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9.98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8.25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0"/>
              <w:jc w:val="right"/>
              <w:rPr>
                <w:color w:val="000000"/>
              </w:rPr>
            </w:pPr>
            <w:r>
              <w:rPr>
                <w:color w:val="000000"/>
              </w:rPr>
              <w:t>-30.2</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0"/>
              <w:jc w:val="right"/>
              <w:rPr>
                <w:color w:val="000000"/>
              </w:rPr>
            </w:pPr>
            <w:r>
              <w:rPr>
                <w:color w:val="000000"/>
              </w:rPr>
              <w:t>-42.3</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color w:val="000000"/>
              </w:rPr>
            </w:pPr>
            <w:r>
              <w:rPr>
                <w:color w:val="000000"/>
              </w:rPr>
              <w:t>-</w:t>
            </w:r>
          </w:p>
        </w:tc>
        <w:tc>
          <w:tcPr>
            <w:tcW w:w="295" w:type="dxa"/>
            <w:tcBorders/>
            <w:vAlign w:val="bottom"/>
          </w:tcPr>
          <w:p>
            <w:pPr>
              <w:pStyle w:val="TableContents"/>
              <w:bidi w:val="0"/>
              <w:spacing w:before="0" w:after="283"/>
              <w:jc w:val="left"/>
              <w:rPr/>
            </w:pPr>
            <w:r>
              <w:rPr/>
              <w:t> </w:t>
            </w:r>
          </w:p>
        </w:tc>
      </w:tr>
      <w:tr>
        <w:trPr/>
        <w:tc>
          <w:tcPr>
            <w:tcW w:w="2576" w:type="dxa"/>
            <w:tcBorders/>
            <w:shd w:fill="CCEEFF" w:val="clear"/>
            <w:vAlign w:val="bottom"/>
          </w:tcPr>
          <w:p>
            <w:pPr>
              <w:pStyle w:val="TableContents"/>
              <w:bidi w:val="0"/>
              <w:spacing w:lineRule="auto" w:line="240" w:before="0" w:after="0"/>
              <w:ind w:left="144" w:right="0" w:hanging="144"/>
              <w:jc w:val="left"/>
              <w:rPr>
                <w:b/>
                <w:color w:val="000000"/>
              </w:rPr>
            </w:pPr>
            <w:r>
              <w:rPr>
                <w:b/>
                <w:color w:val="000000"/>
              </w:rPr>
              <w:t>Year Ended December 31, 2022(4)</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 </w:t>
            </w:r>
          </w:p>
        </w:tc>
        <w:tc>
          <w:tcPr>
            <w:tcW w:w="295" w:type="dxa"/>
            <w:tcBorders/>
            <w:shd w:fill="CCEEFF" w:val="clear"/>
            <w:vAlign w:val="bottom"/>
          </w:tcPr>
          <w:p>
            <w:pPr>
              <w:pStyle w:val="TableContents"/>
              <w:bidi w:val="0"/>
              <w:spacing w:before="0" w:after="283"/>
              <w:jc w:val="left"/>
              <w:rPr/>
            </w:pPr>
            <w:r>
              <w:rPr/>
              <w:t> </w:t>
            </w:r>
          </w:p>
        </w:tc>
      </w:tr>
      <w:tr>
        <w:trPr/>
        <w:tc>
          <w:tcPr>
            <w:tcW w:w="2576" w:type="dxa"/>
            <w:tcBorders/>
            <w:vAlign w:val="bottom"/>
          </w:tcPr>
          <w:p>
            <w:pPr>
              <w:pStyle w:val="TableContents"/>
              <w:bidi w:val="0"/>
              <w:spacing w:before="0" w:after="0"/>
              <w:ind w:left="144" w:right="0" w:hanging="144"/>
              <w:jc w:val="left"/>
              <w:rPr>
                <w:color w:val="000000"/>
              </w:rPr>
            </w:pPr>
            <w:r>
              <w:rPr>
                <w:color w:val="000000"/>
              </w:rPr>
              <w:t>Fourth Quarter</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0"/>
              <w:jc w:val="left"/>
              <w:rPr>
                <w:color w:val="000000"/>
              </w:rPr>
            </w:pPr>
            <w:r>
              <w:rPr>
                <w:color w:val="000000"/>
              </w:rPr>
              <w:t>$</w:t>
            </w:r>
          </w:p>
        </w:tc>
        <w:tc>
          <w:tcPr>
            <w:tcW w:w="685" w:type="dxa"/>
            <w:tcBorders/>
            <w:vAlign w:val="bottom"/>
          </w:tcPr>
          <w:p>
            <w:pPr>
              <w:pStyle w:val="TableContents"/>
              <w:bidi w:val="0"/>
              <w:spacing w:before="0" w:after="0"/>
              <w:jc w:val="right"/>
              <w:rPr>
                <w:color w:val="000000"/>
              </w:rPr>
            </w:pPr>
            <w:r>
              <w:rPr>
                <w:color w:val="000000"/>
              </w:rPr>
              <w:t>13.91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10.55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9.57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0"/>
              <w:jc w:val="right"/>
              <w:rPr>
                <w:color w:val="000000"/>
              </w:rPr>
            </w:pPr>
            <w:r>
              <w:rPr>
                <w:color w:val="000000"/>
              </w:rPr>
              <w:t>-24.2</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0"/>
              <w:jc w:val="right"/>
              <w:rPr>
                <w:color w:val="000000"/>
              </w:rPr>
            </w:pPr>
            <w:r>
              <w:rPr>
                <w:color w:val="000000"/>
              </w:rPr>
              <w:t>-31.2</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color w:val="000000"/>
              </w:rPr>
            </w:pPr>
            <w:r>
              <w:rPr>
                <w:color w:val="000000"/>
              </w:rPr>
              <w:t>-</w:t>
            </w:r>
          </w:p>
        </w:tc>
        <w:tc>
          <w:tcPr>
            <w:tcW w:w="295" w:type="dxa"/>
            <w:tcBorders/>
            <w:vAlign w:val="bottom"/>
          </w:tcPr>
          <w:p>
            <w:pPr>
              <w:pStyle w:val="TableContents"/>
              <w:bidi w:val="0"/>
              <w:spacing w:before="0" w:after="283"/>
              <w:jc w:val="left"/>
              <w:rPr/>
            </w:pPr>
            <w:r>
              <w:rPr/>
              <w:t> </w:t>
            </w:r>
          </w:p>
        </w:tc>
      </w:tr>
      <w:tr>
        <w:trPr/>
        <w:tc>
          <w:tcPr>
            <w:tcW w:w="2576" w:type="dxa"/>
            <w:tcBorders/>
            <w:shd w:fill="CCEEFF" w:val="clear"/>
            <w:vAlign w:val="bottom"/>
          </w:tcPr>
          <w:p>
            <w:pPr>
              <w:pStyle w:val="TableContents"/>
              <w:bidi w:val="0"/>
              <w:spacing w:before="0" w:after="0"/>
              <w:ind w:left="144" w:right="0" w:hanging="144"/>
              <w:jc w:val="left"/>
              <w:rPr>
                <w:color w:val="000000"/>
              </w:rPr>
            </w:pPr>
            <w:r>
              <w:rPr>
                <w:color w:val="000000"/>
              </w:rPr>
              <w:t>Third Quarter</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685" w:type="dxa"/>
            <w:tcBorders/>
            <w:shd w:fill="CCEEFF" w:val="clear"/>
            <w:vAlign w:val="bottom"/>
          </w:tcPr>
          <w:p>
            <w:pPr>
              <w:pStyle w:val="TableContents"/>
              <w:bidi w:val="0"/>
              <w:spacing w:before="0" w:after="0"/>
              <w:jc w:val="right"/>
              <w:rPr>
                <w:color w:val="000000"/>
              </w:rPr>
            </w:pPr>
            <w:r>
              <w:rPr>
                <w:color w:val="000000"/>
              </w:rPr>
              <w:t>13.73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10.74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9.00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0"/>
              <w:jc w:val="right"/>
              <w:rPr>
                <w:color w:val="000000"/>
              </w:rPr>
            </w:pPr>
            <w:r>
              <w:rPr>
                <w:color w:val="000000"/>
              </w:rPr>
              <w:t>-21.8</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0"/>
              <w:jc w:val="right"/>
              <w:rPr>
                <w:color w:val="000000"/>
              </w:rPr>
            </w:pPr>
            <w:r>
              <w:rPr>
                <w:color w:val="000000"/>
              </w:rPr>
              <w:t>-34.5</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color w:val="000000"/>
              </w:rPr>
            </w:pPr>
            <w:r>
              <w:rPr>
                <w:color w:val="000000"/>
              </w:rPr>
              <w:t>-</w:t>
            </w:r>
          </w:p>
        </w:tc>
        <w:tc>
          <w:tcPr>
            <w:tcW w:w="295" w:type="dxa"/>
            <w:tcBorders/>
            <w:shd w:fill="CCEEFF" w:val="clear"/>
            <w:vAlign w:val="bottom"/>
          </w:tcPr>
          <w:p>
            <w:pPr>
              <w:pStyle w:val="TableContents"/>
              <w:bidi w:val="0"/>
              <w:spacing w:before="0" w:after="283"/>
              <w:jc w:val="left"/>
              <w:rPr/>
            </w:pPr>
            <w:r>
              <w:rPr/>
              <w:t> </w:t>
            </w:r>
          </w:p>
        </w:tc>
      </w:tr>
      <w:tr>
        <w:trPr/>
        <w:tc>
          <w:tcPr>
            <w:tcW w:w="2576" w:type="dxa"/>
            <w:tcBorders/>
            <w:vAlign w:val="bottom"/>
          </w:tcPr>
          <w:p>
            <w:pPr>
              <w:pStyle w:val="TableContents"/>
              <w:bidi w:val="0"/>
              <w:spacing w:before="0" w:after="0"/>
              <w:ind w:left="144" w:right="0" w:hanging="144"/>
              <w:jc w:val="left"/>
              <w:rPr>
                <w:color w:val="000000"/>
              </w:rPr>
            </w:pPr>
            <w:r>
              <w:rPr>
                <w:color w:val="000000"/>
              </w:rPr>
              <w:t>Second Quarter</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0"/>
              <w:jc w:val="left"/>
              <w:rPr>
                <w:color w:val="000000"/>
              </w:rPr>
            </w:pPr>
            <w:r>
              <w:rPr>
                <w:color w:val="000000"/>
              </w:rPr>
              <w:t>$</w:t>
            </w:r>
          </w:p>
        </w:tc>
        <w:tc>
          <w:tcPr>
            <w:tcW w:w="685" w:type="dxa"/>
            <w:tcBorders/>
            <w:vAlign w:val="bottom"/>
          </w:tcPr>
          <w:p>
            <w:pPr>
              <w:pStyle w:val="TableContents"/>
              <w:bidi w:val="0"/>
              <w:spacing w:before="0" w:after="0"/>
              <w:jc w:val="right"/>
              <w:rPr>
                <w:color w:val="000000"/>
              </w:rPr>
            </w:pPr>
            <w:r>
              <w:rPr>
                <w:color w:val="000000"/>
              </w:rPr>
              <w:t>13.64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13.50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7.80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0"/>
              <w:jc w:val="right"/>
              <w:rPr>
                <w:color w:val="000000"/>
              </w:rPr>
            </w:pPr>
            <w:r>
              <w:rPr>
                <w:color w:val="000000"/>
              </w:rPr>
              <w:t>-1.0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0"/>
              <w:jc w:val="right"/>
              <w:rPr>
                <w:color w:val="000000"/>
              </w:rPr>
            </w:pPr>
            <w:r>
              <w:rPr>
                <w:color w:val="000000"/>
              </w:rPr>
              <w:t>-42.8</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color w:val="000000"/>
              </w:rPr>
            </w:pPr>
            <w:r>
              <w:rPr>
                <w:color w:val="000000"/>
              </w:rPr>
              <w:t>-</w:t>
            </w:r>
          </w:p>
        </w:tc>
        <w:tc>
          <w:tcPr>
            <w:tcW w:w="295" w:type="dxa"/>
            <w:tcBorders/>
            <w:vAlign w:val="bottom"/>
          </w:tcPr>
          <w:p>
            <w:pPr>
              <w:pStyle w:val="TableContents"/>
              <w:bidi w:val="0"/>
              <w:spacing w:before="0" w:after="283"/>
              <w:jc w:val="left"/>
              <w:rPr/>
            </w:pPr>
            <w:r>
              <w:rPr/>
              <w:t> </w:t>
            </w:r>
          </w:p>
        </w:tc>
      </w:tr>
      <w:tr>
        <w:trPr/>
        <w:tc>
          <w:tcPr>
            <w:tcW w:w="2576" w:type="dxa"/>
            <w:tcBorders/>
            <w:shd w:fill="CCEEFF" w:val="clear"/>
            <w:vAlign w:val="bottom"/>
          </w:tcPr>
          <w:p>
            <w:pPr>
              <w:pStyle w:val="TableContents"/>
              <w:bidi w:val="0"/>
              <w:spacing w:lineRule="auto" w:line="240" w:before="0" w:after="0"/>
              <w:ind w:left="144" w:right="0" w:hanging="144"/>
              <w:jc w:val="left"/>
              <w:rPr>
                <w:color w:val="000000"/>
              </w:rPr>
            </w:pPr>
            <w:r>
              <w:rPr>
                <w:color w:val="000000"/>
              </w:rPr>
              <w:t>First Quarter(5)</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685" w:type="dxa"/>
            <w:tcBorders/>
            <w:shd w:fill="CCEEFF" w:val="clear"/>
            <w:vAlign w:val="bottom"/>
          </w:tcPr>
          <w:p>
            <w:pPr>
              <w:pStyle w:val="TableContents"/>
              <w:bidi w:val="0"/>
              <w:spacing w:before="0" w:after="0"/>
              <w:jc w:val="right"/>
              <w:rPr>
                <w:color w:val="000000"/>
              </w:rPr>
            </w:pPr>
            <w:r>
              <w:rPr>
                <w:color w:val="000000"/>
              </w:rPr>
              <w:t>13.61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14.41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12.57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0"/>
              <w:jc w:val="right"/>
              <w:rPr>
                <w:color w:val="000000"/>
              </w:rPr>
            </w:pPr>
            <w:r>
              <w:rPr>
                <w:color w:val="000000"/>
              </w:rPr>
              <w:t>5.9</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0"/>
              <w:jc w:val="right"/>
              <w:rPr>
                <w:color w:val="000000"/>
              </w:rPr>
            </w:pPr>
            <w:r>
              <w:rPr>
                <w:color w:val="000000"/>
              </w:rPr>
              <w:t>-7.6</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color w:val="000000"/>
              </w:rPr>
            </w:pPr>
            <w:r>
              <w:rPr>
                <w:color w:val="000000"/>
              </w:rPr>
              <w:t>-</w:t>
            </w:r>
          </w:p>
        </w:tc>
        <w:tc>
          <w:tcPr>
            <w:tcW w:w="2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color w:val="000000"/>
              </w:rPr>
            </w:pPr>
            <w:r>
              <w:rPr>
                <w:color w:val="000000"/>
              </w:rPr>
              <w:t>(1)</w:t>
            </w:r>
          </w:p>
        </w:tc>
        <w:tc>
          <w:tcPr>
            <w:tcW w:w="9950" w:type="dxa"/>
            <w:tcBorders/>
            <w:vAlign w:val="center"/>
          </w:tcPr>
          <w:p>
            <w:pPr>
              <w:pStyle w:val="TableContents"/>
              <w:bidi w:val="0"/>
              <w:spacing w:before="0" w:after="0"/>
              <w:jc w:val="both"/>
              <w:rPr>
                <w:color w:val="000000"/>
              </w:rPr>
            </w:pPr>
            <w:r>
              <w:rPr>
                <w:color w:val="000000"/>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color w:val="000000"/>
              </w:rPr>
            </w:pPr>
            <w:r>
              <w:rPr>
                <w:color w:val="000000"/>
              </w:rPr>
              <w:t>(2)</w:t>
            </w:r>
          </w:p>
        </w:tc>
        <w:tc>
          <w:tcPr>
            <w:tcW w:w="9928" w:type="dxa"/>
            <w:tcBorders/>
            <w:vAlign w:val="center"/>
          </w:tcPr>
          <w:p>
            <w:pPr>
              <w:pStyle w:val="TableContents"/>
              <w:bidi w:val="0"/>
              <w:spacing w:before="0" w:after="0"/>
              <w:jc w:val="both"/>
              <w:rPr>
                <w:color w:val="000000"/>
              </w:rPr>
            </w:pPr>
            <w:r>
              <w:rPr>
                <w:color w:val="000000"/>
              </w:rPr>
              <w:t>Calculated as the respective high or low closing sales price less net asset value, divided by net asset value (in each case, as of the end of the applicable quarter).</w:t>
            </w:r>
          </w:p>
        </w:tc>
      </w:tr>
    </w:tbl>
    <w:tbl>
      <w:tblPr>
        <w:tblW w:w="7015" w:type="dxa"/>
        <w:jc w:val="left"/>
        <w:tblInd w:w="0" w:type="dxa"/>
        <w:tblLayout w:type="fixed"/>
        <w:tblCellMar>
          <w:top w:w="0" w:type="dxa"/>
          <w:left w:w="0" w:type="dxa"/>
          <w:bottom w:w="0" w:type="dxa"/>
          <w:right w:w="0" w:type="dxa"/>
        </w:tblCellMar>
      </w:tblPr>
      <w:tblGrid>
        <w:gridCol w:w="305"/>
        <w:gridCol w:w="6710"/>
      </w:tblGrid>
      <w:tr>
        <w:trPr/>
        <w:tc>
          <w:tcPr>
            <w:tcW w:w="305" w:type="dxa"/>
            <w:tcBorders/>
            <w:vAlign w:val="center"/>
          </w:tcPr>
          <w:p>
            <w:pPr>
              <w:pStyle w:val="TableContents"/>
              <w:bidi w:val="0"/>
              <w:spacing w:before="0" w:after="283"/>
              <w:jc w:val="left"/>
              <w:rPr>
                <w:color w:val="000000"/>
              </w:rPr>
            </w:pPr>
            <w:r>
              <w:rPr>
                <w:color w:val="000000"/>
              </w:rPr>
              <w:t>(3)</w:t>
            </w:r>
          </w:p>
        </w:tc>
        <w:tc>
          <w:tcPr>
            <w:tcW w:w="6710" w:type="dxa"/>
            <w:tcBorders/>
            <w:vAlign w:val="center"/>
          </w:tcPr>
          <w:p>
            <w:pPr>
              <w:pStyle w:val="TableContents"/>
              <w:bidi w:val="0"/>
              <w:spacing w:before="0" w:after="0"/>
              <w:jc w:val="both"/>
              <w:rPr>
                <w:color w:val="000000"/>
              </w:rPr>
            </w:pPr>
            <w:r>
              <w:rPr>
                <w:color w:val="000000"/>
              </w:rPr>
              <w:t>Represents the dividend or distribution declared in the relevant quarter.</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color w:val="000000"/>
              </w:rPr>
            </w:pPr>
            <w:r>
              <w:rPr>
                <w:color w:val="000000"/>
              </w:rPr>
              <w:t>(4)</w:t>
            </w:r>
          </w:p>
        </w:tc>
        <w:tc>
          <w:tcPr>
            <w:tcW w:w="9912" w:type="dxa"/>
            <w:tcBorders/>
            <w:vAlign w:val="center"/>
          </w:tcPr>
          <w:p>
            <w:pPr>
              <w:pStyle w:val="TableContents"/>
              <w:bidi w:val="0"/>
              <w:spacing w:before="0" w:after="0"/>
              <w:jc w:val="both"/>
              <w:rPr>
                <w:color w:val="000000"/>
              </w:rPr>
            </w:pPr>
            <w:r>
              <w:rPr>
                <w:color w:val="000000"/>
              </w:rPr>
              <w:t>On November 8, 2022, our Board of Directors approved a change to our fiscal year end from March 31 to December 31.</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color w:val="000000"/>
              </w:rPr>
            </w:pPr>
            <w:r>
              <w:rPr>
                <w:color w:val="000000"/>
              </w:rPr>
              <w:t>(5)</w:t>
            </w:r>
          </w:p>
        </w:tc>
        <w:tc>
          <w:tcPr>
            <w:tcW w:w="9916" w:type="dxa"/>
            <w:tcBorders/>
            <w:vAlign w:val="center"/>
          </w:tcPr>
          <w:p>
            <w:pPr>
              <w:pStyle w:val="TableContents"/>
              <w:bidi w:val="0"/>
              <w:spacing w:before="0" w:after="0"/>
              <w:jc w:val="both"/>
              <w:rPr>
                <w:color w:val="000000"/>
              </w:rPr>
            </w:pPr>
            <w:r>
              <w:rPr>
                <w:color w:val="000000"/>
              </w:rPr>
              <w:t>Shares of our common stock began trading on the Nasdaq Global Market on February 4, 2022 under the trading symbol “SSIC.”</w:t>
            </w:r>
          </w:p>
        </w:tc>
      </w:tr>
    </w:tbl>
    <w:tbl>
      <w:tblPr>
        <w:tblW w:w="5560" w:type="dxa"/>
        <w:jc w:val="left"/>
        <w:tblInd w:w="0" w:type="dxa"/>
        <w:tblLayout w:type="fixed"/>
        <w:tblCellMar>
          <w:top w:w="0" w:type="dxa"/>
          <w:left w:w="0" w:type="dxa"/>
          <w:bottom w:w="0" w:type="dxa"/>
          <w:right w:w="0" w:type="dxa"/>
        </w:tblCellMar>
      </w:tblPr>
      <w:tblGrid>
        <w:gridCol w:w="305"/>
        <w:gridCol w:w="5255"/>
      </w:tblGrid>
      <w:tr>
        <w:trPr/>
        <w:tc>
          <w:tcPr>
            <w:tcW w:w="305" w:type="dxa"/>
            <w:tcBorders/>
            <w:vAlign w:val="center"/>
          </w:tcPr>
          <w:p>
            <w:pPr>
              <w:pStyle w:val="TableContents"/>
              <w:bidi w:val="0"/>
              <w:spacing w:before="0" w:after="283"/>
              <w:jc w:val="left"/>
              <w:rPr>
                <w:color w:val="000000"/>
              </w:rPr>
            </w:pPr>
            <w:r>
              <w:rPr>
                <w:color w:val="000000"/>
              </w:rPr>
              <w:t>(6)</w:t>
            </w:r>
          </w:p>
        </w:tc>
        <w:tc>
          <w:tcPr>
            <w:tcW w:w="5255" w:type="dxa"/>
            <w:tcBorders/>
            <w:vAlign w:val="center"/>
          </w:tcPr>
          <w:p>
            <w:pPr>
              <w:pStyle w:val="TableContents"/>
              <w:bidi w:val="0"/>
              <w:spacing w:before="0" w:after="0"/>
              <w:jc w:val="both"/>
              <w:rPr>
                <w:color w:val="000000"/>
              </w:rPr>
            </w:pPr>
            <w:r>
              <w:rPr>
                <w:color w:val="000000"/>
              </w:rPr>
              <w:t>Consists of a quarterly dividend and a special dividend.</w:t>
            </w:r>
          </w:p>
        </w:tc>
      </w:tr>
    </w:tbl>
    <w:tbl>
      <w:tblPr>
        <w:tblW w:w="3220" w:type="dxa"/>
        <w:jc w:val="left"/>
        <w:tblInd w:w="0" w:type="dxa"/>
        <w:tblLayout w:type="fixed"/>
        <w:tblCellMar>
          <w:top w:w="0" w:type="dxa"/>
          <w:left w:w="0" w:type="dxa"/>
          <w:bottom w:w="0" w:type="dxa"/>
          <w:right w:w="0" w:type="dxa"/>
        </w:tblCellMar>
      </w:tblPr>
      <w:tblGrid>
        <w:gridCol w:w="155"/>
        <w:gridCol w:w="3065"/>
      </w:tblGrid>
      <w:tr>
        <w:trPr/>
        <w:tc>
          <w:tcPr>
            <w:tcW w:w="155" w:type="dxa"/>
            <w:tcBorders/>
            <w:vAlign w:val="center"/>
          </w:tcPr>
          <w:p>
            <w:pPr>
              <w:pStyle w:val="TableContents"/>
              <w:bidi w:val="0"/>
              <w:spacing w:before="0" w:after="283"/>
              <w:jc w:val="left"/>
              <w:rPr>
                <w:color w:val="000000"/>
              </w:rPr>
            </w:pPr>
            <w:r>
              <w:rPr>
                <w:color w:val="000000"/>
              </w:rPr>
              <w:t>*</w:t>
            </w:r>
          </w:p>
        </w:tc>
        <w:tc>
          <w:tcPr>
            <w:tcW w:w="3065" w:type="dxa"/>
            <w:tcBorders/>
            <w:vAlign w:val="center"/>
          </w:tcPr>
          <w:p>
            <w:pPr>
              <w:pStyle w:val="TableContents"/>
              <w:bidi w:val="0"/>
              <w:spacing w:before="0" w:after="0"/>
              <w:jc w:val="both"/>
              <w:rPr>
                <w:color w:val="000000"/>
              </w:rPr>
            </w:pPr>
            <w:r>
              <w:rPr>
                <w:color w:val="000000"/>
              </w:rPr>
              <w:t>Not determined at time of filing.</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Shares of BDCs may trade at a market price that is less than the value of the net assets attributable to those shares. At times, our shares of common stock have traded at prices both above and below our net asset value per share. The possibility that our shares of common stock will trade at a discount from net asset value per share or at premiums that are unsustainable over the long term are separate and distinct from the risk that our net asset value per share will decrease. It is not possible to predict whether our common stock will trade at, above, or below net asset value per share.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Holders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August 6, 2024, there were approximately 3 holders of record of our common stock, which does not include stockholders for whom shares are held in “nominee” or “street name.”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Distributions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intend to pay quarterly distributions to our stockholders out of assets legally available for distribution. All distributions will be paid at the discretion of our Board of Directors and will depend on our earnings, financial condition, maintenance of our tax treatment as a RIC, compliance with applicable BDC regulations and such other factors as our Board of Directors may deem relevant from time to time.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have elected to be treated, and intend to qualify annually to be treated, as a RIC under Subchapter M of the Code, for U.S. federal income tax purposes, commencing with our taxable year ended March 31, 2022. As long as we qualify as a RIC, we will not be taxed on our investment company taxable income or realized net capital gains, to the extent that such taxable income or gains are distributed, or deemed to be distributed, to stockholders on a timely basis.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To obtain and maintain RIC tax treatment, we must distribute (or be deemed to distribute) at least 90% of the sum of our: investment company taxable income (which is generally our ordinary income plus the excess of realized short-term capital gains over realized net long-term capital losses), determined without regard to the deduction for dividends paid, for such taxable year; and net tax-exempt interest income (which is the excess of our gross tax-exempt interest income over certain disallowed deductions) for such taxable year.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r>
        <w:rPr>
          <w:rFonts w:ascii="Times New Roman;Times;serif" w:hAnsi="Times New Roman;Times;serif"/>
          <w:color w:val="000000"/>
          <w:sz w:val="20"/>
          <w:shd w:fill="FFFFFF" w:val="clear"/>
        </w:rPr>
        <w:t xml:space="preserve"> </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a RIC, we (but not our stockholders) generally will not be subject to U.S. federal tax on investment company taxable income and net capital gains that we distribute to our stockholders. The discussion below assumes that we will qualify to be treated as a RIC for U.S. federal tax purposes each year.</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intend to distribute annually all or substantially all of such income. To the extent that we retain our net capital gains or any investment company taxable income, we generally will be subject to corporate-level U.S. federal income tax. We can be expected to carry forward our net capital gains or any investment company taxable income in excess of current-year dividend distributions, and pay the U.S. federal excise tax as described below.</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Depending on the level of taxable income earned in a tax year, we may choose to carry forward taxable income in excess of current-year distributions into the next tax year. We will be subject to a 4% excise tax on a certain portion of these undistributed amounts. Please refer to “Item 1. Business — Material U.S. Federal Income Tax Considerations” for further information regarding the consequences of our retention of net capital gains. We may, in the future, make actual distributions to our stockholders of our net capital gains. We can offer no assurance that we will achieve results that will permit the payment of any cash distributions and, if we issue senior securities, we may be prohibited from making distributions if doing so causes us to fail to maintain the asset coverage ratios stipulated by the 1940 Act or if distributions are limited by the terms of any of our borrowings. See “Item 1. Business — Business Development Company Regulations” and “Item 1. Business —Material U.S. Federal Income Tax Considerations.”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While we intend to distribute any income and capital gains in the manner necessary to minimize imposition of the 4% U.S. federal excise tax, sufficient amounts of our taxable income and capital gains may not be distributed and as a result, in such cases, the excise tax will be imposed. In such an event, we will be liable for this tax only on the amount by which we do not meet the foregoing distribution requirement.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written disclosure carefully and should not assume that the source of any distribution is our ordinary income or gains.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 return of capital is a return of a portion of your original investment in shares of our common stock. As a result, a return of capital will (i) lower your tax basis in your shares and thereby increase the amount of capital gain (or decrease the amount of capital loss) realized upon a subsequent sale or redemption of such shares and (ii) reduce the amount of funds we have for investment in portfolio companies. We have not established any limit on the extent to which we may use offering proceeds to fund distributions. However, our Board of Directors, including a majority of our independent directors, will be required to determine that making return of capital distributions from our offering proceeds is in the best interests of our stockholders based upon our then-current financial condition and our expected future growth prospects.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 summarizes distributions declared and paid by the Company since inception:</w:t>
      </w:r>
    </w:p>
    <w:p>
      <w:pPr>
        <w:pStyle w:val="TextBody"/>
        <w:bidi w:val="0"/>
        <w:spacing w:before="0" w:after="0"/>
        <w:jc w:val="left"/>
        <w:rPr/>
      </w:pPr>
      <w:r>
        <w:rPr/>
      </w:r>
    </w:p>
    <w:tbl>
      <w:tblPr>
        <w:tblW w:w="9418" w:type="dxa"/>
        <w:jc w:val="left"/>
        <w:tblInd w:w="0" w:type="dxa"/>
        <w:tblLayout w:type="fixed"/>
        <w:tblCellMar>
          <w:top w:w="0" w:type="dxa"/>
          <w:left w:w="0" w:type="dxa"/>
          <w:bottom w:w="28" w:type="dxa"/>
          <w:right w:w="0" w:type="dxa"/>
        </w:tblCellMar>
      </w:tblPr>
      <w:tblGrid>
        <w:gridCol w:w="1805"/>
        <w:gridCol w:w="920"/>
        <w:gridCol w:w="1925"/>
        <w:gridCol w:w="1925"/>
        <w:gridCol w:w="60"/>
        <w:gridCol w:w="250"/>
        <w:gridCol w:w="789"/>
        <w:gridCol w:w="60"/>
        <w:gridCol w:w="60"/>
        <w:gridCol w:w="195"/>
        <w:gridCol w:w="1369"/>
        <w:gridCol w:w="60"/>
      </w:tblGrid>
      <w:tr>
        <w:trPr/>
        <w:tc>
          <w:tcPr>
            <w:tcW w:w="1805" w:type="dxa"/>
            <w:tcBorders>
              <w:bottom w:val="single" w:sz="12" w:space="0" w:color="000000"/>
            </w:tcBorders>
            <w:vAlign w:val="bottom"/>
          </w:tcPr>
          <w:p>
            <w:pPr>
              <w:pStyle w:val="TableContents"/>
              <w:bidi w:val="0"/>
              <w:spacing w:before="0" w:after="0"/>
              <w:jc w:val="center"/>
              <w:rPr>
                <w:b/>
                <w:color w:val="000000"/>
              </w:rPr>
            </w:pPr>
            <w:r>
              <w:rPr>
                <w:b/>
                <w:color w:val="000000"/>
              </w:rPr>
              <w:t>Declaration Date</w:t>
            </w:r>
          </w:p>
        </w:tc>
        <w:tc>
          <w:tcPr>
            <w:tcW w:w="920" w:type="dxa"/>
            <w:tcBorders>
              <w:bottom w:val="single" w:sz="12" w:space="0" w:color="000000"/>
            </w:tcBorders>
            <w:vAlign w:val="bottom"/>
          </w:tcPr>
          <w:p>
            <w:pPr>
              <w:pStyle w:val="TableContents"/>
              <w:bidi w:val="0"/>
              <w:spacing w:before="0" w:after="0"/>
              <w:jc w:val="center"/>
              <w:rPr>
                <w:b/>
                <w:color w:val="000000"/>
              </w:rPr>
            </w:pPr>
            <w:r>
              <w:rPr>
                <w:b/>
                <w:color w:val="000000"/>
              </w:rPr>
              <w:t>Type</w:t>
            </w:r>
          </w:p>
        </w:tc>
        <w:tc>
          <w:tcPr>
            <w:tcW w:w="1925" w:type="dxa"/>
            <w:tcBorders>
              <w:bottom w:val="single" w:sz="12" w:space="0" w:color="000000"/>
            </w:tcBorders>
            <w:vAlign w:val="bottom"/>
          </w:tcPr>
          <w:p>
            <w:pPr>
              <w:pStyle w:val="TableContents"/>
              <w:bidi w:val="0"/>
              <w:spacing w:before="0" w:after="0"/>
              <w:jc w:val="center"/>
              <w:rPr>
                <w:b/>
                <w:color w:val="000000"/>
              </w:rPr>
            </w:pPr>
            <w:r>
              <w:rPr>
                <w:b/>
                <w:color w:val="000000"/>
              </w:rPr>
              <w:t>Record Date</w:t>
            </w:r>
          </w:p>
        </w:tc>
        <w:tc>
          <w:tcPr>
            <w:tcW w:w="1925" w:type="dxa"/>
            <w:tcBorders>
              <w:bottom w:val="single" w:sz="12" w:space="0" w:color="000000"/>
            </w:tcBorders>
            <w:vAlign w:val="bottom"/>
          </w:tcPr>
          <w:p>
            <w:pPr>
              <w:pStyle w:val="TableContents"/>
              <w:bidi w:val="0"/>
              <w:spacing w:before="0" w:after="0"/>
              <w:jc w:val="center"/>
              <w:rPr>
                <w:b/>
                <w:color w:val="000000"/>
              </w:rPr>
            </w:pPr>
            <w:r>
              <w:rPr>
                <w:b/>
                <w:color w:val="000000"/>
              </w:rPr>
              <w:t>Payment Date</w:t>
            </w:r>
          </w:p>
        </w:tc>
        <w:tc>
          <w:tcPr>
            <w:tcW w:w="60" w:type="dxa"/>
            <w:tcBorders/>
            <w:tcMar>
              <w:bottom w:w="0" w:type="dxa"/>
            </w:tcMar>
            <w:vAlign w:val="bottom"/>
          </w:tcPr>
          <w:p>
            <w:pPr>
              <w:pStyle w:val="TableContents"/>
              <w:bidi w:val="0"/>
              <w:spacing w:before="0" w:after="283"/>
              <w:jc w:val="left"/>
              <w:rPr/>
            </w:pPr>
            <w:r>
              <w:rPr/>
              <w:t> </w:t>
            </w:r>
          </w:p>
        </w:tc>
        <w:tc>
          <w:tcPr>
            <w:tcW w:w="1039" w:type="dxa"/>
            <w:gridSpan w:val="2"/>
            <w:tcBorders>
              <w:bottom w:val="single" w:sz="12" w:space="0" w:color="000000"/>
            </w:tcBorders>
            <w:vAlign w:val="bottom"/>
          </w:tcPr>
          <w:p>
            <w:pPr>
              <w:pStyle w:val="TableContents"/>
              <w:bidi w:val="0"/>
              <w:spacing w:before="0" w:after="0"/>
              <w:jc w:val="center"/>
              <w:rPr>
                <w:b/>
                <w:color w:val="000000"/>
              </w:rPr>
            </w:pPr>
            <w:r>
              <w:rPr>
                <w:b/>
                <w:color w:val="000000"/>
              </w:rPr>
              <w:t>Per Share</w:t>
              <w:br/>
              <w:t>Amount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64" w:type="dxa"/>
            <w:gridSpan w:val="2"/>
            <w:tcBorders>
              <w:bottom w:val="single" w:sz="12" w:space="0" w:color="000000"/>
            </w:tcBorders>
            <w:vAlign w:val="bottom"/>
          </w:tcPr>
          <w:p>
            <w:pPr>
              <w:pStyle w:val="TableContents"/>
              <w:bidi w:val="0"/>
              <w:spacing w:before="0" w:after="0"/>
              <w:jc w:val="center"/>
              <w:rPr>
                <w:b/>
                <w:color w:val="000000"/>
              </w:rPr>
            </w:pPr>
            <w:r>
              <w:rPr>
                <w:b/>
                <w:color w:val="000000"/>
              </w:rPr>
              <w:t>Dividends Paid</w:t>
            </w:r>
          </w:p>
        </w:tc>
        <w:tc>
          <w:tcPr>
            <w:tcW w:w="60" w:type="dxa"/>
            <w:tcBorders/>
            <w:tcMar>
              <w:bottom w:w="0" w:type="dxa"/>
            </w:tcMar>
            <w:vAlign w:val="bottom"/>
          </w:tcPr>
          <w:p>
            <w:pPr>
              <w:pStyle w:val="TableContents"/>
              <w:bidi w:val="0"/>
              <w:spacing w:before="0" w:after="283"/>
              <w:jc w:val="left"/>
              <w:rPr/>
            </w:pPr>
            <w:r>
              <w:rPr/>
              <w:t> </w:t>
            </w:r>
          </w:p>
        </w:tc>
      </w:tr>
      <w:tr>
        <w:trPr/>
        <w:tc>
          <w:tcPr>
            <w:tcW w:w="1805" w:type="dxa"/>
            <w:tcBorders/>
            <w:shd w:fill="CCEEFF" w:val="clear"/>
            <w:tcMar>
              <w:bottom w:w="0" w:type="dxa"/>
            </w:tcMar>
            <w:vAlign w:val="bottom"/>
          </w:tcPr>
          <w:p>
            <w:pPr>
              <w:pStyle w:val="TableContents"/>
              <w:bidi w:val="0"/>
              <w:spacing w:before="0" w:after="0"/>
              <w:jc w:val="center"/>
              <w:rPr>
                <w:color w:val="000000"/>
              </w:rPr>
            </w:pPr>
            <w:r>
              <w:rPr>
                <w:color w:val="000000"/>
              </w:rPr>
              <w:t>August 10, 2023</w:t>
            </w:r>
          </w:p>
        </w:tc>
        <w:tc>
          <w:tcPr>
            <w:tcW w:w="920" w:type="dxa"/>
            <w:tcBorders/>
            <w:shd w:fill="CCEEFF" w:val="clear"/>
            <w:tcMar>
              <w:bottom w:w="0" w:type="dxa"/>
            </w:tcMar>
            <w:vAlign w:val="bottom"/>
          </w:tcPr>
          <w:p>
            <w:pPr>
              <w:pStyle w:val="TableContents"/>
              <w:bidi w:val="0"/>
              <w:spacing w:before="0" w:after="0"/>
              <w:jc w:val="center"/>
              <w:rPr>
                <w:color w:val="000000"/>
              </w:rPr>
            </w:pPr>
            <w:r>
              <w:rPr>
                <w:color w:val="000000"/>
              </w:rPr>
              <w:t>Quarterly</w:t>
            </w:r>
          </w:p>
        </w:tc>
        <w:tc>
          <w:tcPr>
            <w:tcW w:w="1925" w:type="dxa"/>
            <w:tcBorders/>
            <w:shd w:fill="CCEEFF" w:val="clear"/>
            <w:tcMar>
              <w:bottom w:w="0" w:type="dxa"/>
            </w:tcMar>
            <w:vAlign w:val="bottom"/>
          </w:tcPr>
          <w:p>
            <w:pPr>
              <w:pStyle w:val="TableContents"/>
              <w:bidi w:val="0"/>
              <w:spacing w:before="0" w:after="0"/>
              <w:jc w:val="center"/>
              <w:rPr>
                <w:color w:val="000000"/>
              </w:rPr>
            </w:pPr>
            <w:r>
              <w:rPr>
                <w:color w:val="000000"/>
              </w:rPr>
              <w:t>September 15, 2023</w:t>
            </w:r>
          </w:p>
        </w:tc>
        <w:tc>
          <w:tcPr>
            <w:tcW w:w="1925" w:type="dxa"/>
            <w:tcBorders/>
            <w:shd w:fill="CCEEFF" w:val="clear"/>
            <w:tcMar>
              <w:bottom w:w="0" w:type="dxa"/>
            </w:tcMar>
            <w:vAlign w:val="bottom"/>
          </w:tcPr>
          <w:p>
            <w:pPr>
              <w:pStyle w:val="TableContents"/>
              <w:bidi w:val="0"/>
              <w:spacing w:before="0" w:after="0"/>
              <w:jc w:val="center"/>
              <w:rPr>
                <w:color w:val="000000"/>
              </w:rPr>
            </w:pPr>
            <w:r>
              <w:rPr>
                <w:color w:val="000000"/>
              </w:rPr>
              <w:t>September 29, 2023</w:t>
            </w:r>
          </w:p>
        </w:tc>
        <w:tc>
          <w:tcPr>
            <w:tcW w:w="60" w:type="dxa"/>
            <w:tcBorders/>
            <w:shd w:fill="CCEEFF" w:val="clear"/>
            <w:tcMar>
              <w:bottom w:w="0" w:type="dxa"/>
            </w:tcMar>
            <w:vAlign w:val="bottom"/>
          </w:tcPr>
          <w:p>
            <w:pPr>
              <w:pStyle w:val="TableContents"/>
              <w:bidi w:val="0"/>
              <w:spacing w:before="0" w:after="283"/>
              <w:jc w:val="left"/>
              <w:rPr/>
            </w:pPr>
            <w:r>
              <w:rPr/>
              <w:t> </w:t>
            </w:r>
          </w:p>
        </w:tc>
        <w:tc>
          <w:tcPr>
            <w:tcW w:w="25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789" w:type="dxa"/>
            <w:tcBorders/>
            <w:shd w:fill="CCEEFF" w:val="clear"/>
            <w:tcMar>
              <w:bottom w:w="0" w:type="dxa"/>
            </w:tcMar>
            <w:vAlign w:val="bottom"/>
          </w:tcPr>
          <w:p>
            <w:pPr>
              <w:pStyle w:val="TableContents"/>
              <w:bidi w:val="0"/>
              <w:spacing w:before="0" w:after="0"/>
              <w:jc w:val="right"/>
              <w:rPr>
                <w:color w:val="000000"/>
              </w:rPr>
            </w:pPr>
            <w:r>
              <w:rPr>
                <w:color w:val="000000"/>
              </w:rPr>
              <w:t>0.23</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9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369" w:type="dxa"/>
            <w:tcBorders/>
            <w:shd w:fill="CCEEFF" w:val="clear"/>
            <w:tcMar>
              <w:bottom w:w="0" w:type="dxa"/>
            </w:tcMar>
            <w:vAlign w:val="bottom"/>
          </w:tcPr>
          <w:p>
            <w:pPr>
              <w:pStyle w:val="TableContents"/>
              <w:bidi w:val="0"/>
              <w:spacing w:before="0" w:after="0"/>
              <w:jc w:val="right"/>
              <w:rPr>
                <w:color w:val="000000"/>
              </w:rPr>
            </w:pPr>
            <w:r>
              <w:rPr>
                <w:color w:val="000000"/>
              </w:rPr>
              <w:t>1,429,375</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1805" w:type="dxa"/>
            <w:tcBorders/>
            <w:tcMar>
              <w:bottom w:w="0" w:type="dxa"/>
            </w:tcMar>
            <w:vAlign w:val="bottom"/>
          </w:tcPr>
          <w:p>
            <w:pPr>
              <w:pStyle w:val="TableContents"/>
              <w:bidi w:val="0"/>
              <w:spacing w:before="0" w:after="0"/>
              <w:jc w:val="center"/>
              <w:rPr>
                <w:color w:val="000000"/>
              </w:rPr>
            </w:pPr>
            <w:r>
              <w:rPr>
                <w:color w:val="000000"/>
              </w:rPr>
              <w:t>August 10, 2023</w:t>
            </w:r>
          </w:p>
        </w:tc>
        <w:tc>
          <w:tcPr>
            <w:tcW w:w="920" w:type="dxa"/>
            <w:tcBorders/>
            <w:tcMar>
              <w:bottom w:w="0" w:type="dxa"/>
            </w:tcMar>
            <w:vAlign w:val="bottom"/>
          </w:tcPr>
          <w:p>
            <w:pPr>
              <w:pStyle w:val="TableContents"/>
              <w:bidi w:val="0"/>
              <w:spacing w:before="0" w:after="0"/>
              <w:jc w:val="center"/>
              <w:rPr>
                <w:color w:val="000000"/>
              </w:rPr>
            </w:pPr>
            <w:r>
              <w:rPr>
                <w:color w:val="000000"/>
              </w:rPr>
              <w:t>Special</w:t>
            </w:r>
          </w:p>
        </w:tc>
        <w:tc>
          <w:tcPr>
            <w:tcW w:w="1925" w:type="dxa"/>
            <w:tcBorders/>
            <w:tcMar>
              <w:bottom w:w="0" w:type="dxa"/>
            </w:tcMar>
            <w:vAlign w:val="bottom"/>
          </w:tcPr>
          <w:p>
            <w:pPr>
              <w:pStyle w:val="TableContents"/>
              <w:bidi w:val="0"/>
              <w:spacing w:before="0" w:after="0"/>
              <w:jc w:val="center"/>
              <w:rPr>
                <w:color w:val="000000"/>
              </w:rPr>
            </w:pPr>
            <w:r>
              <w:rPr>
                <w:color w:val="000000"/>
              </w:rPr>
              <w:t>September 15, 2023</w:t>
            </w:r>
          </w:p>
        </w:tc>
        <w:tc>
          <w:tcPr>
            <w:tcW w:w="1925" w:type="dxa"/>
            <w:tcBorders/>
            <w:tcMar>
              <w:bottom w:w="0" w:type="dxa"/>
            </w:tcMar>
            <w:vAlign w:val="bottom"/>
          </w:tcPr>
          <w:p>
            <w:pPr>
              <w:pStyle w:val="TableContents"/>
              <w:bidi w:val="0"/>
              <w:spacing w:before="0" w:after="0"/>
              <w:jc w:val="center"/>
              <w:rPr>
                <w:color w:val="000000"/>
              </w:rPr>
            </w:pPr>
            <w:r>
              <w:rPr>
                <w:color w:val="000000"/>
              </w:rPr>
              <w:t>September 29, 2023</w:t>
            </w:r>
          </w:p>
        </w:tc>
        <w:tc>
          <w:tcPr>
            <w:tcW w:w="60" w:type="dxa"/>
            <w:tcBorders/>
            <w:tcMar>
              <w:bottom w:w="0" w:type="dxa"/>
            </w:tcMar>
            <w:vAlign w:val="bottom"/>
          </w:tcPr>
          <w:p>
            <w:pPr>
              <w:pStyle w:val="TableContents"/>
              <w:bidi w:val="0"/>
              <w:spacing w:before="0" w:after="283"/>
              <w:jc w:val="left"/>
              <w:rPr/>
            </w:pPr>
            <w:r>
              <w:rPr/>
              <w:t> </w:t>
            </w:r>
          </w:p>
        </w:tc>
        <w:tc>
          <w:tcPr>
            <w:tcW w:w="250" w:type="dxa"/>
            <w:tcBorders/>
            <w:tcMar>
              <w:bottom w:w="0" w:type="dxa"/>
            </w:tcMar>
            <w:vAlign w:val="bottom"/>
          </w:tcPr>
          <w:p>
            <w:pPr>
              <w:pStyle w:val="TableContents"/>
              <w:bidi w:val="0"/>
              <w:spacing w:before="0" w:after="0"/>
              <w:jc w:val="left"/>
              <w:rPr>
                <w:color w:val="000000"/>
              </w:rPr>
            </w:pPr>
            <w:r>
              <w:rPr>
                <w:color w:val="000000"/>
              </w:rPr>
              <w:t>$</w:t>
            </w:r>
          </w:p>
        </w:tc>
        <w:tc>
          <w:tcPr>
            <w:tcW w:w="789" w:type="dxa"/>
            <w:tcBorders/>
            <w:tcMar>
              <w:bottom w:w="0" w:type="dxa"/>
            </w:tcMar>
            <w:vAlign w:val="bottom"/>
          </w:tcPr>
          <w:p>
            <w:pPr>
              <w:pStyle w:val="TableContents"/>
              <w:bidi w:val="0"/>
              <w:spacing w:before="0" w:after="0"/>
              <w:jc w:val="right"/>
              <w:rPr>
                <w:color w:val="000000"/>
              </w:rPr>
            </w:pPr>
            <w:r>
              <w:rPr>
                <w:color w:val="000000"/>
              </w:rPr>
              <w:t>0.40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95" w:type="dxa"/>
            <w:tcBorders/>
            <w:tcMar>
              <w:bottom w:w="0" w:type="dxa"/>
            </w:tcMar>
            <w:vAlign w:val="bottom"/>
          </w:tcPr>
          <w:p>
            <w:pPr>
              <w:pStyle w:val="TableContents"/>
              <w:bidi w:val="0"/>
              <w:spacing w:before="0" w:after="0"/>
              <w:jc w:val="left"/>
              <w:rPr>
                <w:color w:val="000000"/>
              </w:rPr>
            </w:pPr>
            <w:r>
              <w:rPr>
                <w:color w:val="000000"/>
              </w:rPr>
              <w:t>$</w:t>
            </w:r>
          </w:p>
        </w:tc>
        <w:tc>
          <w:tcPr>
            <w:tcW w:w="1369" w:type="dxa"/>
            <w:tcBorders/>
            <w:tcMar>
              <w:bottom w:w="0" w:type="dxa"/>
            </w:tcMar>
            <w:vAlign w:val="bottom"/>
          </w:tcPr>
          <w:p>
            <w:pPr>
              <w:pStyle w:val="TableContents"/>
              <w:bidi w:val="0"/>
              <w:spacing w:before="0" w:after="0"/>
              <w:jc w:val="right"/>
              <w:rPr>
                <w:color w:val="000000"/>
              </w:rPr>
            </w:pPr>
            <w:r>
              <w:rPr>
                <w:color w:val="000000"/>
              </w:rPr>
              <w:t>2,485,869</w:t>
            </w:r>
          </w:p>
        </w:tc>
        <w:tc>
          <w:tcPr>
            <w:tcW w:w="60" w:type="dxa"/>
            <w:tcBorders/>
            <w:tcMar>
              <w:bottom w:w="0" w:type="dxa"/>
            </w:tcMar>
            <w:vAlign w:val="bottom"/>
          </w:tcPr>
          <w:p>
            <w:pPr>
              <w:pStyle w:val="TableContents"/>
              <w:bidi w:val="0"/>
              <w:spacing w:before="0" w:after="283"/>
              <w:jc w:val="left"/>
              <w:rPr/>
            </w:pPr>
            <w:r>
              <w:rPr/>
              <w:t> </w:t>
            </w:r>
          </w:p>
        </w:tc>
      </w:tr>
      <w:tr>
        <w:trPr/>
        <w:tc>
          <w:tcPr>
            <w:tcW w:w="1805" w:type="dxa"/>
            <w:tcBorders/>
            <w:shd w:fill="CCEEFF" w:val="clear"/>
            <w:tcMar>
              <w:bottom w:w="0" w:type="dxa"/>
            </w:tcMar>
            <w:vAlign w:val="bottom"/>
          </w:tcPr>
          <w:p>
            <w:pPr>
              <w:pStyle w:val="TableContents"/>
              <w:bidi w:val="0"/>
              <w:spacing w:before="0" w:after="0"/>
              <w:jc w:val="center"/>
              <w:rPr>
                <w:color w:val="000000"/>
              </w:rPr>
            </w:pPr>
            <w:r>
              <w:rPr>
                <w:color w:val="000000"/>
              </w:rPr>
              <w:t>November 9, 2023</w:t>
            </w:r>
          </w:p>
        </w:tc>
        <w:tc>
          <w:tcPr>
            <w:tcW w:w="920" w:type="dxa"/>
            <w:tcBorders/>
            <w:shd w:fill="CCEEFF" w:val="clear"/>
            <w:tcMar>
              <w:bottom w:w="0" w:type="dxa"/>
            </w:tcMar>
            <w:vAlign w:val="bottom"/>
          </w:tcPr>
          <w:p>
            <w:pPr>
              <w:pStyle w:val="TableContents"/>
              <w:bidi w:val="0"/>
              <w:spacing w:before="0" w:after="0"/>
              <w:jc w:val="center"/>
              <w:rPr>
                <w:color w:val="000000"/>
              </w:rPr>
            </w:pPr>
            <w:r>
              <w:rPr>
                <w:color w:val="000000"/>
              </w:rPr>
              <w:t>Quarterly</w:t>
            </w:r>
          </w:p>
        </w:tc>
        <w:tc>
          <w:tcPr>
            <w:tcW w:w="1925" w:type="dxa"/>
            <w:tcBorders/>
            <w:shd w:fill="CCEEFF" w:val="clear"/>
            <w:tcMar>
              <w:bottom w:w="0" w:type="dxa"/>
            </w:tcMar>
            <w:vAlign w:val="bottom"/>
          </w:tcPr>
          <w:p>
            <w:pPr>
              <w:pStyle w:val="TableContents"/>
              <w:bidi w:val="0"/>
              <w:spacing w:before="0" w:after="0"/>
              <w:jc w:val="center"/>
              <w:rPr>
                <w:color w:val="000000"/>
              </w:rPr>
            </w:pPr>
            <w:r>
              <w:rPr>
                <w:color w:val="000000"/>
              </w:rPr>
              <w:t>December 20, 2023</w:t>
            </w:r>
          </w:p>
        </w:tc>
        <w:tc>
          <w:tcPr>
            <w:tcW w:w="1925" w:type="dxa"/>
            <w:tcBorders/>
            <w:shd w:fill="CCEEFF" w:val="clear"/>
            <w:tcMar>
              <w:bottom w:w="0" w:type="dxa"/>
            </w:tcMar>
            <w:vAlign w:val="bottom"/>
          </w:tcPr>
          <w:p>
            <w:pPr>
              <w:pStyle w:val="TableContents"/>
              <w:bidi w:val="0"/>
              <w:spacing w:before="0" w:after="0"/>
              <w:jc w:val="center"/>
              <w:rPr>
                <w:color w:val="000000"/>
              </w:rPr>
            </w:pPr>
            <w:r>
              <w:rPr>
                <w:color w:val="000000"/>
              </w:rPr>
              <w:t>December 29, 2023</w:t>
            </w:r>
          </w:p>
        </w:tc>
        <w:tc>
          <w:tcPr>
            <w:tcW w:w="60" w:type="dxa"/>
            <w:tcBorders/>
            <w:shd w:fill="CCEEFF" w:val="clear"/>
            <w:tcMar>
              <w:bottom w:w="0" w:type="dxa"/>
            </w:tcMar>
            <w:vAlign w:val="bottom"/>
          </w:tcPr>
          <w:p>
            <w:pPr>
              <w:pStyle w:val="TableContents"/>
              <w:bidi w:val="0"/>
              <w:spacing w:before="0" w:after="283"/>
              <w:jc w:val="left"/>
              <w:rPr/>
            </w:pPr>
            <w:r>
              <w:rPr/>
              <w:t> </w:t>
            </w:r>
          </w:p>
        </w:tc>
        <w:tc>
          <w:tcPr>
            <w:tcW w:w="25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789" w:type="dxa"/>
            <w:tcBorders/>
            <w:shd w:fill="CCEEFF" w:val="clear"/>
            <w:tcMar>
              <w:bottom w:w="0" w:type="dxa"/>
            </w:tcMar>
            <w:vAlign w:val="bottom"/>
          </w:tcPr>
          <w:p>
            <w:pPr>
              <w:pStyle w:val="TableContents"/>
              <w:bidi w:val="0"/>
              <w:spacing w:before="0" w:after="0"/>
              <w:jc w:val="right"/>
              <w:rPr>
                <w:color w:val="000000"/>
              </w:rPr>
            </w:pPr>
            <w:r>
              <w:rPr>
                <w:color w:val="000000"/>
              </w:rPr>
              <w:t>0.25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9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369" w:type="dxa"/>
            <w:tcBorders/>
            <w:shd w:fill="CCEEFF" w:val="clear"/>
            <w:tcMar>
              <w:bottom w:w="0" w:type="dxa"/>
            </w:tcMar>
            <w:vAlign w:val="bottom"/>
          </w:tcPr>
          <w:p>
            <w:pPr>
              <w:pStyle w:val="TableContents"/>
              <w:bidi w:val="0"/>
              <w:spacing w:before="0" w:after="0"/>
              <w:jc w:val="right"/>
              <w:rPr>
                <w:color w:val="000000"/>
              </w:rPr>
            </w:pPr>
            <w:r>
              <w:rPr>
                <w:color w:val="000000"/>
              </w:rPr>
              <w:t>1,553,676</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1805" w:type="dxa"/>
            <w:tcBorders/>
            <w:tcMar>
              <w:bottom w:w="0" w:type="dxa"/>
            </w:tcMar>
            <w:vAlign w:val="bottom"/>
          </w:tcPr>
          <w:p>
            <w:pPr>
              <w:pStyle w:val="TableContents"/>
              <w:bidi w:val="0"/>
              <w:spacing w:before="0" w:after="0"/>
              <w:jc w:val="center"/>
              <w:rPr>
                <w:color w:val="000000"/>
              </w:rPr>
            </w:pPr>
            <w:r>
              <w:rPr>
                <w:color w:val="000000"/>
              </w:rPr>
              <w:t>November 9, 2023</w:t>
            </w:r>
          </w:p>
        </w:tc>
        <w:tc>
          <w:tcPr>
            <w:tcW w:w="920" w:type="dxa"/>
            <w:tcBorders/>
            <w:tcMar>
              <w:bottom w:w="0" w:type="dxa"/>
            </w:tcMar>
            <w:vAlign w:val="bottom"/>
          </w:tcPr>
          <w:p>
            <w:pPr>
              <w:pStyle w:val="TableContents"/>
              <w:bidi w:val="0"/>
              <w:spacing w:before="0" w:after="0"/>
              <w:jc w:val="center"/>
              <w:rPr>
                <w:color w:val="000000"/>
              </w:rPr>
            </w:pPr>
            <w:r>
              <w:rPr>
                <w:color w:val="000000"/>
              </w:rPr>
              <w:t>Special</w:t>
            </w:r>
          </w:p>
        </w:tc>
        <w:tc>
          <w:tcPr>
            <w:tcW w:w="1925" w:type="dxa"/>
            <w:tcBorders/>
            <w:tcMar>
              <w:bottom w:w="0" w:type="dxa"/>
            </w:tcMar>
            <w:vAlign w:val="bottom"/>
          </w:tcPr>
          <w:p>
            <w:pPr>
              <w:pStyle w:val="TableContents"/>
              <w:bidi w:val="0"/>
              <w:spacing w:before="0" w:after="0"/>
              <w:jc w:val="center"/>
              <w:rPr>
                <w:color w:val="000000"/>
              </w:rPr>
            </w:pPr>
            <w:r>
              <w:rPr>
                <w:color w:val="000000"/>
              </w:rPr>
              <w:t>December 20, 2023</w:t>
            </w:r>
          </w:p>
        </w:tc>
        <w:tc>
          <w:tcPr>
            <w:tcW w:w="1925" w:type="dxa"/>
            <w:tcBorders/>
            <w:tcMar>
              <w:bottom w:w="0" w:type="dxa"/>
            </w:tcMar>
            <w:vAlign w:val="bottom"/>
          </w:tcPr>
          <w:p>
            <w:pPr>
              <w:pStyle w:val="TableContents"/>
              <w:bidi w:val="0"/>
              <w:spacing w:before="0" w:after="0"/>
              <w:jc w:val="center"/>
              <w:rPr>
                <w:color w:val="000000"/>
              </w:rPr>
            </w:pPr>
            <w:r>
              <w:rPr>
                <w:color w:val="000000"/>
              </w:rPr>
              <w:t>December 29, 2023</w:t>
            </w:r>
          </w:p>
        </w:tc>
        <w:tc>
          <w:tcPr>
            <w:tcW w:w="60" w:type="dxa"/>
            <w:tcBorders/>
            <w:tcMar>
              <w:bottom w:w="0" w:type="dxa"/>
            </w:tcMar>
            <w:vAlign w:val="bottom"/>
          </w:tcPr>
          <w:p>
            <w:pPr>
              <w:pStyle w:val="TableContents"/>
              <w:bidi w:val="0"/>
              <w:spacing w:before="0" w:after="283"/>
              <w:jc w:val="left"/>
              <w:rPr/>
            </w:pPr>
            <w:r>
              <w:rPr/>
              <w:t> </w:t>
            </w:r>
          </w:p>
        </w:tc>
        <w:tc>
          <w:tcPr>
            <w:tcW w:w="250" w:type="dxa"/>
            <w:tcBorders/>
            <w:tcMar>
              <w:bottom w:w="0" w:type="dxa"/>
            </w:tcMar>
            <w:vAlign w:val="bottom"/>
          </w:tcPr>
          <w:p>
            <w:pPr>
              <w:pStyle w:val="TableContents"/>
              <w:bidi w:val="0"/>
              <w:spacing w:before="0" w:after="0"/>
              <w:jc w:val="left"/>
              <w:rPr>
                <w:color w:val="000000"/>
              </w:rPr>
            </w:pPr>
            <w:r>
              <w:rPr>
                <w:color w:val="000000"/>
              </w:rPr>
              <w:t>$</w:t>
            </w:r>
          </w:p>
        </w:tc>
        <w:tc>
          <w:tcPr>
            <w:tcW w:w="789" w:type="dxa"/>
            <w:tcBorders/>
            <w:tcMar>
              <w:bottom w:w="0" w:type="dxa"/>
            </w:tcMar>
            <w:vAlign w:val="bottom"/>
          </w:tcPr>
          <w:p>
            <w:pPr>
              <w:pStyle w:val="TableContents"/>
              <w:bidi w:val="0"/>
              <w:spacing w:before="0" w:after="0"/>
              <w:jc w:val="right"/>
              <w:rPr>
                <w:color w:val="000000"/>
              </w:rPr>
            </w:pPr>
            <w:r>
              <w:rPr>
                <w:color w:val="000000"/>
              </w:rPr>
              <w:t>0.45</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95" w:type="dxa"/>
            <w:tcBorders/>
            <w:tcMar>
              <w:bottom w:w="0" w:type="dxa"/>
            </w:tcMar>
            <w:vAlign w:val="bottom"/>
          </w:tcPr>
          <w:p>
            <w:pPr>
              <w:pStyle w:val="TableContents"/>
              <w:bidi w:val="0"/>
              <w:spacing w:before="0" w:after="0"/>
              <w:jc w:val="left"/>
              <w:rPr>
                <w:color w:val="000000"/>
              </w:rPr>
            </w:pPr>
            <w:r>
              <w:rPr>
                <w:color w:val="000000"/>
              </w:rPr>
              <w:t>$</w:t>
            </w:r>
          </w:p>
        </w:tc>
        <w:tc>
          <w:tcPr>
            <w:tcW w:w="1369" w:type="dxa"/>
            <w:tcBorders/>
            <w:tcMar>
              <w:bottom w:w="0" w:type="dxa"/>
            </w:tcMar>
            <w:vAlign w:val="bottom"/>
          </w:tcPr>
          <w:p>
            <w:pPr>
              <w:pStyle w:val="TableContents"/>
              <w:bidi w:val="0"/>
              <w:spacing w:before="0" w:after="0"/>
              <w:jc w:val="right"/>
              <w:rPr>
                <w:color w:val="000000"/>
              </w:rPr>
            </w:pPr>
            <w:r>
              <w:rPr>
                <w:color w:val="000000"/>
              </w:rPr>
              <w:t>2,796,617</w:t>
            </w:r>
          </w:p>
        </w:tc>
        <w:tc>
          <w:tcPr>
            <w:tcW w:w="60" w:type="dxa"/>
            <w:tcBorders/>
            <w:tcMar>
              <w:bottom w:w="0" w:type="dxa"/>
            </w:tcMar>
            <w:vAlign w:val="bottom"/>
          </w:tcPr>
          <w:p>
            <w:pPr>
              <w:pStyle w:val="TableContents"/>
              <w:bidi w:val="0"/>
              <w:spacing w:before="0" w:after="283"/>
              <w:jc w:val="left"/>
              <w:rPr/>
            </w:pPr>
            <w:r>
              <w:rPr/>
              <w:t> </w:t>
            </w:r>
          </w:p>
        </w:tc>
      </w:tr>
      <w:tr>
        <w:trPr/>
        <w:tc>
          <w:tcPr>
            <w:tcW w:w="1805" w:type="dxa"/>
            <w:tcBorders/>
            <w:shd w:fill="CCEEFF" w:val="clear"/>
            <w:tcMar>
              <w:bottom w:w="0" w:type="dxa"/>
            </w:tcMar>
            <w:vAlign w:val="bottom"/>
          </w:tcPr>
          <w:p>
            <w:pPr>
              <w:pStyle w:val="TableContents"/>
              <w:bidi w:val="0"/>
              <w:spacing w:before="0" w:after="0"/>
              <w:jc w:val="center"/>
              <w:rPr>
                <w:color w:val="000000"/>
              </w:rPr>
            </w:pPr>
            <w:r>
              <w:rPr>
                <w:color w:val="000000"/>
              </w:rPr>
              <w:t>March 8, 2024</w:t>
            </w:r>
          </w:p>
        </w:tc>
        <w:tc>
          <w:tcPr>
            <w:tcW w:w="920" w:type="dxa"/>
            <w:tcBorders/>
            <w:shd w:fill="CCEEFF" w:val="clear"/>
            <w:tcMar>
              <w:bottom w:w="0" w:type="dxa"/>
            </w:tcMar>
            <w:vAlign w:val="bottom"/>
          </w:tcPr>
          <w:p>
            <w:pPr>
              <w:pStyle w:val="TableContents"/>
              <w:bidi w:val="0"/>
              <w:spacing w:before="0" w:after="0"/>
              <w:jc w:val="center"/>
              <w:rPr>
                <w:color w:val="000000"/>
              </w:rPr>
            </w:pPr>
            <w:r>
              <w:rPr>
                <w:color w:val="000000"/>
              </w:rPr>
              <w:t>Quarterly</w:t>
            </w:r>
          </w:p>
        </w:tc>
        <w:tc>
          <w:tcPr>
            <w:tcW w:w="1925" w:type="dxa"/>
            <w:tcBorders/>
            <w:shd w:fill="CCEEFF" w:val="clear"/>
            <w:tcMar>
              <w:bottom w:w="0" w:type="dxa"/>
            </w:tcMar>
            <w:vAlign w:val="bottom"/>
          </w:tcPr>
          <w:p>
            <w:pPr>
              <w:pStyle w:val="TableContents"/>
              <w:bidi w:val="0"/>
              <w:spacing w:before="0" w:after="0"/>
              <w:jc w:val="center"/>
              <w:rPr>
                <w:color w:val="000000"/>
              </w:rPr>
            </w:pPr>
            <w:r>
              <w:rPr>
                <w:color w:val="000000"/>
              </w:rPr>
              <w:t>March 20, 2024</w:t>
            </w:r>
          </w:p>
        </w:tc>
        <w:tc>
          <w:tcPr>
            <w:tcW w:w="1925" w:type="dxa"/>
            <w:tcBorders/>
            <w:shd w:fill="CCEEFF" w:val="clear"/>
            <w:tcMar>
              <w:bottom w:w="0" w:type="dxa"/>
            </w:tcMar>
            <w:vAlign w:val="bottom"/>
          </w:tcPr>
          <w:p>
            <w:pPr>
              <w:pStyle w:val="TableContents"/>
              <w:bidi w:val="0"/>
              <w:spacing w:before="0" w:after="0"/>
              <w:jc w:val="center"/>
              <w:rPr>
                <w:color w:val="000000"/>
              </w:rPr>
            </w:pPr>
            <w:r>
              <w:rPr>
                <w:color w:val="000000"/>
              </w:rPr>
              <w:t>March 28, 2024</w:t>
            </w:r>
          </w:p>
        </w:tc>
        <w:tc>
          <w:tcPr>
            <w:tcW w:w="60" w:type="dxa"/>
            <w:tcBorders/>
            <w:shd w:fill="CCEEFF" w:val="clear"/>
            <w:tcMar>
              <w:bottom w:w="0" w:type="dxa"/>
            </w:tcMar>
            <w:vAlign w:val="bottom"/>
          </w:tcPr>
          <w:p>
            <w:pPr>
              <w:pStyle w:val="TableContents"/>
              <w:bidi w:val="0"/>
              <w:spacing w:before="0" w:after="283"/>
              <w:jc w:val="left"/>
              <w:rPr/>
            </w:pPr>
            <w:r>
              <w:rPr/>
              <w:t> </w:t>
            </w:r>
          </w:p>
        </w:tc>
        <w:tc>
          <w:tcPr>
            <w:tcW w:w="25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789" w:type="dxa"/>
            <w:tcBorders/>
            <w:shd w:fill="CCEEFF" w:val="clear"/>
            <w:tcMar>
              <w:bottom w:w="0" w:type="dxa"/>
            </w:tcMar>
            <w:vAlign w:val="bottom"/>
          </w:tcPr>
          <w:p>
            <w:pPr>
              <w:pStyle w:val="TableContents"/>
              <w:bidi w:val="0"/>
              <w:spacing w:before="0" w:after="0"/>
              <w:jc w:val="right"/>
              <w:rPr>
                <w:color w:val="000000"/>
              </w:rPr>
            </w:pPr>
            <w:r>
              <w:rPr>
                <w:color w:val="000000"/>
              </w:rPr>
              <w:t>0.25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9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369" w:type="dxa"/>
            <w:tcBorders/>
            <w:shd w:fill="CCEEFF" w:val="clear"/>
            <w:tcMar>
              <w:bottom w:w="0" w:type="dxa"/>
            </w:tcMar>
            <w:vAlign w:val="bottom"/>
          </w:tcPr>
          <w:p>
            <w:pPr>
              <w:pStyle w:val="TableContents"/>
              <w:bidi w:val="0"/>
              <w:spacing w:before="0" w:after="0"/>
              <w:jc w:val="right"/>
              <w:rPr>
                <w:color w:val="000000"/>
              </w:rPr>
            </w:pPr>
            <w:r>
              <w:rPr>
                <w:color w:val="000000"/>
              </w:rPr>
              <w:t>1,553,736</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1805" w:type="dxa"/>
            <w:tcBorders/>
            <w:tcMar>
              <w:bottom w:w="0" w:type="dxa"/>
            </w:tcMar>
            <w:vAlign w:val="bottom"/>
          </w:tcPr>
          <w:p>
            <w:pPr>
              <w:pStyle w:val="TableContents"/>
              <w:bidi w:val="0"/>
              <w:spacing w:before="0" w:after="0"/>
              <w:jc w:val="center"/>
              <w:rPr>
                <w:color w:val="000000"/>
              </w:rPr>
            </w:pPr>
            <w:r>
              <w:rPr>
                <w:color w:val="000000"/>
              </w:rPr>
              <w:t>May 9, 2024</w:t>
            </w:r>
          </w:p>
        </w:tc>
        <w:tc>
          <w:tcPr>
            <w:tcW w:w="920" w:type="dxa"/>
            <w:tcBorders/>
            <w:tcMar>
              <w:bottom w:w="0" w:type="dxa"/>
            </w:tcMar>
            <w:vAlign w:val="bottom"/>
          </w:tcPr>
          <w:p>
            <w:pPr>
              <w:pStyle w:val="TableContents"/>
              <w:bidi w:val="0"/>
              <w:spacing w:before="0" w:after="0"/>
              <w:jc w:val="center"/>
              <w:rPr>
                <w:color w:val="000000"/>
              </w:rPr>
            </w:pPr>
            <w:r>
              <w:rPr>
                <w:color w:val="000000"/>
              </w:rPr>
              <w:t>Quarterly</w:t>
            </w:r>
          </w:p>
        </w:tc>
        <w:tc>
          <w:tcPr>
            <w:tcW w:w="1925" w:type="dxa"/>
            <w:tcBorders/>
            <w:tcMar>
              <w:bottom w:w="0" w:type="dxa"/>
            </w:tcMar>
            <w:vAlign w:val="bottom"/>
          </w:tcPr>
          <w:p>
            <w:pPr>
              <w:pStyle w:val="TableContents"/>
              <w:bidi w:val="0"/>
              <w:spacing w:before="0" w:after="0"/>
              <w:jc w:val="center"/>
              <w:rPr>
                <w:color w:val="000000"/>
              </w:rPr>
            </w:pPr>
            <w:r>
              <w:rPr>
                <w:color w:val="000000"/>
              </w:rPr>
              <w:t>June 20, 2024</w:t>
            </w:r>
          </w:p>
        </w:tc>
        <w:tc>
          <w:tcPr>
            <w:tcW w:w="1925" w:type="dxa"/>
            <w:tcBorders/>
            <w:tcMar>
              <w:bottom w:w="0" w:type="dxa"/>
            </w:tcMar>
            <w:vAlign w:val="bottom"/>
          </w:tcPr>
          <w:p>
            <w:pPr>
              <w:pStyle w:val="TableContents"/>
              <w:bidi w:val="0"/>
              <w:spacing w:before="0" w:after="0"/>
              <w:jc w:val="center"/>
              <w:rPr>
                <w:color w:val="000000"/>
              </w:rPr>
            </w:pPr>
            <w:r>
              <w:rPr>
                <w:color w:val="000000"/>
              </w:rPr>
              <w:t>June 28, 2024</w:t>
            </w:r>
          </w:p>
        </w:tc>
        <w:tc>
          <w:tcPr>
            <w:tcW w:w="60" w:type="dxa"/>
            <w:tcBorders/>
            <w:tcMar>
              <w:bottom w:w="0" w:type="dxa"/>
            </w:tcMar>
            <w:vAlign w:val="bottom"/>
          </w:tcPr>
          <w:p>
            <w:pPr>
              <w:pStyle w:val="TableContents"/>
              <w:bidi w:val="0"/>
              <w:spacing w:before="0" w:after="283"/>
              <w:jc w:val="left"/>
              <w:rPr/>
            </w:pPr>
            <w:r>
              <w:rPr/>
              <w:t> </w:t>
            </w:r>
          </w:p>
        </w:tc>
        <w:tc>
          <w:tcPr>
            <w:tcW w:w="250" w:type="dxa"/>
            <w:tcBorders/>
            <w:tcMar>
              <w:bottom w:w="0" w:type="dxa"/>
            </w:tcMar>
            <w:vAlign w:val="bottom"/>
          </w:tcPr>
          <w:p>
            <w:pPr>
              <w:pStyle w:val="TableContents"/>
              <w:bidi w:val="0"/>
              <w:spacing w:before="0" w:after="0"/>
              <w:jc w:val="left"/>
              <w:rPr>
                <w:color w:val="000000"/>
              </w:rPr>
            </w:pPr>
            <w:r>
              <w:rPr>
                <w:color w:val="000000"/>
              </w:rPr>
              <w:t>$</w:t>
            </w:r>
          </w:p>
        </w:tc>
        <w:tc>
          <w:tcPr>
            <w:tcW w:w="789" w:type="dxa"/>
            <w:tcBorders/>
            <w:tcMar>
              <w:bottom w:w="0" w:type="dxa"/>
            </w:tcMar>
            <w:vAlign w:val="bottom"/>
          </w:tcPr>
          <w:p>
            <w:pPr>
              <w:pStyle w:val="TableContents"/>
              <w:bidi w:val="0"/>
              <w:spacing w:before="0" w:after="0"/>
              <w:jc w:val="right"/>
              <w:rPr>
                <w:color w:val="000000"/>
              </w:rPr>
            </w:pPr>
            <w:r>
              <w:rPr>
                <w:color w:val="000000"/>
              </w:rPr>
              <w:t>0.25</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95" w:type="dxa"/>
            <w:tcBorders/>
            <w:tcMar>
              <w:bottom w:w="0" w:type="dxa"/>
            </w:tcMar>
            <w:vAlign w:val="bottom"/>
          </w:tcPr>
          <w:p>
            <w:pPr>
              <w:pStyle w:val="TableContents"/>
              <w:bidi w:val="0"/>
              <w:spacing w:before="0" w:after="0"/>
              <w:jc w:val="left"/>
              <w:rPr>
                <w:color w:val="000000"/>
              </w:rPr>
            </w:pPr>
            <w:r>
              <w:rPr>
                <w:color w:val="000000"/>
              </w:rPr>
              <w:t>$</w:t>
            </w:r>
          </w:p>
        </w:tc>
        <w:tc>
          <w:tcPr>
            <w:tcW w:w="1369" w:type="dxa"/>
            <w:tcBorders/>
            <w:tcMar>
              <w:bottom w:w="0" w:type="dxa"/>
            </w:tcMar>
            <w:vAlign w:val="bottom"/>
          </w:tcPr>
          <w:p>
            <w:pPr>
              <w:pStyle w:val="TableContents"/>
              <w:bidi w:val="0"/>
              <w:spacing w:before="0" w:after="0"/>
              <w:jc w:val="right"/>
              <w:rPr>
                <w:color w:val="000000"/>
              </w:rPr>
            </w:pPr>
            <w:r>
              <w:rPr>
                <w:color w:val="000000"/>
              </w:rPr>
              <w:t>1,553,738</w:t>
            </w:r>
          </w:p>
        </w:tc>
        <w:tc>
          <w:tcPr>
            <w:tcW w:w="60"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Dividend Reinvestment Plan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have adopted an “opt out” dividend reinvestment plan (“DRIP”) for our stockholders. As a result, if we declare a dividend, then stockholders’ cash distributions will be automatically reinvested in additional shares of our common stock, unless they specifically “opt out” of the dividend reinvestment plan so as to receive cash distributions. Stockholders who receive distributions in the form of shares of our common stock generally are subject to the same U.S. federal income tax consequences as are stockholders who elect to receive their distributions in cash.</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r>
        <w:rPr>
          <w:rFonts w:ascii="Times New Roman;Times;serif" w:hAnsi="Times New Roman;Times;serif"/>
          <w:color w:val="000000"/>
          <w:sz w:val="20"/>
          <w:shd w:fill="FFFFFF" w:val="clear"/>
        </w:rPr>
        <w:t xml:space="preserve"> </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six months ended June 30, 2024, the Company issued the following shares of common stock under the DRIP:</w:t>
      </w:r>
    </w:p>
    <w:p>
      <w:pPr>
        <w:pStyle w:val="TextBody"/>
        <w:bidi w:val="0"/>
        <w:spacing w:before="0" w:after="0"/>
        <w:jc w:val="left"/>
        <w:rPr/>
      </w:pPr>
      <w:r>
        <w:rPr/>
      </w:r>
    </w:p>
    <w:tbl>
      <w:tblPr>
        <w:tblW w:w="6565" w:type="dxa"/>
        <w:jc w:val="left"/>
        <w:tblInd w:w="0" w:type="dxa"/>
        <w:tblLayout w:type="fixed"/>
        <w:tblCellMar>
          <w:top w:w="0" w:type="dxa"/>
          <w:left w:w="0" w:type="dxa"/>
          <w:bottom w:w="28" w:type="dxa"/>
          <w:right w:w="0" w:type="dxa"/>
        </w:tblCellMar>
      </w:tblPr>
      <w:tblGrid>
        <w:gridCol w:w="1745"/>
        <w:gridCol w:w="920"/>
        <w:gridCol w:w="1535"/>
        <w:gridCol w:w="1535"/>
        <w:gridCol w:w="60"/>
        <w:gridCol w:w="133"/>
        <w:gridCol w:w="577"/>
        <w:gridCol w:w="60"/>
      </w:tblGrid>
      <w:tr>
        <w:trPr/>
        <w:tc>
          <w:tcPr>
            <w:tcW w:w="1745" w:type="dxa"/>
            <w:tcBorders>
              <w:bottom w:val="single" w:sz="12" w:space="0" w:color="000000"/>
            </w:tcBorders>
            <w:vAlign w:val="bottom"/>
          </w:tcPr>
          <w:p>
            <w:pPr>
              <w:pStyle w:val="TableContents"/>
              <w:bidi w:val="0"/>
              <w:spacing w:before="0" w:after="0"/>
              <w:jc w:val="center"/>
              <w:rPr>
                <w:b/>
                <w:color w:val="000000"/>
              </w:rPr>
            </w:pPr>
            <w:r>
              <w:rPr>
                <w:b/>
                <w:color w:val="000000"/>
              </w:rPr>
              <w:t>Declaration Date</w:t>
            </w:r>
          </w:p>
        </w:tc>
        <w:tc>
          <w:tcPr>
            <w:tcW w:w="920" w:type="dxa"/>
            <w:tcBorders>
              <w:bottom w:val="single" w:sz="12" w:space="0" w:color="000000"/>
            </w:tcBorders>
            <w:vAlign w:val="bottom"/>
          </w:tcPr>
          <w:p>
            <w:pPr>
              <w:pStyle w:val="TableContents"/>
              <w:bidi w:val="0"/>
              <w:spacing w:before="0" w:after="0"/>
              <w:jc w:val="center"/>
              <w:rPr>
                <w:b/>
                <w:color w:val="000000"/>
              </w:rPr>
            </w:pPr>
            <w:r>
              <w:rPr>
                <w:b/>
                <w:color w:val="000000"/>
              </w:rPr>
              <w:t>Type</w:t>
            </w:r>
          </w:p>
        </w:tc>
        <w:tc>
          <w:tcPr>
            <w:tcW w:w="1535" w:type="dxa"/>
            <w:tcBorders>
              <w:bottom w:val="single" w:sz="12" w:space="0" w:color="000000"/>
            </w:tcBorders>
            <w:vAlign w:val="bottom"/>
          </w:tcPr>
          <w:p>
            <w:pPr>
              <w:pStyle w:val="TableContents"/>
              <w:bidi w:val="0"/>
              <w:spacing w:before="0" w:after="0"/>
              <w:jc w:val="center"/>
              <w:rPr>
                <w:b/>
                <w:color w:val="000000"/>
              </w:rPr>
            </w:pPr>
            <w:r>
              <w:rPr>
                <w:b/>
                <w:color w:val="000000"/>
              </w:rPr>
              <w:t>Record Date</w:t>
            </w:r>
          </w:p>
        </w:tc>
        <w:tc>
          <w:tcPr>
            <w:tcW w:w="1535" w:type="dxa"/>
            <w:tcBorders>
              <w:bottom w:val="single" w:sz="12" w:space="0" w:color="000000"/>
            </w:tcBorders>
            <w:vAlign w:val="bottom"/>
          </w:tcPr>
          <w:p>
            <w:pPr>
              <w:pStyle w:val="TableContents"/>
              <w:bidi w:val="0"/>
              <w:spacing w:before="0" w:after="0"/>
              <w:jc w:val="center"/>
              <w:rPr>
                <w:b/>
                <w:color w:val="000000"/>
              </w:rPr>
            </w:pPr>
            <w:r>
              <w:rPr>
                <w:b/>
                <w:color w:val="000000"/>
              </w:rPr>
              <w:t>Payment Date</w:t>
            </w:r>
          </w:p>
        </w:tc>
        <w:tc>
          <w:tcPr>
            <w:tcW w:w="60" w:type="dxa"/>
            <w:tcBorders/>
            <w:tcMar>
              <w:bottom w:w="0" w:type="dxa"/>
            </w:tcMar>
            <w:vAlign w:val="bottom"/>
          </w:tcPr>
          <w:p>
            <w:pPr>
              <w:pStyle w:val="TableContents"/>
              <w:bidi w:val="0"/>
              <w:spacing w:before="0" w:after="283"/>
              <w:jc w:val="left"/>
              <w:rPr/>
            </w:pPr>
            <w:r>
              <w:rPr/>
              <w:t> </w:t>
            </w:r>
          </w:p>
        </w:tc>
        <w:tc>
          <w:tcPr>
            <w:tcW w:w="710" w:type="dxa"/>
            <w:gridSpan w:val="2"/>
            <w:tcBorders>
              <w:bottom w:val="single" w:sz="12" w:space="0" w:color="000000"/>
            </w:tcBorders>
            <w:vAlign w:val="bottom"/>
          </w:tcPr>
          <w:p>
            <w:pPr>
              <w:pStyle w:val="TableContents"/>
              <w:bidi w:val="0"/>
              <w:spacing w:before="0" w:after="0"/>
              <w:jc w:val="center"/>
              <w:rPr>
                <w:b/>
                <w:color w:val="000000"/>
              </w:rPr>
            </w:pPr>
            <w:r>
              <w:rPr>
                <w:b/>
                <w:color w:val="000000"/>
              </w:rPr>
              <w:t>Shares</w:t>
            </w:r>
          </w:p>
        </w:tc>
        <w:tc>
          <w:tcPr>
            <w:tcW w:w="60" w:type="dxa"/>
            <w:tcBorders/>
            <w:tcMar>
              <w:bottom w:w="0" w:type="dxa"/>
            </w:tcMar>
            <w:vAlign w:val="bottom"/>
          </w:tcPr>
          <w:p>
            <w:pPr>
              <w:pStyle w:val="TableContents"/>
              <w:bidi w:val="0"/>
              <w:spacing w:before="0" w:after="283"/>
              <w:jc w:val="left"/>
              <w:rPr/>
            </w:pPr>
            <w:r>
              <w:rPr/>
              <w:t> </w:t>
            </w:r>
          </w:p>
        </w:tc>
      </w:tr>
      <w:tr>
        <w:trPr/>
        <w:tc>
          <w:tcPr>
            <w:tcW w:w="1745" w:type="dxa"/>
            <w:tcBorders/>
            <w:shd w:fill="CCEEFF" w:val="clear"/>
            <w:tcMar>
              <w:bottom w:w="0" w:type="dxa"/>
            </w:tcMar>
            <w:vAlign w:val="bottom"/>
          </w:tcPr>
          <w:p>
            <w:pPr>
              <w:pStyle w:val="TableContents"/>
              <w:bidi w:val="0"/>
              <w:spacing w:before="0" w:after="0"/>
              <w:jc w:val="center"/>
              <w:rPr>
                <w:color w:val="000000"/>
              </w:rPr>
            </w:pPr>
            <w:r>
              <w:rPr>
                <w:color w:val="000000"/>
              </w:rPr>
              <w:t>March 8, 2024</w:t>
            </w:r>
          </w:p>
        </w:tc>
        <w:tc>
          <w:tcPr>
            <w:tcW w:w="920" w:type="dxa"/>
            <w:tcBorders/>
            <w:shd w:fill="CCEEFF" w:val="clear"/>
            <w:tcMar>
              <w:bottom w:w="0" w:type="dxa"/>
            </w:tcMar>
            <w:vAlign w:val="bottom"/>
          </w:tcPr>
          <w:p>
            <w:pPr>
              <w:pStyle w:val="TableContents"/>
              <w:bidi w:val="0"/>
              <w:spacing w:before="0" w:after="0"/>
              <w:jc w:val="center"/>
              <w:rPr>
                <w:color w:val="000000"/>
              </w:rPr>
            </w:pPr>
            <w:r>
              <w:rPr>
                <w:color w:val="000000"/>
              </w:rPr>
              <w:t>Quarterly</w:t>
            </w:r>
          </w:p>
        </w:tc>
        <w:tc>
          <w:tcPr>
            <w:tcW w:w="1535" w:type="dxa"/>
            <w:tcBorders/>
            <w:shd w:fill="CCEEFF" w:val="clear"/>
            <w:tcMar>
              <w:bottom w:w="0" w:type="dxa"/>
            </w:tcMar>
            <w:vAlign w:val="bottom"/>
          </w:tcPr>
          <w:p>
            <w:pPr>
              <w:pStyle w:val="TableContents"/>
              <w:bidi w:val="0"/>
              <w:spacing w:before="0" w:after="0"/>
              <w:jc w:val="center"/>
              <w:rPr>
                <w:color w:val="000000"/>
              </w:rPr>
            </w:pPr>
            <w:r>
              <w:rPr>
                <w:color w:val="000000"/>
              </w:rPr>
              <w:t>March 20, 2024</w:t>
            </w:r>
          </w:p>
        </w:tc>
        <w:tc>
          <w:tcPr>
            <w:tcW w:w="1535" w:type="dxa"/>
            <w:tcBorders/>
            <w:shd w:fill="CCEEFF" w:val="clear"/>
            <w:tcMar>
              <w:bottom w:w="0" w:type="dxa"/>
            </w:tcMar>
            <w:vAlign w:val="bottom"/>
          </w:tcPr>
          <w:p>
            <w:pPr>
              <w:pStyle w:val="TableContents"/>
              <w:bidi w:val="0"/>
              <w:spacing w:before="0" w:after="0"/>
              <w:jc w:val="center"/>
              <w:rPr>
                <w:color w:val="000000"/>
              </w:rPr>
            </w:pPr>
            <w:r>
              <w:rPr>
                <w:color w:val="000000"/>
              </w:rPr>
              <w:t>March 28, 2024</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3" w:type="dxa"/>
            <w:tcBorders/>
            <w:shd w:fill="CCEEFF" w:val="clear"/>
            <w:tcMar>
              <w:bottom w:w="0" w:type="dxa"/>
            </w:tcMar>
            <w:vAlign w:val="bottom"/>
          </w:tcPr>
          <w:p>
            <w:pPr>
              <w:pStyle w:val="TableContents"/>
              <w:bidi w:val="0"/>
              <w:spacing w:before="0" w:after="283"/>
              <w:jc w:val="left"/>
              <w:rPr/>
            </w:pPr>
            <w:r>
              <w:rPr/>
              <w:t> </w:t>
            </w:r>
          </w:p>
        </w:tc>
        <w:tc>
          <w:tcPr>
            <w:tcW w:w="577" w:type="dxa"/>
            <w:tcBorders/>
            <w:shd w:fill="CCEEFF" w:val="clear"/>
            <w:tcMar>
              <w:bottom w:w="0" w:type="dxa"/>
            </w:tcMar>
            <w:vAlign w:val="bottom"/>
          </w:tcPr>
          <w:p>
            <w:pPr>
              <w:pStyle w:val="TableContents"/>
              <w:bidi w:val="0"/>
              <w:spacing w:before="0" w:after="0"/>
              <w:jc w:val="right"/>
              <w:rPr>
                <w:color w:val="000000"/>
              </w:rPr>
            </w:pPr>
            <w:r>
              <w:rPr>
                <w:color w:val="000000"/>
              </w:rPr>
              <w:t>8</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1745" w:type="dxa"/>
            <w:tcBorders/>
            <w:tcMar>
              <w:bottom w:w="0" w:type="dxa"/>
            </w:tcMar>
            <w:vAlign w:val="bottom"/>
          </w:tcPr>
          <w:p>
            <w:pPr>
              <w:pStyle w:val="TableContents"/>
              <w:bidi w:val="0"/>
              <w:spacing w:before="0" w:after="0"/>
              <w:jc w:val="center"/>
              <w:rPr>
                <w:color w:val="000000"/>
              </w:rPr>
            </w:pPr>
            <w:r>
              <w:rPr>
                <w:color w:val="000000"/>
              </w:rPr>
              <w:t>May 9, 2024</w:t>
            </w:r>
          </w:p>
        </w:tc>
        <w:tc>
          <w:tcPr>
            <w:tcW w:w="920" w:type="dxa"/>
            <w:tcBorders/>
            <w:tcMar>
              <w:bottom w:w="0" w:type="dxa"/>
            </w:tcMar>
            <w:vAlign w:val="bottom"/>
          </w:tcPr>
          <w:p>
            <w:pPr>
              <w:pStyle w:val="TableContents"/>
              <w:bidi w:val="0"/>
              <w:spacing w:before="0" w:after="0"/>
              <w:jc w:val="center"/>
              <w:rPr>
                <w:color w:val="000000"/>
              </w:rPr>
            </w:pPr>
            <w:r>
              <w:rPr>
                <w:color w:val="000000"/>
              </w:rPr>
              <w:t>Quarterly</w:t>
            </w:r>
          </w:p>
        </w:tc>
        <w:tc>
          <w:tcPr>
            <w:tcW w:w="1535" w:type="dxa"/>
            <w:tcBorders/>
            <w:tcMar>
              <w:bottom w:w="0" w:type="dxa"/>
            </w:tcMar>
            <w:vAlign w:val="bottom"/>
          </w:tcPr>
          <w:p>
            <w:pPr>
              <w:pStyle w:val="TableContents"/>
              <w:bidi w:val="0"/>
              <w:spacing w:before="0" w:after="0"/>
              <w:jc w:val="center"/>
              <w:rPr>
                <w:color w:val="000000"/>
              </w:rPr>
            </w:pPr>
            <w:r>
              <w:rPr>
                <w:color w:val="000000"/>
              </w:rPr>
              <w:t>June 20, 2024</w:t>
            </w:r>
          </w:p>
        </w:tc>
        <w:tc>
          <w:tcPr>
            <w:tcW w:w="1535" w:type="dxa"/>
            <w:tcBorders/>
            <w:tcMar>
              <w:bottom w:w="0" w:type="dxa"/>
            </w:tcMar>
            <w:vAlign w:val="bottom"/>
          </w:tcPr>
          <w:p>
            <w:pPr>
              <w:pStyle w:val="TableContents"/>
              <w:bidi w:val="0"/>
              <w:spacing w:before="0" w:after="0"/>
              <w:jc w:val="center"/>
              <w:rPr>
                <w:color w:val="000000"/>
              </w:rPr>
            </w:pPr>
            <w:r>
              <w:rPr>
                <w:color w:val="000000"/>
              </w:rPr>
              <w:t>June 28, 2024</w:t>
            </w:r>
          </w:p>
        </w:tc>
        <w:tc>
          <w:tcPr>
            <w:tcW w:w="60" w:type="dxa"/>
            <w:tcBorders/>
            <w:tcMar>
              <w:bottom w:w="0" w:type="dxa"/>
            </w:tcMar>
            <w:vAlign w:val="bottom"/>
          </w:tcPr>
          <w:p>
            <w:pPr>
              <w:pStyle w:val="TableContents"/>
              <w:bidi w:val="0"/>
              <w:spacing w:before="0" w:after="283"/>
              <w:jc w:val="left"/>
              <w:rPr/>
            </w:pPr>
            <w:r>
              <w:rPr/>
              <w:t> </w:t>
            </w:r>
          </w:p>
        </w:tc>
        <w:tc>
          <w:tcPr>
            <w:tcW w:w="133" w:type="dxa"/>
            <w:tcBorders/>
            <w:tcMar>
              <w:bottom w:w="0" w:type="dxa"/>
            </w:tcMar>
            <w:vAlign w:val="bottom"/>
          </w:tcPr>
          <w:p>
            <w:pPr>
              <w:pStyle w:val="TableContents"/>
              <w:bidi w:val="0"/>
              <w:spacing w:before="0" w:after="283"/>
              <w:jc w:val="left"/>
              <w:rPr/>
            </w:pPr>
            <w:r>
              <w:rPr/>
              <w:t> </w:t>
            </w:r>
          </w:p>
        </w:tc>
        <w:tc>
          <w:tcPr>
            <w:tcW w:w="577" w:type="dxa"/>
            <w:tcBorders/>
            <w:tcMar>
              <w:bottom w:w="0" w:type="dxa"/>
            </w:tcMar>
            <w:vAlign w:val="bottom"/>
          </w:tcPr>
          <w:p>
            <w:pPr>
              <w:pStyle w:val="TableContents"/>
              <w:bidi w:val="0"/>
              <w:spacing w:before="0" w:after="0"/>
              <w:jc w:val="right"/>
              <w:rPr>
                <w:color w:val="000000"/>
              </w:rPr>
            </w:pPr>
            <w:r>
              <w:rPr>
                <w:color w:val="000000"/>
              </w:rPr>
              <w:t>15</w:t>
            </w:r>
          </w:p>
        </w:tc>
        <w:tc>
          <w:tcPr>
            <w:tcW w:w="60"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six months ended June 30, 2023, the Company issued no new shares of common stock under the DRIP.</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Issuer Purchases of Equity Securities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did not repurchase any of our equity securities during the six months ended June 30, 2024 or the fiscal year ended December 31, 2023.</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Recent Developments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February 18, 2024, we entered into a definitive Purchase Agreement (the “Loan Portfolio Acquisition Agreement”) with Chicago Atlantic Loan Portfolio, LLC (“CALP”), pursuant to which we would purchase all or substantially all of the portfolio investments held by CALP (the “Loan Portfolio”) in exchange for newly issued shares of our common stock with a net asset value equal to the value of the Loan Portfolio, each determined shortly before closing (the “Loan Portfolio Consideration”), subject to certain customary closing conditions (the “Loan Portfolio Acquisition”). Our Board of Directors, including all our independent directors, upon the recommendation of a special committee composed solely of our independent directors (the “Special Committee”), has approved the Loan Portfolio Acquisition Agreement and the transactions contemplated thereby. Our current officers would continue to be a part of our management team following the Loan Portfolio Acquisition. Assuming satisfaction of the conditions to the transaction, the Loan Portfolio Acquisition is expected to close in mid-2024. See “Note 12 – Proposed Loan Portfolio Acquisition” in the notes to the financial statements included with this quarterly report on Form 10-Q for further information regarding the Loan Portfolio Acquisition Agreement and the Loan Portfolio Acquisition.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February 20, 2024, SSC announced that it entered into a definitive agreement with Chicago Atlantic BDC Holdings, LLC (together with its affiliates, “Chicago Atlantic”), the investment adviser of CALP, pursuant to which a joint venture between Chicago Atlantic and SSC would be created to combine and jointly operate SSC’s, and a portion of Chicago Atlantic’s, investment management businesses, subject to certain customary closing conditions (the “Joint Venture”). The Joint Venture would cause the automatic termination of our existing investment advisory agreement with SSC. As a result, our Board of Directors unanimously approved, upon the recommendation of the Special Committee, a new investment advisory agreement with SSC to take effect upon closing of the Joint Venture, subject to Company stockholder approval. The new investment advisory agreement is identical, in all material respects, to the current investment advisory agreement. Upon the effectiveness of the new investment advisory agreement, the Company would be renamed Chicago Atlantic BDC, Inc. and SSC would be renamed Chicago Atlantic BDC Advisers, LLC.</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February 20, 2024, we announced that our Board of Directors unanimously approved an expansion of our investment strategy to permit investments in companies outside of the cannabis and health and wellness sectors that otherwise meet our investment criteria. The investment strategy change became effective on April 22, 2024.</w:t>
      </w:r>
    </w:p>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May 14, 2024, Roxanne Jenkins resigned from her Secretary and Chief Compliance Officer positions with the Company. Ms. Jenkins’ decision to resign from the Company was not due to a disagreement on any matter related to the Company’s operations, policies or practices.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On May 14, 2024, our Board of Directors appointed Umesh Mahajan to the position of Secretary of the Company and Alexander Woodcock to the position of Chief Compliance Officer of the Company. Mr. Mahajan and Mr. Woodcock will serve as Secretary of the Company and Chief Compliance Officer of the Company, respectively, until his successor has been duly elected and qualified, or until the earlier of his resignation or removal. </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Mr. Woodcock is the President and Chief Compliance Officer of PINE Distributors LLC and oversees the delivery of PINE’s Distribution Services. He is also a member of the Registered Fund Chief Compliance Officer Services team at PINE and serves as CCO for mutual funds, ETFs, and other 1940 Act registered products. Mr. Woodcock has over 13 years of experience building and leading compliance programs at global financial services firms across diverse product and business lines. Before joining PINE in 2022, Mr. Woodcock served as Vice President of Compliance Services at SS&amp;C ALPS. In this role, which he began in 2019, he led the Compliance Services team, delivering fund CCO support to over 10 client trusts, and post-trade compliance testing services to over 70 fund families. Mr. Woodcock’s qualifications include being a Certified Anti-Money Laundering Specialist, holding FINRA Series 7 and 24 registrations, and studying International Business and Economics at Aston University in England.</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r>
        <w:rPr>
          <w:rFonts w:ascii="Times New Roman;Times;serif" w:hAnsi="Times New Roman;Times;serif"/>
          <w:color w:val="000000"/>
          <w:sz w:val="20"/>
          <w:shd w:fill="FFFFFF" w:val="clear"/>
        </w:rPr>
        <w:t xml:space="preserve"> </w:t>
      </w:r>
    </w:p>
    <w:p>
      <w:pPr>
        <w:pStyle w:val="Normal"/>
        <w:bidi w:val="0"/>
        <w:spacing w:before="0" w:after="0"/>
        <w:jc w:val="left"/>
        <w:rPr>
          <w:sz w:val="4"/>
          <w:szCs w:val="4"/>
        </w:rPr>
      </w:pPr>
      <w:r>
        <w:rPr>
          <w:sz w:val="4"/>
          <w:szCs w:val="4"/>
        </w:rPr>
      </w:r>
      <w:bookmarkStart w:id="12" w:name="QuantitativeandQualitativ"/>
      <w:bookmarkStart w:id="13" w:name="QuantitativeandQualitativ"/>
      <w:bookmarkEnd w:id="13"/>
    </w:p>
    <w:tbl>
      <w:tblPr>
        <w:tblW w:w="6910" w:type="dxa"/>
        <w:jc w:val="left"/>
        <w:tblInd w:w="0" w:type="dxa"/>
        <w:tblLayout w:type="fixed"/>
        <w:tblCellMar>
          <w:top w:w="0" w:type="dxa"/>
          <w:left w:w="0" w:type="dxa"/>
          <w:bottom w:w="0" w:type="dxa"/>
          <w:right w:w="0" w:type="dxa"/>
        </w:tblCellMar>
      </w:tblPr>
      <w:tblGrid>
        <w:gridCol w:w="740"/>
        <w:gridCol w:w="6170"/>
      </w:tblGrid>
      <w:tr>
        <w:trPr/>
        <w:tc>
          <w:tcPr>
            <w:tcW w:w="740" w:type="dxa"/>
            <w:tcBorders/>
            <w:vAlign w:val="center"/>
          </w:tcPr>
          <w:p>
            <w:pPr>
              <w:pStyle w:val="TableContents"/>
              <w:bidi w:val="0"/>
              <w:spacing w:before="0" w:after="283"/>
              <w:jc w:val="left"/>
              <w:rPr>
                <w:b/>
              </w:rPr>
            </w:pPr>
            <w:r>
              <w:rPr>
                <w:b/>
              </w:rPr>
              <w:t>Item 3.</w:t>
            </w:r>
          </w:p>
        </w:tc>
        <w:tc>
          <w:tcPr>
            <w:tcW w:w="6170" w:type="dxa"/>
            <w:tcBorders/>
            <w:vAlign w:val="center"/>
          </w:tcPr>
          <w:p>
            <w:pPr>
              <w:pStyle w:val="TableContents"/>
              <w:bidi w:val="0"/>
              <w:spacing w:before="0" w:after="0"/>
              <w:jc w:val="left"/>
              <w:rPr>
                <w:b/>
              </w:rPr>
            </w:pPr>
            <w:r>
              <w:rPr>
                <w:b/>
              </w:rPr>
              <w:t>Quantitative and Qualitative Disclosures About Market Risk</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Uncertainty with respect to the economic effects of political tensions in the United States and around the world (including the Russia-Ukraine war and the Israel-Hamas war) have introduced significant volatility in the financial markets, and the effect of the volatility could materially impact our market risks, including those listed below. We are subject to financial market risks, including valuation risk, interest rate risk and credit risk.</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Valuation Risk</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including as a result of the impact of the COVID</w:t>
        <w:noBreakHyphen/>
        <w:t>19 pandemic on the economy and financial and capital markets. Because of the inherent uncertainty of valuation, these estimated values may differ significantly from the values that would have been used had a ready market for the investments existed, and it is possible that the difference could be material.</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Interest Rate Risk</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Interest rate sensitivity and risk refer to the change in earnings that may result from changes in the level of interest rates. To the extent that we borrow money to make investments, including under any credit facility, our net investment income will be affected by the difference between the rate at which we borrow funds and the rate at which we invest these funds. In periods of rising interest rates, our cost of borrowing funds would increase, which may reduce our net investment income. As a result, there can be no assurance that a significant change in market interest rates will not have a material adverse effect on our net investment income.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June 30, 2024, 81.5% of our debt investments based on outstanding principal balance represented floating-rate investments based on PRIME and approximately 18.5% of our debt investments based on outstanding principal balance represented fixed rate investments. As of December 31, 2023, 84.1% of our debt investments based on outstanding principal balance represented floating-rate investments based on PRIME and approximately 15.9% of our debt investments based on outstanding principal balance represented fixed rate investments.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 the six months ended June 30, 2024, the following table shows the annualized impact on net income of hypothetical base rate changes in the PRIME rate on our debt investments (considering interest rate floors for floating rate instruments):</w:t>
      </w:r>
    </w:p>
    <w:p>
      <w:pPr>
        <w:pStyle w:val="TextBody"/>
        <w:bidi w:val="0"/>
        <w:spacing w:before="0" w:after="0"/>
        <w:jc w:val="left"/>
        <w:rPr/>
      </w:pPr>
      <w:r>
        <w:rPr/>
      </w:r>
    </w:p>
    <w:tbl>
      <w:tblPr>
        <w:tblW w:w="8097" w:type="dxa"/>
        <w:jc w:val="left"/>
        <w:tblInd w:w="0" w:type="dxa"/>
        <w:tblLayout w:type="fixed"/>
        <w:tblCellMar>
          <w:top w:w="0" w:type="dxa"/>
          <w:left w:w="0" w:type="dxa"/>
          <w:bottom w:w="28" w:type="dxa"/>
          <w:right w:w="0" w:type="dxa"/>
        </w:tblCellMar>
      </w:tblPr>
      <w:tblGrid>
        <w:gridCol w:w="2540"/>
        <w:gridCol w:w="60"/>
        <w:gridCol w:w="289"/>
        <w:gridCol w:w="1320"/>
        <w:gridCol w:w="95"/>
        <w:gridCol w:w="60"/>
        <w:gridCol w:w="984"/>
        <w:gridCol w:w="670"/>
        <w:gridCol w:w="60"/>
        <w:gridCol w:w="60"/>
        <w:gridCol w:w="334"/>
        <w:gridCol w:w="1530"/>
        <w:gridCol w:w="95"/>
      </w:tblGrid>
      <w:tr>
        <w:trPr/>
        <w:tc>
          <w:tcPr>
            <w:tcW w:w="2540"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Change in Interest Rates</w:t>
            </w:r>
          </w:p>
        </w:tc>
        <w:tc>
          <w:tcPr>
            <w:tcW w:w="60" w:type="dxa"/>
            <w:tcBorders/>
            <w:tcMar>
              <w:bottom w:w="0" w:type="dxa"/>
            </w:tcMar>
            <w:vAlign w:val="bottom"/>
          </w:tcPr>
          <w:p>
            <w:pPr>
              <w:pStyle w:val="TableContents"/>
              <w:bidi w:val="0"/>
              <w:spacing w:before="0" w:after="283"/>
              <w:jc w:val="left"/>
              <w:rPr/>
            </w:pPr>
            <w:r>
              <w:rPr/>
              <w:t> </w:t>
            </w:r>
          </w:p>
        </w:tc>
        <w:tc>
          <w:tcPr>
            <w:tcW w:w="1609" w:type="dxa"/>
            <w:gridSpan w:val="2"/>
            <w:tcBorders>
              <w:bottom w:val="single" w:sz="12" w:space="0" w:color="000000"/>
            </w:tcBorders>
            <w:vAlign w:val="bottom"/>
          </w:tcPr>
          <w:p>
            <w:pPr>
              <w:pStyle w:val="TableContents"/>
              <w:bidi w:val="0"/>
              <w:spacing w:before="0" w:after="0"/>
              <w:jc w:val="center"/>
              <w:rPr>
                <w:b/>
                <w:color w:val="000000"/>
              </w:rPr>
            </w:pPr>
            <w:r>
              <w:rPr>
                <w:b/>
                <w:color w:val="000000"/>
              </w:rPr>
              <w:t>Interest Income</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54" w:type="dxa"/>
            <w:gridSpan w:val="2"/>
            <w:tcBorders>
              <w:bottom w:val="single" w:sz="12" w:space="0" w:color="000000"/>
            </w:tcBorders>
            <w:vAlign w:val="bottom"/>
          </w:tcPr>
          <w:p>
            <w:pPr>
              <w:pStyle w:val="TableContents"/>
              <w:bidi w:val="0"/>
              <w:spacing w:before="0" w:after="0"/>
              <w:jc w:val="center"/>
              <w:rPr>
                <w:b/>
                <w:color w:val="000000"/>
              </w:rPr>
            </w:pPr>
            <w:r>
              <w:rPr>
                <w:b/>
                <w:color w:val="000000"/>
              </w:rPr>
              <w:t>Interest expense</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64" w:type="dxa"/>
            <w:gridSpan w:val="2"/>
            <w:tcBorders>
              <w:bottom w:val="single" w:sz="12" w:space="0" w:color="000000"/>
            </w:tcBorders>
            <w:vAlign w:val="bottom"/>
          </w:tcPr>
          <w:p>
            <w:pPr>
              <w:pStyle w:val="TableContents"/>
              <w:bidi w:val="0"/>
              <w:spacing w:before="0" w:after="0"/>
              <w:jc w:val="center"/>
              <w:rPr>
                <w:b/>
                <w:color w:val="000000"/>
              </w:rPr>
            </w:pPr>
            <w:r>
              <w:rPr>
                <w:b/>
                <w:color w:val="000000"/>
              </w:rPr>
              <w:t>Net Income/(Loss)</w:t>
            </w:r>
          </w:p>
        </w:tc>
        <w:tc>
          <w:tcPr>
            <w:tcW w:w="95" w:type="dxa"/>
            <w:tcBorders/>
            <w:tcMar>
              <w:bottom w:w="0" w:type="dxa"/>
            </w:tcMar>
            <w:vAlign w:val="bottom"/>
          </w:tcPr>
          <w:p>
            <w:pPr>
              <w:pStyle w:val="TableContents"/>
              <w:bidi w:val="0"/>
              <w:spacing w:before="0" w:after="283"/>
              <w:jc w:val="left"/>
              <w:rPr/>
            </w:pPr>
            <w:r>
              <w:rPr/>
              <w:t> </w:t>
            </w:r>
          </w:p>
        </w:tc>
      </w:tr>
      <w:tr>
        <w:trPr/>
        <w:tc>
          <w:tcPr>
            <w:tcW w:w="2540"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Up 300 basis points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89"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320" w:type="dxa"/>
            <w:tcBorders/>
            <w:shd w:fill="CCEEFF" w:val="clear"/>
            <w:tcMar>
              <w:bottom w:w="0" w:type="dxa"/>
            </w:tcMar>
            <w:vAlign w:val="bottom"/>
          </w:tcPr>
          <w:p>
            <w:pPr>
              <w:pStyle w:val="TableContents"/>
              <w:bidi w:val="0"/>
              <w:spacing w:before="0" w:after="0"/>
              <w:jc w:val="right"/>
              <w:rPr>
                <w:color w:val="000000"/>
              </w:rPr>
            </w:pPr>
            <w:r>
              <w:rPr>
                <w:color w:val="000000"/>
              </w:rPr>
              <w:t>1,299</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984"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7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334"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530" w:type="dxa"/>
            <w:tcBorders/>
            <w:shd w:fill="CCEEFF" w:val="clear"/>
            <w:tcMar>
              <w:bottom w:w="0" w:type="dxa"/>
            </w:tcMar>
            <w:vAlign w:val="bottom"/>
          </w:tcPr>
          <w:p>
            <w:pPr>
              <w:pStyle w:val="TableContents"/>
              <w:bidi w:val="0"/>
              <w:spacing w:before="0" w:after="0"/>
              <w:jc w:val="right"/>
              <w:rPr>
                <w:color w:val="000000"/>
              </w:rPr>
            </w:pPr>
            <w:r>
              <w:rPr>
                <w:color w:val="000000"/>
              </w:rPr>
              <w:t>1,299</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2540" w:type="dxa"/>
            <w:tcBorders/>
            <w:tcMar>
              <w:bottom w:w="0" w:type="dxa"/>
            </w:tcMar>
            <w:vAlign w:val="bottom"/>
          </w:tcPr>
          <w:p>
            <w:pPr>
              <w:pStyle w:val="TableContents"/>
              <w:bidi w:val="0"/>
              <w:spacing w:before="0" w:after="0"/>
              <w:ind w:left="144" w:right="0" w:hanging="144"/>
              <w:jc w:val="left"/>
              <w:rPr>
                <w:color w:val="000000"/>
              </w:rPr>
            </w:pPr>
            <w:r>
              <w:rPr>
                <w:color w:val="000000"/>
              </w:rPr>
              <w:t>Up 200 basis points</w:t>
            </w:r>
          </w:p>
        </w:tc>
        <w:tc>
          <w:tcPr>
            <w:tcW w:w="60" w:type="dxa"/>
            <w:tcBorders/>
            <w:tcMar>
              <w:bottom w:w="0" w:type="dxa"/>
            </w:tcMar>
            <w:vAlign w:val="bottom"/>
          </w:tcPr>
          <w:p>
            <w:pPr>
              <w:pStyle w:val="TableContents"/>
              <w:bidi w:val="0"/>
              <w:spacing w:before="0" w:after="283"/>
              <w:jc w:val="left"/>
              <w:rPr/>
            </w:pPr>
            <w:r>
              <w:rPr/>
              <w:t> </w:t>
            </w:r>
          </w:p>
        </w:tc>
        <w:tc>
          <w:tcPr>
            <w:tcW w:w="289" w:type="dxa"/>
            <w:tcBorders/>
            <w:tcMar>
              <w:bottom w:w="0" w:type="dxa"/>
            </w:tcMar>
            <w:vAlign w:val="bottom"/>
          </w:tcPr>
          <w:p>
            <w:pPr>
              <w:pStyle w:val="TableContents"/>
              <w:bidi w:val="0"/>
              <w:spacing w:before="0" w:after="283"/>
              <w:jc w:val="left"/>
              <w:rPr/>
            </w:pPr>
            <w:r>
              <w:rPr/>
              <w:t> </w:t>
            </w:r>
          </w:p>
        </w:tc>
        <w:tc>
          <w:tcPr>
            <w:tcW w:w="1320" w:type="dxa"/>
            <w:tcBorders/>
            <w:tcMar>
              <w:bottom w:w="0" w:type="dxa"/>
            </w:tcMar>
            <w:vAlign w:val="bottom"/>
          </w:tcPr>
          <w:p>
            <w:pPr>
              <w:pStyle w:val="TableContents"/>
              <w:bidi w:val="0"/>
              <w:spacing w:before="0" w:after="283"/>
              <w:jc w:val="right"/>
              <w:rPr/>
            </w:pPr>
            <w:r>
              <w:rPr/>
              <w:t>866</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84" w:type="dxa"/>
            <w:tcBorders/>
            <w:tcMar>
              <w:bottom w:w="0" w:type="dxa"/>
            </w:tcMar>
            <w:vAlign w:val="bottom"/>
          </w:tcPr>
          <w:p>
            <w:pPr>
              <w:pStyle w:val="TableContents"/>
              <w:bidi w:val="0"/>
              <w:spacing w:before="0" w:after="283"/>
              <w:jc w:val="left"/>
              <w:rPr/>
            </w:pPr>
            <w:r>
              <w:rPr/>
              <w:t> </w:t>
            </w:r>
          </w:p>
        </w:tc>
        <w:tc>
          <w:tcPr>
            <w:tcW w:w="670" w:type="dxa"/>
            <w:tcBorders/>
            <w:tcMar>
              <w:bottom w:w="0" w:type="dxa"/>
            </w:tcMar>
            <w:vAlign w:val="bottom"/>
          </w:tcPr>
          <w:p>
            <w:pPr>
              <w:pStyle w:val="TableContents"/>
              <w:bidi w:val="0"/>
              <w:spacing w:before="0" w:after="0"/>
              <w:jc w:val="right"/>
              <w:rPr>
                <w:color w:val="000000"/>
              </w:rPr>
            </w:pPr>
            <w:r>
              <w:rPr>
                <w:color w:val="00000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334"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color w:val="000000"/>
              </w:rPr>
            </w:pPr>
            <w:r>
              <w:rPr>
                <w:color w:val="000000"/>
              </w:rPr>
              <w:t>866</w:t>
            </w:r>
          </w:p>
        </w:tc>
        <w:tc>
          <w:tcPr>
            <w:tcW w:w="95" w:type="dxa"/>
            <w:tcBorders/>
            <w:tcMar>
              <w:bottom w:w="0" w:type="dxa"/>
            </w:tcMar>
            <w:vAlign w:val="bottom"/>
          </w:tcPr>
          <w:p>
            <w:pPr>
              <w:pStyle w:val="TableContents"/>
              <w:bidi w:val="0"/>
              <w:spacing w:before="0" w:after="283"/>
              <w:jc w:val="left"/>
              <w:rPr/>
            </w:pPr>
            <w:r>
              <w:rPr/>
              <w:t> </w:t>
            </w:r>
          </w:p>
        </w:tc>
      </w:tr>
      <w:tr>
        <w:trPr/>
        <w:tc>
          <w:tcPr>
            <w:tcW w:w="2540"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Up 100 basis points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89" w:type="dxa"/>
            <w:tcBorders/>
            <w:shd w:fill="CCEEFF" w:val="clear"/>
            <w:tcMar>
              <w:bottom w:w="0" w:type="dxa"/>
            </w:tcMar>
            <w:vAlign w:val="bottom"/>
          </w:tcPr>
          <w:p>
            <w:pPr>
              <w:pStyle w:val="TableContents"/>
              <w:bidi w:val="0"/>
              <w:spacing w:before="0" w:after="283"/>
              <w:jc w:val="left"/>
              <w:rPr/>
            </w:pPr>
            <w:r>
              <w:rPr/>
              <w:t> </w:t>
            </w:r>
          </w:p>
        </w:tc>
        <w:tc>
          <w:tcPr>
            <w:tcW w:w="1320" w:type="dxa"/>
            <w:tcBorders/>
            <w:shd w:fill="CCEEFF" w:val="clear"/>
            <w:tcMar>
              <w:bottom w:w="0" w:type="dxa"/>
            </w:tcMar>
            <w:vAlign w:val="bottom"/>
          </w:tcPr>
          <w:p>
            <w:pPr>
              <w:pStyle w:val="TableContents"/>
              <w:bidi w:val="0"/>
              <w:spacing w:before="0" w:after="0"/>
              <w:jc w:val="right"/>
              <w:rPr>
                <w:color w:val="000000"/>
              </w:rPr>
            </w:pPr>
            <w:r>
              <w:rPr>
                <w:color w:val="000000"/>
              </w:rPr>
              <w:t>433</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984" w:type="dxa"/>
            <w:tcBorders/>
            <w:shd w:fill="CCEEFF" w:val="clear"/>
            <w:tcMar>
              <w:bottom w:w="0" w:type="dxa"/>
            </w:tcMar>
            <w:vAlign w:val="bottom"/>
          </w:tcPr>
          <w:p>
            <w:pPr>
              <w:pStyle w:val="TableContents"/>
              <w:bidi w:val="0"/>
              <w:spacing w:before="0" w:after="283"/>
              <w:jc w:val="left"/>
              <w:rPr/>
            </w:pPr>
            <w:r>
              <w:rPr/>
              <w:t> </w:t>
            </w:r>
          </w:p>
        </w:tc>
        <w:tc>
          <w:tcPr>
            <w:tcW w:w="67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334"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color w:val="000000"/>
              </w:rPr>
            </w:pPr>
            <w:r>
              <w:rPr>
                <w:color w:val="000000"/>
              </w:rPr>
              <w:t>433</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2540" w:type="dxa"/>
            <w:tcBorders/>
            <w:tcMar>
              <w:bottom w:w="0" w:type="dxa"/>
            </w:tcMar>
            <w:vAlign w:val="bottom"/>
          </w:tcPr>
          <w:p>
            <w:pPr>
              <w:pStyle w:val="TableContents"/>
              <w:bidi w:val="0"/>
              <w:spacing w:before="0" w:after="0"/>
              <w:ind w:left="144" w:right="0" w:hanging="144"/>
              <w:jc w:val="left"/>
              <w:rPr>
                <w:color w:val="000000"/>
              </w:rPr>
            </w:pPr>
            <w:r>
              <w:rPr>
                <w:color w:val="000000"/>
              </w:rPr>
              <w:t>Down 100 basis points</w:t>
            </w:r>
          </w:p>
        </w:tc>
        <w:tc>
          <w:tcPr>
            <w:tcW w:w="60" w:type="dxa"/>
            <w:tcBorders/>
            <w:tcMar>
              <w:bottom w:w="0" w:type="dxa"/>
            </w:tcMar>
            <w:vAlign w:val="bottom"/>
          </w:tcPr>
          <w:p>
            <w:pPr>
              <w:pStyle w:val="TableContents"/>
              <w:bidi w:val="0"/>
              <w:spacing w:before="0" w:after="283"/>
              <w:jc w:val="left"/>
              <w:rPr/>
            </w:pPr>
            <w:r>
              <w:rPr/>
              <w:t> </w:t>
            </w:r>
          </w:p>
        </w:tc>
        <w:tc>
          <w:tcPr>
            <w:tcW w:w="289" w:type="dxa"/>
            <w:tcBorders/>
            <w:tcMar>
              <w:bottom w:w="0" w:type="dxa"/>
            </w:tcMar>
            <w:vAlign w:val="bottom"/>
          </w:tcPr>
          <w:p>
            <w:pPr>
              <w:pStyle w:val="TableContents"/>
              <w:bidi w:val="0"/>
              <w:spacing w:before="0" w:after="283"/>
              <w:jc w:val="left"/>
              <w:rPr/>
            </w:pPr>
            <w:r>
              <w:rPr/>
              <w:t> </w:t>
            </w:r>
          </w:p>
        </w:tc>
        <w:tc>
          <w:tcPr>
            <w:tcW w:w="1320" w:type="dxa"/>
            <w:tcBorders/>
            <w:tcMar>
              <w:bottom w:w="0" w:type="dxa"/>
            </w:tcMar>
            <w:vAlign w:val="bottom"/>
          </w:tcPr>
          <w:p>
            <w:pPr>
              <w:pStyle w:val="TableContents"/>
              <w:bidi w:val="0"/>
              <w:spacing w:before="0" w:after="0"/>
              <w:jc w:val="right"/>
              <w:rPr>
                <w:color w:val="000000"/>
              </w:rPr>
            </w:pPr>
            <w:r>
              <w:rPr>
                <w:color w:val="000000"/>
              </w:rPr>
              <w:t>(433</w:t>
            </w:r>
          </w:p>
        </w:tc>
        <w:tc>
          <w:tcPr>
            <w:tcW w:w="95" w:type="dxa"/>
            <w:tcBorders/>
            <w:tcMar>
              <w:bottom w:w="0" w:type="dxa"/>
            </w:tcMar>
            <w:vAlign w:val="bottom"/>
          </w:tcPr>
          <w:p>
            <w:pPr>
              <w:pStyle w:val="TableContents"/>
              <w:bidi w:val="0"/>
              <w:spacing w:before="0" w:after="0"/>
              <w:jc w:val="left"/>
              <w:rPr>
                <w:color w:val="000000"/>
              </w:rPr>
            </w:pPr>
            <w:r>
              <w:rPr>
                <w:color w:val="000000"/>
              </w:rPr>
              <w:t>)</w:t>
            </w:r>
          </w:p>
        </w:tc>
        <w:tc>
          <w:tcPr>
            <w:tcW w:w="60" w:type="dxa"/>
            <w:tcBorders/>
            <w:tcMar>
              <w:bottom w:w="0" w:type="dxa"/>
            </w:tcMar>
            <w:vAlign w:val="bottom"/>
          </w:tcPr>
          <w:p>
            <w:pPr>
              <w:pStyle w:val="TableContents"/>
              <w:bidi w:val="0"/>
              <w:spacing w:before="0" w:after="283"/>
              <w:jc w:val="left"/>
              <w:rPr/>
            </w:pPr>
            <w:r>
              <w:rPr/>
              <w:t> </w:t>
            </w:r>
          </w:p>
        </w:tc>
        <w:tc>
          <w:tcPr>
            <w:tcW w:w="984" w:type="dxa"/>
            <w:tcBorders/>
            <w:tcMar>
              <w:bottom w:w="0" w:type="dxa"/>
            </w:tcMar>
            <w:vAlign w:val="bottom"/>
          </w:tcPr>
          <w:p>
            <w:pPr>
              <w:pStyle w:val="TableContents"/>
              <w:bidi w:val="0"/>
              <w:spacing w:before="0" w:after="283"/>
              <w:jc w:val="left"/>
              <w:rPr/>
            </w:pPr>
            <w:r>
              <w:rPr/>
              <w:t> </w:t>
            </w:r>
          </w:p>
        </w:tc>
        <w:tc>
          <w:tcPr>
            <w:tcW w:w="670" w:type="dxa"/>
            <w:tcBorders/>
            <w:tcMar>
              <w:bottom w:w="0" w:type="dxa"/>
            </w:tcMar>
            <w:vAlign w:val="bottom"/>
          </w:tcPr>
          <w:p>
            <w:pPr>
              <w:pStyle w:val="TableContents"/>
              <w:bidi w:val="0"/>
              <w:spacing w:before="0" w:after="0"/>
              <w:jc w:val="right"/>
              <w:rPr>
                <w:color w:val="000000"/>
              </w:rPr>
            </w:pPr>
            <w:r>
              <w:rPr>
                <w:color w:val="00000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334"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color w:val="000000"/>
              </w:rPr>
            </w:pPr>
            <w:r>
              <w:rPr>
                <w:color w:val="000000"/>
              </w:rPr>
              <w:t>(433</w:t>
            </w:r>
          </w:p>
        </w:tc>
        <w:tc>
          <w:tcPr>
            <w:tcW w:w="95" w:type="dxa"/>
            <w:tcBorders/>
            <w:tcMar>
              <w:bottom w:w="0" w:type="dxa"/>
            </w:tcMar>
            <w:vAlign w:val="bottom"/>
          </w:tcPr>
          <w:p>
            <w:pPr>
              <w:pStyle w:val="TableContents"/>
              <w:bidi w:val="0"/>
              <w:spacing w:before="0" w:after="0"/>
              <w:jc w:val="left"/>
              <w:rPr>
                <w:color w:val="000000"/>
              </w:rPr>
            </w:pPr>
            <w:r>
              <w:rPr>
                <w:color w:val="000000"/>
              </w:rPr>
              <w:t>)</w:t>
            </w:r>
          </w:p>
        </w:tc>
      </w:tr>
      <w:tr>
        <w:trPr/>
        <w:tc>
          <w:tcPr>
            <w:tcW w:w="2540"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Down 200 basis points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89" w:type="dxa"/>
            <w:tcBorders/>
            <w:shd w:fill="CCEEFF" w:val="clear"/>
            <w:tcMar>
              <w:bottom w:w="0" w:type="dxa"/>
            </w:tcMar>
            <w:vAlign w:val="bottom"/>
          </w:tcPr>
          <w:p>
            <w:pPr>
              <w:pStyle w:val="TableContents"/>
              <w:bidi w:val="0"/>
              <w:spacing w:before="0" w:after="283"/>
              <w:jc w:val="left"/>
              <w:rPr/>
            </w:pPr>
            <w:r>
              <w:rPr/>
              <w:t> </w:t>
            </w:r>
          </w:p>
        </w:tc>
        <w:tc>
          <w:tcPr>
            <w:tcW w:w="1320" w:type="dxa"/>
            <w:tcBorders/>
            <w:shd w:fill="CCEEFF" w:val="clear"/>
            <w:tcMar>
              <w:bottom w:w="0" w:type="dxa"/>
            </w:tcMar>
            <w:vAlign w:val="bottom"/>
          </w:tcPr>
          <w:p>
            <w:pPr>
              <w:pStyle w:val="TableContents"/>
              <w:bidi w:val="0"/>
              <w:spacing w:before="0" w:after="0"/>
              <w:jc w:val="right"/>
              <w:rPr>
                <w:color w:val="000000"/>
              </w:rPr>
            </w:pPr>
            <w:r>
              <w:rPr>
                <w:color w:val="000000"/>
              </w:rPr>
              <w:t>(823</w:t>
            </w:r>
          </w:p>
        </w:tc>
        <w:tc>
          <w:tcPr>
            <w:tcW w:w="9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984" w:type="dxa"/>
            <w:tcBorders/>
            <w:shd w:fill="CCEEFF" w:val="clear"/>
            <w:tcMar>
              <w:bottom w:w="0" w:type="dxa"/>
            </w:tcMar>
            <w:vAlign w:val="bottom"/>
          </w:tcPr>
          <w:p>
            <w:pPr>
              <w:pStyle w:val="TableContents"/>
              <w:bidi w:val="0"/>
              <w:spacing w:before="0" w:after="283"/>
              <w:jc w:val="left"/>
              <w:rPr/>
            </w:pPr>
            <w:r>
              <w:rPr/>
              <w:t> </w:t>
            </w:r>
          </w:p>
        </w:tc>
        <w:tc>
          <w:tcPr>
            <w:tcW w:w="67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334"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color w:val="000000"/>
              </w:rPr>
            </w:pPr>
            <w:r>
              <w:rPr>
                <w:color w:val="000000"/>
              </w:rPr>
              <w:t>(823</w:t>
            </w:r>
          </w:p>
        </w:tc>
        <w:tc>
          <w:tcPr>
            <w:tcW w:w="95" w:type="dxa"/>
            <w:tcBorders/>
            <w:shd w:fill="CCEEFF" w:val="clear"/>
            <w:tcMar>
              <w:bottom w:w="0" w:type="dxa"/>
            </w:tcMar>
            <w:vAlign w:val="bottom"/>
          </w:tcPr>
          <w:p>
            <w:pPr>
              <w:pStyle w:val="TableContents"/>
              <w:bidi w:val="0"/>
              <w:spacing w:before="0" w:after="0"/>
              <w:jc w:val="left"/>
              <w:rPr>
                <w:color w:val="000000"/>
              </w:rPr>
            </w:pPr>
            <w:r>
              <w:rPr>
                <w:color w:val="000000"/>
              </w:rPr>
              <w:t>)</w:t>
            </w:r>
          </w:p>
        </w:tc>
      </w:tr>
      <w:tr>
        <w:trPr/>
        <w:tc>
          <w:tcPr>
            <w:tcW w:w="2540" w:type="dxa"/>
            <w:tcBorders/>
            <w:tcMar>
              <w:bottom w:w="0" w:type="dxa"/>
            </w:tcMar>
            <w:vAlign w:val="bottom"/>
          </w:tcPr>
          <w:p>
            <w:pPr>
              <w:pStyle w:val="TableContents"/>
              <w:bidi w:val="0"/>
              <w:spacing w:before="0" w:after="0"/>
              <w:ind w:left="144" w:right="0" w:hanging="144"/>
              <w:jc w:val="left"/>
              <w:rPr>
                <w:color w:val="000000"/>
              </w:rPr>
            </w:pPr>
            <w:r>
              <w:rPr>
                <w:color w:val="000000"/>
              </w:rPr>
              <w:t>Down 300 basis points</w:t>
            </w:r>
          </w:p>
        </w:tc>
        <w:tc>
          <w:tcPr>
            <w:tcW w:w="60" w:type="dxa"/>
            <w:tcBorders/>
            <w:tcMar>
              <w:bottom w:w="0" w:type="dxa"/>
            </w:tcMar>
            <w:vAlign w:val="bottom"/>
          </w:tcPr>
          <w:p>
            <w:pPr>
              <w:pStyle w:val="TableContents"/>
              <w:bidi w:val="0"/>
              <w:spacing w:before="0" w:after="283"/>
              <w:jc w:val="left"/>
              <w:rPr/>
            </w:pPr>
            <w:r>
              <w:rPr/>
              <w:t> </w:t>
            </w:r>
          </w:p>
        </w:tc>
        <w:tc>
          <w:tcPr>
            <w:tcW w:w="289" w:type="dxa"/>
            <w:tcBorders/>
            <w:tcMar>
              <w:bottom w:w="0" w:type="dxa"/>
            </w:tcMar>
            <w:vAlign w:val="bottom"/>
          </w:tcPr>
          <w:p>
            <w:pPr>
              <w:pStyle w:val="TableContents"/>
              <w:bidi w:val="0"/>
              <w:spacing w:before="0" w:after="283"/>
              <w:jc w:val="left"/>
              <w:rPr/>
            </w:pPr>
            <w:r>
              <w:rPr/>
              <w:t> </w:t>
            </w:r>
          </w:p>
        </w:tc>
        <w:tc>
          <w:tcPr>
            <w:tcW w:w="1320" w:type="dxa"/>
            <w:tcBorders/>
            <w:tcMar>
              <w:bottom w:w="0" w:type="dxa"/>
            </w:tcMar>
            <w:vAlign w:val="bottom"/>
          </w:tcPr>
          <w:p>
            <w:pPr>
              <w:pStyle w:val="TableContents"/>
              <w:bidi w:val="0"/>
              <w:spacing w:before="0" w:after="0"/>
              <w:jc w:val="right"/>
              <w:rPr>
                <w:color w:val="000000"/>
              </w:rPr>
            </w:pPr>
            <w:r>
              <w:rPr>
                <w:color w:val="000000"/>
              </w:rPr>
              <w:t>(1,079</w:t>
            </w:r>
          </w:p>
        </w:tc>
        <w:tc>
          <w:tcPr>
            <w:tcW w:w="95" w:type="dxa"/>
            <w:tcBorders/>
            <w:tcMar>
              <w:bottom w:w="0" w:type="dxa"/>
            </w:tcMar>
            <w:vAlign w:val="bottom"/>
          </w:tcPr>
          <w:p>
            <w:pPr>
              <w:pStyle w:val="TableContents"/>
              <w:bidi w:val="0"/>
              <w:spacing w:before="0" w:after="0"/>
              <w:jc w:val="left"/>
              <w:rPr>
                <w:color w:val="000000"/>
              </w:rPr>
            </w:pPr>
            <w:r>
              <w:rPr>
                <w:color w:val="000000"/>
              </w:rPr>
              <w:t>)</w:t>
            </w:r>
          </w:p>
        </w:tc>
        <w:tc>
          <w:tcPr>
            <w:tcW w:w="60" w:type="dxa"/>
            <w:tcBorders/>
            <w:tcMar>
              <w:bottom w:w="0" w:type="dxa"/>
            </w:tcMar>
            <w:vAlign w:val="bottom"/>
          </w:tcPr>
          <w:p>
            <w:pPr>
              <w:pStyle w:val="TableContents"/>
              <w:bidi w:val="0"/>
              <w:spacing w:before="0" w:after="283"/>
              <w:jc w:val="left"/>
              <w:rPr/>
            </w:pPr>
            <w:r>
              <w:rPr/>
              <w:t> </w:t>
            </w:r>
          </w:p>
        </w:tc>
        <w:tc>
          <w:tcPr>
            <w:tcW w:w="984" w:type="dxa"/>
            <w:tcBorders/>
            <w:tcMar>
              <w:bottom w:w="0" w:type="dxa"/>
            </w:tcMar>
            <w:vAlign w:val="bottom"/>
          </w:tcPr>
          <w:p>
            <w:pPr>
              <w:pStyle w:val="TableContents"/>
              <w:bidi w:val="0"/>
              <w:spacing w:before="0" w:after="283"/>
              <w:jc w:val="left"/>
              <w:rPr/>
            </w:pPr>
            <w:r>
              <w:rPr/>
              <w:t> </w:t>
            </w:r>
          </w:p>
        </w:tc>
        <w:tc>
          <w:tcPr>
            <w:tcW w:w="670" w:type="dxa"/>
            <w:tcBorders/>
            <w:tcMar>
              <w:bottom w:w="0" w:type="dxa"/>
            </w:tcMar>
            <w:vAlign w:val="bottom"/>
          </w:tcPr>
          <w:p>
            <w:pPr>
              <w:pStyle w:val="TableContents"/>
              <w:bidi w:val="0"/>
              <w:spacing w:before="0" w:after="0"/>
              <w:jc w:val="right"/>
              <w:rPr>
                <w:color w:val="000000"/>
              </w:rPr>
            </w:pPr>
            <w:r>
              <w:rPr>
                <w:color w:val="00000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334"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color w:val="000000"/>
              </w:rPr>
            </w:pPr>
            <w:r>
              <w:rPr>
                <w:color w:val="000000"/>
              </w:rPr>
              <w:t>(1,079</w:t>
            </w:r>
          </w:p>
        </w:tc>
        <w:tc>
          <w:tcPr>
            <w:tcW w:w="95" w:type="dxa"/>
            <w:tcBorders/>
            <w:tcMar>
              <w:bottom w:w="0" w:type="dxa"/>
            </w:tcM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 the year ended December 31, 2023, the following table shows the annualized impact on net income of hypothetical base rate changes in the PRIME rate on our debt investments (considering interest rate floors for floating rate instruments):</w:t>
      </w:r>
    </w:p>
    <w:p>
      <w:pPr>
        <w:pStyle w:val="TextBody"/>
        <w:bidi w:val="0"/>
        <w:spacing w:before="0" w:after="0"/>
        <w:jc w:val="left"/>
        <w:rPr/>
      </w:pPr>
      <w:r>
        <w:rPr/>
      </w:r>
    </w:p>
    <w:tbl>
      <w:tblPr>
        <w:tblW w:w="8127" w:type="dxa"/>
        <w:jc w:val="left"/>
        <w:tblInd w:w="0" w:type="dxa"/>
        <w:tblLayout w:type="fixed"/>
        <w:tblCellMar>
          <w:top w:w="0" w:type="dxa"/>
          <w:left w:w="0" w:type="dxa"/>
          <w:bottom w:w="28" w:type="dxa"/>
          <w:right w:w="0" w:type="dxa"/>
        </w:tblCellMar>
      </w:tblPr>
      <w:tblGrid>
        <w:gridCol w:w="2555"/>
        <w:gridCol w:w="60"/>
        <w:gridCol w:w="289"/>
        <w:gridCol w:w="1320"/>
        <w:gridCol w:w="95"/>
        <w:gridCol w:w="60"/>
        <w:gridCol w:w="984"/>
        <w:gridCol w:w="670"/>
        <w:gridCol w:w="60"/>
        <w:gridCol w:w="60"/>
        <w:gridCol w:w="334"/>
        <w:gridCol w:w="1530"/>
        <w:gridCol w:w="110"/>
      </w:tblGrid>
      <w:tr>
        <w:trPr/>
        <w:tc>
          <w:tcPr>
            <w:tcW w:w="2555"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Change in Interest Rates</w:t>
            </w:r>
          </w:p>
        </w:tc>
        <w:tc>
          <w:tcPr>
            <w:tcW w:w="60" w:type="dxa"/>
            <w:tcBorders/>
            <w:tcMar>
              <w:bottom w:w="0" w:type="dxa"/>
            </w:tcMar>
            <w:vAlign w:val="bottom"/>
          </w:tcPr>
          <w:p>
            <w:pPr>
              <w:pStyle w:val="TableContents"/>
              <w:bidi w:val="0"/>
              <w:spacing w:before="0" w:after="283"/>
              <w:jc w:val="left"/>
              <w:rPr/>
            </w:pPr>
            <w:r>
              <w:rPr/>
              <w:t> </w:t>
            </w:r>
          </w:p>
        </w:tc>
        <w:tc>
          <w:tcPr>
            <w:tcW w:w="1609" w:type="dxa"/>
            <w:gridSpan w:val="2"/>
            <w:tcBorders>
              <w:bottom w:val="single" w:sz="12" w:space="0" w:color="000000"/>
            </w:tcBorders>
            <w:vAlign w:val="bottom"/>
          </w:tcPr>
          <w:p>
            <w:pPr>
              <w:pStyle w:val="TableContents"/>
              <w:bidi w:val="0"/>
              <w:spacing w:before="0" w:after="0"/>
              <w:jc w:val="center"/>
              <w:rPr>
                <w:b/>
                <w:color w:val="000000"/>
              </w:rPr>
            </w:pPr>
            <w:r>
              <w:rPr>
                <w:b/>
                <w:color w:val="000000"/>
              </w:rPr>
              <w:t>Interest Income</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54" w:type="dxa"/>
            <w:gridSpan w:val="2"/>
            <w:tcBorders>
              <w:bottom w:val="single" w:sz="12" w:space="0" w:color="000000"/>
            </w:tcBorders>
            <w:vAlign w:val="bottom"/>
          </w:tcPr>
          <w:p>
            <w:pPr>
              <w:pStyle w:val="TableContents"/>
              <w:bidi w:val="0"/>
              <w:spacing w:before="0" w:after="0"/>
              <w:jc w:val="center"/>
              <w:rPr>
                <w:b/>
                <w:color w:val="000000"/>
              </w:rPr>
            </w:pPr>
            <w:r>
              <w:rPr>
                <w:b/>
                <w:color w:val="000000"/>
              </w:rPr>
              <w:t>Interest expense</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64" w:type="dxa"/>
            <w:gridSpan w:val="2"/>
            <w:tcBorders>
              <w:bottom w:val="single" w:sz="12" w:space="0" w:color="000000"/>
            </w:tcBorders>
            <w:vAlign w:val="bottom"/>
          </w:tcPr>
          <w:p>
            <w:pPr>
              <w:pStyle w:val="TableContents"/>
              <w:bidi w:val="0"/>
              <w:spacing w:before="0" w:after="0"/>
              <w:jc w:val="center"/>
              <w:rPr>
                <w:b/>
                <w:color w:val="000000"/>
              </w:rPr>
            </w:pPr>
            <w:r>
              <w:rPr>
                <w:b/>
                <w:color w:val="000000"/>
              </w:rPr>
              <w:t>Net Income/(Loss)</w:t>
            </w:r>
          </w:p>
        </w:tc>
        <w:tc>
          <w:tcPr>
            <w:tcW w:w="110" w:type="dxa"/>
            <w:tcBorders/>
            <w:tcMar>
              <w:bottom w:w="0" w:type="dxa"/>
            </w:tcMar>
            <w:vAlign w:val="bottom"/>
          </w:tcPr>
          <w:p>
            <w:pPr>
              <w:pStyle w:val="TableContents"/>
              <w:bidi w:val="0"/>
              <w:spacing w:before="0" w:after="283"/>
              <w:jc w:val="left"/>
              <w:rPr/>
            </w:pPr>
            <w:r>
              <w:rPr/>
              <w:t> </w:t>
            </w:r>
          </w:p>
        </w:tc>
      </w:tr>
      <w:tr>
        <w:trPr/>
        <w:tc>
          <w:tcPr>
            <w:tcW w:w="2555"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Up 300 basis points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89"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320" w:type="dxa"/>
            <w:tcBorders/>
            <w:shd w:fill="CCEEFF" w:val="clear"/>
            <w:tcMar>
              <w:bottom w:w="0" w:type="dxa"/>
            </w:tcMar>
            <w:vAlign w:val="bottom"/>
          </w:tcPr>
          <w:p>
            <w:pPr>
              <w:pStyle w:val="TableContents"/>
              <w:bidi w:val="0"/>
              <w:spacing w:before="0" w:after="0"/>
              <w:jc w:val="right"/>
              <w:rPr>
                <w:color w:val="000000"/>
              </w:rPr>
            </w:pPr>
            <w:r>
              <w:rPr>
                <w:color w:val="000000"/>
              </w:rPr>
              <w:t>1,390</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984"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7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334"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530" w:type="dxa"/>
            <w:tcBorders/>
            <w:shd w:fill="CCEEFF" w:val="clear"/>
            <w:tcMar>
              <w:bottom w:w="0" w:type="dxa"/>
            </w:tcMar>
            <w:vAlign w:val="bottom"/>
          </w:tcPr>
          <w:p>
            <w:pPr>
              <w:pStyle w:val="TableContents"/>
              <w:bidi w:val="0"/>
              <w:spacing w:before="0" w:after="0"/>
              <w:jc w:val="right"/>
              <w:rPr>
                <w:color w:val="000000"/>
              </w:rPr>
            </w:pPr>
            <w:r>
              <w:rPr>
                <w:color w:val="000000"/>
              </w:rPr>
              <w:t>1,390</w:t>
            </w:r>
          </w:p>
        </w:tc>
        <w:tc>
          <w:tcPr>
            <w:tcW w:w="110" w:type="dxa"/>
            <w:tcBorders/>
            <w:shd w:fill="CCEEFF" w:val="clear"/>
            <w:tcMar>
              <w:bottom w:w="0" w:type="dxa"/>
            </w:tcMar>
            <w:vAlign w:val="bottom"/>
          </w:tcPr>
          <w:p>
            <w:pPr>
              <w:pStyle w:val="TableContents"/>
              <w:bidi w:val="0"/>
              <w:spacing w:before="0" w:after="283"/>
              <w:jc w:val="left"/>
              <w:rPr/>
            </w:pPr>
            <w:r>
              <w:rPr/>
              <w:t> </w:t>
            </w:r>
          </w:p>
        </w:tc>
      </w:tr>
      <w:tr>
        <w:trPr/>
        <w:tc>
          <w:tcPr>
            <w:tcW w:w="2555" w:type="dxa"/>
            <w:tcBorders/>
            <w:tcMar>
              <w:bottom w:w="0" w:type="dxa"/>
            </w:tcMar>
            <w:vAlign w:val="bottom"/>
          </w:tcPr>
          <w:p>
            <w:pPr>
              <w:pStyle w:val="TableContents"/>
              <w:bidi w:val="0"/>
              <w:spacing w:before="0" w:after="0"/>
              <w:ind w:left="144" w:right="0" w:hanging="144"/>
              <w:jc w:val="left"/>
              <w:rPr>
                <w:color w:val="000000"/>
              </w:rPr>
            </w:pPr>
            <w:r>
              <w:rPr>
                <w:color w:val="000000"/>
              </w:rPr>
              <w:t>Up 200 basis points</w:t>
            </w:r>
          </w:p>
        </w:tc>
        <w:tc>
          <w:tcPr>
            <w:tcW w:w="60" w:type="dxa"/>
            <w:tcBorders/>
            <w:tcMar>
              <w:bottom w:w="0" w:type="dxa"/>
            </w:tcMar>
            <w:vAlign w:val="bottom"/>
          </w:tcPr>
          <w:p>
            <w:pPr>
              <w:pStyle w:val="TableContents"/>
              <w:bidi w:val="0"/>
              <w:spacing w:before="0" w:after="283"/>
              <w:jc w:val="left"/>
              <w:rPr/>
            </w:pPr>
            <w:r>
              <w:rPr/>
              <w:t> </w:t>
            </w:r>
          </w:p>
        </w:tc>
        <w:tc>
          <w:tcPr>
            <w:tcW w:w="289" w:type="dxa"/>
            <w:tcBorders/>
            <w:tcMar>
              <w:bottom w:w="0" w:type="dxa"/>
            </w:tcMar>
            <w:vAlign w:val="bottom"/>
          </w:tcPr>
          <w:p>
            <w:pPr>
              <w:pStyle w:val="TableContents"/>
              <w:bidi w:val="0"/>
              <w:spacing w:before="0" w:after="283"/>
              <w:jc w:val="left"/>
              <w:rPr/>
            </w:pPr>
            <w:r>
              <w:rPr/>
              <w:t> </w:t>
            </w:r>
          </w:p>
        </w:tc>
        <w:tc>
          <w:tcPr>
            <w:tcW w:w="1320" w:type="dxa"/>
            <w:tcBorders/>
            <w:tcMar>
              <w:bottom w:w="0" w:type="dxa"/>
            </w:tcMar>
            <w:vAlign w:val="bottom"/>
          </w:tcPr>
          <w:p>
            <w:pPr>
              <w:pStyle w:val="TableContents"/>
              <w:bidi w:val="0"/>
              <w:spacing w:before="0" w:after="0"/>
              <w:jc w:val="right"/>
              <w:rPr>
                <w:color w:val="000000"/>
              </w:rPr>
            </w:pPr>
            <w:r>
              <w:rPr>
                <w:color w:val="000000"/>
              </w:rPr>
              <w:t>926</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84" w:type="dxa"/>
            <w:tcBorders/>
            <w:tcMar>
              <w:bottom w:w="0" w:type="dxa"/>
            </w:tcMar>
            <w:vAlign w:val="bottom"/>
          </w:tcPr>
          <w:p>
            <w:pPr>
              <w:pStyle w:val="TableContents"/>
              <w:bidi w:val="0"/>
              <w:spacing w:before="0" w:after="283"/>
              <w:jc w:val="left"/>
              <w:rPr/>
            </w:pPr>
            <w:r>
              <w:rPr/>
              <w:t> </w:t>
            </w:r>
          </w:p>
        </w:tc>
        <w:tc>
          <w:tcPr>
            <w:tcW w:w="670" w:type="dxa"/>
            <w:tcBorders/>
            <w:tcMar>
              <w:bottom w:w="0" w:type="dxa"/>
            </w:tcMar>
            <w:vAlign w:val="bottom"/>
          </w:tcPr>
          <w:p>
            <w:pPr>
              <w:pStyle w:val="TableContents"/>
              <w:bidi w:val="0"/>
              <w:spacing w:before="0" w:after="0"/>
              <w:jc w:val="right"/>
              <w:rPr>
                <w:color w:val="000000"/>
              </w:rPr>
            </w:pPr>
            <w:r>
              <w:rPr>
                <w:color w:val="00000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334"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color w:val="000000"/>
              </w:rPr>
            </w:pPr>
            <w:r>
              <w:rPr>
                <w:color w:val="000000"/>
              </w:rPr>
              <w:t>926</w:t>
            </w:r>
          </w:p>
        </w:tc>
        <w:tc>
          <w:tcPr>
            <w:tcW w:w="110" w:type="dxa"/>
            <w:tcBorders/>
            <w:tcMar>
              <w:bottom w:w="0" w:type="dxa"/>
            </w:tcMar>
            <w:vAlign w:val="bottom"/>
          </w:tcPr>
          <w:p>
            <w:pPr>
              <w:pStyle w:val="TableContents"/>
              <w:bidi w:val="0"/>
              <w:spacing w:before="0" w:after="283"/>
              <w:jc w:val="left"/>
              <w:rPr/>
            </w:pPr>
            <w:r>
              <w:rPr/>
              <w:t> </w:t>
            </w:r>
          </w:p>
        </w:tc>
      </w:tr>
      <w:tr>
        <w:trPr/>
        <w:tc>
          <w:tcPr>
            <w:tcW w:w="2555"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Up 100 basis points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89" w:type="dxa"/>
            <w:tcBorders/>
            <w:shd w:fill="CCEEFF" w:val="clear"/>
            <w:tcMar>
              <w:bottom w:w="0" w:type="dxa"/>
            </w:tcMar>
            <w:vAlign w:val="bottom"/>
          </w:tcPr>
          <w:p>
            <w:pPr>
              <w:pStyle w:val="TableContents"/>
              <w:bidi w:val="0"/>
              <w:spacing w:before="0" w:after="283"/>
              <w:jc w:val="left"/>
              <w:rPr/>
            </w:pPr>
            <w:r>
              <w:rPr/>
              <w:t> </w:t>
            </w:r>
          </w:p>
        </w:tc>
        <w:tc>
          <w:tcPr>
            <w:tcW w:w="1320" w:type="dxa"/>
            <w:tcBorders/>
            <w:shd w:fill="CCEEFF" w:val="clear"/>
            <w:tcMar>
              <w:bottom w:w="0" w:type="dxa"/>
            </w:tcMar>
            <w:vAlign w:val="bottom"/>
          </w:tcPr>
          <w:p>
            <w:pPr>
              <w:pStyle w:val="TableContents"/>
              <w:bidi w:val="0"/>
              <w:spacing w:before="0" w:after="0"/>
              <w:jc w:val="right"/>
              <w:rPr>
                <w:color w:val="000000"/>
              </w:rPr>
            </w:pPr>
            <w:r>
              <w:rPr>
                <w:color w:val="000000"/>
              </w:rPr>
              <w:t>463</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984" w:type="dxa"/>
            <w:tcBorders/>
            <w:shd w:fill="CCEEFF" w:val="clear"/>
            <w:tcMar>
              <w:bottom w:w="0" w:type="dxa"/>
            </w:tcMar>
            <w:vAlign w:val="bottom"/>
          </w:tcPr>
          <w:p>
            <w:pPr>
              <w:pStyle w:val="TableContents"/>
              <w:bidi w:val="0"/>
              <w:spacing w:before="0" w:after="283"/>
              <w:jc w:val="left"/>
              <w:rPr/>
            </w:pPr>
            <w:r>
              <w:rPr/>
              <w:t> </w:t>
            </w:r>
          </w:p>
        </w:tc>
        <w:tc>
          <w:tcPr>
            <w:tcW w:w="67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334"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color w:val="000000"/>
              </w:rPr>
            </w:pPr>
            <w:r>
              <w:rPr>
                <w:color w:val="000000"/>
              </w:rPr>
              <w:t>463</w:t>
            </w:r>
          </w:p>
        </w:tc>
        <w:tc>
          <w:tcPr>
            <w:tcW w:w="110" w:type="dxa"/>
            <w:tcBorders/>
            <w:shd w:fill="CCEEFF" w:val="clear"/>
            <w:tcMar>
              <w:bottom w:w="0" w:type="dxa"/>
            </w:tcMar>
            <w:vAlign w:val="bottom"/>
          </w:tcPr>
          <w:p>
            <w:pPr>
              <w:pStyle w:val="TableContents"/>
              <w:bidi w:val="0"/>
              <w:spacing w:before="0" w:after="283"/>
              <w:jc w:val="left"/>
              <w:rPr/>
            </w:pPr>
            <w:r>
              <w:rPr/>
              <w:t> </w:t>
            </w:r>
          </w:p>
        </w:tc>
      </w:tr>
      <w:tr>
        <w:trPr/>
        <w:tc>
          <w:tcPr>
            <w:tcW w:w="2555" w:type="dxa"/>
            <w:tcBorders/>
            <w:tcMar>
              <w:bottom w:w="0" w:type="dxa"/>
            </w:tcMar>
            <w:vAlign w:val="bottom"/>
          </w:tcPr>
          <w:p>
            <w:pPr>
              <w:pStyle w:val="TableContents"/>
              <w:bidi w:val="0"/>
              <w:spacing w:before="0" w:after="0"/>
              <w:ind w:left="144" w:right="0" w:hanging="144"/>
              <w:jc w:val="left"/>
              <w:rPr>
                <w:color w:val="000000"/>
              </w:rPr>
            </w:pPr>
            <w:r>
              <w:rPr>
                <w:color w:val="000000"/>
              </w:rPr>
              <w:t>Down 100 basis points</w:t>
            </w:r>
          </w:p>
        </w:tc>
        <w:tc>
          <w:tcPr>
            <w:tcW w:w="60" w:type="dxa"/>
            <w:tcBorders/>
            <w:tcMar>
              <w:bottom w:w="0" w:type="dxa"/>
            </w:tcMar>
            <w:vAlign w:val="bottom"/>
          </w:tcPr>
          <w:p>
            <w:pPr>
              <w:pStyle w:val="TableContents"/>
              <w:bidi w:val="0"/>
              <w:spacing w:before="0" w:after="283"/>
              <w:jc w:val="left"/>
              <w:rPr/>
            </w:pPr>
            <w:r>
              <w:rPr/>
              <w:t> </w:t>
            </w:r>
          </w:p>
        </w:tc>
        <w:tc>
          <w:tcPr>
            <w:tcW w:w="289" w:type="dxa"/>
            <w:tcBorders/>
            <w:tcMar>
              <w:bottom w:w="0" w:type="dxa"/>
            </w:tcMar>
            <w:vAlign w:val="bottom"/>
          </w:tcPr>
          <w:p>
            <w:pPr>
              <w:pStyle w:val="TableContents"/>
              <w:bidi w:val="0"/>
              <w:spacing w:before="0" w:after="283"/>
              <w:jc w:val="left"/>
              <w:rPr/>
            </w:pPr>
            <w:r>
              <w:rPr/>
              <w:t> </w:t>
            </w:r>
          </w:p>
        </w:tc>
        <w:tc>
          <w:tcPr>
            <w:tcW w:w="1320" w:type="dxa"/>
            <w:tcBorders/>
            <w:tcMar>
              <w:bottom w:w="0" w:type="dxa"/>
            </w:tcMar>
            <w:vAlign w:val="bottom"/>
          </w:tcPr>
          <w:p>
            <w:pPr>
              <w:pStyle w:val="TableContents"/>
              <w:bidi w:val="0"/>
              <w:spacing w:before="0" w:after="0"/>
              <w:jc w:val="right"/>
              <w:rPr>
                <w:color w:val="000000"/>
              </w:rPr>
            </w:pPr>
            <w:r>
              <w:rPr>
                <w:color w:val="000000"/>
              </w:rPr>
              <w:t>(463</w:t>
            </w:r>
          </w:p>
        </w:tc>
        <w:tc>
          <w:tcPr>
            <w:tcW w:w="95" w:type="dxa"/>
            <w:tcBorders/>
            <w:tcMar>
              <w:bottom w:w="0" w:type="dxa"/>
            </w:tcMar>
            <w:vAlign w:val="bottom"/>
          </w:tcPr>
          <w:p>
            <w:pPr>
              <w:pStyle w:val="TableContents"/>
              <w:bidi w:val="0"/>
              <w:spacing w:before="0" w:after="0"/>
              <w:jc w:val="left"/>
              <w:rPr>
                <w:color w:val="000000"/>
              </w:rPr>
            </w:pPr>
            <w:r>
              <w:rPr>
                <w:color w:val="000000"/>
              </w:rPr>
              <w:t>)</w:t>
            </w:r>
          </w:p>
        </w:tc>
        <w:tc>
          <w:tcPr>
            <w:tcW w:w="60" w:type="dxa"/>
            <w:tcBorders/>
            <w:tcMar>
              <w:bottom w:w="0" w:type="dxa"/>
            </w:tcMar>
            <w:vAlign w:val="bottom"/>
          </w:tcPr>
          <w:p>
            <w:pPr>
              <w:pStyle w:val="TableContents"/>
              <w:bidi w:val="0"/>
              <w:spacing w:before="0" w:after="283"/>
              <w:jc w:val="left"/>
              <w:rPr/>
            </w:pPr>
            <w:r>
              <w:rPr/>
              <w:t> </w:t>
            </w:r>
          </w:p>
        </w:tc>
        <w:tc>
          <w:tcPr>
            <w:tcW w:w="984" w:type="dxa"/>
            <w:tcBorders/>
            <w:tcMar>
              <w:bottom w:w="0" w:type="dxa"/>
            </w:tcMar>
            <w:vAlign w:val="bottom"/>
          </w:tcPr>
          <w:p>
            <w:pPr>
              <w:pStyle w:val="TableContents"/>
              <w:bidi w:val="0"/>
              <w:spacing w:before="0" w:after="283"/>
              <w:jc w:val="left"/>
              <w:rPr/>
            </w:pPr>
            <w:r>
              <w:rPr/>
              <w:t> </w:t>
            </w:r>
          </w:p>
        </w:tc>
        <w:tc>
          <w:tcPr>
            <w:tcW w:w="670" w:type="dxa"/>
            <w:tcBorders/>
            <w:tcMar>
              <w:bottom w:w="0" w:type="dxa"/>
            </w:tcMar>
            <w:vAlign w:val="bottom"/>
          </w:tcPr>
          <w:p>
            <w:pPr>
              <w:pStyle w:val="TableContents"/>
              <w:bidi w:val="0"/>
              <w:spacing w:before="0" w:after="0"/>
              <w:jc w:val="right"/>
              <w:rPr>
                <w:color w:val="000000"/>
              </w:rPr>
            </w:pPr>
            <w:r>
              <w:rPr>
                <w:color w:val="00000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334"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color w:val="000000"/>
              </w:rPr>
            </w:pPr>
            <w:r>
              <w:rPr>
                <w:color w:val="000000"/>
              </w:rPr>
              <w:t>(463</w:t>
            </w:r>
          </w:p>
        </w:tc>
        <w:tc>
          <w:tcPr>
            <w:tcW w:w="110" w:type="dxa"/>
            <w:tcBorders/>
            <w:tcMar>
              <w:bottom w:w="0" w:type="dxa"/>
            </w:tcMar>
            <w:vAlign w:val="bottom"/>
          </w:tcPr>
          <w:p>
            <w:pPr>
              <w:pStyle w:val="TableContents"/>
              <w:bidi w:val="0"/>
              <w:spacing w:before="0" w:after="0"/>
              <w:jc w:val="left"/>
              <w:rPr>
                <w:color w:val="000000"/>
              </w:rPr>
            </w:pPr>
            <w:r>
              <w:rPr>
                <w:color w:val="000000"/>
              </w:rPr>
              <w:t>)</w:t>
            </w:r>
          </w:p>
        </w:tc>
      </w:tr>
      <w:tr>
        <w:trPr/>
        <w:tc>
          <w:tcPr>
            <w:tcW w:w="2555"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Down 200 basis points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89" w:type="dxa"/>
            <w:tcBorders/>
            <w:shd w:fill="CCEEFF" w:val="clear"/>
            <w:tcMar>
              <w:bottom w:w="0" w:type="dxa"/>
            </w:tcMar>
            <w:vAlign w:val="bottom"/>
          </w:tcPr>
          <w:p>
            <w:pPr>
              <w:pStyle w:val="TableContents"/>
              <w:bidi w:val="0"/>
              <w:spacing w:before="0" w:after="283"/>
              <w:jc w:val="left"/>
              <w:rPr/>
            </w:pPr>
            <w:r>
              <w:rPr/>
              <w:t> </w:t>
            </w:r>
          </w:p>
        </w:tc>
        <w:tc>
          <w:tcPr>
            <w:tcW w:w="1320" w:type="dxa"/>
            <w:tcBorders/>
            <w:shd w:fill="CCEEFF" w:val="clear"/>
            <w:tcMar>
              <w:bottom w:w="0" w:type="dxa"/>
            </w:tcMar>
            <w:vAlign w:val="bottom"/>
          </w:tcPr>
          <w:p>
            <w:pPr>
              <w:pStyle w:val="TableContents"/>
              <w:bidi w:val="0"/>
              <w:spacing w:before="0" w:after="0"/>
              <w:jc w:val="right"/>
              <w:rPr>
                <w:color w:val="000000"/>
              </w:rPr>
            </w:pPr>
            <w:r>
              <w:rPr>
                <w:color w:val="000000"/>
              </w:rPr>
              <w:t>(883</w:t>
            </w:r>
          </w:p>
        </w:tc>
        <w:tc>
          <w:tcPr>
            <w:tcW w:w="9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984" w:type="dxa"/>
            <w:tcBorders/>
            <w:shd w:fill="CCEEFF" w:val="clear"/>
            <w:tcMar>
              <w:bottom w:w="0" w:type="dxa"/>
            </w:tcMar>
            <w:vAlign w:val="bottom"/>
          </w:tcPr>
          <w:p>
            <w:pPr>
              <w:pStyle w:val="TableContents"/>
              <w:bidi w:val="0"/>
              <w:spacing w:before="0" w:after="283"/>
              <w:jc w:val="left"/>
              <w:rPr/>
            </w:pPr>
            <w:r>
              <w:rPr/>
              <w:t> </w:t>
            </w:r>
          </w:p>
        </w:tc>
        <w:tc>
          <w:tcPr>
            <w:tcW w:w="67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334"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color w:val="000000"/>
              </w:rPr>
            </w:pPr>
            <w:r>
              <w:rPr>
                <w:color w:val="000000"/>
              </w:rPr>
              <w:t>(883</w:t>
            </w:r>
          </w:p>
        </w:tc>
        <w:tc>
          <w:tcPr>
            <w:tcW w:w="110" w:type="dxa"/>
            <w:tcBorders/>
            <w:shd w:fill="CCEEFF" w:val="clear"/>
            <w:tcMar>
              <w:bottom w:w="0" w:type="dxa"/>
            </w:tcMar>
            <w:vAlign w:val="bottom"/>
          </w:tcPr>
          <w:p>
            <w:pPr>
              <w:pStyle w:val="TableContents"/>
              <w:bidi w:val="0"/>
              <w:spacing w:before="0" w:after="0"/>
              <w:jc w:val="left"/>
              <w:rPr>
                <w:color w:val="000000"/>
              </w:rPr>
            </w:pPr>
            <w:r>
              <w:rPr>
                <w:color w:val="000000"/>
              </w:rPr>
              <w:t>)</w:t>
            </w:r>
          </w:p>
        </w:tc>
      </w:tr>
      <w:tr>
        <w:trPr/>
        <w:tc>
          <w:tcPr>
            <w:tcW w:w="2555" w:type="dxa"/>
            <w:tcBorders/>
            <w:tcMar>
              <w:bottom w:w="0" w:type="dxa"/>
            </w:tcMar>
            <w:vAlign w:val="bottom"/>
          </w:tcPr>
          <w:p>
            <w:pPr>
              <w:pStyle w:val="TableContents"/>
              <w:bidi w:val="0"/>
              <w:spacing w:before="0" w:after="0"/>
              <w:ind w:left="144" w:right="0" w:hanging="144"/>
              <w:jc w:val="left"/>
              <w:rPr>
                <w:color w:val="000000"/>
              </w:rPr>
            </w:pPr>
            <w:r>
              <w:rPr>
                <w:color w:val="000000"/>
              </w:rPr>
              <w:t>Down 300 basis points</w:t>
            </w:r>
          </w:p>
        </w:tc>
        <w:tc>
          <w:tcPr>
            <w:tcW w:w="60" w:type="dxa"/>
            <w:tcBorders/>
            <w:tcMar>
              <w:bottom w:w="0" w:type="dxa"/>
            </w:tcMar>
            <w:vAlign w:val="bottom"/>
          </w:tcPr>
          <w:p>
            <w:pPr>
              <w:pStyle w:val="TableContents"/>
              <w:bidi w:val="0"/>
              <w:spacing w:before="0" w:after="283"/>
              <w:jc w:val="left"/>
              <w:rPr/>
            </w:pPr>
            <w:r>
              <w:rPr/>
              <w:t> </w:t>
            </w:r>
          </w:p>
        </w:tc>
        <w:tc>
          <w:tcPr>
            <w:tcW w:w="289" w:type="dxa"/>
            <w:tcBorders/>
            <w:tcMar>
              <w:bottom w:w="0" w:type="dxa"/>
            </w:tcMar>
            <w:vAlign w:val="bottom"/>
          </w:tcPr>
          <w:p>
            <w:pPr>
              <w:pStyle w:val="TableContents"/>
              <w:bidi w:val="0"/>
              <w:spacing w:before="0" w:after="283"/>
              <w:jc w:val="left"/>
              <w:rPr/>
            </w:pPr>
            <w:r>
              <w:rPr/>
              <w:t> </w:t>
            </w:r>
          </w:p>
        </w:tc>
        <w:tc>
          <w:tcPr>
            <w:tcW w:w="1320" w:type="dxa"/>
            <w:tcBorders/>
            <w:tcMar>
              <w:bottom w:w="0" w:type="dxa"/>
            </w:tcMar>
            <w:vAlign w:val="bottom"/>
          </w:tcPr>
          <w:p>
            <w:pPr>
              <w:pStyle w:val="TableContents"/>
              <w:bidi w:val="0"/>
              <w:spacing w:before="0" w:after="0"/>
              <w:jc w:val="right"/>
              <w:rPr>
                <w:color w:val="000000"/>
              </w:rPr>
            </w:pPr>
            <w:r>
              <w:rPr>
                <w:color w:val="000000"/>
              </w:rPr>
              <w:t>(1,146</w:t>
            </w:r>
          </w:p>
        </w:tc>
        <w:tc>
          <w:tcPr>
            <w:tcW w:w="95" w:type="dxa"/>
            <w:tcBorders/>
            <w:tcMar>
              <w:bottom w:w="0" w:type="dxa"/>
            </w:tcMar>
            <w:vAlign w:val="bottom"/>
          </w:tcPr>
          <w:p>
            <w:pPr>
              <w:pStyle w:val="TableContents"/>
              <w:bidi w:val="0"/>
              <w:spacing w:before="0" w:after="0"/>
              <w:jc w:val="left"/>
              <w:rPr>
                <w:color w:val="000000"/>
              </w:rPr>
            </w:pPr>
            <w:r>
              <w:rPr>
                <w:color w:val="000000"/>
              </w:rPr>
              <w:t>)</w:t>
            </w:r>
          </w:p>
        </w:tc>
        <w:tc>
          <w:tcPr>
            <w:tcW w:w="60" w:type="dxa"/>
            <w:tcBorders/>
            <w:tcMar>
              <w:bottom w:w="0" w:type="dxa"/>
            </w:tcMar>
            <w:vAlign w:val="bottom"/>
          </w:tcPr>
          <w:p>
            <w:pPr>
              <w:pStyle w:val="TableContents"/>
              <w:bidi w:val="0"/>
              <w:spacing w:before="0" w:after="283"/>
              <w:jc w:val="left"/>
              <w:rPr/>
            </w:pPr>
            <w:r>
              <w:rPr/>
              <w:t> </w:t>
            </w:r>
          </w:p>
        </w:tc>
        <w:tc>
          <w:tcPr>
            <w:tcW w:w="984" w:type="dxa"/>
            <w:tcBorders/>
            <w:tcMar>
              <w:bottom w:w="0" w:type="dxa"/>
            </w:tcMar>
            <w:vAlign w:val="bottom"/>
          </w:tcPr>
          <w:p>
            <w:pPr>
              <w:pStyle w:val="TableContents"/>
              <w:bidi w:val="0"/>
              <w:spacing w:before="0" w:after="283"/>
              <w:jc w:val="left"/>
              <w:rPr/>
            </w:pPr>
            <w:r>
              <w:rPr/>
              <w:t> </w:t>
            </w:r>
          </w:p>
        </w:tc>
        <w:tc>
          <w:tcPr>
            <w:tcW w:w="670" w:type="dxa"/>
            <w:tcBorders/>
            <w:tcMar>
              <w:bottom w:w="0" w:type="dxa"/>
            </w:tcMar>
            <w:vAlign w:val="bottom"/>
          </w:tcPr>
          <w:p>
            <w:pPr>
              <w:pStyle w:val="TableContents"/>
              <w:bidi w:val="0"/>
              <w:spacing w:before="0" w:after="0"/>
              <w:jc w:val="right"/>
              <w:rPr>
                <w:color w:val="000000"/>
              </w:rPr>
            </w:pPr>
            <w:r>
              <w:rPr>
                <w:color w:val="00000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334"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color w:val="000000"/>
              </w:rPr>
            </w:pPr>
            <w:r>
              <w:rPr>
                <w:color w:val="000000"/>
              </w:rPr>
              <w:t>(1,146</w:t>
            </w:r>
          </w:p>
        </w:tc>
        <w:tc>
          <w:tcPr>
            <w:tcW w:w="110" w:type="dxa"/>
            <w:tcBorders/>
            <w:tcMar>
              <w:bottom w:w="0" w:type="dxa"/>
            </w:tcM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r>
        <w:rPr>
          <w:rFonts w:ascii="Times New Roman;Times;serif" w:hAnsi="Times New Roman;Times;serif"/>
          <w:color w:val="000000"/>
          <w:sz w:val="20"/>
          <w:shd w:fill="FFFFFF" w:val="clear"/>
        </w:rPr>
        <w:t xml:space="preserve"> </w:t>
      </w:r>
    </w:p>
    <w:p>
      <w:pPr>
        <w:pStyle w:val="Normal"/>
        <w:bidi w:val="0"/>
        <w:spacing w:before="0" w:after="0"/>
        <w:jc w:val="left"/>
        <w:rPr>
          <w:sz w:val="4"/>
          <w:szCs w:val="4"/>
        </w:rPr>
      </w:pPr>
      <w:r>
        <w:rPr>
          <w:sz w:val="4"/>
          <w:szCs w:val="4"/>
        </w:rPr>
      </w:r>
      <w:bookmarkStart w:id="14" w:name="ControlsandProcedures"/>
      <w:bookmarkStart w:id="15" w:name="ControlsandProcedures"/>
      <w:bookmarkEnd w:id="15"/>
    </w:p>
    <w:tbl>
      <w:tblPr>
        <w:tblW w:w="3325" w:type="dxa"/>
        <w:jc w:val="left"/>
        <w:tblInd w:w="0" w:type="dxa"/>
        <w:tblLayout w:type="fixed"/>
        <w:tblCellMar>
          <w:top w:w="0" w:type="dxa"/>
          <w:left w:w="0" w:type="dxa"/>
          <w:bottom w:w="0" w:type="dxa"/>
          <w:right w:w="0" w:type="dxa"/>
        </w:tblCellMar>
      </w:tblPr>
      <w:tblGrid>
        <w:gridCol w:w="740"/>
        <w:gridCol w:w="2585"/>
      </w:tblGrid>
      <w:tr>
        <w:trPr/>
        <w:tc>
          <w:tcPr>
            <w:tcW w:w="740" w:type="dxa"/>
            <w:tcBorders/>
            <w:vAlign w:val="center"/>
          </w:tcPr>
          <w:p>
            <w:pPr>
              <w:pStyle w:val="TableContents"/>
              <w:bidi w:val="0"/>
              <w:spacing w:before="0" w:after="283"/>
              <w:jc w:val="left"/>
              <w:rPr>
                <w:b/>
                <w:color w:val="000000"/>
              </w:rPr>
            </w:pPr>
            <w:r>
              <w:rPr>
                <w:b/>
                <w:color w:val="000000"/>
              </w:rPr>
              <w:t>Item 4.</w:t>
            </w:r>
          </w:p>
        </w:tc>
        <w:tc>
          <w:tcPr>
            <w:tcW w:w="2585" w:type="dxa"/>
            <w:tcBorders/>
            <w:vAlign w:val="center"/>
          </w:tcPr>
          <w:p>
            <w:pPr>
              <w:pStyle w:val="TableContents"/>
              <w:bidi w:val="0"/>
              <w:spacing w:before="0" w:after="0"/>
              <w:jc w:val="left"/>
              <w:rPr>
                <w:b/>
                <w:color w:val="000000"/>
              </w:rPr>
            </w:pPr>
            <w:r>
              <w:rPr>
                <w:b/>
                <w:color w:val="000000"/>
              </w:rPr>
              <w:t>Controls and Procedures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Evaluation of Disclosure Controls and Procedures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accordance with Rules 13a-15(b) and 15d-15(b) under the Exchange Act, we, under the supervision and with the participation of our Chief Executive Officer and Chief Financial Officer, carried out an evaluation of the effectiveness of our disclosure controls and procedures (as defined in Rule 13a-15(e) and Rule 15d-15(e) under the Exchange Act) as of the end of the period covered by this quarterly report on Form 10-Q and determined that our disclosure controls and procedures are effective as of the end of the period covered by this quarterly report on Form 10-Q.</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Changes in Internal Control Over Financial Reporting</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There have been no changes in our internal control over financial reporting (as defined in Rules 13a-15(f) and 15d-15(f) under the Exchange Act) that occurred during the three months ended June 30, 2024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PART II: OTHER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LegalProceedings"/>
      <w:bookmarkStart w:id="17" w:name="LegalProceedings"/>
      <w:bookmarkEnd w:id="17"/>
    </w:p>
    <w:tbl>
      <w:tblPr>
        <w:tblW w:w="2635" w:type="dxa"/>
        <w:jc w:val="left"/>
        <w:tblInd w:w="0" w:type="dxa"/>
        <w:tblLayout w:type="fixed"/>
        <w:tblCellMar>
          <w:top w:w="0" w:type="dxa"/>
          <w:left w:w="0" w:type="dxa"/>
          <w:bottom w:w="0" w:type="dxa"/>
          <w:right w:w="0" w:type="dxa"/>
        </w:tblCellMar>
      </w:tblPr>
      <w:tblGrid>
        <w:gridCol w:w="740"/>
        <w:gridCol w:w="1895"/>
      </w:tblGrid>
      <w:tr>
        <w:trPr/>
        <w:tc>
          <w:tcPr>
            <w:tcW w:w="740" w:type="dxa"/>
            <w:tcBorders/>
            <w:vAlign w:val="center"/>
          </w:tcPr>
          <w:p>
            <w:pPr>
              <w:pStyle w:val="TableContents"/>
              <w:bidi w:val="0"/>
              <w:spacing w:before="0" w:after="283"/>
              <w:jc w:val="left"/>
              <w:rPr>
                <w:b/>
                <w:color w:val="000000"/>
              </w:rPr>
            </w:pPr>
            <w:r>
              <w:rPr>
                <w:b/>
                <w:color w:val="000000"/>
              </w:rPr>
              <w:t>Item 1.</w:t>
            </w:r>
          </w:p>
        </w:tc>
        <w:tc>
          <w:tcPr>
            <w:tcW w:w="1895" w:type="dxa"/>
            <w:tcBorders/>
            <w:vAlign w:val="center"/>
          </w:tcPr>
          <w:p>
            <w:pPr>
              <w:pStyle w:val="TableContents"/>
              <w:bidi w:val="0"/>
              <w:spacing w:before="0" w:after="0"/>
              <w:jc w:val="left"/>
              <w:rPr>
                <w:b/>
                <w:color w:val="000000"/>
              </w:rPr>
            </w:pPr>
            <w:r>
              <w:rPr>
                <w:b/>
                <w:color w:val="000000"/>
              </w:rPr>
              <w:t>Legal Proceedings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RiskFactors"/>
      <w:bookmarkStart w:id="19" w:name="RiskFactors"/>
      <w:bookmarkEnd w:id="19"/>
    </w:p>
    <w:tbl>
      <w:tblPr>
        <w:tblW w:w="2245" w:type="dxa"/>
        <w:jc w:val="left"/>
        <w:tblInd w:w="0" w:type="dxa"/>
        <w:tblLayout w:type="fixed"/>
        <w:tblCellMar>
          <w:top w:w="0" w:type="dxa"/>
          <w:left w:w="0" w:type="dxa"/>
          <w:bottom w:w="0" w:type="dxa"/>
          <w:right w:w="0" w:type="dxa"/>
        </w:tblCellMar>
      </w:tblPr>
      <w:tblGrid>
        <w:gridCol w:w="920"/>
        <w:gridCol w:w="1325"/>
      </w:tblGrid>
      <w:tr>
        <w:trPr/>
        <w:tc>
          <w:tcPr>
            <w:tcW w:w="920" w:type="dxa"/>
            <w:tcBorders/>
            <w:vAlign w:val="center"/>
          </w:tcPr>
          <w:p>
            <w:pPr>
              <w:pStyle w:val="TableContents"/>
              <w:bidi w:val="0"/>
              <w:spacing w:before="0" w:after="283"/>
              <w:jc w:val="left"/>
              <w:rPr>
                <w:b/>
                <w:color w:val="000000"/>
              </w:rPr>
            </w:pPr>
            <w:r>
              <w:rPr>
                <w:b/>
                <w:color w:val="000000"/>
              </w:rPr>
              <w:t>Item 1A.</w:t>
            </w:r>
          </w:p>
        </w:tc>
        <w:tc>
          <w:tcPr>
            <w:tcW w:w="1325" w:type="dxa"/>
            <w:tcBorders/>
            <w:vAlign w:val="center"/>
          </w:tcPr>
          <w:p>
            <w:pPr>
              <w:pStyle w:val="TableContents"/>
              <w:bidi w:val="0"/>
              <w:spacing w:before="0" w:after="0"/>
              <w:jc w:val="left"/>
              <w:rPr>
                <w:b/>
                <w:color w:val="000000"/>
              </w:rPr>
            </w:pPr>
            <w:r>
              <w:rPr>
                <w:b/>
                <w:color w:val="000000"/>
              </w:rPr>
              <w:t>Risk Factors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There have been no material changes during the six months ended June 30, 2024 to the risk factors discussed in “Item 1A. Risk Factors” in our annual report on Form 10-K for the fiscal year ended December 31, 2023.</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UnregisteredSalesofEquity"/>
      <w:bookmarkStart w:id="21" w:name="UnregisteredSalesofEquity"/>
      <w:bookmarkEnd w:id="21"/>
    </w:p>
    <w:tbl>
      <w:tblPr>
        <w:tblW w:w="6820" w:type="dxa"/>
        <w:jc w:val="left"/>
        <w:tblInd w:w="0" w:type="dxa"/>
        <w:tblLayout w:type="fixed"/>
        <w:tblCellMar>
          <w:top w:w="0" w:type="dxa"/>
          <w:left w:w="0" w:type="dxa"/>
          <w:bottom w:w="0" w:type="dxa"/>
          <w:right w:w="0" w:type="dxa"/>
        </w:tblCellMar>
      </w:tblPr>
      <w:tblGrid>
        <w:gridCol w:w="740"/>
        <w:gridCol w:w="6080"/>
      </w:tblGrid>
      <w:tr>
        <w:trPr/>
        <w:tc>
          <w:tcPr>
            <w:tcW w:w="740" w:type="dxa"/>
            <w:tcBorders/>
            <w:vAlign w:val="center"/>
          </w:tcPr>
          <w:p>
            <w:pPr>
              <w:pStyle w:val="TableContents"/>
              <w:bidi w:val="0"/>
              <w:spacing w:before="0" w:after="283"/>
              <w:jc w:val="left"/>
              <w:rPr>
                <w:b/>
                <w:color w:val="000000"/>
              </w:rPr>
            </w:pPr>
            <w:r>
              <w:rPr>
                <w:b/>
                <w:color w:val="000000"/>
              </w:rPr>
              <w:t>Item 2.</w:t>
            </w:r>
          </w:p>
        </w:tc>
        <w:tc>
          <w:tcPr>
            <w:tcW w:w="6080" w:type="dxa"/>
            <w:tcBorders/>
            <w:vAlign w:val="center"/>
          </w:tcPr>
          <w:p>
            <w:pPr>
              <w:pStyle w:val="TableContents"/>
              <w:bidi w:val="0"/>
              <w:spacing w:before="0" w:after="0"/>
              <w:jc w:val="left"/>
              <w:rPr>
                <w:b/>
                <w:color w:val="000000"/>
              </w:rPr>
            </w:pPr>
            <w:r>
              <w:rPr>
                <w:b/>
                <w:color w:val="000000"/>
              </w:rPr>
              <w:t>Unregistered Sales of Equity Securities and Use of Proceeds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Dividend Reinvestment Plan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June 28, 2024, pursuant to its dividend reinvestment plan, the Company issued 15 shares of its common stock, at a price of $13.60 per share, to stockholders of record as of June 20, 2024 that did not opt out of the Company’s dividend reinvestment plan in order to satisfy the reinvestment portion of the Company’s dividends. This issuance was not subject to the registration requirements of the Securities Act. See “Item 1. Financial Statements – Note 7. Common Stock – Dividend Reinvestment Plan” for more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DefaultsUponSeniorSecurit"/>
      <w:bookmarkStart w:id="23" w:name="DefaultsUponSeniorSecurit"/>
      <w:bookmarkEnd w:id="23"/>
    </w:p>
    <w:tbl>
      <w:tblPr>
        <w:tblW w:w="4000" w:type="dxa"/>
        <w:jc w:val="left"/>
        <w:tblInd w:w="0" w:type="dxa"/>
        <w:tblLayout w:type="fixed"/>
        <w:tblCellMar>
          <w:top w:w="0" w:type="dxa"/>
          <w:left w:w="0" w:type="dxa"/>
          <w:bottom w:w="0" w:type="dxa"/>
          <w:right w:w="0" w:type="dxa"/>
        </w:tblCellMar>
      </w:tblPr>
      <w:tblGrid>
        <w:gridCol w:w="740"/>
        <w:gridCol w:w="3260"/>
      </w:tblGrid>
      <w:tr>
        <w:trPr/>
        <w:tc>
          <w:tcPr>
            <w:tcW w:w="740" w:type="dxa"/>
            <w:tcBorders/>
            <w:vAlign w:val="center"/>
          </w:tcPr>
          <w:p>
            <w:pPr>
              <w:pStyle w:val="TableContents"/>
              <w:bidi w:val="0"/>
              <w:spacing w:before="0" w:after="283"/>
              <w:jc w:val="left"/>
              <w:rPr>
                <w:b/>
                <w:color w:val="000000"/>
              </w:rPr>
            </w:pPr>
            <w:r>
              <w:rPr>
                <w:b/>
                <w:color w:val="000000"/>
              </w:rPr>
              <w:t>Item 3.</w:t>
            </w:r>
          </w:p>
        </w:tc>
        <w:tc>
          <w:tcPr>
            <w:tcW w:w="3260" w:type="dxa"/>
            <w:tcBorders/>
            <w:vAlign w:val="center"/>
          </w:tcPr>
          <w:p>
            <w:pPr>
              <w:pStyle w:val="TableContents"/>
              <w:bidi w:val="0"/>
              <w:spacing w:before="0" w:after="0"/>
              <w:jc w:val="left"/>
              <w:rPr>
                <w:b/>
                <w:color w:val="000000"/>
              </w:rPr>
            </w:pPr>
            <w:r>
              <w:rPr>
                <w:b/>
                <w:color w:val="000000"/>
              </w:rPr>
              <w:t>Defaults Upon Senior Securities</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MineSafetyDisclosures"/>
      <w:bookmarkStart w:id="25" w:name="MineSafetyDisclosures"/>
      <w:bookmarkEnd w:id="25"/>
    </w:p>
    <w:tbl>
      <w:tblPr>
        <w:tblW w:w="3190" w:type="dxa"/>
        <w:jc w:val="left"/>
        <w:tblInd w:w="0" w:type="dxa"/>
        <w:tblLayout w:type="fixed"/>
        <w:tblCellMar>
          <w:top w:w="0" w:type="dxa"/>
          <w:left w:w="0" w:type="dxa"/>
          <w:bottom w:w="0" w:type="dxa"/>
          <w:right w:w="0" w:type="dxa"/>
        </w:tblCellMar>
      </w:tblPr>
      <w:tblGrid>
        <w:gridCol w:w="740"/>
        <w:gridCol w:w="2450"/>
      </w:tblGrid>
      <w:tr>
        <w:trPr/>
        <w:tc>
          <w:tcPr>
            <w:tcW w:w="740" w:type="dxa"/>
            <w:tcBorders/>
            <w:vAlign w:val="center"/>
          </w:tcPr>
          <w:p>
            <w:pPr>
              <w:pStyle w:val="TableContents"/>
              <w:bidi w:val="0"/>
              <w:spacing w:before="0" w:after="283"/>
              <w:jc w:val="left"/>
              <w:rPr>
                <w:b/>
                <w:color w:val="000000"/>
              </w:rPr>
            </w:pPr>
            <w:r>
              <w:rPr>
                <w:b/>
                <w:color w:val="000000"/>
              </w:rPr>
              <w:t>Item 4.</w:t>
            </w:r>
          </w:p>
        </w:tc>
        <w:tc>
          <w:tcPr>
            <w:tcW w:w="2450" w:type="dxa"/>
            <w:tcBorders/>
            <w:vAlign w:val="center"/>
          </w:tcPr>
          <w:p>
            <w:pPr>
              <w:pStyle w:val="TableContents"/>
              <w:bidi w:val="0"/>
              <w:spacing w:before="0" w:after="0"/>
              <w:jc w:val="left"/>
              <w:rPr>
                <w:b/>
                <w:color w:val="000000"/>
              </w:rPr>
            </w:pPr>
            <w:r>
              <w:rPr>
                <w:b/>
                <w:color w:val="000000"/>
              </w:rPr>
              <w:t>Mine Safety Disclosures</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OtherInformation"/>
      <w:bookmarkStart w:id="27" w:name="OtherInformation"/>
      <w:bookmarkEnd w:id="27"/>
    </w:p>
    <w:tbl>
      <w:tblPr>
        <w:tblW w:w="2665" w:type="dxa"/>
        <w:jc w:val="left"/>
        <w:tblInd w:w="0" w:type="dxa"/>
        <w:tblLayout w:type="fixed"/>
        <w:tblCellMar>
          <w:top w:w="0" w:type="dxa"/>
          <w:left w:w="0" w:type="dxa"/>
          <w:bottom w:w="0" w:type="dxa"/>
          <w:right w:w="0" w:type="dxa"/>
        </w:tblCellMar>
      </w:tblPr>
      <w:tblGrid>
        <w:gridCol w:w="740"/>
        <w:gridCol w:w="1925"/>
      </w:tblGrid>
      <w:tr>
        <w:trPr/>
        <w:tc>
          <w:tcPr>
            <w:tcW w:w="740" w:type="dxa"/>
            <w:tcBorders/>
            <w:vAlign w:val="center"/>
          </w:tcPr>
          <w:p>
            <w:pPr>
              <w:pStyle w:val="TableContents"/>
              <w:bidi w:val="0"/>
              <w:spacing w:before="0" w:after="283"/>
              <w:jc w:val="left"/>
              <w:rPr>
                <w:b/>
                <w:color w:val="000000"/>
              </w:rPr>
            </w:pPr>
            <w:r>
              <w:rPr>
                <w:b/>
                <w:color w:val="000000"/>
              </w:rPr>
              <w:t>Item 5.</w:t>
            </w:r>
          </w:p>
        </w:tc>
        <w:tc>
          <w:tcPr>
            <w:tcW w:w="1925" w:type="dxa"/>
            <w:tcBorders/>
            <w:vAlign w:val="center"/>
          </w:tcPr>
          <w:p>
            <w:pPr>
              <w:pStyle w:val="TableContents"/>
              <w:bidi w:val="0"/>
              <w:spacing w:before="0" w:after="0"/>
              <w:jc w:val="left"/>
              <w:rPr>
                <w:b/>
                <w:color w:val="000000"/>
              </w:rPr>
            </w:pPr>
            <w:r>
              <w:rPr>
                <w:b/>
                <w:color w:val="000000"/>
              </w:rPr>
              <w:t>Other Information</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three months ended June 30, 2024, none of our officers or directors adopted or terminated any contract, instruction or written plan for the purchase or sale of our securities that was intended to satisfy the affirmative defense conditions of Rule 10b5-1(c) or any “non-Rule 10b5-1 trading arrangement.”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Exhibits"/>
      <w:bookmarkStart w:id="29" w:name="Exhibits"/>
      <w:bookmarkEnd w:id="29"/>
    </w:p>
    <w:tbl>
      <w:tblPr>
        <w:tblW w:w="1615" w:type="dxa"/>
        <w:jc w:val="left"/>
        <w:tblInd w:w="0" w:type="dxa"/>
        <w:tblLayout w:type="fixed"/>
        <w:tblCellMar>
          <w:top w:w="0" w:type="dxa"/>
          <w:left w:w="0" w:type="dxa"/>
          <w:bottom w:w="0" w:type="dxa"/>
          <w:right w:w="0" w:type="dxa"/>
        </w:tblCellMar>
      </w:tblPr>
      <w:tblGrid>
        <w:gridCol w:w="740"/>
        <w:gridCol w:w="875"/>
      </w:tblGrid>
      <w:tr>
        <w:trPr/>
        <w:tc>
          <w:tcPr>
            <w:tcW w:w="740" w:type="dxa"/>
            <w:tcBorders/>
            <w:vAlign w:val="center"/>
          </w:tcPr>
          <w:p>
            <w:pPr>
              <w:pStyle w:val="TableContents"/>
              <w:bidi w:val="0"/>
              <w:spacing w:before="0" w:after="283"/>
              <w:jc w:val="left"/>
              <w:rPr>
                <w:b/>
                <w:color w:val="000000"/>
              </w:rPr>
            </w:pPr>
            <w:r>
              <w:rPr>
                <w:b/>
                <w:color w:val="000000"/>
              </w:rPr>
              <w:t>Item 6.</w:t>
            </w:r>
          </w:p>
        </w:tc>
        <w:tc>
          <w:tcPr>
            <w:tcW w:w="875" w:type="dxa"/>
            <w:tcBorders/>
            <w:vAlign w:val="center"/>
          </w:tcPr>
          <w:p>
            <w:pPr>
              <w:pStyle w:val="TableContents"/>
              <w:bidi w:val="0"/>
              <w:spacing w:before="0" w:after="0"/>
              <w:jc w:val="left"/>
              <w:rPr>
                <w:b/>
                <w:color w:val="000000"/>
              </w:rPr>
            </w:pPr>
            <w:r>
              <w:rPr>
                <w:b/>
                <w:color w:val="000000"/>
              </w:rPr>
              <w:t>Exhibits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exhibits are filed as part of this quarterly report on Form 10-Q or hereby incorporated by reference to exhibits previously filed with the SEC:</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r>
        <w:rPr>
          <w:rFonts w:ascii="Times New Roman;Times;serif" w:hAnsi="Times New Roman;Times;serif"/>
          <w:color w:val="000000"/>
          <w:sz w:val="20"/>
          <w:shd w:fill="FFFFFF" w:val="clear"/>
        </w:rPr>
        <w:t xml:space="preserve"> </w:t>
      </w:r>
    </w:p>
    <w:tbl>
      <w:tblPr>
        <w:tblW w:w="10205" w:type="dxa"/>
        <w:jc w:val="left"/>
        <w:tblInd w:w="0" w:type="dxa"/>
        <w:tblLayout w:type="fixed"/>
        <w:tblCellMar>
          <w:top w:w="0" w:type="dxa"/>
          <w:left w:w="0" w:type="dxa"/>
          <w:bottom w:w="0" w:type="dxa"/>
          <w:right w:w="0" w:type="dxa"/>
        </w:tblCellMar>
      </w:tblPr>
      <w:tblGrid>
        <w:gridCol w:w="890"/>
        <w:gridCol w:w="60"/>
        <w:gridCol w:w="9255"/>
      </w:tblGrid>
      <w:tr>
        <w:trPr/>
        <w:tc>
          <w:tcPr>
            <w:tcW w:w="890" w:type="dxa"/>
            <w:tcBorders/>
            <w:vAlign w:val="center"/>
          </w:tcPr>
          <w:p>
            <w:pPr>
              <w:pStyle w:val="TableContents"/>
              <w:bidi w:val="0"/>
              <w:spacing w:before="0" w:after="0"/>
              <w:jc w:val="both"/>
              <w:rPr>
                <w:b/>
                <w:color w:val="000000"/>
              </w:rPr>
            </w:pPr>
            <w:r>
              <w:rPr>
                <w:b/>
                <w:color w:val="000000"/>
              </w:rPr>
              <w:t>Exhibit</w:t>
            </w:r>
          </w:p>
          <w:p>
            <w:pPr>
              <w:pStyle w:val="TableContents"/>
              <w:bidi w:val="0"/>
              <w:spacing w:before="0" w:after="0"/>
              <w:jc w:val="both"/>
              <w:rPr>
                <w:b/>
                <w:color w:val="000000"/>
              </w:rPr>
            </w:pPr>
            <w:r>
              <w:rPr>
                <w:b/>
                <w:color w:val="000000"/>
              </w:rPr>
              <w:t>Number</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0"/>
              <w:jc w:val="both"/>
              <w:rPr>
                <w:b/>
                <w:color w:val="000000"/>
              </w:rPr>
            </w:pPr>
            <w:r>
              <w:rPr>
                <w:b/>
                <w:color w:val="000000"/>
              </w:rPr>
              <w:t>Description of Exhibit</w:t>
            </w:r>
          </w:p>
        </w:tc>
      </w:tr>
      <w:tr>
        <w:trPr/>
        <w:tc>
          <w:tcPr>
            <w:tcW w:w="890" w:type="dxa"/>
            <w:tcBorders/>
            <w:shd w:fill="CCEEFF" w:val="clear"/>
            <w:vAlign w:val="center"/>
          </w:tcPr>
          <w:p>
            <w:pPr>
              <w:pStyle w:val="TableContents"/>
              <w:bidi w:val="0"/>
              <w:spacing w:before="0" w:after="0"/>
              <w:jc w:val="left"/>
              <w:rPr/>
            </w:pPr>
            <w:hyperlink r:id="rId2">
              <w:r>
                <w:rPr>
                  <w:rStyle w:val="InternetLink"/>
                </w:rPr>
                <w:t>2.1</w:t>
              </w:r>
            </w:hyperlink>
          </w:p>
        </w:tc>
        <w:tc>
          <w:tcPr>
            <w:tcW w:w="60" w:type="dxa"/>
            <w:tcBorders/>
            <w:shd w:fill="CCEEFF" w:val="clear"/>
            <w:vAlign w:val="center"/>
          </w:tcPr>
          <w:p>
            <w:pPr>
              <w:pStyle w:val="TableContents"/>
              <w:bidi w:val="0"/>
              <w:spacing w:before="0" w:after="283"/>
              <w:jc w:val="left"/>
              <w:rPr/>
            </w:pPr>
            <w:r>
              <w:rPr/>
              <w:t> </w:t>
            </w:r>
          </w:p>
        </w:tc>
        <w:tc>
          <w:tcPr>
            <w:tcW w:w="9255" w:type="dxa"/>
            <w:tcBorders/>
            <w:shd w:fill="CCEEFF" w:val="clear"/>
            <w:vAlign w:val="center"/>
          </w:tcPr>
          <w:p>
            <w:pPr>
              <w:pStyle w:val="TableContents"/>
              <w:bidi w:val="0"/>
              <w:spacing w:lineRule="auto" w:line="240" w:before="0" w:after="0"/>
              <w:jc w:val="left"/>
              <w:rPr>
                <w:color w:val="000000"/>
              </w:rPr>
            </w:pPr>
            <w:r>
              <w:rPr>
                <w:color w:val="000000"/>
              </w:rPr>
              <w:t>Purchase Agreement by and between Silver Spike Investment Corp. and Chicago Atlantic Loan Portfolio, LLC dated as of February 18, 2024(1)</w:t>
            </w:r>
          </w:p>
        </w:tc>
      </w:tr>
      <w:tr>
        <w:trPr/>
        <w:tc>
          <w:tcPr>
            <w:tcW w:w="890" w:type="dxa"/>
            <w:tcBorders/>
            <w:vAlign w:val="center"/>
          </w:tcPr>
          <w:p>
            <w:pPr>
              <w:pStyle w:val="TableContents"/>
              <w:bidi w:val="0"/>
              <w:spacing w:before="0" w:after="0"/>
              <w:jc w:val="both"/>
              <w:rPr/>
            </w:pPr>
            <w:hyperlink r:id="rId3">
              <w:r>
                <w:rPr>
                  <w:rStyle w:val="InternetLink"/>
                </w:rPr>
                <w:t>3.1</w:t>
              </w:r>
            </w:hyperlink>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lineRule="auto" w:line="240" w:before="0" w:after="0"/>
              <w:jc w:val="both"/>
              <w:rPr>
                <w:color w:val="000000"/>
              </w:rPr>
            </w:pPr>
            <w:r>
              <w:rPr>
                <w:color w:val="000000"/>
              </w:rPr>
              <w:t>Articles of Amendment and Restatement of the Company(2)</w:t>
            </w:r>
          </w:p>
        </w:tc>
      </w:tr>
      <w:tr>
        <w:trPr/>
        <w:tc>
          <w:tcPr>
            <w:tcW w:w="890" w:type="dxa"/>
            <w:tcBorders/>
            <w:shd w:fill="CCEEFF" w:val="clear"/>
            <w:vAlign w:val="center"/>
          </w:tcPr>
          <w:p>
            <w:pPr>
              <w:pStyle w:val="TableContents"/>
              <w:bidi w:val="0"/>
              <w:spacing w:before="0" w:after="0"/>
              <w:jc w:val="both"/>
              <w:rPr/>
            </w:pPr>
            <w:hyperlink r:id="rId4">
              <w:r>
                <w:rPr>
                  <w:rStyle w:val="InternetLink"/>
                </w:rPr>
                <w:t>3.2</w:t>
              </w:r>
            </w:hyperlink>
          </w:p>
        </w:tc>
        <w:tc>
          <w:tcPr>
            <w:tcW w:w="60" w:type="dxa"/>
            <w:tcBorders/>
            <w:shd w:fill="CCEEFF" w:val="clear"/>
            <w:vAlign w:val="center"/>
          </w:tcPr>
          <w:p>
            <w:pPr>
              <w:pStyle w:val="TableContents"/>
              <w:bidi w:val="0"/>
              <w:spacing w:before="0" w:after="283"/>
              <w:jc w:val="left"/>
              <w:rPr/>
            </w:pPr>
            <w:r>
              <w:rPr/>
              <w:t> </w:t>
            </w:r>
          </w:p>
        </w:tc>
        <w:tc>
          <w:tcPr>
            <w:tcW w:w="9255" w:type="dxa"/>
            <w:tcBorders/>
            <w:shd w:fill="CCEEFF" w:val="clear"/>
            <w:vAlign w:val="center"/>
          </w:tcPr>
          <w:p>
            <w:pPr>
              <w:pStyle w:val="TableContents"/>
              <w:bidi w:val="0"/>
              <w:spacing w:lineRule="auto" w:line="240" w:before="0" w:after="0"/>
              <w:jc w:val="both"/>
              <w:rPr>
                <w:color w:val="000000"/>
              </w:rPr>
            </w:pPr>
            <w:r>
              <w:rPr>
                <w:color w:val="000000"/>
              </w:rPr>
              <w:t>Amended and Restated Bylaws of the Company(2)</w:t>
            </w:r>
          </w:p>
        </w:tc>
      </w:tr>
      <w:tr>
        <w:trPr/>
        <w:tc>
          <w:tcPr>
            <w:tcW w:w="890" w:type="dxa"/>
            <w:tcBorders/>
            <w:vAlign w:val="center"/>
          </w:tcPr>
          <w:p>
            <w:pPr>
              <w:pStyle w:val="TableContents"/>
              <w:bidi w:val="0"/>
              <w:spacing w:before="0" w:after="0"/>
              <w:jc w:val="both"/>
              <w:rPr/>
            </w:pPr>
            <w:hyperlink w:anchor="ef20030110_ex31-1.htm">
              <w:r>
                <w:rPr>
                  <w:rStyle w:val="InternetLink"/>
                </w:rPr>
                <w:t>31.1</w:t>
              </w:r>
            </w:hyperlink>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0"/>
              <w:jc w:val="both"/>
              <w:rPr>
                <w:color w:val="000000"/>
              </w:rPr>
            </w:pPr>
            <w:r>
              <w:rPr>
                <w:color w:val="000000"/>
              </w:rPr>
              <w:t>Certification of Principal Executive Officer Pursuant to Rules 13a-14(a) and 15d-14(a) under the Securities Exchange Act of 1934, as Adopted Pursuant to Section 302 of the Sarbanes-Oxley Act of 2002*</w:t>
            </w:r>
          </w:p>
        </w:tc>
      </w:tr>
      <w:tr>
        <w:trPr/>
        <w:tc>
          <w:tcPr>
            <w:tcW w:w="890" w:type="dxa"/>
            <w:tcBorders/>
            <w:shd w:fill="CCEEFF" w:val="clear"/>
            <w:vAlign w:val="center"/>
          </w:tcPr>
          <w:p>
            <w:pPr>
              <w:pStyle w:val="TableContents"/>
              <w:bidi w:val="0"/>
              <w:spacing w:before="0" w:after="0"/>
              <w:jc w:val="both"/>
              <w:rPr/>
            </w:pPr>
            <w:hyperlink w:anchor="ef20030110_ex31-2.htm">
              <w:r>
                <w:rPr>
                  <w:rStyle w:val="InternetLink"/>
                </w:rPr>
                <w:t>31.2</w:t>
              </w:r>
            </w:hyperlink>
          </w:p>
        </w:tc>
        <w:tc>
          <w:tcPr>
            <w:tcW w:w="60" w:type="dxa"/>
            <w:tcBorders/>
            <w:shd w:fill="CCEEFF" w:val="clear"/>
            <w:vAlign w:val="center"/>
          </w:tcPr>
          <w:p>
            <w:pPr>
              <w:pStyle w:val="TableContents"/>
              <w:bidi w:val="0"/>
              <w:spacing w:before="0" w:after="283"/>
              <w:jc w:val="left"/>
              <w:rPr/>
            </w:pPr>
            <w:r>
              <w:rPr/>
              <w:t> </w:t>
            </w:r>
          </w:p>
        </w:tc>
        <w:tc>
          <w:tcPr>
            <w:tcW w:w="9255" w:type="dxa"/>
            <w:tcBorders/>
            <w:shd w:fill="CCEEFF" w:val="clear"/>
            <w:vAlign w:val="center"/>
          </w:tcPr>
          <w:p>
            <w:pPr>
              <w:pStyle w:val="TableContents"/>
              <w:bidi w:val="0"/>
              <w:spacing w:before="0" w:after="0"/>
              <w:jc w:val="both"/>
              <w:rPr>
                <w:color w:val="000000"/>
              </w:rPr>
            </w:pPr>
            <w:r>
              <w:rPr>
                <w:color w:val="000000"/>
              </w:rPr>
              <w:t>Certification of Principal Financial Officer Pursuant to Rules 13a-14(a) and 15d-14(a) under the Securities Exchange Act of 1934, as Adopted Pursuant to Section 302 of the Sarbanes-Oxley Act of 2002*</w:t>
            </w:r>
          </w:p>
        </w:tc>
      </w:tr>
      <w:tr>
        <w:trPr/>
        <w:tc>
          <w:tcPr>
            <w:tcW w:w="890" w:type="dxa"/>
            <w:tcBorders/>
            <w:vAlign w:val="center"/>
          </w:tcPr>
          <w:p>
            <w:pPr>
              <w:pStyle w:val="TableContents"/>
              <w:bidi w:val="0"/>
              <w:spacing w:before="0" w:after="0"/>
              <w:jc w:val="both"/>
              <w:rPr/>
            </w:pPr>
            <w:hyperlink w:anchor="ef20030110_ex32-1.htm">
              <w:r>
                <w:rPr>
                  <w:rStyle w:val="InternetLink"/>
                </w:rPr>
                <w:t>32.1</w:t>
              </w:r>
            </w:hyperlink>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0"/>
              <w:jc w:val="both"/>
              <w:rPr>
                <w:color w:val="000000"/>
              </w:rPr>
            </w:pPr>
            <w:r>
              <w:rPr>
                <w:color w:val="000000"/>
              </w:rPr>
              <w:t>Certification of Principal Executive Officer Pursuant to 18 U.S.C. Section 1350, as Adopted Pursuant to Section 906 of the Sarbanes-Oxley Act of 2002*</w:t>
            </w:r>
          </w:p>
        </w:tc>
      </w:tr>
      <w:tr>
        <w:trPr/>
        <w:tc>
          <w:tcPr>
            <w:tcW w:w="890" w:type="dxa"/>
            <w:tcBorders/>
            <w:shd w:fill="CCEEFF" w:val="clear"/>
            <w:vAlign w:val="center"/>
          </w:tcPr>
          <w:p>
            <w:pPr>
              <w:pStyle w:val="TableContents"/>
              <w:bidi w:val="0"/>
              <w:spacing w:before="0" w:after="0"/>
              <w:jc w:val="both"/>
              <w:rPr/>
            </w:pPr>
            <w:hyperlink w:anchor="ef20030110_ex32-2.htm">
              <w:r>
                <w:rPr>
                  <w:rStyle w:val="InternetLink"/>
                </w:rPr>
                <w:t>32.2</w:t>
              </w:r>
            </w:hyperlink>
          </w:p>
        </w:tc>
        <w:tc>
          <w:tcPr>
            <w:tcW w:w="60" w:type="dxa"/>
            <w:tcBorders/>
            <w:shd w:fill="CCEEFF" w:val="clear"/>
            <w:vAlign w:val="center"/>
          </w:tcPr>
          <w:p>
            <w:pPr>
              <w:pStyle w:val="TableContents"/>
              <w:bidi w:val="0"/>
              <w:spacing w:before="0" w:after="283"/>
              <w:jc w:val="left"/>
              <w:rPr/>
            </w:pPr>
            <w:r>
              <w:rPr/>
              <w:t> </w:t>
            </w:r>
          </w:p>
        </w:tc>
        <w:tc>
          <w:tcPr>
            <w:tcW w:w="9255" w:type="dxa"/>
            <w:tcBorders/>
            <w:shd w:fill="CCEEFF" w:val="clear"/>
            <w:vAlign w:val="center"/>
          </w:tcPr>
          <w:p>
            <w:pPr>
              <w:pStyle w:val="TableContents"/>
              <w:bidi w:val="0"/>
              <w:spacing w:before="0" w:after="0"/>
              <w:jc w:val="both"/>
              <w:rPr>
                <w:color w:val="000000"/>
              </w:rPr>
            </w:pPr>
            <w:r>
              <w:rPr>
                <w:color w:val="000000"/>
              </w:rPr>
              <w:t>Certification of Principal Financial Officer Pursuant to 18 U.S.C. Section 1350, as Adopted Pursuant to Section 906 of the Sarbanes-Oxley Act of 2002*</w:t>
            </w:r>
          </w:p>
        </w:tc>
      </w:tr>
    </w:tbl>
    <w:p>
      <w:pPr>
        <w:pStyle w:val="TextBody"/>
        <w:bidi w:val="0"/>
        <w:spacing w:before="0" w:after="0"/>
        <w:jc w:val="left"/>
        <w:rPr/>
      </w:pPr>
      <w:r>
        <w:rPr/>
      </w:r>
    </w:p>
    <w:tbl>
      <w:tblPr>
        <w:tblW w:w="1615" w:type="dxa"/>
        <w:jc w:val="left"/>
        <w:tblInd w:w="0" w:type="dxa"/>
        <w:tblLayout w:type="fixed"/>
        <w:tblCellMar>
          <w:top w:w="0" w:type="dxa"/>
          <w:left w:w="0" w:type="dxa"/>
          <w:bottom w:w="0" w:type="dxa"/>
          <w:right w:w="0" w:type="dxa"/>
        </w:tblCellMar>
      </w:tblPr>
      <w:tblGrid>
        <w:gridCol w:w="155"/>
        <w:gridCol w:w="1460"/>
      </w:tblGrid>
      <w:tr>
        <w:trPr/>
        <w:tc>
          <w:tcPr>
            <w:tcW w:w="155" w:type="dxa"/>
            <w:tcBorders/>
            <w:vAlign w:val="center"/>
          </w:tcPr>
          <w:p>
            <w:pPr>
              <w:pStyle w:val="TableContents"/>
              <w:bidi w:val="0"/>
              <w:spacing w:before="0" w:after="283"/>
              <w:jc w:val="left"/>
              <w:rPr>
                <w:color w:val="000000"/>
              </w:rPr>
            </w:pPr>
            <w:r>
              <w:rPr>
                <w:color w:val="000000"/>
              </w:rPr>
              <w:t>*</w:t>
            </w:r>
          </w:p>
        </w:tc>
        <w:tc>
          <w:tcPr>
            <w:tcW w:w="1460" w:type="dxa"/>
            <w:tcBorders/>
            <w:vAlign w:val="center"/>
          </w:tcPr>
          <w:p>
            <w:pPr>
              <w:pStyle w:val="TableContents"/>
              <w:bidi w:val="0"/>
              <w:spacing w:before="0" w:after="0"/>
              <w:jc w:val="both"/>
              <w:rPr>
                <w:color w:val="000000"/>
              </w:rPr>
            </w:pPr>
            <w:r>
              <w:rPr>
                <w:color w:val="000000"/>
              </w:rPr>
              <w:t>Filed herewith.</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color w:val="000000"/>
              </w:rPr>
            </w:pPr>
            <w:r>
              <w:rPr>
                <w:color w:val="000000"/>
              </w:rPr>
              <w:t>(1)</w:t>
            </w:r>
          </w:p>
        </w:tc>
        <w:tc>
          <w:tcPr>
            <w:tcW w:w="9908" w:type="dxa"/>
            <w:tcBorders/>
            <w:vAlign w:val="center"/>
          </w:tcPr>
          <w:p>
            <w:pPr>
              <w:pStyle w:val="TableContents"/>
              <w:bidi w:val="0"/>
              <w:spacing w:before="0" w:after="0"/>
              <w:jc w:val="both"/>
              <w:rPr>
                <w:color w:val="000000"/>
              </w:rPr>
            </w:pPr>
            <w:r>
              <w:rPr>
                <w:color w:val="000000"/>
              </w:rPr>
              <w:t>Incorporated by reference to Exhibit 2.1 of the Company’s current report on Form 8-K filed on February 23, 2024.</w:t>
            </w:r>
          </w:p>
        </w:tc>
      </w:tr>
    </w:tbl>
    <w:tbl>
      <w:tblPr>
        <w:tblW w:w="9775" w:type="dxa"/>
        <w:jc w:val="left"/>
        <w:tblInd w:w="0" w:type="dxa"/>
        <w:tblLayout w:type="fixed"/>
        <w:tblCellMar>
          <w:top w:w="0" w:type="dxa"/>
          <w:left w:w="0" w:type="dxa"/>
          <w:bottom w:w="0" w:type="dxa"/>
          <w:right w:w="0" w:type="dxa"/>
        </w:tblCellMar>
      </w:tblPr>
      <w:tblGrid>
        <w:gridCol w:w="305"/>
        <w:gridCol w:w="9470"/>
      </w:tblGrid>
      <w:tr>
        <w:trPr/>
        <w:tc>
          <w:tcPr>
            <w:tcW w:w="305" w:type="dxa"/>
            <w:tcBorders/>
            <w:vAlign w:val="center"/>
          </w:tcPr>
          <w:p>
            <w:pPr>
              <w:pStyle w:val="TableContents"/>
              <w:bidi w:val="0"/>
              <w:spacing w:before="0" w:after="283"/>
              <w:jc w:val="left"/>
              <w:rPr>
                <w:color w:val="000000"/>
              </w:rPr>
            </w:pPr>
            <w:r>
              <w:rPr>
                <w:color w:val="000000"/>
              </w:rPr>
              <w:t>(2)</w:t>
            </w:r>
          </w:p>
        </w:tc>
        <w:tc>
          <w:tcPr>
            <w:tcW w:w="9470" w:type="dxa"/>
            <w:tcBorders/>
            <w:vAlign w:val="center"/>
          </w:tcPr>
          <w:p>
            <w:pPr>
              <w:pStyle w:val="TableContents"/>
              <w:bidi w:val="0"/>
              <w:spacing w:before="0" w:after="0"/>
              <w:jc w:val="both"/>
              <w:rPr>
                <w:color w:val="000000"/>
              </w:rPr>
            </w:pPr>
            <w:r>
              <w:rPr>
                <w:color w:val="000000"/>
              </w:rPr>
              <w:t>Incorporated by reference to the Company’s annual report on Form 10-K/A, filed on June 30, 2022.</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r>
        <w:rPr>
          <w:rFonts w:ascii="Times New Roman;Times;serif" w:hAnsi="Times New Roman;Times;serif"/>
          <w:color w:val="000000"/>
          <w:sz w:val="20"/>
          <w:shd w:fill="FFFFFF" w:val="clear"/>
        </w:rPr>
        <w:t xml:space="preserve"> </w:t>
      </w:r>
    </w:p>
    <w:p>
      <w:pPr>
        <w:pStyle w:val="TextBody"/>
        <w:bidi w:val="0"/>
        <w:spacing w:before="0" w:after="0"/>
        <w:jc w:val="left"/>
        <w:rPr>
          <w:rFonts w:ascii="Times New Roman;Times;serif" w:hAnsi="Times New Roman;Times;serif"/>
          <w:b/>
          <w:color w:val="000000"/>
          <w:sz w:val="20"/>
          <w:shd w:fill="FFFFFF" w:val="clear"/>
        </w:rPr>
      </w:pPr>
      <w:bookmarkStart w:id="30" w:name="SIGNATURES"/>
      <w:bookmarkEnd w:id="30"/>
      <w:r>
        <w:rPr>
          <w:rFonts w:ascii="Times New Roman;Times;serif" w:hAnsi="Times New Roman;Times;serif"/>
          <w:b/>
          <w:color w:val="000000"/>
          <w:sz w:val="20"/>
          <w:shd w:fill="FFFFFF" w:val="clear"/>
        </w:rPr>
        <w:t>SIGNATURES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requirements of the Securities Exchange Act of 1934, as amended, the registrant has duly caused this report to be signed on its behalf by the undersigned, thereunto duly authorized on August 8, 2024.</w:t>
      </w:r>
    </w:p>
    <w:p>
      <w:pPr>
        <w:pStyle w:val="TextBody"/>
        <w:bidi w:val="0"/>
        <w:spacing w:before="0" w:after="0"/>
        <w:jc w:val="left"/>
        <w:rPr/>
      </w:pPr>
      <w:r>
        <w:rPr/>
      </w:r>
    </w:p>
    <w:tbl>
      <w:tblPr>
        <w:tblW w:w="6925" w:type="dxa"/>
        <w:jc w:val="left"/>
        <w:tblInd w:w="0" w:type="dxa"/>
        <w:tblLayout w:type="fixed"/>
        <w:tblCellMar>
          <w:top w:w="0" w:type="dxa"/>
          <w:left w:w="0" w:type="dxa"/>
          <w:bottom w:w="0" w:type="dxa"/>
          <w:right w:w="0" w:type="dxa"/>
        </w:tblCellMar>
      </w:tblPr>
      <w:tblGrid>
        <w:gridCol w:w="60"/>
        <w:gridCol w:w="365"/>
        <w:gridCol w:w="6500"/>
      </w:tblGrid>
      <w:tr>
        <w:trPr/>
        <w:tc>
          <w:tcPr>
            <w:tcW w:w="60" w:type="dxa"/>
            <w:tcBorders/>
            <w:vAlign w:val="center"/>
          </w:tcPr>
          <w:p>
            <w:pPr>
              <w:pStyle w:val="TableContents"/>
              <w:bidi w:val="0"/>
              <w:spacing w:before="0" w:after="283"/>
              <w:jc w:val="left"/>
              <w:rPr/>
            </w:pPr>
            <w:r>
              <w:rPr/>
              <w:t> </w:t>
            </w:r>
          </w:p>
        </w:tc>
        <w:tc>
          <w:tcPr>
            <w:tcW w:w="6865" w:type="dxa"/>
            <w:gridSpan w:val="2"/>
            <w:tcBorders/>
            <w:vAlign w:val="center"/>
          </w:tcPr>
          <w:p>
            <w:pPr>
              <w:pStyle w:val="TableContents"/>
              <w:bidi w:val="0"/>
              <w:spacing w:before="0" w:after="0"/>
              <w:jc w:val="left"/>
              <w:rPr>
                <w:b/>
                <w:color w:val="000000"/>
              </w:rPr>
            </w:pPr>
            <w:r>
              <w:rPr>
                <w:b/>
                <w:color w:val="000000"/>
              </w:rPr>
              <w:t>SILVER SPIKE INVESTMENT CORP.</w:t>
            </w:r>
          </w:p>
        </w:tc>
      </w:tr>
      <w:tr>
        <w:trPr/>
        <w:tc>
          <w:tcPr>
            <w:tcW w:w="60" w:type="dxa"/>
            <w:tcBorders/>
            <w:vAlign w:val="center"/>
          </w:tcPr>
          <w:p>
            <w:pPr>
              <w:pStyle w:val="TableContents"/>
              <w:bidi w:val="0"/>
              <w:spacing w:before="0" w:after="283"/>
              <w:jc w:val="left"/>
              <w:rPr/>
            </w:pPr>
            <w:r>
              <w:rPr/>
              <w:t> </w:t>
            </w:r>
          </w:p>
        </w:tc>
        <w:tc>
          <w:tcPr>
            <w:tcW w:w="686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color w:val="000000"/>
              </w:rPr>
            </w:pPr>
            <w:r>
              <w:rPr>
                <w:color w:val="000000"/>
              </w:rPr>
              <w:t>By:</w:t>
            </w:r>
          </w:p>
        </w:tc>
        <w:tc>
          <w:tcPr>
            <w:tcW w:w="650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Scott Gordon</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color w:val="000000"/>
              </w:rPr>
            </w:pPr>
            <w:r>
              <w:rPr>
                <w:color w:val="000000"/>
              </w:rPr>
              <w:t>Scott Gordon</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color w:val="000000"/>
              </w:rPr>
            </w:pPr>
            <w:r>
              <w:rPr>
                <w:color w:val="000000"/>
              </w:rPr>
              <w:t>Chief Executive Officer (Principal Executive Officer)</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color w:val="000000"/>
              </w:rPr>
            </w:pPr>
            <w:r>
              <w:rPr>
                <w:color w:val="000000"/>
              </w:rPr>
              <w:t>By:</w:t>
            </w:r>
          </w:p>
        </w:tc>
        <w:tc>
          <w:tcPr>
            <w:tcW w:w="650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Umesh Mahajan</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color w:val="000000"/>
              </w:rPr>
            </w:pPr>
            <w:r>
              <w:rPr>
                <w:color w:val="000000"/>
              </w:rPr>
              <w:t>Umesh Mahajan</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color w:val="000000"/>
              </w:rPr>
            </w:pPr>
            <w:r>
              <w:rPr>
                <w:color w:val="000000"/>
              </w:rPr>
              <w:t>Chief Financial Officer (Principal Financial and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shd w:fill="FFFFFF" w:val="clear"/>
        </w:rPr>
      </w:pPr>
      <w:r>
        <w:rPr>
          <w:rFonts w:ascii="Times New Roman" w:hAnsi="Times New Roman"/>
          <w:b w:val="false"/>
          <w:i w:val="false"/>
          <w:caps w:val="false"/>
          <w:smallCaps w:val="false"/>
          <w:color w:val="000000"/>
          <w:sz w:val="16"/>
          <w:shd w:fill="FFFFFF" w:val="clear"/>
        </w:rPr>
        <w:t>43</w:t>
      </w:r>
      <w:r>
        <w:rPr>
          <w:rFonts w:ascii="Times New Roman;Times;serif" w:hAnsi="Times New Roman;Times;serif"/>
          <w:color w:val="000000"/>
          <w:sz w:val="20"/>
          <w:shd w:fill="FFFFFF" w:val="clear"/>
        </w:rPr>
        <w:t xml:space="preserve"> </w:t>
      </w:r>
    </w:p>
    <w:p>
      <w:pPr>
        <w:pStyle w:val="HorizontalLine"/>
        <w:bidi w:val="0"/>
        <w:jc w:val="left"/>
        <w:rPr/>
      </w:pPr>
      <w:r>
        <w:rPr/>
      </w:r>
    </w:p>
    <w:p>
      <w:pPr>
        <w:pStyle w:val="HorizontalLine"/>
        <w:pBdr>
          <w:bottom w:val="single" w:sz="12" w:space="0" w:color="808080"/>
        </w:pBdr>
        <w:bidi w:val="0"/>
        <w:jc w:val="left"/>
        <w:rPr/>
      </w:pPr>
      <w:r>
        <w:rPr/>
      </w:r>
      <w:bookmarkStart w:id="31" w:name="ef20030110_ex31-1.htm"/>
      <w:bookmarkStart w:id="32" w:name="ksef20030110_ex311"/>
      <w:bookmarkStart w:id="33" w:name="ef20030110_ex31-1.htm"/>
      <w:bookmarkStart w:id="34" w:name="ksef20030110_ex311"/>
      <w:bookmarkEnd w:id="33"/>
      <w:bookmarkEnd w:id="34"/>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Scott Gordon, Chief Executive Officer of Silver Spike Investment Corp., certify that: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I have reviewed this Quarterly Report on Form 10-Q of Silver Spike Investment Corp. (the “registrant”) for the quarter ended June 30, 2024;</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i/>
          <w:color w:val="000000"/>
          <w:sz w:val="20"/>
        </w:rPr>
        <w:t xml:space="preserve">a) </w:t>
      </w: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i/>
          <w:color w:val="000000"/>
          <w:sz w:val="20"/>
        </w:rPr>
        <w:t>b)</w:t>
      </w:r>
      <w:r>
        <w:rPr>
          <w:rFonts w:ascii="Times New Roman" w:hAnsi="Times New Roman"/>
          <w:color w:val="000000"/>
          <w:sz w:val="20"/>
        </w:rPr>
        <w:t xml:space="preserve">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i/>
          <w:color w:val="000000"/>
          <w:sz w:val="20"/>
        </w:rPr>
        <w:t>c)</w:t>
      </w:r>
      <w:r>
        <w:rPr>
          <w:rFonts w:ascii="Times New Roman" w:hAnsi="Times New Roman"/>
          <w:color w:val="000000"/>
          <w:sz w:val="20"/>
        </w:rPr>
        <w:t xml:space="preserve">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i/>
          <w:color w:val="000000"/>
          <w:sz w:val="20"/>
        </w:rPr>
        <w:t>d)</w:t>
      </w:r>
      <w:r>
        <w:rPr>
          <w:rFonts w:ascii="Times New Roman" w:hAnsi="Times New Roman"/>
          <w:color w:val="000000"/>
          <w:sz w:val="20"/>
        </w:rPr>
        <w:t xml:space="preserve">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i/>
          <w:color w:val="000000"/>
          <w:sz w:val="20"/>
        </w:rPr>
        <w:t xml:space="preserve">a) </w:t>
      </w: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i/>
          <w:color w:val="000000"/>
          <w:sz w:val="20"/>
        </w:rPr>
        <w:t xml:space="preserve">b) </w:t>
      </w: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color w:val="000000"/>
        </w:rPr>
      </w:pPr>
      <w:r>
        <w:rPr>
          <w:color w:val="000000"/>
        </w:rPr>
        <w:t> </w:t>
      </w:r>
    </w:p>
    <w:tbl>
      <w:tblPr>
        <w:tblW w:w="5400" w:type="dxa"/>
        <w:jc w:val="left"/>
        <w:tblInd w:w="0" w:type="dxa"/>
        <w:tblLayout w:type="fixed"/>
        <w:tblCellMar>
          <w:top w:w="0" w:type="dxa"/>
          <w:left w:w="0" w:type="dxa"/>
          <w:bottom w:w="0" w:type="dxa"/>
          <w:right w:w="0" w:type="dxa"/>
        </w:tblCellMar>
      </w:tblPr>
      <w:tblGrid>
        <w:gridCol w:w="2120"/>
        <w:gridCol w:w="365"/>
        <w:gridCol w:w="2915"/>
      </w:tblGrid>
      <w:tr>
        <w:trPr/>
        <w:tc>
          <w:tcPr>
            <w:tcW w:w="2120" w:type="dxa"/>
            <w:tcBorders/>
            <w:vAlign w:val="center"/>
          </w:tcPr>
          <w:p>
            <w:pPr>
              <w:pStyle w:val="TableContents"/>
              <w:bidi w:val="0"/>
              <w:spacing w:before="0" w:after="0"/>
              <w:jc w:val="left"/>
              <w:rPr>
                <w:color w:val="000000"/>
              </w:rPr>
            </w:pPr>
            <w:r>
              <w:rPr>
                <w:color w:val="000000"/>
              </w:rPr>
              <w:t> </w:t>
            </w:r>
            <w:r>
              <w:rPr>
                <w:color w:val="000000"/>
              </w:rPr>
              <w:t>Date: August 8, 2024</w:t>
            </w:r>
          </w:p>
        </w:tc>
        <w:tc>
          <w:tcPr>
            <w:tcW w:w="365" w:type="dxa"/>
            <w:tcBorders/>
            <w:vAlign w:val="center"/>
          </w:tcPr>
          <w:p>
            <w:pPr>
              <w:pStyle w:val="TableContents"/>
              <w:bidi w:val="0"/>
              <w:spacing w:before="0" w:after="0"/>
              <w:jc w:val="left"/>
              <w:rPr>
                <w:color w:val="000000"/>
              </w:rPr>
            </w:pPr>
            <w:r>
              <w:rPr>
                <w:color w:val="000000"/>
              </w:rPr>
              <w:t>By:</w:t>
            </w:r>
          </w:p>
        </w:tc>
        <w:tc>
          <w:tcPr>
            <w:tcW w:w="2915"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/s/ Scott Gordon</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center"/>
              <w:rPr>
                <w:b/>
                <w:color w:val="000000"/>
              </w:rPr>
            </w:pPr>
            <w:r>
              <w:rPr>
                <w:b/>
                <w:color w:val="000000"/>
              </w:rPr>
              <w:t>Scott Gordon</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center"/>
              <w:rPr>
                <w:b/>
                <w:color w:val="000000"/>
              </w:rPr>
            </w:pPr>
            <w:r>
              <w:rPr>
                <w:b/>
                <w:color w:val="000000"/>
              </w:rPr>
              <w:t>Chief Executive Officer</w:t>
            </w:r>
          </w:p>
          <w:p>
            <w:pPr>
              <w:pStyle w:val="TableContents"/>
              <w:bidi w:val="0"/>
              <w:spacing w:before="0" w:after="0"/>
              <w:jc w:val="center"/>
              <w:rPr>
                <w:b/>
                <w:color w:val="000000"/>
              </w:rPr>
            </w:pPr>
            <w:r>
              <w:rPr>
                <w:b/>
                <w:color w:val="000000"/>
              </w:rPr>
              <w:t>(Principal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5" w:name="ef20030110_ex31-2.htm"/>
      <w:bookmarkStart w:id="36" w:name="ksef20030110_ex312"/>
      <w:bookmarkStart w:id="37" w:name="ef20030110_ex31-2.htm"/>
      <w:bookmarkStart w:id="38" w:name="ksef20030110_ex312"/>
      <w:bookmarkEnd w:id="37"/>
      <w:bookmarkEnd w:id="38"/>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Umesh Mahajan, Chief Financial Officer of Silver Spike Investment Corp., certify that: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I have reviewed this Quarterly Report on Form 10-Q of Silver Spike Investment Corp. (the “registrant”) for the quarter ended June 30, 2024;</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i/>
          <w:color w:val="000000"/>
          <w:sz w:val="20"/>
        </w:rPr>
        <w:t xml:space="preserve">a) </w:t>
      </w: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i/>
          <w:color w:val="000000"/>
          <w:sz w:val="20"/>
        </w:rPr>
        <w:t>b)</w:t>
      </w:r>
      <w:r>
        <w:rPr>
          <w:rFonts w:ascii="Times New Roman" w:hAnsi="Times New Roman"/>
          <w:color w:val="000000"/>
          <w:sz w:val="20"/>
        </w:rPr>
        <w:t xml:space="preserve">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i/>
          <w:color w:val="000000"/>
          <w:sz w:val="20"/>
        </w:rPr>
        <w:t>c)</w:t>
      </w:r>
      <w:r>
        <w:rPr>
          <w:rFonts w:ascii="Times New Roman" w:hAnsi="Times New Roman"/>
          <w:color w:val="000000"/>
          <w:sz w:val="20"/>
        </w:rPr>
        <w:t xml:space="preserve">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i/>
          <w:color w:val="000000"/>
          <w:sz w:val="20"/>
        </w:rPr>
        <w:t>d)</w:t>
      </w:r>
      <w:r>
        <w:rPr>
          <w:rFonts w:ascii="Times New Roman" w:hAnsi="Times New Roman"/>
          <w:color w:val="000000"/>
          <w:sz w:val="20"/>
        </w:rPr>
        <w:t xml:space="preserve">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i/>
          <w:color w:val="000000"/>
          <w:sz w:val="20"/>
        </w:rPr>
        <w:t xml:space="preserve">a) </w:t>
      </w: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i/>
          <w:color w:val="000000"/>
          <w:sz w:val="20"/>
        </w:rPr>
        <w:t xml:space="preserve">b) </w:t>
      </w: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295" w:type="dxa"/>
        <w:jc w:val="left"/>
        <w:tblInd w:w="0" w:type="dxa"/>
        <w:tblLayout w:type="fixed"/>
        <w:tblCellMar>
          <w:top w:w="0" w:type="dxa"/>
          <w:left w:w="0" w:type="dxa"/>
          <w:bottom w:w="0" w:type="dxa"/>
          <w:right w:w="0" w:type="dxa"/>
        </w:tblCellMar>
      </w:tblPr>
      <w:tblGrid>
        <w:gridCol w:w="2060"/>
        <w:gridCol w:w="365"/>
        <w:gridCol w:w="2870"/>
      </w:tblGrid>
      <w:tr>
        <w:trPr/>
        <w:tc>
          <w:tcPr>
            <w:tcW w:w="2060" w:type="dxa"/>
            <w:tcBorders/>
            <w:vAlign w:val="center"/>
          </w:tcPr>
          <w:p>
            <w:pPr>
              <w:pStyle w:val="TableContents"/>
              <w:bidi w:val="0"/>
              <w:spacing w:before="0" w:after="0"/>
              <w:jc w:val="left"/>
              <w:rPr>
                <w:color w:val="000000"/>
              </w:rPr>
            </w:pPr>
            <w:r>
              <w:rPr>
                <w:color w:val="000000"/>
              </w:rPr>
              <w:t>Date: August 8, 2024</w:t>
            </w:r>
          </w:p>
        </w:tc>
        <w:tc>
          <w:tcPr>
            <w:tcW w:w="365" w:type="dxa"/>
            <w:tcBorders/>
            <w:vAlign w:val="center"/>
          </w:tcPr>
          <w:p>
            <w:pPr>
              <w:pStyle w:val="TableContents"/>
              <w:bidi w:val="0"/>
              <w:spacing w:before="0" w:after="0"/>
              <w:jc w:val="left"/>
              <w:rPr>
                <w:color w:val="000000"/>
              </w:rPr>
            </w:pPr>
            <w:r>
              <w:rPr>
                <w:color w:val="000000"/>
              </w:rPr>
              <w:t>By:</w:t>
            </w:r>
          </w:p>
        </w:tc>
        <w:tc>
          <w:tcPr>
            <w:tcW w:w="2870"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/s/ Umesh Mahajan</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center"/>
              <w:rPr>
                <w:b/>
                <w:color w:val="000000"/>
              </w:rPr>
            </w:pPr>
            <w:r>
              <w:rPr>
                <w:b/>
                <w:color w:val="000000"/>
              </w:rPr>
              <w:t>Umesh Mahajan</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center"/>
              <w:rPr>
                <w:b/>
                <w:color w:val="000000"/>
              </w:rPr>
            </w:pPr>
            <w:r>
              <w:rPr>
                <w:b/>
                <w:color w:val="000000"/>
              </w:rPr>
              <w:t>Chief Financial Officer</w:t>
            </w:r>
          </w:p>
          <w:p>
            <w:pPr>
              <w:pStyle w:val="TableContents"/>
              <w:bidi w:val="0"/>
              <w:spacing w:before="0" w:after="0"/>
              <w:jc w:val="center"/>
              <w:rPr>
                <w:b/>
                <w:color w:val="000000"/>
              </w:rPr>
            </w:pPr>
            <w:r>
              <w:rPr>
                <w:b/>
                <w:color w:val="00000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9" w:name="ef20030110_ex32-1.htm"/>
      <w:bookmarkStart w:id="40" w:name="ksef20030110_ex321"/>
      <w:bookmarkStart w:id="41" w:name="ef20030110_ex32-1.htm"/>
      <w:bookmarkStart w:id="42" w:name="ksef20030110_ex321"/>
      <w:bookmarkEnd w:id="41"/>
      <w:bookmarkEnd w:id="42"/>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1350, CHAPTER 63 OF TITLE 18, UNITED STATES CODE,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Pursuant to Section 1350, Chapter 63 of Title 18, United States Code, as adopted pursuant to Section 906 of the Sarbanes-Oxley Act of 2002, the undersigned, as Chief Executive Officer of Silver Spike Investment Corp. (the “Company”), does hereby certify that to the undersigned’s knowledge: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the Company’s Form 10-Q for the quarter ended June 30, 2024 fully complies with the requirements of Section 13(a) or 15(d) as applicable of the Securities Exchange Act of 1934, as amended; and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the information contained in the Company’s Form 10-Q for the quarter ended June 30, 2024 fairly presents, in all material respects, the financial condition and results of operations of the Company.</w:t>
      </w:r>
    </w:p>
    <w:p>
      <w:pPr>
        <w:pStyle w:val="TextBody"/>
        <w:bidi w:val="0"/>
        <w:spacing w:before="0" w:after="0"/>
        <w:jc w:val="left"/>
        <w:rPr/>
      </w:pPr>
      <w:r>
        <w:rPr/>
      </w:r>
    </w:p>
    <w:tbl>
      <w:tblPr>
        <w:tblW w:w="5340" w:type="dxa"/>
        <w:jc w:val="left"/>
        <w:tblInd w:w="0" w:type="dxa"/>
        <w:tblLayout w:type="fixed"/>
        <w:tblCellMar>
          <w:top w:w="0" w:type="dxa"/>
          <w:left w:w="0" w:type="dxa"/>
          <w:bottom w:w="0" w:type="dxa"/>
          <w:right w:w="0" w:type="dxa"/>
        </w:tblCellMar>
      </w:tblPr>
      <w:tblGrid>
        <w:gridCol w:w="2060"/>
        <w:gridCol w:w="365"/>
        <w:gridCol w:w="2915"/>
      </w:tblGrid>
      <w:tr>
        <w:trPr/>
        <w:tc>
          <w:tcPr>
            <w:tcW w:w="2060" w:type="dxa"/>
            <w:tcBorders/>
            <w:vAlign w:val="center"/>
          </w:tcPr>
          <w:p>
            <w:pPr>
              <w:pStyle w:val="TableContents"/>
              <w:bidi w:val="0"/>
              <w:spacing w:before="0" w:after="0"/>
              <w:jc w:val="left"/>
              <w:rPr>
                <w:color w:val="000000"/>
              </w:rPr>
            </w:pPr>
            <w:r>
              <w:rPr>
                <w:color w:val="000000"/>
              </w:rPr>
              <w:t>Date: August 8, 2024</w:t>
            </w:r>
          </w:p>
        </w:tc>
        <w:tc>
          <w:tcPr>
            <w:tcW w:w="365" w:type="dxa"/>
            <w:tcBorders/>
            <w:vAlign w:val="center"/>
          </w:tcPr>
          <w:p>
            <w:pPr>
              <w:pStyle w:val="TableContents"/>
              <w:bidi w:val="0"/>
              <w:spacing w:before="0" w:after="0"/>
              <w:jc w:val="left"/>
              <w:rPr>
                <w:color w:val="000000"/>
              </w:rPr>
            </w:pPr>
            <w:r>
              <w:rPr>
                <w:color w:val="000000"/>
              </w:rPr>
              <w:t>By:</w:t>
            </w:r>
          </w:p>
        </w:tc>
        <w:tc>
          <w:tcPr>
            <w:tcW w:w="2915"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/s/ Scott Gordon</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center"/>
              <w:rPr>
                <w:b/>
                <w:color w:val="000000"/>
              </w:rPr>
            </w:pPr>
            <w:r>
              <w:rPr>
                <w:b/>
                <w:color w:val="000000"/>
              </w:rPr>
              <w:t>Scott Gordon</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center"/>
              <w:rPr>
                <w:b/>
                <w:color w:val="000000"/>
              </w:rPr>
            </w:pPr>
            <w:r>
              <w:rPr>
                <w:b/>
                <w:color w:val="000000"/>
              </w:rPr>
              <w:t>Chief Executive Officer</w:t>
            </w:r>
          </w:p>
          <w:p>
            <w:pPr>
              <w:pStyle w:val="TableContents"/>
              <w:bidi w:val="0"/>
              <w:spacing w:before="0" w:after="0"/>
              <w:jc w:val="center"/>
              <w:rPr>
                <w:b/>
                <w:color w:val="000000"/>
              </w:rPr>
            </w:pPr>
            <w:r>
              <w:rPr>
                <w:b/>
                <w:color w:val="000000"/>
              </w:rPr>
              <w:t>(Principal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3" w:name="ef20030110_ex32-2.htm"/>
      <w:bookmarkStart w:id="44" w:name="ksef20030110_ex322"/>
      <w:bookmarkStart w:id="45" w:name="ef20030110_ex32-2.htm"/>
      <w:bookmarkStart w:id="46" w:name="ksef20030110_ex322"/>
      <w:bookmarkEnd w:id="45"/>
      <w:bookmarkEnd w:id="46"/>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1350, CHAPTER 63 OF TITLE 18, UNITED STATES CODE,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Pursuant to Section 1350, Chapter 63 of Title 18, United States Code, as adopted pursuant to Section 906 of the Sarbanes-Oxley Act of 2002, the undersigned, as Chief Financial Officer of Silver Spike Investment Corp. (the “Company”), does hereby certify that to the undersigned’s knowledge: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the Company’s Form 10-Q for the quarter ended June 30, 2024 fully complies with the requirements of Section 13(a) or 15(d) as applicable of the Securities Exchange Act of 1934, as amended; and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the information contained in the Company’s Form 10-Q for the quarter ended June 30, 2024 fairly presents, in all material respects, the financial condition and results of operations of the Company.</w:t>
      </w:r>
    </w:p>
    <w:p>
      <w:pPr>
        <w:pStyle w:val="TextBody"/>
        <w:bidi w:val="0"/>
        <w:spacing w:before="0" w:after="0"/>
        <w:jc w:val="left"/>
        <w:rPr/>
      </w:pPr>
      <w:r>
        <w:rPr/>
      </w:r>
    </w:p>
    <w:tbl>
      <w:tblPr>
        <w:tblW w:w="5295" w:type="dxa"/>
        <w:jc w:val="left"/>
        <w:tblInd w:w="0" w:type="dxa"/>
        <w:tblLayout w:type="fixed"/>
        <w:tblCellMar>
          <w:top w:w="0" w:type="dxa"/>
          <w:left w:w="0" w:type="dxa"/>
          <w:bottom w:w="0" w:type="dxa"/>
          <w:right w:w="0" w:type="dxa"/>
        </w:tblCellMar>
      </w:tblPr>
      <w:tblGrid>
        <w:gridCol w:w="2060"/>
        <w:gridCol w:w="365"/>
        <w:gridCol w:w="2870"/>
      </w:tblGrid>
      <w:tr>
        <w:trPr/>
        <w:tc>
          <w:tcPr>
            <w:tcW w:w="2060" w:type="dxa"/>
            <w:tcBorders/>
            <w:vAlign w:val="center"/>
          </w:tcPr>
          <w:p>
            <w:pPr>
              <w:pStyle w:val="TableContents"/>
              <w:bidi w:val="0"/>
              <w:spacing w:before="0" w:after="0"/>
              <w:jc w:val="left"/>
              <w:rPr>
                <w:color w:val="000000"/>
              </w:rPr>
            </w:pPr>
            <w:r>
              <w:rPr>
                <w:color w:val="000000"/>
              </w:rPr>
              <w:t>Date: August 8, 2024</w:t>
            </w:r>
          </w:p>
        </w:tc>
        <w:tc>
          <w:tcPr>
            <w:tcW w:w="365" w:type="dxa"/>
            <w:tcBorders/>
            <w:vAlign w:val="center"/>
          </w:tcPr>
          <w:p>
            <w:pPr>
              <w:pStyle w:val="TableContents"/>
              <w:bidi w:val="0"/>
              <w:spacing w:before="0" w:after="0"/>
              <w:jc w:val="left"/>
              <w:rPr>
                <w:color w:val="000000"/>
              </w:rPr>
            </w:pPr>
            <w:r>
              <w:rPr>
                <w:color w:val="000000"/>
              </w:rPr>
              <w:t>By:</w:t>
            </w:r>
          </w:p>
        </w:tc>
        <w:tc>
          <w:tcPr>
            <w:tcW w:w="2870"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/s/ Umesh Mahajan</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center"/>
              <w:rPr>
                <w:b/>
                <w:color w:val="000000"/>
              </w:rPr>
            </w:pPr>
            <w:r>
              <w:rPr>
                <w:b/>
                <w:color w:val="000000"/>
              </w:rPr>
              <w:t>Umesh Mahajan</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center"/>
              <w:rPr>
                <w:b/>
                <w:color w:val="000000"/>
              </w:rPr>
            </w:pPr>
            <w:r>
              <w:rPr>
                <w:b/>
                <w:color w:val="000000"/>
              </w:rPr>
              <w:t>Chief Financial Officer</w:t>
            </w:r>
          </w:p>
          <w:p>
            <w:pPr>
              <w:pStyle w:val="TableContents"/>
              <w:bidi w:val="0"/>
              <w:spacing w:before="0" w:after="0"/>
              <w:jc w:val="center"/>
              <w:rPr>
                <w:b/>
                <w:color w:val="000000"/>
              </w:rPr>
            </w:pPr>
            <w:r>
              <w:rPr>
                <w:b/>
                <w:color w:val="00000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3162/000095010324002723/dp207225_ex0201.htm" TargetMode="External"/><Relationship Id="rId3" Type="http://schemas.openxmlformats.org/officeDocument/2006/relationships/hyperlink" Target="https://www.sec.gov/Archives/edgar/data/1843162/000095010322011767/dp176400_ex0301.htm" TargetMode="External"/><Relationship Id="rId4" Type="http://schemas.openxmlformats.org/officeDocument/2006/relationships/hyperlink" Target="https://www.sec.gov/Archives/edgar/data/1843162/000095010322011767/dp176400_ex030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29030</Words>
  <Characters>157016</Characters>
  <CharactersWithSpaces>187954</CharactersWithSpaces>
  <Paragraphs>8586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