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Colonna Bernardino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CHICAGO ATLANTIC BDC,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 MADISON AVENUE, SUITE 1800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Chicago Atlantic BDC, Inc.</w:t>
              </w:r>
            </w:hyperlink>
            <w:r>
              <w:rPr/>
              <w:t xml:space="preserve"> [ </w:t>
            </w:r>
            <w:r>
              <w:rPr>
                <w:rFonts w:ascii="Times;serif" w:hAnsi="Times;serif"/>
                <w:color w:val="0000FF"/>
                <w:sz w:val="24"/>
                <w:shd w:fill="FFFFFF" w:val="clear"/>
              </w:rPr>
              <w:t>LIEN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49"/>
        <w:gridCol w:w="916"/>
        <w:gridCol w:w="785"/>
        <w:gridCol w:w="608"/>
        <w:gridCol w:w="348"/>
        <w:gridCol w:w="794"/>
        <w:gridCol w:w="445"/>
        <w:gridCol w:w="984"/>
        <w:gridCol w:w="1154"/>
        <w:gridCol w:w="993"/>
        <w:gridCol w:w="92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4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4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9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4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08/28/2026</w:t>
            </w:r>
          </w:p>
        </w:tc>
        <w:tc>
          <w:tcPr>
            <w:tcW w:w="78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w:t>
            </w:r>
          </w:p>
        </w:tc>
        <w:tc>
          <w:tcPr>
            <w:tcW w:w="4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10.18</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4,280</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4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08/31/2026</w:t>
            </w:r>
          </w:p>
        </w:tc>
        <w:tc>
          <w:tcPr>
            <w:tcW w:w="78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750</w:t>
            </w:r>
          </w:p>
        </w:tc>
        <w:tc>
          <w:tcPr>
            <w:tcW w:w="4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10.2467</w:t>
            </w:r>
            <w:r>
              <w:rPr>
                <w:rFonts w:ascii="Times;serif" w:hAnsi="Times;serif"/>
                <w:color w:val="008000"/>
                <w:position w:val="7"/>
                <w:sz w:val="16"/>
                <w:sz w:val="20"/>
                <w:shd w:fill="FFFFFF" w:val="clear"/>
              </w:rPr>
              <w:t>(1)</w:t>
            </w:r>
          </w:p>
        </w:tc>
        <w:tc>
          <w:tcPr>
            <w:tcW w:w="11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5,030</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reflects the weighted-average purchase price from several discrete transactions executed throughout the Transaction Date at prices that ranged from $10.23 to $10.28 per share. Upon request, the Reporting Person has agreed to provide to the Issuer, any security holder of the Issuer or the staff of the Securities and Exchange Commission full information regarding the number of shares purchased at each price within the range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Bernardino Colonna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68789" TargetMode="External"/><Relationship Id="rId5" Type="http://schemas.openxmlformats.org/officeDocument/2006/relationships/hyperlink" Target="http://www.sec.gov/cgi-bin/browse-edgar?action=getcompany&amp;CIK=000184316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650</Words>
  <Characters>3529</Characters>
  <CharactersWithSpaces>4103</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